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FE532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仿宋_GB2312" w:cs="Times New Roman"/>
          <w:sz w:val="36"/>
          <w:szCs w:val="36"/>
          <w:lang w:val="en-US" w:eastAsia="zh-CN"/>
        </w:rPr>
      </w:pPr>
      <w:bookmarkStart w:id="0" w:name="_Toc77769255"/>
      <w:bookmarkStart w:id="1" w:name="_Toc73547120"/>
      <w:bookmarkStart w:id="2" w:name="_Toc68622114"/>
      <w:bookmarkStart w:id="3" w:name="_Toc291067347"/>
    </w:p>
    <w:p w14:paraId="060797F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仿宋_GB2312" w:cs="Times New Roman"/>
          <w:sz w:val="36"/>
          <w:szCs w:val="36"/>
          <w:lang w:val="en-US" w:eastAsia="zh-CN"/>
        </w:rPr>
      </w:pPr>
    </w:p>
    <w:p w14:paraId="60690C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仿宋_GB2312" w:cs="Times New Roman"/>
          <w:sz w:val="36"/>
          <w:szCs w:val="36"/>
          <w:lang w:val="en-US" w:eastAsia="zh-CN"/>
        </w:rPr>
      </w:pPr>
    </w:p>
    <w:p w14:paraId="484F1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仿宋_GB2312" w:cs="Times New Roman"/>
          <w:sz w:val="36"/>
          <w:szCs w:val="36"/>
          <w:lang w:val="en-US" w:eastAsia="zh-CN"/>
        </w:rPr>
      </w:pPr>
    </w:p>
    <w:p w14:paraId="4BD3C9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ascii="Times New Roman" w:hAnsi="Times New Roman" w:eastAsia="方正小标宋_GBK" w:cs="Times New Roman"/>
          <w:bCs/>
          <w:sz w:val="72"/>
          <w:szCs w:val="72"/>
        </w:rPr>
      </w:pPr>
      <w:r>
        <w:rPr>
          <w:rFonts w:hint="default" w:ascii="Times New Roman" w:hAnsi="Times New Roman" w:eastAsia="方正小标宋_GBK" w:cs="Times New Roman"/>
          <w:bCs/>
          <w:sz w:val="72"/>
          <w:szCs w:val="72"/>
        </w:rPr>
        <w:t>建设项目环境影响报告表</w:t>
      </w:r>
    </w:p>
    <w:p w14:paraId="3F040A1A">
      <w:pPr>
        <w:adjustRightInd w:val="0"/>
        <w:snapToGrid w:val="0"/>
        <w:spacing w:beforeLines="80" w:line="240" w:lineRule="auto"/>
        <w:ind w:firstLine="0" w:firstLineChars="0"/>
        <w:jc w:val="center"/>
        <w:rPr>
          <w:rFonts w:ascii="Times New Roman" w:hAnsi="Times New Roman" w:eastAsia="楷体_GB2312" w:cs="Times New Roman"/>
          <w:bCs/>
          <w:sz w:val="48"/>
          <w:szCs w:val="48"/>
        </w:rPr>
      </w:pPr>
    </w:p>
    <w:p w14:paraId="5B9AAAD2">
      <w:pPr>
        <w:bidi w:val="0"/>
        <w:spacing w:line="360" w:lineRule="auto"/>
        <w:rPr>
          <w:rFonts w:ascii="Times New Roman" w:hAnsi="Times New Roman" w:cs="Times New Roman"/>
        </w:rPr>
      </w:pPr>
    </w:p>
    <w:p w14:paraId="60A8783E">
      <w:pPr>
        <w:spacing w:line="360" w:lineRule="auto"/>
        <w:jc w:val="both"/>
        <w:rPr>
          <w:rFonts w:ascii="Times New Roman" w:hAnsi="Times New Roman" w:eastAsia="仿宋" w:cs="Times New Roman"/>
          <w:sz w:val="52"/>
          <w:szCs w:val="52"/>
        </w:rPr>
      </w:pPr>
    </w:p>
    <w:p w14:paraId="0F0C4CC9">
      <w:pPr>
        <w:spacing w:line="360" w:lineRule="auto"/>
        <w:rPr>
          <w:rFonts w:ascii="Times New Roman" w:hAnsi="Times New Roman" w:eastAsia="仿宋" w:cs="Times New Roman"/>
          <w:sz w:val="44"/>
          <w:szCs w:val="44"/>
        </w:rPr>
      </w:pPr>
    </w:p>
    <w:p w14:paraId="723DCDE2">
      <w:pPr>
        <w:spacing w:line="360" w:lineRule="auto"/>
        <w:rPr>
          <w:rFonts w:ascii="Times New Roman" w:hAnsi="Times New Roman" w:eastAsia="仿宋" w:cs="Times New Roman"/>
          <w:sz w:val="44"/>
          <w:szCs w:val="44"/>
        </w:rPr>
      </w:pPr>
    </w:p>
    <w:p w14:paraId="218770F0">
      <w:pPr>
        <w:spacing w:line="360" w:lineRule="auto"/>
        <w:rPr>
          <w:rFonts w:ascii="Times New Roman" w:hAnsi="Times New Roman" w:eastAsia="仿宋" w:cs="Times New Roman"/>
          <w:sz w:val="44"/>
          <w:szCs w:val="44"/>
        </w:rPr>
      </w:pPr>
    </w:p>
    <w:p w14:paraId="77AD22DC">
      <w:pPr>
        <w:spacing w:line="360" w:lineRule="auto"/>
        <w:rPr>
          <w:rFonts w:ascii="Times New Roman" w:hAnsi="Times New Roman" w:eastAsia="仿宋" w:cs="Times New Roman"/>
          <w:sz w:val="44"/>
          <w:szCs w:val="44"/>
        </w:rPr>
      </w:pPr>
    </w:p>
    <w:p w14:paraId="7DF22455">
      <w:pPr>
        <w:adjustRightInd w:val="0"/>
        <w:snapToGrid w:val="0"/>
        <w:spacing w:line="288" w:lineRule="auto"/>
        <w:ind w:firstLine="720" w:firstLineChars="200"/>
        <w:jc w:val="both"/>
        <w:rPr>
          <w:rFonts w:hint="default" w:ascii="Times New Roman" w:hAnsi="Times New Roman" w:eastAsia="仿宋_GB2312" w:cs="Times New Roman"/>
          <w:sz w:val="36"/>
          <w:szCs w:val="36"/>
          <w:u w:val="single"/>
          <w:lang w:val="en-US" w:eastAsia="zh-CN"/>
        </w:rPr>
      </w:pPr>
      <w:r>
        <w:rPr>
          <w:rFonts w:hint="default" w:ascii="Times New Roman" w:hAnsi="Times New Roman" w:eastAsia="仿宋_GB2312" w:cs="Times New Roman"/>
          <w:sz w:val="36"/>
          <w:szCs w:val="36"/>
        </w:rPr>
        <w:t>项目名称：</w:t>
      </w:r>
      <w:r>
        <w:rPr>
          <w:rFonts w:hint="eastAsia" w:ascii="Times New Roman" w:hAnsi="Times New Roman" w:eastAsia="仿宋_GB2312" w:cs="Times New Roman"/>
          <w:color w:val="auto"/>
          <w:sz w:val="36"/>
          <w:szCs w:val="36"/>
          <w:u w:val="single"/>
          <w:lang w:val="en-US" w:eastAsia="zh-CN"/>
        </w:rPr>
        <w:t>安徽金沙钼业有限公司110</w:t>
      </w:r>
      <w:r>
        <w:rPr>
          <w:rFonts w:hint="eastAsia" w:eastAsia="仿宋_GB2312" w:cs="Times New Roman"/>
          <w:color w:val="auto"/>
          <w:sz w:val="36"/>
          <w:szCs w:val="36"/>
          <w:u w:val="single"/>
          <w:lang w:val="en-US" w:eastAsia="zh-CN"/>
        </w:rPr>
        <w:t>k</w:t>
      </w:r>
      <w:r>
        <w:rPr>
          <w:rFonts w:hint="eastAsia" w:ascii="Times New Roman" w:hAnsi="Times New Roman" w:eastAsia="仿宋_GB2312" w:cs="Times New Roman"/>
          <w:color w:val="auto"/>
          <w:sz w:val="36"/>
          <w:szCs w:val="36"/>
          <w:u w:val="single"/>
          <w:lang w:val="en-US" w:eastAsia="zh-CN"/>
        </w:rPr>
        <w:t>V输变电工程</w:t>
      </w:r>
    </w:p>
    <w:p w14:paraId="6F15F91A">
      <w:pPr>
        <w:adjustRightInd w:val="0"/>
        <w:snapToGrid w:val="0"/>
        <w:spacing w:line="288" w:lineRule="auto"/>
        <w:ind w:firstLine="720" w:firstLineChars="200"/>
        <w:rPr>
          <w:rFonts w:hint="default" w:ascii="Times New Roman" w:hAnsi="Times New Roman" w:cs="Times New Roman" w:eastAsiaTheme="minorEastAsia"/>
          <w:sz w:val="36"/>
          <w:szCs w:val="36"/>
          <w:u w:val="single"/>
          <w:lang w:val="en-US" w:eastAsia="zh-CN"/>
        </w:rPr>
      </w:pPr>
      <w:r>
        <w:rPr>
          <w:rFonts w:hint="default" w:ascii="Times New Roman" w:hAnsi="Times New Roman" w:eastAsia="仿宋_GB2312" w:cs="Times New Roman"/>
          <w:sz w:val="36"/>
          <w:szCs w:val="36"/>
        </w:rPr>
        <w:t>建设单位（盖章）：</w:t>
      </w:r>
      <w:r>
        <w:rPr>
          <w:rFonts w:hint="eastAsia" w:ascii="Times New Roman" w:hAnsi="Times New Roman" w:eastAsia="仿宋_GB2312" w:cs="Times New Roman"/>
          <w:color w:val="auto"/>
          <w:sz w:val="36"/>
          <w:szCs w:val="36"/>
          <w:u w:val="single"/>
          <w:lang w:val="en-US" w:eastAsia="zh-CN"/>
        </w:rPr>
        <w:t xml:space="preserve"> </w:t>
      </w:r>
      <w:r>
        <w:rPr>
          <w:rFonts w:hint="eastAsia" w:eastAsia="仿宋_GB2312" w:cs="Times New Roman"/>
          <w:color w:val="auto"/>
          <w:sz w:val="36"/>
          <w:szCs w:val="36"/>
          <w:u w:val="single"/>
          <w:lang w:val="en-US" w:eastAsia="zh-CN"/>
        </w:rPr>
        <w:t xml:space="preserve">        </w:t>
      </w:r>
      <w:r>
        <w:rPr>
          <w:rFonts w:hint="default" w:ascii="Times New Roman" w:hAnsi="Times New Roman" w:eastAsia="仿宋_GB2312" w:cs="Times New Roman"/>
          <w:sz w:val="36"/>
          <w:szCs w:val="36"/>
          <w:u w:val="single"/>
          <w:lang w:val="en-US" w:eastAsia="zh-CN"/>
        </w:rPr>
        <w:t>安徽金沙钼业有限公司</w:t>
      </w:r>
      <w:r>
        <w:rPr>
          <w:rFonts w:hint="eastAsia" w:eastAsia="仿宋_GB2312" w:cs="Times New Roman"/>
          <w:sz w:val="36"/>
          <w:szCs w:val="36"/>
          <w:u w:val="single"/>
          <w:lang w:val="en-US" w:eastAsia="zh-CN"/>
        </w:rPr>
        <w:t xml:space="preserve">        </w:t>
      </w:r>
      <w:r>
        <w:rPr>
          <w:rFonts w:hint="eastAsia" w:ascii="仿宋_GB2312" w:hAnsi="Times New Roman" w:eastAsia="仿宋_GB2312" w:cs="Times New Roman"/>
          <w:color w:val="000000"/>
          <w:kern w:val="2"/>
          <w:sz w:val="36"/>
          <w:szCs w:val="36"/>
          <w:highlight w:val="none"/>
          <w:u w:val="single"/>
          <w:lang w:val="en-US" w:eastAsia="zh-CN"/>
        </w:rPr>
        <w:t xml:space="preserve"> </w:t>
      </w:r>
    </w:p>
    <w:p w14:paraId="15C93C3A">
      <w:pPr>
        <w:adjustRightInd w:val="0"/>
        <w:snapToGrid w:val="0"/>
        <w:spacing w:line="288" w:lineRule="auto"/>
        <w:rPr>
          <w:rFonts w:ascii="Times New Roman" w:hAnsi="Times New Roman" w:eastAsia="仿宋_GB2312" w:cs="Times New Roman"/>
          <w:sz w:val="36"/>
          <w:szCs w:val="36"/>
        </w:rPr>
      </w:pPr>
      <w:bookmarkStart w:id="4" w:name="_Hlk57884087"/>
    </w:p>
    <w:p w14:paraId="727EB198">
      <w:pPr>
        <w:adjustRightInd w:val="0"/>
        <w:snapToGrid w:val="0"/>
        <w:spacing w:line="288" w:lineRule="auto"/>
        <w:rPr>
          <w:rFonts w:ascii="Times New Roman" w:hAnsi="Times New Roman" w:eastAsia="仿宋_GB2312" w:cs="Times New Roman"/>
          <w:sz w:val="36"/>
          <w:szCs w:val="36"/>
        </w:rPr>
      </w:pPr>
    </w:p>
    <w:p w14:paraId="6792F65B">
      <w:pPr>
        <w:pStyle w:val="15"/>
        <w:rPr>
          <w:rFonts w:ascii="Times New Roman" w:hAnsi="Times New Roman" w:eastAsia="仿宋_GB2312" w:cs="Times New Roman"/>
          <w:sz w:val="36"/>
          <w:szCs w:val="36"/>
        </w:rPr>
      </w:pPr>
    </w:p>
    <w:p w14:paraId="4B5A8A70">
      <w:pPr>
        <w:pStyle w:val="15"/>
        <w:rPr>
          <w:rFonts w:ascii="Times New Roman" w:hAnsi="Times New Roman" w:eastAsia="仿宋_GB2312" w:cs="Times New Roman"/>
          <w:sz w:val="36"/>
          <w:szCs w:val="36"/>
        </w:rPr>
      </w:pPr>
    </w:p>
    <w:p w14:paraId="0E404AE4">
      <w:pPr>
        <w:adjustRightInd w:val="0"/>
        <w:snapToGrid w:val="0"/>
        <w:spacing w:line="360" w:lineRule="auto"/>
        <w:ind w:left="2800" w:leftChars="1400"/>
        <w:rPr>
          <w:rFonts w:hint="default" w:ascii="宋体" w:hAnsi="宋体" w:eastAsia="宋体" w:cs="宋体"/>
          <w:sz w:val="32"/>
          <w:szCs w:val="32"/>
          <w:lang w:val="en-US" w:eastAsia="zh-CN"/>
        </w:rPr>
      </w:pPr>
      <w:r>
        <w:rPr>
          <w:rFonts w:hint="eastAsia" w:ascii="宋体" w:hAnsi="宋体" w:eastAsia="宋体" w:cs="宋体"/>
          <w:sz w:val="32"/>
          <w:szCs w:val="32"/>
          <w:lang w:val="en-US" w:eastAsia="zh-CN"/>
        </w:rPr>
        <w:t>编制单位：合肥芳硕环境科技有限公司</w:t>
      </w:r>
    </w:p>
    <w:p w14:paraId="15EDE5FC">
      <w:pPr>
        <w:adjustRightInd w:val="0"/>
        <w:snapToGrid w:val="0"/>
        <w:spacing w:line="360" w:lineRule="auto"/>
        <w:ind w:left="2800" w:leftChars="1400"/>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编制日期：二〇二</w:t>
      </w:r>
      <w:r>
        <w:rPr>
          <w:rFonts w:hint="eastAsia" w:ascii="宋体" w:hAnsi="宋体" w:cs="宋体"/>
          <w:sz w:val="32"/>
          <w:szCs w:val="32"/>
          <w:lang w:val="en-US" w:eastAsia="zh-CN"/>
        </w:rPr>
        <w:t>六</w:t>
      </w:r>
      <w:r>
        <w:rPr>
          <w:rFonts w:hint="eastAsia" w:ascii="宋体" w:hAnsi="宋体" w:eastAsia="宋体" w:cs="宋体"/>
          <w:sz w:val="32"/>
          <w:szCs w:val="32"/>
          <w:lang w:val="en-US" w:eastAsia="zh-CN"/>
        </w:rPr>
        <w:t>年</w:t>
      </w:r>
      <w:r>
        <w:rPr>
          <w:rFonts w:hint="eastAsia" w:ascii="宋体" w:hAnsi="宋体" w:cs="宋体"/>
          <w:sz w:val="32"/>
          <w:szCs w:val="32"/>
          <w:lang w:val="en-US" w:eastAsia="zh-CN"/>
        </w:rPr>
        <w:t>四</w:t>
      </w:r>
      <w:r>
        <w:rPr>
          <w:rFonts w:hint="eastAsia" w:ascii="宋体" w:hAnsi="宋体" w:eastAsia="宋体" w:cs="宋体"/>
          <w:sz w:val="32"/>
          <w:szCs w:val="32"/>
          <w:lang w:val="en-US" w:eastAsia="zh-CN"/>
        </w:rPr>
        <w:t>月</w:t>
      </w:r>
    </w:p>
    <w:bookmarkEnd w:id="4"/>
    <w:p w14:paraId="4A4F3580">
      <w:pPr>
        <w:adjustRightInd w:val="0"/>
        <w:snapToGrid w:val="0"/>
        <w:spacing w:after="0" w:line="288" w:lineRule="auto"/>
        <w:jc w:val="center"/>
        <w:rPr>
          <w:rFonts w:hint="default" w:ascii="Times New Roman" w:hAnsi="Times New Roman" w:eastAsia="楷体_GB2312" w:cs="Times New Roman"/>
          <w:sz w:val="36"/>
          <w:szCs w:val="36"/>
        </w:rPr>
        <w:sectPr>
          <w:headerReference r:id="rId3" w:type="default"/>
          <w:footerReference r:id="rId4" w:type="default"/>
          <w:pgSz w:w="11906" w:h="16838"/>
          <w:pgMar w:top="1440" w:right="1080" w:bottom="1440" w:left="1080" w:header="851" w:footer="1077" w:gutter="0"/>
          <w:pgBorders>
            <w:top w:val="none" w:sz="0" w:space="0"/>
            <w:left w:val="none" w:sz="0" w:space="0"/>
            <w:bottom w:val="none" w:sz="0" w:space="0"/>
            <w:right w:val="none" w:sz="0" w:space="0"/>
          </w:pgBorders>
          <w:pgNumType w:fmt="decimal" w:start="1"/>
          <w:cols w:space="720" w:num="1"/>
          <w:docGrid w:linePitch="312" w:charSpace="0"/>
        </w:sectPr>
      </w:pPr>
    </w:p>
    <w:sdt>
      <w:sdtPr>
        <w:rPr>
          <w:rFonts w:ascii="Times New Roman" w:hAnsi="Times New Roman" w:eastAsia="宋体" w:cs="Times New Roman"/>
          <w:b/>
          <w:bCs/>
          <w:color w:val="auto"/>
          <w:sz w:val="20"/>
          <w:szCs w:val="20"/>
          <w:lang w:val="zh-CN"/>
        </w:rPr>
        <w:id w:val="-153609899"/>
        <w:docPartObj>
          <w:docPartGallery w:val="Table of Contents"/>
          <w:docPartUnique/>
        </w:docPartObj>
      </w:sdtPr>
      <w:sdtEndPr>
        <w:rPr>
          <w:rFonts w:ascii="Times New Roman" w:hAnsi="Times New Roman" w:eastAsia="宋体" w:cs="Times New Roman"/>
          <w:b w:val="0"/>
          <w:bCs w:val="0"/>
          <w:color w:val="auto"/>
          <w:sz w:val="36"/>
          <w:szCs w:val="36"/>
          <w:lang w:val="zh-CN"/>
        </w:rPr>
      </w:sdtEndPr>
      <w:sdtContent>
        <w:p w14:paraId="70AAE679">
          <w:pPr>
            <w:pStyle w:val="187"/>
            <w:widowControl w:val="0"/>
            <w:jc w:val="center"/>
            <w:rPr>
              <w:rFonts w:ascii="Times New Roman" w:hAnsi="Times New Roman" w:cs="Times New Roman"/>
              <w:b/>
              <w:bCs/>
              <w:color w:val="auto"/>
              <w:sz w:val="36"/>
              <w:szCs w:val="36"/>
              <w:lang w:val="zh-CN"/>
            </w:rPr>
          </w:pPr>
          <w:r>
            <w:rPr>
              <w:rFonts w:ascii="Times New Roman" w:hAnsi="Times New Roman" w:cs="Times New Roman"/>
              <w:b/>
              <w:bCs/>
              <w:color w:val="auto"/>
              <w:sz w:val="36"/>
              <w:szCs w:val="36"/>
              <w:lang w:val="zh-CN"/>
            </w:rPr>
            <w:t>目  录</w:t>
          </w:r>
        </w:p>
        <w:p w14:paraId="4E30DE97">
          <w:pPr>
            <w:rPr>
              <w:lang w:val="zh-CN"/>
            </w:rPr>
          </w:pPr>
        </w:p>
        <w:p w14:paraId="6F1063E6">
          <w:pPr>
            <w:pStyle w:val="25"/>
            <w:spacing w:line="480" w:lineRule="auto"/>
            <w:rPr>
              <w:rFonts w:eastAsiaTheme="minorEastAsia"/>
              <w:b w:val="0"/>
              <w:bCs w:val="0"/>
              <w:kern w:val="2"/>
              <w:sz w:val="24"/>
              <w:szCs w:val="24"/>
            </w:rPr>
          </w:pPr>
          <w:r>
            <w:rPr>
              <w:b w:val="0"/>
              <w:bCs w:val="0"/>
              <w:sz w:val="24"/>
              <w:szCs w:val="24"/>
            </w:rPr>
            <w:fldChar w:fldCharType="begin"/>
          </w:r>
          <w:r>
            <w:rPr>
              <w:b w:val="0"/>
              <w:bCs w:val="0"/>
              <w:sz w:val="24"/>
              <w:szCs w:val="24"/>
            </w:rPr>
            <w:instrText xml:space="preserve"> TOC \o "1-3" \h \z \u </w:instrText>
          </w:r>
          <w:r>
            <w:rPr>
              <w:b w:val="0"/>
              <w:bCs w:val="0"/>
              <w:sz w:val="24"/>
              <w:szCs w:val="24"/>
            </w:rPr>
            <w:fldChar w:fldCharType="separate"/>
          </w:r>
          <w:r>
            <w:rPr>
              <w:b w:val="0"/>
              <w:bCs w:val="0"/>
            </w:rPr>
            <w:fldChar w:fldCharType="begin"/>
          </w:r>
          <w:r>
            <w:rPr>
              <w:b w:val="0"/>
              <w:bCs w:val="0"/>
            </w:rPr>
            <w:instrText xml:space="preserve"> HYPERLINK \l "_Toc85013634" </w:instrText>
          </w:r>
          <w:r>
            <w:rPr>
              <w:b w:val="0"/>
              <w:bCs w:val="0"/>
            </w:rPr>
            <w:fldChar w:fldCharType="separate"/>
          </w:r>
          <w:r>
            <w:rPr>
              <w:rStyle w:val="48"/>
              <w:b w:val="0"/>
              <w:bCs w:val="0"/>
              <w:color w:val="auto"/>
              <w:sz w:val="24"/>
              <w:szCs w:val="24"/>
            </w:rPr>
            <w:t>一、建设项目基本情况</w:t>
          </w:r>
          <w:r>
            <w:rPr>
              <w:b w:val="0"/>
              <w:bCs w:val="0"/>
              <w:sz w:val="24"/>
              <w:szCs w:val="24"/>
            </w:rPr>
            <w:tab/>
          </w:r>
          <w:r>
            <w:rPr>
              <w:b w:val="0"/>
              <w:bCs w:val="0"/>
              <w:sz w:val="24"/>
              <w:szCs w:val="24"/>
            </w:rPr>
            <w:fldChar w:fldCharType="begin"/>
          </w:r>
          <w:r>
            <w:rPr>
              <w:b w:val="0"/>
              <w:bCs w:val="0"/>
              <w:sz w:val="24"/>
              <w:szCs w:val="24"/>
            </w:rPr>
            <w:instrText xml:space="preserve"> PAGEREF _Toc85013634 \h </w:instrText>
          </w:r>
          <w:r>
            <w:rPr>
              <w:b w:val="0"/>
              <w:bCs w:val="0"/>
              <w:sz w:val="24"/>
              <w:szCs w:val="24"/>
            </w:rPr>
            <w:fldChar w:fldCharType="separate"/>
          </w:r>
          <w:r>
            <w:rPr>
              <w:b w:val="0"/>
              <w:bCs w:val="0"/>
              <w:sz w:val="24"/>
              <w:szCs w:val="24"/>
            </w:rPr>
            <w:t>1</w:t>
          </w:r>
          <w:r>
            <w:rPr>
              <w:b w:val="0"/>
              <w:bCs w:val="0"/>
              <w:sz w:val="24"/>
              <w:szCs w:val="24"/>
            </w:rPr>
            <w:fldChar w:fldCharType="end"/>
          </w:r>
          <w:r>
            <w:rPr>
              <w:b w:val="0"/>
              <w:bCs w:val="0"/>
              <w:sz w:val="24"/>
              <w:szCs w:val="24"/>
            </w:rPr>
            <w:fldChar w:fldCharType="end"/>
          </w:r>
        </w:p>
        <w:p w14:paraId="5B3D58FA">
          <w:pPr>
            <w:pStyle w:val="25"/>
            <w:spacing w:line="480" w:lineRule="auto"/>
            <w:rPr>
              <w:rFonts w:eastAsiaTheme="minorEastAsia"/>
              <w:b w:val="0"/>
              <w:bCs w:val="0"/>
              <w:kern w:val="2"/>
              <w:sz w:val="24"/>
              <w:szCs w:val="24"/>
            </w:rPr>
          </w:pPr>
          <w:r>
            <w:rPr>
              <w:b w:val="0"/>
              <w:bCs w:val="0"/>
            </w:rPr>
            <w:fldChar w:fldCharType="begin"/>
          </w:r>
          <w:r>
            <w:rPr>
              <w:b w:val="0"/>
              <w:bCs w:val="0"/>
            </w:rPr>
            <w:instrText xml:space="preserve"> HYPERLINK \l "_Toc85013635" </w:instrText>
          </w:r>
          <w:r>
            <w:rPr>
              <w:b w:val="0"/>
              <w:bCs w:val="0"/>
            </w:rPr>
            <w:fldChar w:fldCharType="separate"/>
          </w:r>
          <w:r>
            <w:rPr>
              <w:rStyle w:val="48"/>
              <w:b w:val="0"/>
              <w:bCs w:val="0"/>
              <w:color w:val="auto"/>
              <w:sz w:val="24"/>
              <w:szCs w:val="24"/>
            </w:rPr>
            <w:t>二、建设内容</w:t>
          </w:r>
          <w:r>
            <w:rPr>
              <w:b w:val="0"/>
              <w:bCs w:val="0"/>
              <w:sz w:val="24"/>
              <w:szCs w:val="24"/>
            </w:rPr>
            <w:tab/>
          </w:r>
          <w:r>
            <w:rPr>
              <w:b w:val="0"/>
              <w:bCs w:val="0"/>
              <w:sz w:val="24"/>
              <w:szCs w:val="24"/>
            </w:rPr>
            <w:fldChar w:fldCharType="begin"/>
          </w:r>
          <w:r>
            <w:rPr>
              <w:b w:val="0"/>
              <w:bCs w:val="0"/>
              <w:sz w:val="24"/>
              <w:szCs w:val="24"/>
            </w:rPr>
            <w:instrText xml:space="preserve"> PAGEREF _Toc85013635 \h </w:instrText>
          </w:r>
          <w:r>
            <w:rPr>
              <w:b w:val="0"/>
              <w:bCs w:val="0"/>
              <w:sz w:val="24"/>
              <w:szCs w:val="24"/>
            </w:rPr>
            <w:fldChar w:fldCharType="separate"/>
          </w:r>
          <w:r>
            <w:rPr>
              <w:b w:val="0"/>
              <w:bCs w:val="0"/>
              <w:sz w:val="24"/>
              <w:szCs w:val="24"/>
            </w:rPr>
            <w:t>24</w:t>
          </w:r>
          <w:r>
            <w:rPr>
              <w:b w:val="0"/>
              <w:bCs w:val="0"/>
              <w:sz w:val="24"/>
              <w:szCs w:val="24"/>
            </w:rPr>
            <w:fldChar w:fldCharType="end"/>
          </w:r>
          <w:r>
            <w:rPr>
              <w:b w:val="0"/>
              <w:bCs w:val="0"/>
              <w:sz w:val="24"/>
              <w:szCs w:val="24"/>
            </w:rPr>
            <w:fldChar w:fldCharType="end"/>
          </w:r>
        </w:p>
        <w:p w14:paraId="0DE4622A">
          <w:pPr>
            <w:pStyle w:val="25"/>
            <w:spacing w:line="480" w:lineRule="auto"/>
            <w:rPr>
              <w:rFonts w:hint="eastAsia" w:eastAsia="宋体"/>
              <w:b w:val="0"/>
              <w:bCs w:val="0"/>
              <w:kern w:val="2"/>
              <w:sz w:val="24"/>
              <w:szCs w:val="24"/>
              <w:lang w:val="en-US" w:eastAsia="zh-CN"/>
            </w:rPr>
          </w:pPr>
          <w:r>
            <w:rPr>
              <w:b w:val="0"/>
              <w:bCs w:val="0"/>
            </w:rPr>
            <w:fldChar w:fldCharType="begin"/>
          </w:r>
          <w:r>
            <w:rPr>
              <w:b w:val="0"/>
              <w:bCs w:val="0"/>
            </w:rPr>
            <w:instrText xml:space="preserve"> HYPERLINK \l "_Toc85013636" </w:instrText>
          </w:r>
          <w:r>
            <w:rPr>
              <w:b w:val="0"/>
              <w:bCs w:val="0"/>
            </w:rPr>
            <w:fldChar w:fldCharType="separate"/>
          </w:r>
          <w:r>
            <w:rPr>
              <w:rStyle w:val="48"/>
              <w:b w:val="0"/>
              <w:bCs w:val="0"/>
              <w:color w:val="auto"/>
              <w:sz w:val="24"/>
              <w:szCs w:val="24"/>
            </w:rPr>
            <w:t>三、生态环境现状、保护目标及评价标准</w:t>
          </w:r>
          <w:r>
            <w:rPr>
              <w:b w:val="0"/>
              <w:bCs w:val="0"/>
              <w:sz w:val="24"/>
              <w:szCs w:val="24"/>
            </w:rPr>
            <w:tab/>
          </w:r>
          <w:r>
            <w:rPr>
              <w:b w:val="0"/>
              <w:bCs w:val="0"/>
              <w:sz w:val="24"/>
              <w:szCs w:val="24"/>
            </w:rPr>
            <w:fldChar w:fldCharType="end"/>
          </w:r>
          <w:r>
            <w:rPr>
              <w:rFonts w:hint="eastAsia"/>
              <w:b w:val="0"/>
              <w:bCs w:val="0"/>
              <w:sz w:val="24"/>
              <w:szCs w:val="24"/>
              <w:lang w:val="en-US" w:eastAsia="zh-CN"/>
            </w:rPr>
            <w:t>48</w:t>
          </w:r>
        </w:p>
        <w:p w14:paraId="683BF0A7">
          <w:pPr>
            <w:pStyle w:val="25"/>
            <w:spacing w:line="480" w:lineRule="auto"/>
            <w:rPr>
              <w:rFonts w:eastAsiaTheme="minorEastAsia"/>
              <w:b w:val="0"/>
              <w:bCs w:val="0"/>
              <w:kern w:val="2"/>
              <w:sz w:val="24"/>
              <w:szCs w:val="24"/>
            </w:rPr>
          </w:pPr>
          <w:r>
            <w:rPr>
              <w:b w:val="0"/>
              <w:bCs w:val="0"/>
            </w:rPr>
            <w:fldChar w:fldCharType="begin"/>
          </w:r>
          <w:r>
            <w:rPr>
              <w:b w:val="0"/>
              <w:bCs w:val="0"/>
            </w:rPr>
            <w:instrText xml:space="preserve"> HYPERLINK \l "_Toc85013637" </w:instrText>
          </w:r>
          <w:r>
            <w:rPr>
              <w:b w:val="0"/>
              <w:bCs w:val="0"/>
            </w:rPr>
            <w:fldChar w:fldCharType="separate"/>
          </w:r>
          <w:r>
            <w:rPr>
              <w:rStyle w:val="48"/>
              <w:b w:val="0"/>
              <w:bCs w:val="0"/>
              <w:color w:val="auto"/>
              <w:sz w:val="24"/>
              <w:szCs w:val="24"/>
            </w:rPr>
            <w:t>四、生态环境影响分析</w:t>
          </w:r>
          <w:r>
            <w:rPr>
              <w:b w:val="0"/>
              <w:bCs w:val="0"/>
              <w:sz w:val="24"/>
              <w:szCs w:val="24"/>
            </w:rPr>
            <w:tab/>
          </w:r>
          <w:r>
            <w:rPr>
              <w:b w:val="0"/>
              <w:bCs w:val="0"/>
              <w:sz w:val="24"/>
              <w:szCs w:val="24"/>
            </w:rPr>
            <w:fldChar w:fldCharType="begin"/>
          </w:r>
          <w:r>
            <w:rPr>
              <w:b w:val="0"/>
              <w:bCs w:val="0"/>
              <w:sz w:val="24"/>
              <w:szCs w:val="24"/>
            </w:rPr>
            <w:instrText xml:space="preserve"> PAGEREF _Toc85013637 \h </w:instrText>
          </w:r>
          <w:r>
            <w:rPr>
              <w:b w:val="0"/>
              <w:bCs w:val="0"/>
              <w:sz w:val="24"/>
              <w:szCs w:val="24"/>
            </w:rPr>
            <w:fldChar w:fldCharType="separate"/>
          </w:r>
          <w:r>
            <w:rPr>
              <w:b w:val="0"/>
              <w:bCs w:val="0"/>
              <w:sz w:val="24"/>
              <w:szCs w:val="24"/>
            </w:rPr>
            <w:t>68</w:t>
          </w:r>
          <w:r>
            <w:rPr>
              <w:b w:val="0"/>
              <w:bCs w:val="0"/>
              <w:sz w:val="24"/>
              <w:szCs w:val="24"/>
            </w:rPr>
            <w:fldChar w:fldCharType="end"/>
          </w:r>
          <w:r>
            <w:rPr>
              <w:b w:val="0"/>
              <w:bCs w:val="0"/>
              <w:sz w:val="24"/>
              <w:szCs w:val="24"/>
            </w:rPr>
            <w:fldChar w:fldCharType="end"/>
          </w:r>
          <w:bookmarkStart w:id="143" w:name="_GoBack"/>
          <w:bookmarkEnd w:id="143"/>
        </w:p>
        <w:p w14:paraId="5E9298EA">
          <w:pPr>
            <w:pStyle w:val="25"/>
            <w:spacing w:line="480" w:lineRule="auto"/>
            <w:rPr>
              <w:rFonts w:eastAsiaTheme="minorEastAsia"/>
              <w:b w:val="0"/>
              <w:bCs w:val="0"/>
              <w:kern w:val="2"/>
              <w:sz w:val="24"/>
              <w:szCs w:val="24"/>
            </w:rPr>
          </w:pPr>
          <w:r>
            <w:rPr>
              <w:b w:val="0"/>
              <w:bCs w:val="0"/>
            </w:rPr>
            <w:fldChar w:fldCharType="begin"/>
          </w:r>
          <w:r>
            <w:rPr>
              <w:b w:val="0"/>
              <w:bCs w:val="0"/>
            </w:rPr>
            <w:instrText xml:space="preserve"> HYPERLINK \l "_Toc85013638" </w:instrText>
          </w:r>
          <w:r>
            <w:rPr>
              <w:b w:val="0"/>
              <w:bCs w:val="0"/>
            </w:rPr>
            <w:fldChar w:fldCharType="separate"/>
          </w:r>
          <w:r>
            <w:rPr>
              <w:rStyle w:val="48"/>
              <w:b w:val="0"/>
              <w:bCs w:val="0"/>
              <w:color w:val="auto"/>
              <w:sz w:val="24"/>
              <w:szCs w:val="24"/>
            </w:rPr>
            <w:t>五、主要生态环境保护措施</w:t>
          </w:r>
          <w:r>
            <w:rPr>
              <w:b w:val="0"/>
              <w:bCs w:val="0"/>
              <w:sz w:val="24"/>
              <w:szCs w:val="24"/>
            </w:rPr>
            <w:tab/>
          </w:r>
          <w:r>
            <w:rPr>
              <w:b w:val="0"/>
              <w:bCs w:val="0"/>
              <w:sz w:val="24"/>
              <w:szCs w:val="24"/>
            </w:rPr>
            <w:fldChar w:fldCharType="begin"/>
          </w:r>
          <w:r>
            <w:rPr>
              <w:b w:val="0"/>
              <w:bCs w:val="0"/>
              <w:sz w:val="24"/>
              <w:szCs w:val="24"/>
            </w:rPr>
            <w:instrText xml:space="preserve"> PAGEREF _Toc85013638 \h </w:instrText>
          </w:r>
          <w:r>
            <w:rPr>
              <w:b w:val="0"/>
              <w:bCs w:val="0"/>
              <w:sz w:val="24"/>
              <w:szCs w:val="24"/>
            </w:rPr>
            <w:fldChar w:fldCharType="separate"/>
          </w:r>
          <w:r>
            <w:rPr>
              <w:b w:val="0"/>
              <w:bCs w:val="0"/>
              <w:sz w:val="24"/>
              <w:szCs w:val="24"/>
            </w:rPr>
            <w:t>100</w:t>
          </w:r>
          <w:r>
            <w:rPr>
              <w:b w:val="0"/>
              <w:bCs w:val="0"/>
              <w:sz w:val="24"/>
              <w:szCs w:val="24"/>
            </w:rPr>
            <w:fldChar w:fldCharType="end"/>
          </w:r>
          <w:r>
            <w:rPr>
              <w:b w:val="0"/>
              <w:bCs w:val="0"/>
              <w:sz w:val="24"/>
              <w:szCs w:val="24"/>
            </w:rPr>
            <w:fldChar w:fldCharType="end"/>
          </w:r>
        </w:p>
        <w:p w14:paraId="6D342DE0">
          <w:pPr>
            <w:pStyle w:val="25"/>
            <w:spacing w:line="480" w:lineRule="auto"/>
            <w:rPr>
              <w:rFonts w:eastAsiaTheme="minorEastAsia"/>
              <w:b w:val="0"/>
              <w:bCs w:val="0"/>
              <w:kern w:val="2"/>
              <w:sz w:val="24"/>
              <w:szCs w:val="24"/>
            </w:rPr>
          </w:pPr>
          <w:r>
            <w:rPr>
              <w:b w:val="0"/>
              <w:bCs w:val="0"/>
            </w:rPr>
            <w:fldChar w:fldCharType="begin"/>
          </w:r>
          <w:r>
            <w:rPr>
              <w:b w:val="0"/>
              <w:bCs w:val="0"/>
            </w:rPr>
            <w:instrText xml:space="preserve"> HYPERLINK \l "_Toc85013639" </w:instrText>
          </w:r>
          <w:r>
            <w:rPr>
              <w:b w:val="0"/>
              <w:bCs w:val="0"/>
            </w:rPr>
            <w:fldChar w:fldCharType="separate"/>
          </w:r>
          <w:r>
            <w:rPr>
              <w:rStyle w:val="48"/>
              <w:b w:val="0"/>
              <w:bCs w:val="0"/>
              <w:color w:val="auto"/>
              <w:sz w:val="24"/>
              <w:szCs w:val="24"/>
            </w:rPr>
            <w:t>六、生态环境保护措施监督检查清单</w:t>
          </w:r>
          <w:r>
            <w:rPr>
              <w:b w:val="0"/>
              <w:bCs w:val="0"/>
              <w:sz w:val="24"/>
              <w:szCs w:val="24"/>
            </w:rPr>
            <w:tab/>
          </w:r>
          <w:r>
            <w:rPr>
              <w:b w:val="0"/>
              <w:bCs w:val="0"/>
              <w:sz w:val="24"/>
              <w:szCs w:val="24"/>
            </w:rPr>
            <w:fldChar w:fldCharType="begin"/>
          </w:r>
          <w:r>
            <w:rPr>
              <w:b w:val="0"/>
              <w:bCs w:val="0"/>
              <w:sz w:val="24"/>
              <w:szCs w:val="24"/>
            </w:rPr>
            <w:instrText xml:space="preserve"> PAGEREF _Toc85013639 \h </w:instrText>
          </w:r>
          <w:r>
            <w:rPr>
              <w:b w:val="0"/>
              <w:bCs w:val="0"/>
              <w:sz w:val="24"/>
              <w:szCs w:val="24"/>
            </w:rPr>
            <w:fldChar w:fldCharType="separate"/>
          </w:r>
          <w:r>
            <w:rPr>
              <w:b w:val="0"/>
              <w:bCs w:val="0"/>
              <w:sz w:val="24"/>
              <w:szCs w:val="24"/>
            </w:rPr>
            <w:t>116</w:t>
          </w:r>
          <w:r>
            <w:rPr>
              <w:b w:val="0"/>
              <w:bCs w:val="0"/>
              <w:sz w:val="24"/>
              <w:szCs w:val="24"/>
            </w:rPr>
            <w:fldChar w:fldCharType="end"/>
          </w:r>
          <w:r>
            <w:rPr>
              <w:b w:val="0"/>
              <w:bCs w:val="0"/>
              <w:sz w:val="24"/>
              <w:szCs w:val="24"/>
            </w:rPr>
            <w:fldChar w:fldCharType="end"/>
          </w:r>
        </w:p>
        <w:p w14:paraId="1EF226D0">
          <w:pPr>
            <w:pStyle w:val="25"/>
            <w:spacing w:line="480" w:lineRule="auto"/>
            <w:rPr>
              <w:b w:val="0"/>
              <w:bCs w:val="0"/>
              <w:lang w:val="zh-CN"/>
            </w:rPr>
          </w:pPr>
          <w:r>
            <w:rPr>
              <w:b w:val="0"/>
              <w:bCs w:val="0"/>
            </w:rPr>
            <w:fldChar w:fldCharType="begin"/>
          </w:r>
          <w:r>
            <w:rPr>
              <w:b w:val="0"/>
              <w:bCs w:val="0"/>
            </w:rPr>
            <w:instrText xml:space="preserve"> HYPERLINK \l "_Toc85013640" </w:instrText>
          </w:r>
          <w:r>
            <w:rPr>
              <w:b w:val="0"/>
              <w:bCs w:val="0"/>
            </w:rPr>
            <w:fldChar w:fldCharType="separate"/>
          </w:r>
          <w:r>
            <w:rPr>
              <w:rStyle w:val="48"/>
              <w:b w:val="0"/>
              <w:bCs w:val="0"/>
              <w:color w:val="auto"/>
              <w:sz w:val="24"/>
              <w:szCs w:val="24"/>
            </w:rPr>
            <w:t>七、结论</w:t>
          </w:r>
          <w:r>
            <w:rPr>
              <w:b w:val="0"/>
              <w:bCs w:val="0"/>
              <w:sz w:val="24"/>
              <w:szCs w:val="24"/>
            </w:rPr>
            <w:tab/>
          </w:r>
          <w:r>
            <w:rPr>
              <w:b w:val="0"/>
              <w:bCs w:val="0"/>
              <w:sz w:val="24"/>
              <w:szCs w:val="24"/>
            </w:rPr>
            <w:fldChar w:fldCharType="begin"/>
          </w:r>
          <w:r>
            <w:rPr>
              <w:b w:val="0"/>
              <w:bCs w:val="0"/>
              <w:sz w:val="24"/>
              <w:szCs w:val="24"/>
            </w:rPr>
            <w:instrText xml:space="preserve"> PAGEREF _Toc85013640 \h </w:instrText>
          </w:r>
          <w:r>
            <w:rPr>
              <w:b w:val="0"/>
              <w:bCs w:val="0"/>
              <w:sz w:val="24"/>
              <w:szCs w:val="24"/>
            </w:rPr>
            <w:fldChar w:fldCharType="separate"/>
          </w:r>
          <w:r>
            <w:rPr>
              <w:b w:val="0"/>
              <w:bCs w:val="0"/>
              <w:sz w:val="24"/>
              <w:szCs w:val="24"/>
            </w:rPr>
            <w:t>123</w:t>
          </w:r>
          <w:r>
            <w:rPr>
              <w:b w:val="0"/>
              <w:bCs w:val="0"/>
              <w:sz w:val="24"/>
              <w:szCs w:val="24"/>
            </w:rPr>
            <w:fldChar w:fldCharType="end"/>
          </w:r>
          <w:r>
            <w:rPr>
              <w:b w:val="0"/>
              <w:bCs w:val="0"/>
              <w:sz w:val="24"/>
              <w:szCs w:val="24"/>
            </w:rPr>
            <w:fldChar w:fldCharType="end"/>
          </w:r>
          <w:r>
            <w:rPr>
              <w:b w:val="0"/>
              <w:bCs w:val="0"/>
              <w:sz w:val="24"/>
              <w:szCs w:val="24"/>
              <w:lang w:val="zh-CN"/>
            </w:rPr>
            <w:fldChar w:fldCharType="end"/>
          </w:r>
        </w:p>
      </w:sdtContent>
    </w:sdt>
    <w:p w14:paraId="54E11F40">
      <w:pPr>
        <w:spacing w:line="360" w:lineRule="auto"/>
        <w:rPr>
          <w:b w:val="0"/>
          <w:bCs w:val="0"/>
          <w:snapToGrid w:val="0"/>
          <w:sz w:val="24"/>
          <w:szCs w:val="24"/>
        </w:rPr>
      </w:pPr>
      <w:r>
        <w:rPr>
          <w:b w:val="0"/>
          <w:bCs w:val="0"/>
          <w:snapToGrid w:val="0"/>
          <w:sz w:val="24"/>
          <w:szCs w:val="24"/>
        </w:rPr>
        <w:t>专题：电磁环境影响</w:t>
      </w:r>
      <w:r>
        <w:rPr>
          <w:rFonts w:hint="eastAsia"/>
          <w:b w:val="0"/>
          <w:bCs w:val="0"/>
          <w:snapToGrid w:val="0"/>
          <w:sz w:val="24"/>
          <w:szCs w:val="24"/>
          <w:lang w:val="en-US" w:eastAsia="zh-CN"/>
        </w:rPr>
        <w:t>专项</w:t>
      </w:r>
      <w:r>
        <w:rPr>
          <w:b w:val="0"/>
          <w:bCs w:val="0"/>
          <w:snapToGrid w:val="0"/>
          <w:sz w:val="24"/>
          <w:szCs w:val="24"/>
        </w:rPr>
        <w:t>评价</w:t>
      </w:r>
    </w:p>
    <w:p w14:paraId="5AFED422">
      <w:pPr>
        <w:spacing w:line="360" w:lineRule="auto"/>
        <w:rPr>
          <w:rFonts w:hint="default" w:eastAsia="宋体"/>
          <w:b w:val="0"/>
          <w:bCs w:val="0"/>
          <w:snapToGrid w:val="0"/>
          <w:sz w:val="24"/>
          <w:szCs w:val="24"/>
          <w:lang w:val="en-US" w:eastAsia="zh-CN"/>
        </w:rPr>
      </w:pPr>
      <w:r>
        <w:rPr>
          <w:rFonts w:hint="eastAsia"/>
          <w:b w:val="0"/>
          <w:bCs w:val="0"/>
          <w:snapToGrid w:val="0"/>
          <w:sz w:val="24"/>
          <w:szCs w:val="24"/>
          <w:lang w:val="en-US" w:eastAsia="zh-CN"/>
        </w:rPr>
        <w:t>专题：生态环境影响专项评价</w:t>
      </w:r>
    </w:p>
    <w:p w14:paraId="61E52AF2">
      <w:pPr>
        <w:widowControl/>
        <w:jc w:val="left"/>
        <w:rPr>
          <w:b/>
          <w:bCs/>
          <w:snapToGrid w:val="0"/>
          <w:sz w:val="24"/>
          <w:szCs w:val="24"/>
        </w:rPr>
      </w:pPr>
    </w:p>
    <w:p w14:paraId="5571867B">
      <w:pPr>
        <w:widowControl/>
        <w:jc w:val="left"/>
        <w:rPr>
          <w:b/>
          <w:bCs/>
          <w:snapToGrid w:val="0"/>
          <w:sz w:val="24"/>
          <w:szCs w:val="24"/>
        </w:rPr>
        <w:sectPr>
          <w:footerReference r:id="rId5" w:type="default"/>
          <w:pgSz w:w="11906" w:h="16838"/>
          <w:pgMar w:top="1440" w:right="1474" w:bottom="1440" w:left="1474" w:header="851" w:footer="992" w:gutter="0"/>
          <w:pgNumType w:fmt="decimal" w:start="1"/>
          <w:cols w:space="720" w:num="1"/>
          <w:docGrid w:linePitch="312" w:charSpace="0"/>
        </w:sectPr>
      </w:pPr>
    </w:p>
    <w:p w14:paraId="2943729E">
      <w:pPr>
        <w:spacing w:line="360" w:lineRule="auto"/>
        <w:rPr>
          <w:b/>
          <w:bCs/>
          <w:snapToGrid w:val="0"/>
          <w:sz w:val="24"/>
          <w:szCs w:val="24"/>
        </w:rPr>
      </w:pPr>
      <w:r>
        <w:rPr>
          <w:b/>
          <w:bCs/>
          <w:snapToGrid w:val="0"/>
          <w:sz w:val="24"/>
          <w:szCs w:val="24"/>
        </w:rPr>
        <w:t>附图：</w:t>
      </w:r>
    </w:p>
    <w:p w14:paraId="4749FB91">
      <w:pPr>
        <w:pStyle w:val="57"/>
        <w:ind w:left="0" w:leftChars="0" w:firstLine="0" w:firstLineChars="0"/>
        <w:rPr>
          <w:rFonts w:hint="eastAsia"/>
          <w:highlight w:val="none"/>
          <w:lang w:eastAsia="zh-CN"/>
        </w:rPr>
      </w:pPr>
      <w:r>
        <w:rPr>
          <w:rFonts w:hint="eastAsia"/>
          <w:highlight w:val="none"/>
        </w:rPr>
        <w:t xml:space="preserve">附图1 </w:t>
      </w:r>
      <w:r>
        <w:rPr>
          <w:rFonts w:hint="eastAsia"/>
          <w:highlight w:val="none"/>
          <w:lang w:eastAsia="zh-CN"/>
        </w:rPr>
        <w:t>项目</w:t>
      </w:r>
      <w:r>
        <w:rPr>
          <w:rFonts w:hint="eastAsia"/>
          <w:highlight w:val="none"/>
          <w:lang w:val="en-US" w:eastAsia="zh-CN"/>
        </w:rPr>
        <w:t>变电站</w:t>
      </w:r>
      <w:r>
        <w:rPr>
          <w:rFonts w:hint="eastAsia"/>
          <w:highlight w:val="none"/>
        </w:rPr>
        <w:t>位置</w:t>
      </w:r>
      <w:r>
        <w:rPr>
          <w:rFonts w:hint="eastAsia"/>
          <w:highlight w:val="none"/>
          <w:lang w:val="en-US" w:eastAsia="zh-CN"/>
        </w:rPr>
        <w:t>示意</w:t>
      </w:r>
      <w:r>
        <w:rPr>
          <w:rFonts w:hint="eastAsia"/>
          <w:highlight w:val="none"/>
        </w:rPr>
        <w:t>图</w:t>
      </w:r>
      <w:r>
        <w:rPr>
          <w:rFonts w:hint="eastAsia"/>
          <w:highlight w:val="none"/>
          <w:lang w:eastAsia="zh-CN"/>
        </w:rPr>
        <w:t>；</w:t>
      </w:r>
    </w:p>
    <w:p w14:paraId="2DFDF0FB">
      <w:pPr>
        <w:pStyle w:val="57"/>
        <w:ind w:left="0" w:leftChars="0" w:firstLine="0" w:firstLineChars="0"/>
        <w:rPr>
          <w:rFonts w:hint="eastAsia"/>
          <w:highlight w:val="none"/>
          <w:lang w:eastAsia="zh-CN"/>
        </w:rPr>
      </w:pPr>
      <w:r>
        <w:rPr>
          <w:rFonts w:hint="eastAsia"/>
          <w:highlight w:val="none"/>
          <w:lang w:eastAsia="zh-CN"/>
        </w:rPr>
        <w:t xml:space="preserve">附图2 </w:t>
      </w:r>
      <w:r>
        <w:rPr>
          <w:rFonts w:hint="eastAsia"/>
          <w:highlight w:val="none"/>
          <w:lang w:val="en-US" w:eastAsia="zh-CN"/>
        </w:rPr>
        <w:t>项目输电线路路径示意图</w:t>
      </w:r>
      <w:r>
        <w:rPr>
          <w:rFonts w:hint="eastAsia"/>
          <w:highlight w:val="none"/>
          <w:lang w:eastAsia="zh-CN"/>
        </w:rPr>
        <w:t>；</w:t>
      </w:r>
    </w:p>
    <w:p w14:paraId="4A73D19E">
      <w:pPr>
        <w:pStyle w:val="57"/>
        <w:ind w:left="0" w:leftChars="0" w:firstLine="0" w:firstLineChars="0"/>
        <w:rPr>
          <w:rFonts w:hint="eastAsia"/>
          <w:highlight w:val="none"/>
          <w:lang w:eastAsia="zh-CN"/>
        </w:rPr>
      </w:pPr>
      <w:r>
        <w:rPr>
          <w:rFonts w:hint="eastAsia"/>
          <w:highlight w:val="none"/>
          <w:lang w:eastAsia="zh-CN"/>
        </w:rPr>
        <w:t>附图3</w:t>
      </w:r>
      <w:r>
        <w:rPr>
          <w:rFonts w:hint="eastAsia"/>
          <w:highlight w:val="none"/>
          <w:lang w:val="en-US" w:eastAsia="zh-CN"/>
        </w:rPr>
        <w:t>-1</w:t>
      </w:r>
      <w:r>
        <w:rPr>
          <w:rFonts w:hint="eastAsia"/>
          <w:highlight w:val="none"/>
          <w:lang w:eastAsia="zh-CN"/>
        </w:rPr>
        <w:t xml:space="preserve"> 项目</w:t>
      </w:r>
      <w:r>
        <w:rPr>
          <w:rFonts w:hint="eastAsia"/>
          <w:highlight w:val="none"/>
          <w:lang w:val="en-US" w:eastAsia="zh-CN"/>
        </w:rPr>
        <w:t>变电站平面布置</w:t>
      </w:r>
      <w:r>
        <w:rPr>
          <w:rFonts w:hint="eastAsia"/>
          <w:highlight w:val="none"/>
          <w:lang w:eastAsia="zh-CN"/>
        </w:rPr>
        <w:t>示意图；</w:t>
      </w:r>
    </w:p>
    <w:p w14:paraId="32C01A63">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3-2</w:t>
      </w:r>
      <w:r>
        <w:rPr>
          <w:rFonts w:hint="eastAsia"/>
          <w:highlight w:val="none"/>
          <w:lang w:eastAsia="zh-CN"/>
        </w:rPr>
        <w:t xml:space="preserve"> 项目</w:t>
      </w:r>
      <w:r>
        <w:rPr>
          <w:rFonts w:hint="eastAsia"/>
          <w:highlight w:val="none"/>
          <w:lang w:val="en-US" w:eastAsia="zh-CN"/>
        </w:rPr>
        <w:t>变电站1F平面布置</w:t>
      </w:r>
      <w:r>
        <w:rPr>
          <w:rFonts w:hint="eastAsia"/>
          <w:highlight w:val="none"/>
          <w:lang w:eastAsia="zh-CN"/>
        </w:rPr>
        <w:t>示意图；</w:t>
      </w:r>
    </w:p>
    <w:p w14:paraId="3BAA2B78">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3-3</w:t>
      </w:r>
      <w:r>
        <w:rPr>
          <w:rFonts w:hint="eastAsia"/>
          <w:highlight w:val="none"/>
          <w:lang w:eastAsia="zh-CN"/>
        </w:rPr>
        <w:t xml:space="preserve"> 项目</w:t>
      </w:r>
      <w:r>
        <w:rPr>
          <w:rFonts w:hint="eastAsia"/>
          <w:highlight w:val="none"/>
          <w:lang w:val="en-US" w:eastAsia="zh-CN"/>
        </w:rPr>
        <w:t>变电站2F平面布置</w:t>
      </w:r>
      <w:r>
        <w:rPr>
          <w:rFonts w:hint="eastAsia"/>
          <w:highlight w:val="none"/>
          <w:lang w:eastAsia="zh-CN"/>
        </w:rPr>
        <w:t>示意图；</w:t>
      </w:r>
    </w:p>
    <w:p w14:paraId="745B02D7">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3-4</w:t>
      </w:r>
      <w:r>
        <w:rPr>
          <w:rFonts w:hint="eastAsia"/>
          <w:highlight w:val="none"/>
          <w:lang w:eastAsia="zh-CN"/>
        </w:rPr>
        <w:t xml:space="preserve"> 项目</w:t>
      </w:r>
      <w:r>
        <w:rPr>
          <w:rFonts w:hint="eastAsia"/>
          <w:highlight w:val="none"/>
          <w:lang w:val="en-US" w:eastAsia="zh-CN"/>
        </w:rPr>
        <w:t>变电站3F平面布置</w:t>
      </w:r>
      <w:r>
        <w:rPr>
          <w:rFonts w:hint="eastAsia"/>
          <w:highlight w:val="none"/>
          <w:lang w:eastAsia="zh-CN"/>
        </w:rPr>
        <w:t>示意图</w:t>
      </w:r>
      <w:r>
        <w:rPr>
          <w:rFonts w:hint="eastAsia"/>
          <w:highlight w:val="none"/>
          <w:lang w:val="en-US" w:eastAsia="zh-CN"/>
        </w:rPr>
        <w:t>；</w:t>
      </w:r>
    </w:p>
    <w:p w14:paraId="223BAFE8">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4-1</w:t>
      </w:r>
      <w:r>
        <w:rPr>
          <w:rFonts w:hint="eastAsia"/>
          <w:highlight w:val="none"/>
          <w:lang w:eastAsia="zh-CN"/>
        </w:rPr>
        <w:t xml:space="preserve"> </w:t>
      </w:r>
      <w:r>
        <w:rPr>
          <w:rFonts w:hint="eastAsia"/>
          <w:highlight w:val="none"/>
          <w:lang w:val="en-US" w:eastAsia="zh-CN"/>
        </w:rPr>
        <w:t>变电站站址“三区三线”套合图；</w:t>
      </w:r>
    </w:p>
    <w:p w14:paraId="7D9D5676">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4-2</w:t>
      </w:r>
      <w:r>
        <w:rPr>
          <w:rFonts w:hint="eastAsia"/>
          <w:highlight w:val="none"/>
          <w:lang w:eastAsia="zh-CN"/>
        </w:rPr>
        <w:t xml:space="preserve"> </w:t>
      </w:r>
      <w:r>
        <w:rPr>
          <w:rFonts w:hint="eastAsia"/>
          <w:highlight w:val="none"/>
          <w:lang w:val="en-US" w:eastAsia="zh-CN"/>
        </w:rPr>
        <w:t>输电线路路径“三区三线”套合图；</w:t>
      </w:r>
    </w:p>
    <w:p w14:paraId="218C41B6">
      <w:pPr>
        <w:pStyle w:val="57"/>
        <w:ind w:left="0" w:leftChars="0" w:firstLine="0" w:firstLineChars="0"/>
        <w:rPr>
          <w:rFonts w:hint="eastAsia"/>
          <w:highlight w:val="none"/>
          <w:lang w:eastAsia="zh-CN"/>
        </w:rPr>
      </w:pPr>
      <w:r>
        <w:rPr>
          <w:rFonts w:hint="eastAsia"/>
          <w:highlight w:val="none"/>
          <w:lang w:eastAsia="zh-CN"/>
        </w:rPr>
        <w:t>附图</w:t>
      </w:r>
      <w:r>
        <w:rPr>
          <w:rFonts w:hint="eastAsia"/>
          <w:highlight w:val="none"/>
          <w:lang w:val="en-US" w:eastAsia="zh-CN"/>
        </w:rPr>
        <w:t>5-1</w:t>
      </w:r>
      <w:r>
        <w:rPr>
          <w:rFonts w:hint="eastAsia"/>
          <w:highlight w:val="none"/>
          <w:lang w:eastAsia="zh-CN"/>
        </w:rPr>
        <w:t xml:space="preserve"> </w:t>
      </w:r>
      <w:r>
        <w:rPr>
          <w:rFonts w:hint="eastAsia"/>
          <w:highlight w:val="none"/>
          <w:lang w:val="en-US" w:eastAsia="zh-CN"/>
        </w:rPr>
        <w:t>变电站周围环境保护目标示意图；</w:t>
      </w:r>
    </w:p>
    <w:p w14:paraId="5419023F">
      <w:pPr>
        <w:pStyle w:val="57"/>
        <w:ind w:left="0" w:leftChars="0" w:firstLine="0" w:firstLineChars="0"/>
        <w:rPr>
          <w:rFonts w:hint="eastAsia"/>
          <w:highlight w:val="none"/>
          <w:lang w:val="en-US" w:eastAsia="zh-CN"/>
        </w:rPr>
      </w:pPr>
      <w:r>
        <w:rPr>
          <w:rFonts w:hint="eastAsia"/>
          <w:highlight w:val="none"/>
          <w:lang w:val="en-US" w:eastAsia="zh-CN"/>
        </w:rPr>
        <w:t>附图5-2 输电线路周围环境保护目标示意图；</w:t>
      </w:r>
    </w:p>
    <w:p w14:paraId="26047BF0">
      <w:pPr>
        <w:pStyle w:val="57"/>
        <w:ind w:left="0" w:leftChars="0" w:firstLine="0" w:firstLineChars="0"/>
        <w:rPr>
          <w:rFonts w:hint="eastAsia"/>
          <w:highlight w:val="none"/>
          <w:lang w:val="en-US" w:eastAsia="zh-CN"/>
        </w:rPr>
      </w:pPr>
      <w:r>
        <w:rPr>
          <w:rFonts w:hint="eastAsia"/>
          <w:highlight w:val="none"/>
          <w:lang w:val="en-US" w:eastAsia="zh-CN"/>
        </w:rPr>
        <w:t>附图6-1 项目变电站生态环境保护措施示意图；</w:t>
      </w:r>
    </w:p>
    <w:p w14:paraId="20C7CCBD">
      <w:pPr>
        <w:pStyle w:val="57"/>
        <w:ind w:left="0" w:leftChars="0" w:firstLine="0" w:firstLineChars="0"/>
        <w:rPr>
          <w:rFonts w:hint="eastAsia"/>
          <w:highlight w:val="none"/>
          <w:lang w:val="en-US" w:eastAsia="zh-CN"/>
        </w:rPr>
      </w:pPr>
      <w:r>
        <w:rPr>
          <w:rFonts w:hint="eastAsia"/>
          <w:highlight w:val="none"/>
          <w:lang w:val="en-US" w:eastAsia="zh-CN"/>
        </w:rPr>
        <w:t>附图6-2 项目输电线路工程生态环境保护措施示意图；</w:t>
      </w:r>
    </w:p>
    <w:p w14:paraId="468F7BF3">
      <w:pPr>
        <w:pStyle w:val="57"/>
        <w:ind w:left="0" w:leftChars="0" w:firstLine="0" w:firstLineChars="0"/>
        <w:rPr>
          <w:rFonts w:hint="eastAsia"/>
          <w:highlight w:val="none"/>
          <w:lang w:val="en-US" w:eastAsia="zh-CN"/>
        </w:rPr>
      </w:pPr>
      <w:r>
        <w:rPr>
          <w:rFonts w:hint="eastAsia"/>
          <w:highlight w:val="none"/>
          <w:lang w:val="en-US" w:eastAsia="zh-CN"/>
        </w:rPr>
        <w:t>附图7 项目分区防渗示意图；</w:t>
      </w:r>
    </w:p>
    <w:p w14:paraId="175CC9FF">
      <w:pPr>
        <w:pStyle w:val="57"/>
        <w:ind w:left="0" w:leftChars="0" w:firstLine="0" w:firstLineChars="0"/>
        <w:rPr>
          <w:rFonts w:hint="eastAsia"/>
          <w:highlight w:val="none"/>
          <w:lang w:val="en-US" w:eastAsia="zh-CN"/>
        </w:rPr>
      </w:pPr>
      <w:r>
        <w:rPr>
          <w:rFonts w:hint="eastAsia"/>
          <w:highlight w:val="none"/>
          <w:lang w:val="en-US" w:eastAsia="zh-CN"/>
        </w:rPr>
        <w:t>附图8-1 项目与集中式饮用水水源保护区相对位置示意图；</w:t>
      </w:r>
    </w:p>
    <w:p w14:paraId="727C533E">
      <w:pPr>
        <w:pStyle w:val="57"/>
        <w:ind w:left="0" w:leftChars="0" w:firstLine="0" w:firstLineChars="0"/>
        <w:rPr>
          <w:rFonts w:hint="eastAsia"/>
          <w:highlight w:val="none"/>
          <w:lang w:val="en-US" w:eastAsia="zh-CN"/>
        </w:rPr>
      </w:pPr>
      <w:r>
        <w:rPr>
          <w:rFonts w:hint="eastAsia"/>
          <w:highlight w:val="none"/>
          <w:lang w:val="en-US" w:eastAsia="zh-CN"/>
        </w:rPr>
        <w:t>附图8-2 项目与金寨县饮用水水源准保护区相对位置示意图；</w:t>
      </w:r>
    </w:p>
    <w:p w14:paraId="39A184F1">
      <w:pPr>
        <w:pStyle w:val="57"/>
        <w:ind w:left="0" w:leftChars="0" w:firstLine="0" w:firstLineChars="0"/>
        <w:rPr>
          <w:rFonts w:hint="default"/>
          <w:highlight w:val="none"/>
          <w:lang w:val="en-US" w:eastAsia="zh-CN"/>
        </w:rPr>
      </w:pPr>
      <w:r>
        <w:rPr>
          <w:rFonts w:hint="eastAsia"/>
          <w:highlight w:val="none"/>
          <w:lang w:val="en-US" w:eastAsia="zh-CN"/>
        </w:rPr>
        <w:t>附图9 项目周边水系图；</w:t>
      </w:r>
    </w:p>
    <w:p w14:paraId="015B7AD9">
      <w:pPr>
        <w:pStyle w:val="57"/>
        <w:ind w:left="0" w:leftChars="0" w:firstLine="0" w:firstLineChars="0"/>
        <w:rPr>
          <w:rFonts w:hint="default"/>
          <w:highlight w:val="none"/>
          <w:lang w:val="en-US" w:eastAsia="zh-CN"/>
        </w:rPr>
      </w:pPr>
      <w:r>
        <w:rPr>
          <w:rFonts w:hint="eastAsia"/>
          <w:highlight w:val="none"/>
          <w:lang w:val="en-US" w:eastAsia="zh-CN"/>
        </w:rPr>
        <w:t>附图10 项目占用生态保护红线示意图；</w:t>
      </w:r>
    </w:p>
    <w:p w14:paraId="4FCCB44B">
      <w:pPr>
        <w:pStyle w:val="57"/>
        <w:ind w:left="0" w:leftChars="0" w:firstLine="0" w:firstLineChars="0"/>
        <w:rPr>
          <w:rFonts w:hint="default"/>
          <w:highlight w:val="none"/>
          <w:lang w:val="en-US" w:eastAsia="zh-CN"/>
        </w:rPr>
      </w:pPr>
      <w:r>
        <w:rPr>
          <w:rFonts w:hint="eastAsia"/>
          <w:highlight w:val="none"/>
          <w:lang w:val="en-US" w:eastAsia="zh-CN"/>
        </w:rPr>
        <w:t>附图11 工程与一级公益林地位置关系示意图；</w:t>
      </w:r>
    </w:p>
    <w:p w14:paraId="52A83DB2">
      <w:pPr>
        <w:pStyle w:val="57"/>
        <w:ind w:left="0" w:leftChars="0" w:firstLine="0" w:firstLineChars="0"/>
        <w:rPr>
          <w:rFonts w:hint="default"/>
          <w:highlight w:val="none"/>
          <w:lang w:val="en-US" w:eastAsia="zh-CN"/>
        </w:rPr>
      </w:pPr>
      <w:r>
        <w:rPr>
          <w:rFonts w:hint="eastAsia"/>
          <w:highlight w:val="none"/>
          <w:lang w:val="en-US" w:eastAsia="zh-CN"/>
        </w:rPr>
        <w:t>附图12 项目占用林地示意图；</w:t>
      </w:r>
    </w:p>
    <w:p w14:paraId="0C3F9F78">
      <w:pPr>
        <w:pStyle w:val="57"/>
        <w:ind w:left="0" w:leftChars="0" w:firstLine="0" w:firstLineChars="0"/>
        <w:rPr>
          <w:rFonts w:hint="default"/>
          <w:highlight w:val="none"/>
          <w:lang w:val="en-US" w:eastAsia="zh-CN"/>
        </w:rPr>
      </w:pPr>
      <w:r>
        <w:rPr>
          <w:rFonts w:hint="eastAsia"/>
          <w:highlight w:val="none"/>
          <w:lang w:val="en-US" w:eastAsia="zh-CN"/>
        </w:rPr>
        <w:t>附图13 项目塔杆型号示意图</w:t>
      </w:r>
    </w:p>
    <w:p w14:paraId="43D1A0FC">
      <w:pPr>
        <w:pStyle w:val="57"/>
        <w:ind w:left="0" w:leftChars="0" w:firstLine="0" w:firstLineChars="0"/>
        <w:rPr>
          <w:rFonts w:hint="default"/>
          <w:highlight w:val="none"/>
          <w:lang w:val="en-US" w:eastAsia="zh-CN"/>
        </w:rPr>
      </w:pPr>
    </w:p>
    <w:p w14:paraId="08AE8BE9">
      <w:pPr>
        <w:pStyle w:val="57"/>
        <w:ind w:left="0" w:leftChars="0" w:firstLine="0" w:firstLineChars="0"/>
        <w:rPr>
          <w:rFonts w:hint="default"/>
          <w:highlight w:val="none"/>
          <w:lang w:val="en-US" w:eastAsia="zh-CN"/>
        </w:rPr>
      </w:pPr>
    </w:p>
    <w:p w14:paraId="1A12AFC5">
      <w:pPr>
        <w:pStyle w:val="57"/>
        <w:ind w:left="0" w:leftChars="0" w:firstLine="0" w:firstLineChars="0"/>
        <w:rPr>
          <w:rFonts w:hint="default"/>
          <w:highlight w:val="none"/>
          <w:lang w:val="en-US" w:eastAsia="zh-CN"/>
        </w:rPr>
      </w:pPr>
    </w:p>
    <w:p w14:paraId="61541D80">
      <w:pPr>
        <w:pStyle w:val="57"/>
        <w:ind w:left="0" w:leftChars="0" w:firstLine="0" w:firstLineChars="0"/>
        <w:rPr>
          <w:rFonts w:hint="default"/>
          <w:highlight w:val="none"/>
          <w:lang w:val="en-US" w:eastAsia="zh-CN"/>
        </w:rPr>
      </w:pPr>
    </w:p>
    <w:p w14:paraId="521D604B">
      <w:pPr>
        <w:pStyle w:val="57"/>
        <w:ind w:left="0" w:leftChars="0" w:firstLine="0" w:firstLineChars="0"/>
        <w:rPr>
          <w:rFonts w:hint="default"/>
          <w:highlight w:val="none"/>
          <w:lang w:val="en-US" w:eastAsia="zh-CN"/>
        </w:rPr>
      </w:pPr>
    </w:p>
    <w:p w14:paraId="2D8FFCFA">
      <w:pPr>
        <w:pStyle w:val="57"/>
        <w:ind w:left="0" w:leftChars="0" w:firstLine="0" w:firstLineChars="0"/>
        <w:rPr>
          <w:rFonts w:hint="default"/>
          <w:highlight w:val="none"/>
          <w:lang w:val="en-US" w:eastAsia="zh-CN"/>
        </w:rPr>
      </w:pPr>
    </w:p>
    <w:p w14:paraId="435863C1">
      <w:pPr>
        <w:pStyle w:val="57"/>
        <w:ind w:left="0" w:leftChars="0" w:firstLine="0" w:firstLineChars="0"/>
        <w:rPr>
          <w:rFonts w:hint="default"/>
          <w:highlight w:val="none"/>
          <w:lang w:val="en-US" w:eastAsia="zh-CN"/>
        </w:rPr>
      </w:pPr>
    </w:p>
    <w:p w14:paraId="2602847E">
      <w:pPr>
        <w:pStyle w:val="57"/>
        <w:ind w:left="0" w:leftChars="0" w:firstLine="0" w:firstLineChars="0"/>
        <w:rPr>
          <w:rFonts w:hint="default"/>
          <w:highlight w:val="none"/>
          <w:lang w:val="en-US" w:eastAsia="zh-CN"/>
        </w:rPr>
      </w:pPr>
    </w:p>
    <w:p w14:paraId="4206CB3E">
      <w:pPr>
        <w:pStyle w:val="57"/>
        <w:ind w:left="0" w:leftChars="0" w:firstLine="0" w:firstLineChars="0"/>
        <w:rPr>
          <w:rFonts w:hint="default"/>
          <w:highlight w:val="none"/>
          <w:lang w:val="en-US" w:eastAsia="zh-CN"/>
        </w:rPr>
      </w:pPr>
    </w:p>
    <w:p w14:paraId="2C04F011">
      <w:pPr>
        <w:pStyle w:val="57"/>
        <w:ind w:left="0" w:leftChars="0" w:firstLine="0" w:firstLineChars="0"/>
        <w:rPr>
          <w:rFonts w:hint="default"/>
          <w:highlight w:val="none"/>
          <w:lang w:val="en-US" w:eastAsia="zh-CN"/>
        </w:rPr>
      </w:pPr>
    </w:p>
    <w:p w14:paraId="5BCF97D3">
      <w:pPr>
        <w:pStyle w:val="57"/>
        <w:ind w:left="0" w:leftChars="0" w:firstLine="0" w:firstLineChars="0"/>
        <w:rPr>
          <w:rFonts w:hint="default"/>
          <w:highlight w:val="none"/>
          <w:lang w:val="en-US" w:eastAsia="zh-CN"/>
        </w:rPr>
      </w:pPr>
    </w:p>
    <w:p w14:paraId="1108A333">
      <w:pPr>
        <w:widowControl/>
        <w:spacing w:line="360" w:lineRule="auto"/>
        <w:jc w:val="left"/>
        <w:rPr>
          <w:rFonts w:hint="eastAsia"/>
          <w:b/>
          <w:bCs/>
          <w:snapToGrid w:val="0"/>
          <w:sz w:val="24"/>
          <w:szCs w:val="24"/>
          <w:lang w:eastAsia="zh-CN"/>
        </w:rPr>
      </w:pPr>
      <w:r>
        <w:rPr>
          <w:b/>
          <w:bCs/>
          <w:snapToGrid w:val="0"/>
          <w:sz w:val="24"/>
          <w:szCs w:val="24"/>
        </w:rPr>
        <w:t>附件</w:t>
      </w:r>
      <w:r>
        <w:rPr>
          <w:rFonts w:hint="eastAsia"/>
          <w:b/>
          <w:bCs/>
          <w:snapToGrid w:val="0"/>
          <w:sz w:val="24"/>
          <w:szCs w:val="24"/>
          <w:lang w:eastAsia="zh-CN"/>
        </w:rPr>
        <w:t>：</w:t>
      </w:r>
    </w:p>
    <w:p w14:paraId="24CB1EBA">
      <w:pPr>
        <w:widowControl/>
        <w:spacing w:line="360" w:lineRule="auto"/>
        <w:jc w:val="left"/>
        <w:rPr>
          <w:rFonts w:hint="eastAsia"/>
          <w:sz w:val="24"/>
          <w:szCs w:val="24"/>
          <w:highlight w:val="none"/>
          <w:lang w:eastAsia="zh-CN"/>
        </w:rPr>
      </w:pPr>
      <w:r>
        <w:rPr>
          <w:rFonts w:hint="eastAsia"/>
          <w:b w:val="0"/>
          <w:bCs w:val="0"/>
          <w:snapToGrid w:val="0"/>
          <w:sz w:val="24"/>
          <w:szCs w:val="24"/>
          <w:highlight w:val="none"/>
          <w:lang w:eastAsia="zh-CN"/>
        </w:rPr>
        <w:t>附件</w:t>
      </w:r>
      <w:r>
        <w:rPr>
          <w:rFonts w:hint="eastAsia"/>
          <w:b w:val="0"/>
          <w:bCs w:val="0"/>
          <w:snapToGrid w:val="0"/>
          <w:sz w:val="24"/>
          <w:szCs w:val="24"/>
          <w:highlight w:val="none"/>
          <w:lang w:val="en-US" w:eastAsia="zh-CN"/>
        </w:rPr>
        <w:t>1 环评</w:t>
      </w:r>
      <w:r>
        <w:rPr>
          <w:rFonts w:hint="eastAsia"/>
          <w:sz w:val="24"/>
          <w:szCs w:val="24"/>
          <w:highlight w:val="none"/>
          <w:lang w:eastAsia="zh-CN"/>
        </w:rPr>
        <w:t>委托书；</w:t>
      </w:r>
    </w:p>
    <w:p w14:paraId="5B8E7B58">
      <w:pPr>
        <w:widowControl/>
        <w:spacing w:line="360" w:lineRule="auto"/>
        <w:jc w:val="left"/>
        <w:rPr>
          <w:rFonts w:hint="eastAsia"/>
          <w:sz w:val="24"/>
          <w:szCs w:val="24"/>
          <w:highlight w:val="none"/>
          <w:lang w:val="en-US" w:eastAsia="zh-CN"/>
        </w:rPr>
      </w:pPr>
      <w:r>
        <w:rPr>
          <w:rFonts w:hint="eastAsia"/>
          <w:sz w:val="24"/>
          <w:szCs w:val="24"/>
          <w:highlight w:val="none"/>
          <w:lang w:eastAsia="zh-CN"/>
        </w:rPr>
        <w:t>附件</w:t>
      </w:r>
      <w:r>
        <w:rPr>
          <w:rFonts w:hint="eastAsia"/>
          <w:sz w:val="24"/>
          <w:szCs w:val="24"/>
          <w:highlight w:val="none"/>
          <w:lang w:val="en-US" w:eastAsia="zh-CN"/>
        </w:rPr>
        <w:t>2 建设单位意见；</w:t>
      </w:r>
    </w:p>
    <w:p w14:paraId="351DD1ED">
      <w:pPr>
        <w:widowControl/>
        <w:spacing w:line="360" w:lineRule="auto"/>
        <w:jc w:val="left"/>
        <w:rPr>
          <w:rFonts w:hint="eastAsia"/>
          <w:sz w:val="24"/>
          <w:szCs w:val="24"/>
          <w:highlight w:val="none"/>
          <w:lang w:val="en-US" w:eastAsia="zh-CN"/>
        </w:rPr>
      </w:pPr>
      <w:r>
        <w:rPr>
          <w:rFonts w:hint="eastAsia"/>
          <w:sz w:val="24"/>
          <w:szCs w:val="24"/>
          <w:highlight w:val="none"/>
          <w:lang w:val="en-US" w:eastAsia="zh-CN"/>
        </w:rPr>
        <w:t>附件3 六安市发改委关于安徽金沙钼业有限公司110KV输变电工程项目核准的批复；</w:t>
      </w:r>
    </w:p>
    <w:p w14:paraId="7925BE73">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附件4 关于对安徽金沙钼业有限公司110KV输变电工程线路路径意见的复函--金寨县自规局；</w:t>
      </w:r>
    </w:p>
    <w:p w14:paraId="3237A3F2">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附件5 关于安徽金沙钼业有限公司110KV输变电工程线路路径方案意见的复函--金寨县林业局；</w:t>
      </w:r>
    </w:p>
    <w:p w14:paraId="196E1C51">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附件6 关于安徽金沙钼业有限公司110KV输变电工程线路路径方案征求意见的复函--金寨县交通局；</w:t>
      </w:r>
    </w:p>
    <w:p w14:paraId="5633DC4A">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附件7 关于安徽金沙钼业有限公司110KV输变电工程线路路径方案意见的复函--金寨县水利局；</w:t>
      </w:r>
    </w:p>
    <w:p w14:paraId="750D2F1D">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附件8 关于安徽金沙钼业有限公司110KV输变电工程路线路径方案征求意见的复函--金寨县生态环境分局；</w:t>
      </w:r>
    </w:p>
    <w:p w14:paraId="24503B1B">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附件9 关于安徽金沙钼业有限公司110KV输变电工程线路路径方案意见的复函--金寨县文旅局；</w:t>
      </w:r>
    </w:p>
    <w:p w14:paraId="0087494D">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附件10 关于对安徽金沙钼业有限公司110KV输变电工程线路路径方案征求意见的复函--金寨县应急管理局；</w:t>
      </w:r>
    </w:p>
    <w:p w14:paraId="63DC940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附件11 关于对安徽金沙钼业有限公司110KV输变电工程线路路径意见的复函--金寨县人武部</w:t>
      </w:r>
    </w:p>
    <w:p w14:paraId="24537C8F">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附件12 关于安徽金沙钼业有限公司110KV输变电工程项目规划选址选线征求意见的复函--金寨县古碑镇人民政府；</w:t>
      </w:r>
    </w:p>
    <w:p w14:paraId="077097C3">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附件13 关于安徽金沙钼业有限公司110KV输变电工程项目规划选址选线征求意见的复函--金寨县槐树湾乡人民政府；</w:t>
      </w:r>
    </w:p>
    <w:p w14:paraId="660BCA1D">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附件14 关于安徽金沙钼业有限公司110KV输变电工程项目规划选址选线征求意见的复函--金寨县南溪镇人民政府；</w:t>
      </w:r>
    </w:p>
    <w:p w14:paraId="07C30C6D">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附件15 关于安徽金沙钼业有限公司110KV输变电工程项目规划选址选线征求意见的复函--金寨县双河镇人民政府；</w:t>
      </w:r>
    </w:p>
    <w:p w14:paraId="785F68AB">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附件16 关于安徽金沙钼业有限公司110KV输变电工程项目规划选址选线征求意见的复函--金寨县汤家汇镇人民政府；</w:t>
      </w:r>
    </w:p>
    <w:p w14:paraId="3D12B7F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附件17 关于安徽金沙钼业有限公司110KV输变电工程线路路径方案意见的复函--金寨县中国移动公司；</w:t>
      </w:r>
    </w:p>
    <w:p w14:paraId="28BDE27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附件18 关于对安徽金沙钼业有限公司110KV输变电工程线路路径意见的复函--金寨县中国联通公司；</w:t>
      </w:r>
    </w:p>
    <w:p w14:paraId="31D3E439">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附件19 关于安徽金沙钼业有限公司110KV输变电工程项目规划选址征求意见的复函--金寨县林业局；</w:t>
      </w:r>
    </w:p>
    <w:p w14:paraId="6402152B">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附件20 关于安徽金沙钼业有限公司110KV输变电工程项目规划选址选线征求意见的复函--金寨县应急管理局；</w:t>
      </w:r>
    </w:p>
    <w:p w14:paraId="29E34EA2">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附件21 关于安徽金沙钼业有限公司110KV输变电工程项目规划选址选线征求意见的复函--金寨县生态环境分局；</w:t>
      </w:r>
    </w:p>
    <w:p w14:paraId="04885D4B">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附件22 关于安徽金沙钼业有限公司110KV输变电工程项目规划选址选线征求意见的复函--金寨县文化旅游体育局；</w:t>
      </w:r>
    </w:p>
    <w:p w14:paraId="72DB5BA9">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附件23 关于安徽金沙钼业有限公司110KV输变电工程项目规划选址选线征求意见的复函--金寨县农业农村局；</w:t>
      </w:r>
    </w:p>
    <w:p w14:paraId="586CFBA5">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附件24 关于安徽金沙钼业有限公司110KV输变电工程项目规划选址选线征求意见的复函--金寨县交通运输局；</w:t>
      </w:r>
    </w:p>
    <w:p w14:paraId="2FBB2BEA">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附件25 关于安徽金沙钼业有限公司110KV输变电工程项目规划选址选线征求意见的复函--金寨县关庙乡银山村民委员会；</w:t>
      </w:r>
    </w:p>
    <w:p w14:paraId="2A5EAC3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附件26 关于安徽金沙钼业有限公司110KV输变电工程项目规划选址选线征求意见的复函--金寨县关庙乡人民政府；</w:t>
      </w:r>
    </w:p>
    <w:p w14:paraId="177848F1">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附件27 关于安徽金沙钼业有限公司110KV输变电工程项目规划选址选线征求意见的复函--金寨县水利局</w:t>
      </w:r>
    </w:p>
    <w:p w14:paraId="7B6E4D5A">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附件28 关于安徽金沙钼业有限公司110KV输变电工程项目用地预审意见的复函--六安市自规局；</w:t>
      </w:r>
    </w:p>
    <w:p w14:paraId="54E6D7AD">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附件29 沙坪沟钼矿矿区及道路土石方综合利用意向书；</w:t>
      </w:r>
    </w:p>
    <w:p w14:paraId="325F8792">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附件30 关于安徽金沙钼业有限公司110KV输变电工程建设用地的批复；</w:t>
      </w:r>
    </w:p>
    <w:p w14:paraId="57BA64A7">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附件31 类比升压站电磁环境监测报告；</w:t>
      </w:r>
    </w:p>
    <w:p w14:paraId="2E3421AF">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附件32-1 噪声环境现状监测报告；</w:t>
      </w:r>
    </w:p>
    <w:p w14:paraId="650BAD97">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附件32-2 电磁环境现状监测报告；</w:t>
      </w:r>
    </w:p>
    <w:p w14:paraId="6F624504">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附件32-3 噪声环境现状补充监测报告；</w:t>
      </w:r>
    </w:p>
    <w:p w14:paraId="68EA701B">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附件32-4 电磁环境现状补充监测报告；</w:t>
      </w:r>
    </w:p>
    <w:p w14:paraId="11973082">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附件33-1 古碑变电站环评批复；</w:t>
      </w:r>
    </w:p>
    <w:p w14:paraId="4E798F2F">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附件33-2 古碑变电站竣工验收意见；</w:t>
      </w:r>
    </w:p>
    <w:p w14:paraId="3DE8B9E1">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附件33-3 双河变电站环评批复；</w:t>
      </w:r>
    </w:p>
    <w:p w14:paraId="227FA427">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附件33-4 双河变电站竣工验收意见；</w:t>
      </w:r>
    </w:p>
    <w:p w14:paraId="58D2500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附件34 金寨县人民政府关于安徽金沙钼业有限公司110KV输变电工程符合生态保护红线内允许有限人为活动的说明；</w:t>
      </w:r>
    </w:p>
    <w:p w14:paraId="51DA81DF">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附件35 国网六安供电公司经研所关于安徽金沙钼业有限公司110KV输变电工程变电站接入系统设计评审意见的批复；</w:t>
      </w:r>
    </w:p>
    <w:p w14:paraId="101705A0">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附件36 安徽省生态环境厅关于安徽金沙钼业有限公司金寨县沙坪沟钼矿采选项目环境影响报告书审批意见的函；</w:t>
      </w:r>
    </w:p>
    <w:p w14:paraId="0C5C6C09">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附件37 《安徽金沙钼业有限公司110KV输变电工程符合生态保护红线内允许有限人为活动的论证报告》专家论证意见；</w:t>
      </w:r>
    </w:p>
    <w:p w14:paraId="16A50F45">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附件38 关于安徽金沙钼业有限公司110KV输变电工程项目有关情况的说明；</w:t>
      </w:r>
    </w:p>
    <w:p w14:paraId="293AFEE3">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附件39 金寨县国土空间总体规划（2021-2035年）-项目所在页；</w:t>
      </w:r>
    </w:p>
    <w:p w14:paraId="6E6BCB6A">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附件40 关于安徽金沙钼业有限公司110KV输变电工程项目输电线路选址选线征求意见的复函--安徽省梅山水库管理处。</w:t>
      </w:r>
    </w:p>
    <w:p w14:paraId="70C78426">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附件41 关于《安徽金沙钼业有限公司110kV输变电工程不可避让永久基本农田论证报告》的备案意见</w:t>
      </w:r>
    </w:p>
    <w:p w14:paraId="0226B3EF">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附件42 关于安徽金沙钼业有限公司110kV输变电工程与金寨县饮用水水源保护区相对位置的复函--金寨县生态环境分局</w:t>
      </w:r>
    </w:p>
    <w:p w14:paraId="1E8244EF">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附件43 安徽金沙钼业有限公司110kV输变电工程环境影响报告表技术评审意见</w:t>
      </w:r>
    </w:p>
    <w:p w14:paraId="21477F30">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附件44 安徽金沙钼业有限公司110kV输变电工程环境影响报告表修改清单--评审</w:t>
      </w:r>
    </w:p>
    <w:p w14:paraId="006CF7EC">
      <w:pPr>
        <w:pStyle w:val="57"/>
        <w:ind w:left="0" w:leftChars="0" w:firstLine="0" w:firstLineChars="0"/>
        <w:rPr>
          <w:rFonts w:hint="eastAsia"/>
          <w:sz w:val="24"/>
          <w:szCs w:val="24"/>
          <w:highlight w:val="none"/>
          <w:lang w:val="en-US" w:eastAsia="zh-CN"/>
        </w:rPr>
      </w:pPr>
      <w:r>
        <w:rPr>
          <w:rFonts w:hint="eastAsia"/>
          <w:sz w:val="24"/>
          <w:szCs w:val="24"/>
          <w:highlight w:val="none"/>
          <w:lang w:val="en-US" w:eastAsia="zh-CN"/>
        </w:rPr>
        <w:t>附件45 安徽金沙钼业有限公司110kV输变电工程环境影响报告表技术函审意见</w:t>
      </w:r>
    </w:p>
    <w:p w14:paraId="449C16A4">
      <w:pPr>
        <w:pStyle w:val="57"/>
        <w:ind w:left="0" w:leftChars="0" w:firstLine="0" w:firstLineChars="0"/>
        <w:rPr>
          <w:rFonts w:hint="default"/>
          <w:sz w:val="24"/>
          <w:szCs w:val="24"/>
          <w:highlight w:val="none"/>
          <w:lang w:val="en-US" w:eastAsia="zh-CN"/>
        </w:rPr>
      </w:pPr>
      <w:r>
        <w:rPr>
          <w:rFonts w:hint="eastAsia"/>
          <w:sz w:val="24"/>
          <w:szCs w:val="24"/>
          <w:highlight w:val="none"/>
          <w:lang w:val="en-US" w:eastAsia="zh-CN"/>
        </w:rPr>
        <w:t>附件46 安徽金沙钼业有限公司110kV输变电工程环境影响报告表修改清单--函审</w:t>
      </w:r>
    </w:p>
    <w:p w14:paraId="14BC93C8">
      <w:pPr>
        <w:pStyle w:val="57"/>
        <w:ind w:left="0" w:leftChars="0" w:firstLine="0" w:firstLineChars="0"/>
        <w:rPr>
          <w:rFonts w:hint="eastAsia"/>
          <w:sz w:val="24"/>
          <w:szCs w:val="24"/>
          <w:highlight w:val="none"/>
          <w:lang w:val="en-US" w:eastAsia="zh-CN"/>
        </w:rPr>
      </w:pPr>
    </w:p>
    <w:p w14:paraId="295136CE">
      <w:pPr>
        <w:pStyle w:val="57"/>
        <w:ind w:left="0" w:leftChars="0" w:firstLine="0" w:firstLineChars="0"/>
        <w:rPr>
          <w:rFonts w:hint="eastAsia"/>
          <w:sz w:val="24"/>
          <w:szCs w:val="24"/>
          <w:highlight w:val="none"/>
          <w:lang w:val="en-US" w:eastAsia="zh-CN"/>
        </w:rPr>
      </w:pPr>
    </w:p>
    <w:p w14:paraId="04B1CBE8">
      <w:pPr>
        <w:pStyle w:val="57"/>
        <w:ind w:left="0" w:leftChars="0" w:firstLine="0" w:firstLineChars="0"/>
        <w:rPr>
          <w:rFonts w:hint="default"/>
          <w:sz w:val="24"/>
          <w:szCs w:val="24"/>
          <w:highlight w:val="none"/>
          <w:lang w:val="en-US" w:eastAsia="zh-CN"/>
        </w:rPr>
      </w:pPr>
    </w:p>
    <w:p w14:paraId="28A34F05">
      <w:pPr>
        <w:pStyle w:val="57"/>
        <w:ind w:left="0" w:leftChars="0" w:firstLine="0" w:firstLineChars="0"/>
        <w:rPr>
          <w:rFonts w:hint="eastAsia"/>
          <w:sz w:val="24"/>
          <w:szCs w:val="24"/>
          <w:highlight w:val="none"/>
          <w:lang w:val="en-US" w:eastAsia="zh-CN"/>
        </w:rPr>
        <w:sectPr>
          <w:footerReference r:id="rId6" w:type="default"/>
          <w:pgSz w:w="11906" w:h="16838"/>
          <w:pgMar w:top="1440" w:right="1701" w:bottom="1440" w:left="1701" w:header="851" w:footer="992" w:gutter="0"/>
          <w:pgNumType w:fmt="decimal" w:start="1"/>
          <w:cols w:space="720" w:num="1"/>
          <w:docGrid w:linePitch="312" w:charSpace="0"/>
        </w:sectPr>
      </w:pPr>
    </w:p>
    <w:p w14:paraId="726B85B3">
      <w:pPr>
        <w:pStyle w:val="107"/>
        <w:jc w:val="center"/>
        <w:rPr>
          <w:rFonts w:eastAsia="宋体"/>
        </w:rPr>
      </w:pPr>
      <w:bookmarkStart w:id="5" w:name="_Toc26496"/>
      <w:bookmarkStart w:id="6" w:name="_Toc20598"/>
      <w:bookmarkStart w:id="7" w:name="_Toc108987307"/>
      <w:bookmarkStart w:id="8" w:name="_Toc79511872"/>
      <w:bookmarkStart w:id="9" w:name="_Toc12609"/>
      <w:bookmarkStart w:id="10" w:name="_Toc85013634"/>
      <w:bookmarkStart w:id="11" w:name="_Toc101454267"/>
      <w:bookmarkStart w:id="12" w:name="_Toc32177"/>
      <w:r>
        <w:rPr>
          <w:rFonts w:eastAsia="宋体"/>
        </w:rPr>
        <w:t>一、建设项目基本情况</w:t>
      </w:r>
      <w:bookmarkEnd w:id="0"/>
      <w:bookmarkEnd w:id="1"/>
      <w:bookmarkEnd w:id="2"/>
      <w:bookmarkEnd w:id="3"/>
      <w:bookmarkEnd w:id="5"/>
      <w:bookmarkEnd w:id="6"/>
      <w:bookmarkEnd w:id="7"/>
      <w:bookmarkEnd w:id="8"/>
      <w:bookmarkEnd w:id="9"/>
      <w:bookmarkEnd w:id="10"/>
      <w:bookmarkEnd w:id="11"/>
      <w:bookmarkEnd w:id="12"/>
    </w:p>
    <w:tbl>
      <w:tblPr>
        <w:tblStyle w:val="37"/>
        <w:tblW w:w="4906" w:type="pct"/>
        <w:jc w:val="center"/>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268"/>
        <w:gridCol w:w="3326"/>
        <w:gridCol w:w="1473"/>
        <w:gridCol w:w="3602"/>
      </w:tblGrid>
      <w:tr w14:paraId="3FA87A15">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7D226976">
            <w:pPr>
              <w:jc w:val="center"/>
              <w:rPr>
                <w:sz w:val="24"/>
                <w:szCs w:val="24"/>
              </w:rPr>
            </w:pPr>
            <w:r>
              <w:rPr>
                <w:sz w:val="24"/>
                <w:szCs w:val="24"/>
              </w:rPr>
              <w:t>建设项目名称</w:t>
            </w:r>
          </w:p>
        </w:tc>
        <w:tc>
          <w:tcPr>
            <w:tcW w:w="4344" w:type="pct"/>
            <w:gridSpan w:val="3"/>
            <w:vAlign w:val="center"/>
          </w:tcPr>
          <w:p w14:paraId="51EFF578">
            <w:pPr>
              <w:jc w:val="center"/>
              <w:rPr>
                <w:sz w:val="24"/>
                <w:szCs w:val="24"/>
              </w:rPr>
            </w:pPr>
            <w:r>
              <w:rPr>
                <w:rFonts w:hint="default"/>
                <w:sz w:val="24"/>
                <w:szCs w:val="24"/>
                <w:lang w:val="en-US" w:eastAsia="zh-CN"/>
              </w:rPr>
              <w:t>安徽金沙钼业有限公司110</w:t>
            </w:r>
            <w:r>
              <w:rPr>
                <w:rFonts w:hint="eastAsia"/>
                <w:sz w:val="24"/>
                <w:szCs w:val="24"/>
                <w:lang w:val="en-US" w:eastAsia="zh-CN"/>
              </w:rPr>
              <w:t>k</w:t>
            </w:r>
            <w:r>
              <w:rPr>
                <w:rFonts w:hint="default"/>
                <w:sz w:val="24"/>
                <w:szCs w:val="24"/>
                <w:lang w:val="en-US" w:eastAsia="zh-CN"/>
              </w:rPr>
              <w:t>V输变电工程</w:t>
            </w:r>
          </w:p>
        </w:tc>
      </w:tr>
      <w:tr w14:paraId="4E75BD6C">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57F8CC44">
            <w:pPr>
              <w:jc w:val="center"/>
              <w:rPr>
                <w:sz w:val="24"/>
                <w:szCs w:val="24"/>
              </w:rPr>
            </w:pPr>
            <w:r>
              <w:rPr>
                <w:sz w:val="24"/>
                <w:szCs w:val="24"/>
              </w:rPr>
              <w:t>项目代码</w:t>
            </w:r>
          </w:p>
        </w:tc>
        <w:tc>
          <w:tcPr>
            <w:tcW w:w="4344" w:type="pct"/>
            <w:gridSpan w:val="3"/>
            <w:vAlign w:val="center"/>
          </w:tcPr>
          <w:p w14:paraId="1322520A">
            <w:pPr>
              <w:jc w:val="center"/>
              <w:rPr>
                <w:rFonts w:hint="default"/>
                <w:sz w:val="24"/>
                <w:szCs w:val="24"/>
                <w:lang w:val="en-US"/>
              </w:rPr>
            </w:pPr>
            <w:r>
              <w:rPr>
                <w:rFonts w:hint="eastAsia"/>
                <w:sz w:val="24"/>
                <w:szCs w:val="24"/>
                <w:highlight w:val="none"/>
                <w:lang w:val="en-US" w:eastAsia="zh-CN"/>
              </w:rPr>
              <w:t>2501-341500-04-01-941002</w:t>
            </w:r>
          </w:p>
        </w:tc>
      </w:tr>
      <w:tr w14:paraId="7038E08E">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70B0DB97">
            <w:pPr>
              <w:jc w:val="center"/>
              <w:rPr>
                <w:sz w:val="24"/>
                <w:szCs w:val="24"/>
              </w:rPr>
            </w:pPr>
            <w:r>
              <w:rPr>
                <w:sz w:val="24"/>
                <w:szCs w:val="24"/>
              </w:rPr>
              <w:t>建设单位联系人</w:t>
            </w:r>
          </w:p>
        </w:tc>
        <w:tc>
          <w:tcPr>
            <w:tcW w:w="1719" w:type="pct"/>
            <w:vAlign w:val="center"/>
          </w:tcPr>
          <w:p w14:paraId="530ED250">
            <w:pPr>
              <w:jc w:val="center"/>
              <w:rPr>
                <w:rFonts w:hint="default" w:ascii="Times New Roman" w:hAnsi="Times New Roman" w:eastAsia="宋体" w:cs="Times New Roman"/>
                <w:sz w:val="24"/>
                <w:szCs w:val="24"/>
                <w:lang w:val="en-US"/>
              </w:rPr>
            </w:pPr>
            <w:r>
              <w:rPr>
                <w:rFonts w:hint="eastAsia" w:cs="Times New Roman"/>
                <w:sz w:val="24"/>
                <w:szCs w:val="24"/>
                <w:highlight w:val="none"/>
                <w:lang w:val="en-US" w:eastAsia="zh-CN"/>
              </w:rPr>
              <w:t>陈鑫</w:t>
            </w:r>
          </w:p>
        </w:tc>
        <w:tc>
          <w:tcPr>
            <w:tcW w:w="761" w:type="pct"/>
            <w:vAlign w:val="center"/>
          </w:tcPr>
          <w:p w14:paraId="2A37EDA8">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联系方式</w:t>
            </w:r>
          </w:p>
        </w:tc>
        <w:tc>
          <w:tcPr>
            <w:tcW w:w="1862" w:type="pct"/>
            <w:vAlign w:val="center"/>
          </w:tcPr>
          <w:p w14:paraId="70B115DD">
            <w:pPr>
              <w:jc w:val="center"/>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18396380229</w:t>
            </w:r>
          </w:p>
        </w:tc>
      </w:tr>
      <w:tr w14:paraId="2358CF7A">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599973D5">
            <w:pPr>
              <w:jc w:val="center"/>
              <w:rPr>
                <w:sz w:val="24"/>
                <w:szCs w:val="24"/>
              </w:rPr>
            </w:pPr>
            <w:r>
              <w:rPr>
                <w:sz w:val="24"/>
                <w:szCs w:val="24"/>
              </w:rPr>
              <w:t>建设地点</w:t>
            </w:r>
          </w:p>
        </w:tc>
        <w:tc>
          <w:tcPr>
            <w:tcW w:w="4344" w:type="pct"/>
            <w:gridSpan w:val="3"/>
            <w:vAlign w:val="center"/>
          </w:tcPr>
          <w:p w14:paraId="08EED7D2">
            <w:pPr>
              <w:adjustRightInd w:val="0"/>
              <w:snapToGrid w:val="0"/>
              <w:jc w:val="center"/>
              <w:rPr>
                <w:rFonts w:hint="default"/>
                <w:sz w:val="24"/>
                <w:szCs w:val="24"/>
                <w:lang w:val="en-US" w:eastAsia="zh-CN"/>
              </w:rPr>
            </w:pPr>
            <w:r>
              <w:rPr>
                <w:rFonts w:hint="eastAsia"/>
                <w:sz w:val="24"/>
                <w:szCs w:val="24"/>
                <w:lang w:val="en-US" w:eastAsia="zh-CN"/>
              </w:rPr>
              <w:t>变电站</w:t>
            </w:r>
            <w:r>
              <w:rPr>
                <w:rFonts w:hint="default"/>
                <w:sz w:val="24"/>
                <w:szCs w:val="24"/>
                <w:lang w:val="en-US" w:eastAsia="zh-CN"/>
              </w:rPr>
              <w:t>站址位于</w:t>
            </w:r>
            <w:r>
              <w:rPr>
                <w:rFonts w:hint="eastAsia"/>
                <w:sz w:val="24"/>
                <w:szCs w:val="24"/>
                <w:lang w:val="en-US" w:eastAsia="zh-CN"/>
              </w:rPr>
              <w:t>安徽省六安市</w:t>
            </w:r>
            <w:r>
              <w:rPr>
                <w:rFonts w:hint="default"/>
                <w:sz w:val="24"/>
                <w:szCs w:val="24"/>
                <w:lang w:val="en-US" w:eastAsia="zh-CN"/>
              </w:rPr>
              <w:t>金寨县关庙乡银山村</w:t>
            </w:r>
            <w:r>
              <w:rPr>
                <w:rFonts w:hint="eastAsia"/>
                <w:sz w:val="24"/>
                <w:szCs w:val="24"/>
                <w:lang w:val="en-US" w:eastAsia="zh-CN"/>
              </w:rPr>
              <w:t>沙坪沟道路一侧</w:t>
            </w:r>
          </w:p>
          <w:p w14:paraId="0FFE07B2">
            <w:pPr>
              <w:adjustRightInd w:val="0"/>
              <w:snapToGrid w:val="0"/>
              <w:jc w:val="center"/>
              <w:rPr>
                <w:rFonts w:hint="default"/>
                <w:sz w:val="24"/>
                <w:szCs w:val="24"/>
                <w:lang w:val="en-US"/>
              </w:rPr>
            </w:pPr>
            <w:r>
              <w:rPr>
                <w:rFonts w:hint="default"/>
                <w:sz w:val="24"/>
                <w:szCs w:val="24"/>
                <w:lang w:val="en-US" w:eastAsia="zh-CN"/>
              </w:rPr>
              <w:t>线路工程位于金寨县双河镇、古碑镇、</w:t>
            </w:r>
            <w:r>
              <w:rPr>
                <w:rFonts w:hint="eastAsia"/>
                <w:sz w:val="24"/>
                <w:szCs w:val="24"/>
                <w:lang w:val="en-US" w:eastAsia="zh-CN"/>
              </w:rPr>
              <w:t>槐树湾乡、</w:t>
            </w:r>
            <w:r>
              <w:rPr>
                <w:rFonts w:hint="default"/>
                <w:sz w:val="24"/>
                <w:szCs w:val="24"/>
                <w:lang w:val="en-US" w:eastAsia="zh-CN"/>
              </w:rPr>
              <w:t>南溪镇、汤家汇镇</w:t>
            </w:r>
            <w:r>
              <w:rPr>
                <w:rFonts w:hint="eastAsia"/>
                <w:sz w:val="24"/>
                <w:szCs w:val="24"/>
                <w:lang w:val="en-US" w:eastAsia="zh-CN"/>
              </w:rPr>
              <w:t>、</w:t>
            </w:r>
            <w:r>
              <w:rPr>
                <w:rFonts w:hint="default"/>
                <w:sz w:val="24"/>
                <w:szCs w:val="24"/>
                <w:lang w:val="en-US" w:eastAsia="zh-CN"/>
              </w:rPr>
              <w:t>关庙乡</w:t>
            </w:r>
            <w:r>
              <w:rPr>
                <w:rFonts w:hint="eastAsia"/>
                <w:sz w:val="24"/>
                <w:szCs w:val="24"/>
                <w:lang w:val="en-US" w:eastAsia="zh-CN"/>
              </w:rPr>
              <w:t>境内</w:t>
            </w:r>
          </w:p>
        </w:tc>
      </w:tr>
      <w:tr w14:paraId="744C15F2">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65A57A73">
            <w:pPr>
              <w:jc w:val="center"/>
              <w:rPr>
                <w:sz w:val="24"/>
                <w:szCs w:val="24"/>
              </w:rPr>
            </w:pPr>
            <w:r>
              <w:rPr>
                <w:sz w:val="24"/>
                <w:szCs w:val="24"/>
              </w:rPr>
              <w:t>地理坐标</w:t>
            </w:r>
          </w:p>
        </w:tc>
        <w:tc>
          <w:tcPr>
            <w:tcW w:w="4344" w:type="pct"/>
            <w:gridSpan w:val="3"/>
            <w:vAlign w:val="center"/>
          </w:tcPr>
          <w:p w14:paraId="2DB75532">
            <w:pPr>
              <w:jc w:val="center"/>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变电站中心坐标：</w:t>
            </w:r>
            <w:r>
              <w:rPr>
                <w:rFonts w:hint="default" w:ascii="Times New Roman" w:hAnsi="Times New Roman" w:cs="Times New Roman"/>
                <w:color w:val="000000"/>
                <w:sz w:val="24"/>
                <w:szCs w:val="24"/>
                <w:highlight w:val="none"/>
                <w:lang w:val="en-US" w:eastAsia="zh-CN"/>
              </w:rPr>
              <w:t>东经115°29′48.093″，北纬31°33′15.353″</w:t>
            </w:r>
          </w:p>
          <w:p w14:paraId="32548827">
            <w:pPr>
              <w:pStyle w:val="15"/>
              <w:spacing w:after="0"/>
              <w:jc w:val="center"/>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古碑-钼矿线路工程起点坐标：</w:t>
            </w:r>
            <w:r>
              <w:rPr>
                <w:rFonts w:hint="default" w:ascii="Times New Roman" w:hAnsi="Times New Roman" w:cs="Times New Roman"/>
                <w:color w:val="000000"/>
                <w:sz w:val="24"/>
                <w:szCs w:val="24"/>
                <w:highlight w:val="none"/>
                <w:lang w:val="en-US" w:eastAsia="zh-CN"/>
              </w:rPr>
              <w:t>东经115°45′49.811″，北纬31°27′46.148″</w:t>
            </w:r>
          </w:p>
          <w:p w14:paraId="7687D328">
            <w:pPr>
              <w:pStyle w:val="15"/>
              <w:spacing w:after="0"/>
              <w:jc w:val="center"/>
              <w:rPr>
                <w:rFonts w:hint="eastAsia" w:cs="Times New Roman"/>
                <w:color w:val="000000"/>
                <w:sz w:val="24"/>
                <w:szCs w:val="24"/>
                <w:highlight w:val="none"/>
                <w:lang w:val="en-US" w:eastAsia="zh-CN"/>
              </w:rPr>
            </w:pPr>
            <w:r>
              <w:rPr>
                <w:rFonts w:hint="eastAsia" w:cs="Times New Roman"/>
                <w:color w:val="000000"/>
                <w:sz w:val="24"/>
                <w:szCs w:val="24"/>
                <w:highlight w:val="none"/>
                <w:lang w:val="en-US" w:eastAsia="zh-CN"/>
              </w:rPr>
              <w:t>古碑-钼矿线路工程终点坐标：</w:t>
            </w:r>
            <w:r>
              <w:rPr>
                <w:rFonts w:hint="default" w:ascii="Times New Roman" w:hAnsi="Times New Roman" w:cs="Times New Roman"/>
                <w:color w:val="000000"/>
                <w:sz w:val="24"/>
                <w:szCs w:val="24"/>
                <w:highlight w:val="none"/>
                <w:lang w:val="en-US" w:eastAsia="zh-CN"/>
              </w:rPr>
              <w:t>东经115°29′48.503″，北纬31°33′15.604″</w:t>
            </w:r>
          </w:p>
          <w:p w14:paraId="3FBBB32E">
            <w:pPr>
              <w:pStyle w:val="15"/>
              <w:spacing w:after="0"/>
              <w:jc w:val="center"/>
              <w:rPr>
                <w:rFonts w:hint="default" w:ascii="Times New Roman" w:hAnsi="Times New Roman" w:cs="Times New Roman"/>
                <w:color w:val="000000"/>
                <w:sz w:val="24"/>
                <w:szCs w:val="24"/>
                <w:highlight w:val="none"/>
                <w:lang w:val="en-US" w:eastAsia="zh-CN"/>
              </w:rPr>
            </w:pPr>
            <w:r>
              <w:rPr>
                <w:rFonts w:hint="eastAsia" w:cs="Times New Roman"/>
                <w:color w:val="000000"/>
                <w:sz w:val="24"/>
                <w:szCs w:val="24"/>
                <w:highlight w:val="none"/>
                <w:lang w:val="en-US" w:eastAsia="zh-CN"/>
              </w:rPr>
              <w:t>双河-钼矿线路工程起点坐标：</w:t>
            </w:r>
            <w:r>
              <w:rPr>
                <w:rFonts w:hint="default" w:ascii="Times New Roman" w:hAnsi="Times New Roman" w:cs="Times New Roman"/>
                <w:color w:val="000000"/>
                <w:sz w:val="24"/>
                <w:szCs w:val="24"/>
                <w:highlight w:val="none"/>
                <w:lang w:val="en-US" w:eastAsia="zh-CN"/>
              </w:rPr>
              <w:t>东经</w:t>
            </w:r>
            <w:r>
              <w:rPr>
                <w:rFonts w:hint="eastAsia" w:cs="Times New Roman"/>
                <w:color w:val="000000"/>
                <w:sz w:val="24"/>
                <w:szCs w:val="24"/>
                <w:highlight w:val="none"/>
                <w:lang w:val="en-US" w:eastAsia="zh-CN"/>
              </w:rPr>
              <w:t>115</w:t>
            </w:r>
            <w:r>
              <w:rPr>
                <w:rFonts w:hint="default"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41</w:t>
            </w:r>
            <w:r>
              <w:rPr>
                <w:rFonts w:hint="default"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52.164</w:t>
            </w:r>
            <w:r>
              <w:rPr>
                <w:rFonts w:hint="default" w:ascii="Times New Roman" w:hAnsi="Times New Roman" w:cs="Times New Roman"/>
                <w:color w:val="000000"/>
                <w:sz w:val="24"/>
                <w:szCs w:val="24"/>
                <w:highlight w:val="none"/>
                <w:lang w:val="en-US" w:eastAsia="zh-CN"/>
              </w:rPr>
              <w:t>″，北纬</w:t>
            </w:r>
            <w:r>
              <w:rPr>
                <w:rFonts w:hint="eastAsia" w:cs="Times New Roman"/>
                <w:color w:val="000000"/>
                <w:sz w:val="24"/>
                <w:szCs w:val="24"/>
                <w:highlight w:val="none"/>
                <w:lang w:val="en-US" w:eastAsia="zh-CN"/>
              </w:rPr>
              <w:t>31</w:t>
            </w:r>
            <w:r>
              <w:rPr>
                <w:rFonts w:hint="default"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36</w:t>
            </w:r>
            <w:r>
              <w:rPr>
                <w:rFonts w:hint="default"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19.677</w:t>
            </w:r>
            <w:r>
              <w:rPr>
                <w:rFonts w:hint="default" w:ascii="Times New Roman" w:hAnsi="Times New Roman" w:cs="Times New Roman"/>
                <w:color w:val="000000"/>
                <w:sz w:val="24"/>
                <w:szCs w:val="24"/>
                <w:highlight w:val="none"/>
                <w:lang w:val="en-US" w:eastAsia="zh-CN"/>
              </w:rPr>
              <w:t>″</w:t>
            </w:r>
          </w:p>
          <w:p w14:paraId="12A91D8B">
            <w:pPr>
              <w:pStyle w:val="15"/>
              <w:spacing w:after="0"/>
              <w:jc w:val="center"/>
              <w:rPr>
                <w:rFonts w:hint="default"/>
                <w:lang w:val="en-US"/>
              </w:rPr>
            </w:pPr>
            <w:r>
              <w:rPr>
                <w:rFonts w:hint="eastAsia" w:cs="Times New Roman"/>
                <w:color w:val="000000"/>
                <w:sz w:val="24"/>
                <w:szCs w:val="24"/>
                <w:highlight w:val="none"/>
                <w:lang w:val="en-US" w:eastAsia="zh-CN"/>
              </w:rPr>
              <w:t>双河-钼矿线路工程终点坐标：</w:t>
            </w:r>
            <w:r>
              <w:rPr>
                <w:rFonts w:hint="default" w:ascii="Times New Roman" w:hAnsi="Times New Roman" w:cs="Times New Roman"/>
                <w:color w:val="000000"/>
                <w:sz w:val="24"/>
                <w:szCs w:val="24"/>
                <w:highlight w:val="none"/>
                <w:lang w:val="en-US" w:eastAsia="zh-CN"/>
              </w:rPr>
              <w:t>东经115°29′47.707″，北纬31°33′15.619″</w:t>
            </w:r>
          </w:p>
        </w:tc>
      </w:tr>
      <w:tr w14:paraId="1559D97D">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7AB4462E">
            <w:pPr>
              <w:jc w:val="center"/>
              <w:rPr>
                <w:sz w:val="24"/>
                <w:szCs w:val="24"/>
              </w:rPr>
            </w:pPr>
            <w:r>
              <w:rPr>
                <w:sz w:val="24"/>
                <w:szCs w:val="24"/>
              </w:rPr>
              <w:t>建设项目</w:t>
            </w:r>
          </w:p>
          <w:p w14:paraId="45C55C7E">
            <w:pPr>
              <w:jc w:val="center"/>
              <w:rPr>
                <w:sz w:val="24"/>
                <w:szCs w:val="24"/>
              </w:rPr>
            </w:pPr>
            <w:r>
              <w:rPr>
                <w:sz w:val="24"/>
                <w:szCs w:val="24"/>
              </w:rPr>
              <w:t>行业类别</w:t>
            </w:r>
          </w:p>
        </w:tc>
        <w:tc>
          <w:tcPr>
            <w:tcW w:w="1719" w:type="pct"/>
            <w:vAlign w:val="center"/>
          </w:tcPr>
          <w:p w14:paraId="3E92B25B">
            <w:pPr>
              <w:spacing w:beforeLines="50" w:afterLines="50"/>
              <w:jc w:val="center"/>
              <w:rPr>
                <w:sz w:val="24"/>
                <w:szCs w:val="24"/>
              </w:rPr>
            </w:pPr>
            <w:r>
              <w:rPr>
                <w:rFonts w:hint="eastAsia"/>
                <w:sz w:val="24"/>
                <w:szCs w:val="24"/>
              </w:rPr>
              <w:t>“</w:t>
            </w:r>
            <w:r>
              <w:rPr>
                <w:rFonts w:hint="default"/>
                <w:sz w:val="24"/>
                <w:szCs w:val="24"/>
                <w:lang w:val="en-US" w:eastAsia="zh-CN"/>
              </w:rPr>
              <w:t>五</w:t>
            </w:r>
            <w:r>
              <w:rPr>
                <w:rFonts w:hint="default"/>
                <w:sz w:val="24"/>
                <w:szCs w:val="24"/>
                <w:lang w:val="en-US"/>
              </w:rPr>
              <w:t>十五</w:t>
            </w:r>
            <w:r>
              <w:rPr>
                <w:rFonts w:hint="eastAsia"/>
                <w:sz w:val="24"/>
                <w:szCs w:val="24"/>
              </w:rPr>
              <w:t>、</w:t>
            </w:r>
            <w:r>
              <w:rPr>
                <w:rFonts w:hint="default"/>
                <w:sz w:val="24"/>
                <w:szCs w:val="24"/>
                <w:lang w:val="en-US" w:eastAsia="zh-CN"/>
              </w:rPr>
              <w:t>核与辐射</w:t>
            </w:r>
            <w:r>
              <w:rPr>
                <w:rFonts w:hint="eastAsia"/>
                <w:sz w:val="24"/>
                <w:szCs w:val="24"/>
              </w:rPr>
              <w:t>”中</w:t>
            </w:r>
            <w:r>
              <w:rPr>
                <w:rFonts w:hint="eastAsia"/>
                <w:sz w:val="24"/>
                <w:szCs w:val="24"/>
                <w:lang w:eastAsia="zh-CN"/>
              </w:rPr>
              <w:t>的“</w:t>
            </w:r>
            <w:r>
              <w:rPr>
                <w:rFonts w:hint="default"/>
                <w:sz w:val="24"/>
                <w:szCs w:val="24"/>
                <w:lang w:val="en-US" w:eastAsia="zh-CN"/>
              </w:rPr>
              <w:t>161</w:t>
            </w:r>
            <w:r>
              <w:rPr>
                <w:rFonts w:hint="eastAsia"/>
                <w:sz w:val="24"/>
                <w:szCs w:val="24"/>
                <w:lang w:val="en-US" w:eastAsia="zh-CN"/>
              </w:rPr>
              <w:t>、</w:t>
            </w:r>
            <w:r>
              <w:rPr>
                <w:rFonts w:hint="default"/>
                <w:sz w:val="24"/>
                <w:szCs w:val="24"/>
                <w:lang w:val="en-US" w:eastAsia="zh-CN"/>
              </w:rPr>
              <w:t>输变电工程</w:t>
            </w:r>
            <w:r>
              <w:rPr>
                <w:rFonts w:hint="eastAsia"/>
                <w:sz w:val="24"/>
                <w:szCs w:val="24"/>
                <w:lang w:eastAsia="zh-CN"/>
              </w:rPr>
              <w:t>”</w:t>
            </w:r>
          </w:p>
        </w:tc>
        <w:tc>
          <w:tcPr>
            <w:tcW w:w="761" w:type="pct"/>
            <w:vAlign w:val="center"/>
          </w:tcPr>
          <w:p w14:paraId="5B9CD70F">
            <w:pPr>
              <w:jc w:val="center"/>
              <w:rPr>
                <w:sz w:val="24"/>
                <w:szCs w:val="24"/>
              </w:rPr>
            </w:pPr>
            <w:r>
              <w:rPr>
                <w:sz w:val="24"/>
                <w:szCs w:val="24"/>
              </w:rPr>
              <w:t>用地面积</w:t>
            </w:r>
            <w:r>
              <w:rPr>
                <w:rFonts w:hint="eastAsia"/>
                <w:sz w:val="24"/>
                <w:szCs w:val="24"/>
                <w:lang w:eastAsia="zh-CN"/>
              </w:rPr>
              <w:t>（</w:t>
            </w:r>
            <w:r>
              <w:rPr>
                <w:sz w:val="24"/>
                <w:szCs w:val="24"/>
              </w:rPr>
              <w:t>m</w:t>
            </w:r>
            <w:r>
              <w:rPr>
                <w:sz w:val="24"/>
                <w:szCs w:val="24"/>
                <w:vertAlign w:val="superscript"/>
              </w:rPr>
              <w:t>2</w:t>
            </w:r>
            <w:r>
              <w:rPr>
                <w:rFonts w:hint="eastAsia"/>
                <w:sz w:val="24"/>
                <w:szCs w:val="24"/>
                <w:lang w:eastAsia="zh-CN"/>
              </w:rPr>
              <w:t>）</w:t>
            </w:r>
            <w:r>
              <w:rPr>
                <w:sz w:val="24"/>
                <w:szCs w:val="24"/>
              </w:rPr>
              <w:t>/长度</w:t>
            </w:r>
            <w:r>
              <w:rPr>
                <w:rFonts w:hint="eastAsia"/>
                <w:sz w:val="24"/>
                <w:szCs w:val="24"/>
                <w:lang w:eastAsia="zh-CN"/>
              </w:rPr>
              <w:t>（</w:t>
            </w:r>
            <w:r>
              <w:rPr>
                <w:sz w:val="24"/>
                <w:szCs w:val="24"/>
              </w:rPr>
              <w:t>km</w:t>
            </w:r>
            <w:r>
              <w:rPr>
                <w:rFonts w:hint="eastAsia"/>
                <w:sz w:val="24"/>
                <w:szCs w:val="24"/>
                <w:lang w:eastAsia="zh-CN"/>
              </w:rPr>
              <w:t>）</w:t>
            </w:r>
          </w:p>
        </w:tc>
        <w:tc>
          <w:tcPr>
            <w:tcW w:w="1862" w:type="pct"/>
            <w:vAlign w:val="center"/>
          </w:tcPr>
          <w:p w14:paraId="5F225015">
            <w:pPr>
              <w:jc w:val="center"/>
              <w:rPr>
                <w:rFonts w:hint="default" w:eastAsia="宋体"/>
                <w:sz w:val="21"/>
                <w:szCs w:val="21"/>
                <w:lang w:val="en-US" w:eastAsia="zh-CN"/>
              </w:rPr>
            </w:pPr>
            <w:r>
              <w:rPr>
                <w:rFonts w:hint="eastAsia"/>
                <w:sz w:val="24"/>
                <w:szCs w:val="24"/>
                <w:highlight w:val="none"/>
                <w:lang w:val="en-US" w:eastAsia="zh-CN"/>
              </w:rPr>
              <w:t>变电站用地面积：4652m</w:t>
            </w:r>
            <w:r>
              <w:rPr>
                <w:rFonts w:hint="eastAsia"/>
                <w:sz w:val="24"/>
                <w:szCs w:val="24"/>
                <w:highlight w:val="none"/>
                <w:vertAlign w:val="superscript"/>
                <w:lang w:val="en-US" w:eastAsia="zh-CN"/>
              </w:rPr>
              <w:t>2</w:t>
            </w:r>
            <w:r>
              <w:rPr>
                <w:rFonts w:hint="eastAsia"/>
                <w:sz w:val="24"/>
                <w:szCs w:val="24"/>
                <w:highlight w:val="none"/>
                <w:vertAlign w:val="baseline"/>
                <w:lang w:val="en-US" w:eastAsia="zh-CN"/>
              </w:rPr>
              <w:t>（永久占地4352</w:t>
            </w:r>
            <w:r>
              <w:rPr>
                <w:rFonts w:hint="eastAsia"/>
                <w:sz w:val="24"/>
                <w:szCs w:val="24"/>
                <w:highlight w:val="none"/>
                <w:lang w:val="en-US" w:eastAsia="zh-CN"/>
              </w:rPr>
              <w:t>m</w:t>
            </w:r>
            <w:r>
              <w:rPr>
                <w:rFonts w:hint="eastAsia"/>
                <w:sz w:val="24"/>
                <w:szCs w:val="24"/>
                <w:highlight w:val="none"/>
                <w:vertAlign w:val="superscript"/>
                <w:lang w:val="en-US" w:eastAsia="zh-CN"/>
              </w:rPr>
              <w:t>2</w:t>
            </w:r>
            <w:r>
              <w:rPr>
                <w:rFonts w:hint="eastAsia"/>
                <w:sz w:val="24"/>
                <w:szCs w:val="24"/>
                <w:highlight w:val="none"/>
                <w:vertAlign w:val="baseline"/>
                <w:lang w:val="en-US" w:eastAsia="zh-CN"/>
              </w:rPr>
              <w:t>，临时占地300</w:t>
            </w:r>
            <w:r>
              <w:rPr>
                <w:rFonts w:hint="eastAsia"/>
                <w:sz w:val="24"/>
                <w:szCs w:val="24"/>
                <w:highlight w:val="none"/>
                <w:lang w:val="en-US" w:eastAsia="zh-CN"/>
              </w:rPr>
              <w:t>m</w:t>
            </w:r>
            <w:r>
              <w:rPr>
                <w:rFonts w:hint="eastAsia"/>
                <w:sz w:val="24"/>
                <w:szCs w:val="24"/>
                <w:highlight w:val="none"/>
                <w:vertAlign w:val="superscript"/>
                <w:lang w:val="en-US" w:eastAsia="zh-CN"/>
              </w:rPr>
              <w:t>2</w:t>
            </w:r>
            <w:r>
              <w:rPr>
                <w:rFonts w:hint="eastAsia"/>
                <w:sz w:val="24"/>
                <w:szCs w:val="24"/>
                <w:highlight w:val="none"/>
                <w:vertAlign w:val="baseline"/>
                <w:lang w:val="en-US" w:eastAsia="zh-CN"/>
              </w:rPr>
              <w:t>）；</w:t>
            </w:r>
            <w:r>
              <w:rPr>
                <w:rFonts w:hint="eastAsia"/>
                <w:sz w:val="24"/>
                <w:szCs w:val="24"/>
                <w:lang w:val="en-US" w:eastAsia="zh-CN"/>
              </w:rPr>
              <w:t>新建输电线路路径长度57km</w:t>
            </w:r>
          </w:p>
        </w:tc>
      </w:tr>
      <w:tr w14:paraId="15DAC33F">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265C5053">
            <w:pPr>
              <w:jc w:val="center"/>
              <w:rPr>
                <w:sz w:val="24"/>
                <w:szCs w:val="24"/>
              </w:rPr>
            </w:pPr>
            <w:r>
              <w:rPr>
                <w:sz w:val="24"/>
                <w:szCs w:val="24"/>
              </w:rPr>
              <w:t>建设性质</w:t>
            </w:r>
          </w:p>
        </w:tc>
        <w:tc>
          <w:tcPr>
            <w:tcW w:w="1719" w:type="pct"/>
            <w:vAlign w:val="center"/>
          </w:tcPr>
          <w:p w14:paraId="34043968">
            <w:pPr>
              <w:rPr>
                <w:sz w:val="24"/>
                <w:szCs w:val="24"/>
              </w:rPr>
            </w:pPr>
            <w:r>
              <w:rPr>
                <w:sz w:val="24"/>
                <w:szCs w:val="24"/>
              </w:rPr>
              <w:sym w:font="Wingdings 2" w:char="0052"/>
            </w:r>
            <w:r>
              <w:rPr>
                <w:sz w:val="24"/>
                <w:szCs w:val="24"/>
              </w:rPr>
              <w:t>新建（迁建）；</w:t>
            </w:r>
          </w:p>
          <w:p w14:paraId="13F84ECC">
            <w:pPr>
              <w:rPr>
                <w:sz w:val="24"/>
                <w:szCs w:val="24"/>
              </w:rPr>
            </w:pPr>
            <w:r>
              <w:rPr>
                <w:sz w:val="24"/>
                <w:szCs w:val="24"/>
              </w:rPr>
              <w:sym w:font="Wingdings 2" w:char="00A3"/>
            </w:r>
            <w:r>
              <w:rPr>
                <w:sz w:val="24"/>
                <w:szCs w:val="24"/>
              </w:rPr>
              <w:t>改建；</w:t>
            </w:r>
          </w:p>
          <w:p w14:paraId="563F725E">
            <w:pPr>
              <w:rPr>
                <w:sz w:val="24"/>
                <w:szCs w:val="24"/>
              </w:rPr>
            </w:pPr>
            <w:r>
              <w:rPr>
                <w:rFonts w:ascii="Segoe UI Symbol" w:hAnsi="Segoe UI Symbol" w:eastAsia="MS Gothic" w:cs="Segoe UI Symbol"/>
                <w:sz w:val="24"/>
                <w:szCs w:val="24"/>
              </w:rPr>
              <w:t>☐</w:t>
            </w:r>
            <w:r>
              <w:rPr>
                <w:sz w:val="24"/>
                <w:szCs w:val="24"/>
              </w:rPr>
              <w:t>扩建；</w:t>
            </w:r>
          </w:p>
          <w:p w14:paraId="3EC6ABD3">
            <w:pPr>
              <w:rPr>
                <w:sz w:val="24"/>
                <w:szCs w:val="24"/>
              </w:rPr>
            </w:pPr>
            <w:r>
              <w:rPr>
                <w:rFonts w:ascii="Segoe UI Symbol" w:hAnsi="Segoe UI Symbol" w:eastAsia="MS Gothic" w:cs="Segoe UI Symbol"/>
                <w:sz w:val="24"/>
                <w:szCs w:val="24"/>
              </w:rPr>
              <w:t>☐</w:t>
            </w:r>
            <w:r>
              <w:rPr>
                <w:sz w:val="24"/>
                <w:szCs w:val="24"/>
              </w:rPr>
              <w:t>技术改造</w:t>
            </w:r>
          </w:p>
        </w:tc>
        <w:tc>
          <w:tcPr>
            <w:tcW w:w="761" w:type="pct"/>
            <w:vAlign w:val="center"/>
          </w:tcPr>
          <w:p w14:paraId="0B5F2DD4">
            <w:pPr>
              <w:jc w:val="center"/>
              <w:rPr>
                <w:sz w:val="24"/>
                <w:szCs w:val="24"/>
              </w:rPr>
            </w:pPr>
            <w:r>
              <w:rPr>
                <w:sz w:val="24"/>
                <w:szCs w:val="24"/>
              </w:rPr>
              <w:t>建设项目申报情形</w:t>
            </w:r>
          </w:p>
        </w:tc>
        <w:tc>
          <w:tcPr>
            <w:tcW w:w="1862" w:type="pct"/>
            <w:vAlign w:val="center"/>
          </w:tcPr>
          <w:p w14:paraId="50A02952">
            <w:pPr>
              <w:rPr>
                <w:sz w:val="24"/>
                <w:szCs w:val="24"/>
              </w:rPr>
            </w:pPr>
            <w:r>
              <w:rPr>
                <w:sz w:val="24"/>
                <w:szCs w:val="24"/>
              </w:rPr>
              <w:sym w:font="Wingdings 2" w:char="F052"/>
            </w:r>
            <w:r>
              <w:rPr>
                <w:sz w:val="24"/>
                <w:szCs w:val="24"/>
              </w:rPr>
              <w:t>首次申报项目；</w:t>
            </w:r>
          </w:p>
          <w:p w14:paraId="55AA10C0">
            <w:pPr>
              <w:pStyle w:val="21"/>
              <w:spacing w:before="0" w:line="240" w:lineRule="auto"/>
              <w:ind w:firstLine="0" w:firstLineChars="0"/>
              <w:rPr>
                <w:rFonts w:ascii="Times New Roman" w:hAnsi="Times New Roman"/>
                <w:szCs w:val="24"/>
              </w:rPr>
            </w:pPr>
            <w:r>
              <w:rPr>
                <w:rFonts w:ascii="Segoe UI Symbol" w:hAnsi="Segoe UI Symbol" w:eastAsia="MS Gothic" w:cs="Segoe UI Symbol"/>
                <w:szCs w:val="24"/>
              </w:rPr>
              <w:t>☐</w:t>
            </w:r>
            <w:r>
              <w:rPr>
                <w:rFonts w:ascii="Times New Roman" w:hAnsi="Times New Roman"/>
                <w:szCs w:val="24"/>
              </w:rPr>
              <w:t>不予批准后再次申报项目；</w:t>
            </w:r>
          </w:p>
          <w:p w14:paraId="7DF55147">
            <w:pPr>
              <w:pStyle w:val="21"/>
              <w:spacing w:before="0" w:line="240" w:lineRule="auto"/>
              <w:ind w:firstLine="0" w:firstLineChars="0"/>
              <w:rPr>
                <w:rFonts w:ascii="Times New Roman" w:hAnsi="Times New Roman"/>
                <w:szCs w:val="24"/>
              </w:rPr>
            </w:pPr>
            <w:r>
              <w:rPr>
                <w:rFonts w:ascii="Segoe UI Symbol" w:hAnsi="Segoe UI Symbol" w:eastAsia="MS Gothic" w:cs="Segoe UI Symbol"/>
                <w:szCs w:val="24"/>
              </w:rPr>
              <w:t>☐</w:t>
            </w:r>
            <w:r>
              <w:rPr>
                <w:rFonts w:ascii="Times New Roman" w:hAnsi="Times New Roman"/>
                <w:szCs w:val="24"/>
              </w:rPr>
              <w:t>超五年重新审核项目；</w:t>
            </w:r>
          </w:p>
          <w:p w14:paraId="10FA9D60">
            <w:pPr>
              <w:pStyle w:val="21"/>
              <w:spacing w:before="0" w:line="240" w:lineRule="auto"/>
              <w:ind w:firstLine="0" w:firstLineChars="0"/>
              <w:rPr>
                <w:rFonts w:ascii="Times New Roman" w:hAnsi="Times New Roman"/>
                <w:szCs w:val="24"/>
              </w:rPr>
            </w:pPr>
            <w:r>
              <w:rPr>
                <w:rFonts w:ascii="Segoe UI Symbol" w:hAnsi="Segoe UI Symbol" w:eastAsia="MS Gothic" w:cs="Segoe UI Symbol"/>
                <w:szCs w:val="24"/>
              </w:rPr>
              <w:t>☐</w:t>
            </w:r>
            <w:r>
              <w:rPr>
                <w:rFonts w:ascii="Times New Roman" w:hAnsi="Times New Roman"/>
                <w:szCs w:val="24"/>
              </w:rPr>
              <w:t>重大变动重新报批项目</w:t>
            </w:r>
          </w:p>
        </w:tc>
      </w:tr>
      <w:tr w14:paraId="4D23AFA7">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0485CE04">
            <w:pPr>
              <w:jc w:val="center"/>
              <w:rPr>
                <w:sz w:val="24"/>
                <w:szCs w:val="24"/>
              </w:rPr>
            </w:pPr>
            <w:r>
              <w:rPr>
                <w:sz w:val="24"/>
                <w:szCs w:val="24"/>
              </w:rPr>
              <w:t>项目审批（核准/备案）部门</w:t>
            </w:r>
          </w:p>
        </w:tc>
        <w:tc>
          <w:tcPr>
            <w:tcW w:w="1719" w:type="pct"/>
            <w:vAlign w:val="center"/>
          </w:tcPr>
          <w:p w14:paraId="7A169AC3">
            <w:pPr>
              <w:jc w:val="center"/>
              <w:rPr>
                <w:sz w:val="24"/>
                <w:szCs w:val="24"/>
              </w:rPr>
            </w:pPr>
            <w:r>
              <w:rPr>
                <w:rFonts w:hint="eastAsia"/>
                <w:sz w:val="24"/>
                <w:szCs w:val="24"/>
                <w:lang w:val="en-US" w:eastAsia="zh-CN"/>
              </w:rPr>
              <w:t>六安市</w:t>
            </w:r>
            <w:r>
              <w:rPr>
                <w:rFonts w:hint="eastAsia"/>
                <w:sz w:val="24"/>
                <w:szCs w:val="24"/>
                <w:lang w:eastAsia="zh-CN"/>
              </w:rPr>
              <w:t>发展和改革委员会</w:t>
            </w:r>
          </w:p>
        </w:tc>
        <w:tc>
          <w:tcPr>
            <w:tcW w:w="761" w:type="pct"/>
            <w:vAlign w:val="center"/>
          </w:tcPr>
          <w:p w14:paraId="62D5EBD9">
            <w:pPr>
              <w:jc w:val="center"/>
              <w:rPr>
                <w:sz w:val="24"/>
                <w:szCs w:val="24"/>
              </w:rPr>
            </w:pPr>
            <w:r>
              <w:rPr>
                <w:sz w:val="24"/>
                <w:szCs w:val="24"/>
              </w:rPr>
              <w:t>项目审批（核准/备案）文号（选填）</w:t>
            </w:r>
          </w:p>
        </w:tc>
        <w:tc>
          <w:tcPr>
            <w:tcW w:w="1862" w:type="pct"/>
            <w:vAlign w:val="center"/>
          </w:tcPr>
          <w:p w14:paraId="20A0D6C1">
            <w:pPr>
              <w:jc w:val="center"/>
              <w:rPr>
                <w:rFonts w:hint="default"/>
                <w:snapToGrid w:val="0"/>
                <w:sz w:val="21"/>
                <w:szCs w:val="21"/>
                <w:lang w:val="en-US"/>
              </w:rPr>
            </w:pPr>
            <w:r>
              <w:rPr>
                <w:rFonts w:hint="eastAsia"/>
                <w:snapToGrid w:val="0"/>
                <w:sz w:val="24"/>
                <w:szCs w:val="24"/>
                <w:highlight w:val="none"/>
                <w:lang w:val="en-US" w:eastAsia="zh-CN"/>
              </w:rPr>
              <w:t>六发改审批核</w:t>
            </w:r>
            <w:r>
              <w:rPr>
                <w:rFonts w:hint="default" w:ascii="Times New Roman" w:hAnsi="Times New Roman" w:cs="Times New Roman"/>
                <w:snapToGrid w:val="0"/>
                <w:color w:val="auto"/>
                <w:spacing w:val="-2"/>
                <w:kern w:val="0"/>
                <w:sz w:val="24"/>
                <w:szCs w:val="24"/>
                <w:highlight w:val="none"/>
                <w:lang w:val="en-US" w:eastAsia="zh-CN"/>
              </w:rPr>
              <w:t>〔20</w:t>
            </w:r>
            <w:r>
              <w:rPr>
                <w:rFonts w:hint="eastAsia" w:cs="Times New Roman"/>
                <w:snapToGrid w:val="0"/>
                <w:color w:val="auto"/>
                <w:spacing w:val="-2"/>
                <w:kern w:val="0"/>
                <w:sz w:val="24"/>
                <w:szCs w:val="24"/>
                <w:highlight w:val="none"/>
                <w:lang w:val="en-US" w:eastAsia="zh-CN"/>
              </w:rPr>
              <w:t>25</w:t>
            </w:r>
            <w:r>
              <w:rPr>
                <w:rFonts w:hint="default" w:ascii="Times New Roman" w:hAnsi="Times New Roman" w:cs="Times New Roman"/>
                <w:snapToGrid w:val="0"/>
                <w:color w:val="auto"/>
                <w:spacing w:val="-2"/>
                <w:kern w:val="0"/>
                <w:sz w:val="24"/>
                <w:szCs w:val="24"/>
                <w:highlight w:val="none"/>
                <w:lang w:val="en-US" w:eastAsia="zh-CN"/>
              </w:rPr>
              <w:t>〕</w:t>
            </w:r>
            <w:r>
              <w:rPr>
                <w:rFonts w:hint="eastAsia" w:cs="Times New Roman"/>
                <w:snapToGrid w:val="0"/>
                <w:color w:val="auto"/>
                <w:spacing w:val="-2"/>
                <w:kern w:val="0"/>
                <w:sz w:val="24"/>
                <w:szCs w:val="24"/>
                <w:highlight w:val="none"/>
                <w:lang w:val="en-US" w:eastAsia="zh-CN"/>
              </w:rPr>
              <w:t>23号</w:t>
            </w:r>
          </w:p>
        </w:tc>
      </w:tr>
      <w:tr w14:paraId="216F778D">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287590E8">
            <w:pPr>
              <w:jc w:val="center"/>
              <w:rPr>
                <w:sz w:val="24"/>
                <w:szCs w:val="24"/>
              </w:rPr>
            </w:pPr>
            <w:r>
              <w:rPr>
                <w:sz w:val="24"/>
                <w:szCs w:val="24"/>
              </w:rPr>
              <w:t>总投资（万元）</w:t>
            </w:r>
          </w:p>
        </w:tc>
        <w:tc>
          <w:tcPr>
            <w:tcW w:w="1719" w:type="pct"/>
            <w:vAlign w:val="center"/>
          </w:tcPr>
          <w:p w14:paraId="4A0EB003">
            <w:pPr>
              <w:jc w:val="center"/>
              <w:rPr>
                <w:rFonts w:hint="default"/>
                <w:sz w:val="24"/>
                <w:szCs w:val="24"/>
                <w:lang w:val="en-US"/>
              </w:rPr>
            </w:pPr>
            <w:r>
              <w:rPr>
                <w:rFonts w:hint="eastAsia"/>
                <w:sz w:val="24"/>
                <w:szCs w:val="24"/>
                <w:lang w:val="en-US" w:eastAsia="zh-CN"/>
              </w:rPr>
              <w:t>17899</w:t>
            </w:r>
          </w:p>
        </w:tc>
        <w:tc>
          <w:tcPr>
            <w:tcW w:w="761" w:type="pct"/>
            <w:vAlign w:val="center"/>
          </w:tcPr>
          <w:p w14:paraId="4573C5D3">
            <w:pPr>
              <w:jc w:val="center"/>
              <w:rPr>
                <w:sz w:val="24"/>
                <w:szCs w:val="24"/>
              </w:rPr>
            </w:pPr>
            <w:r>
              <w:rPr>
                <w:sz w:val="24"/>
                <w:szCs w:val="24"/>
              </w:rPr>
              <w:t>环保投资（万元）</w:t>
            </w:r>
          </w:p>
        </w:tc>
        <w:tc>
          <w:tcPr>
            <w:tcW w:w="1862" w:type="pct"/>
            <w:vAlign w:val="center"/>
          </w:tcPr>
          <w:p w14:paraId="29C1B685">
            <w:pPr>
              <w:jc w:val="center"/>
              <w:rPr>
                <w:rFonts w:hint="default" w:eastAsia="宋体"/>
                <w:sz w:val="24"/>
                <w:szCs w:val="24"/>
                <w:lang w:val="en-US" w:eastAsia="zh-CN"/>
              </w:rPr>
            </w:pPr>
            <w:r>
              <w:rPr>
                <w:rFonts w:hint="eastAsia"/>
                <w:sz w:val="24"/>
                <w:szCs w:val="24"/>
                <w:highlight w:val="none"/>
                <w:lang w:val="en-US" w:eastAsia="zh-CN"/>
              </w:rPr>
              <w:t>150</w:t>
            </w:r>
          </w:p>
        </w:tc>
      </w:tr>
      <w:tr w14:paraId="2F28048F">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55D145D2">
            <w:pPr>
              <w:jc w:val="center"/>
              <w:rPr>
                <w:sz w:val="24"/>
                <w:szCs w:val="24"/>
              </w:rPr>
            </w:pPr>
            <w:r>
              <w:rPr>
                <w:sz w:val="24"/>
                <w:szCs w:val="24"/>
              </w:rPr>
              <w:t>环保投资占总投资比例</w:t>
            </w:r>
            <w:r>
              <w:rPr>
                <w:rFonts w:hint="eastAsia"/>
                <w:sz w:val="24"/>
                <w:szCs w:val="24"/>
                <w:lang w:eastAsia="zh-CN"/>
              </w:rPr>
              <w:t>（</w:t>
            </w:r>
            <w:r>
              <w:rPr>
                <w:sz w:val="24"/>
                <w:szCs w:val="24"/>
              </w:rPr>
              <w:t>%</w:t>
            </w:r>
            <w:r>
              <w:rPr>
                <w:rFonts w:hint="eastAsia"/>
                <w:sz w:val="24"/>
                <w:szCs w:val="24"/>
                <w:lang w:eastAsia="zh-CN"/>
              </w:rPr>
              <w:t>）</w:t>
            </w:r>
          </w:p>
        </w:tc>
        <w:tc>
          <w:tcPr>
            <w:tcW w:w="1719" w:type="pct"/>
            <w:vAlign w:val="center"/>
          </w:tcPr>
          <w:p w14:paraId="759E769F">
            <w:pPr>
              <w:jc w:val="center"/>
              <w:rPr>
                <w:rFonts w:hint="default" w:eastAsia="宋体"/>
                <w:sz w:val="24"/>
                <w:szCs w:val="24"/>
                <w:lang w:val="en-US" w:eastAsia="zh-CN"/>
              </w:rPr>
            </w:pPr>
            <w:r>
              <w:rPr>
                <w:rFonts w:hint="eastAsia"/>
                <w:sz w:val="24"/>
                <w:szCs w:val="24"/>
                <w:highlight w:val="none"/>
                <w:lang w:val="en-US" w:eastAsia="zh-CN"/>
              </w:rPr>
              <w:t>0.84%</w:t>
            </w:r>
          </w:p>
        </w:tc>
        <w:tc>
          <w:tcPr>
            <w:tcW w:w="761" w:type="pct"/>
            <w:vAlign w:val="center"/>
          </w:tcPr>
          <w:p w14:paraId="32394F74">
            <w:pPr>
              <w:jc w:val="center"/>
              <w:rPr>
                <w:sz w:val="24"/>
                <w:szCs w:val="24"/>
              </w:rPr>
            </w:pPr>
            <w:r>
              <w:rPr>
                <w:sz w:val="24"/>
                <w:szCs w:val="24"/>
              </w:rPr>
              <w:t>施工工期</w:t>
            </w:r>
          </w:p>
        </w:tc>
        <w:tc>
          <w:tcPr>
            <w:tcW w:w="1862" w:type="pct"/>
            <w:vAlign w:val="center"/>
          </w:tcPr>
          <w:p w14:paraId="056F3755">
            <w:pPr>
              <w:jc w:val="center"/>
              <w:rPr>
                <w:sz w:val="24"/>
                <w:szCs w:val="24"/>
              </w:rPr>
            </w:pPr>
            <w:r>
              <w:rPr>
                <w:rFonts w:hint="eastAsia"/>
                <w:sz w:val="24"/>
                <w:szCs w:val="24"/>
                <w:highlight w:val="none"/>
                <w:lang w:val="en-US" w:eastAsia="zh-CN"/>
              </w:rPr>
              <w:t>19</w:t>
            </w:r>
            <w:r>
              <w:rPr>
                <w:rFonts w:hint="eastAsia"/>
                <w:sz w:val="24"/>
                <w:szCs w:val="24"/>
                <w:highlight w:val="none"/>
              </w:rPr>
              <w:t>个月</w:t>
            </w:r>
          </w:p>
        </w:tc>
      </w:tr>
      <w:tr w14:paraId="3DE7D30A">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46" w:hRule="atLeast"/>
          <w:jc w:val="center"/>
        </w:trPr>
        <w:tc>
          <w:tcPr>
            <w:tcW w:w="655" w:type="pct"/>
            <w:vAlign w:val="center"/>
          </w:tcPr>
          <w:p w14:paraId="3A3B9D9E">
            <w:pPr>
              <w:jc w:val="center"/>
              <w:rPr>
                <w:sz w:val="24"/>
                <w:szCs w:val="24"/>
              </w:rPr>
            </w:pPr>
            <w:r>
              <w:rPr>
                <w:sz w:val="24"/>
                <w:szCs w:val="24"/>
              </w:rPr>
              <w:t>是否开工建设</w:t>
            </w:r>
          </w:p>
        </w:tc>
        <w:tc>
          <w:tcPr>
            <w:tcW w:w="4344" w:type="pct"/>
            <w:gridSpan w:val="3"/>
            <w:vAlign w:val="center"/>
          </w:tcPr>
          <w:p w14:paraId="0BCABAC8">
            <w:pPr>
              <w:rPr>
                <w:sz w:val="24"/>
                <w:szCs w:val="24"/>
              </w:rPr>
            </w:pPr>
            <w:r>
              <w:rPr>
                <w:sz w:val="24"/>
                <w:szCs w:val="24"/>
              </w:rPr>
              <w:sym w:font="Wingdings 2" w:char="F052"/>
            </w:r>
            <w:r>
              <w:rPr>
                <w:sz w:val="24"/>
                <w:szCs w:val="24"/>
              </w:rPr>
              <w:t>否；</w:t>
            </w:r>
          </w:p>
          <w:p w14:paraId="4FBCFBEA">
            <w:pPr>
              <w:rPr>
                <w:sz w:val="24"/>
                <w:szCs w:val="24"/>
              </w:rPr>
            </w:pPr>
            <w:r>
              <w:rPr>
                <w:rFonts w:ascii="Segoe UI Symbol" w:hAnsi="Segoe UI Symbol" w:eastAsia="MS Gothic" w:cs="Segoe UI Symbol"/>
                <w:sz w:val="24"/>
                <w:szCs w:val="24"/>
              </w:rPr>
              <w:t>☐</w:t>
            </w:r>
            <w:r>
              <w:rPr>
                <w:sz w:val="24"/>
                <w:szCs w:val="24"/>
              </w:rPr>
              <w:t>是：</w:t>
            </w:r>
          </w:p>
        </w:tc>
      </w:tr>
      <w:tr w14:paraId="204DF056">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808" w:hRule="atLeast"/>
          <w:jc w:val="center"/>
        </w:trPr>
        <w:tc>
          <w:tcPr>
            <w:tcW w:w="655" w:type="pct"/>
            <w:vAlign w:val="center"/>
          </w:tcPr>
          <w:p w14:paraId="16B44940">
            <w:pPr>
              <w:jc w:val="center"/>
              <w:rPr>
                <w:sz w:val="24"/>
                <w:szCs w:val="24"/>
              </w:rPr>
            </w:pPr>
            <w:r>
              <w:rPr>
                <w:sz w:val="24"/>
                <w:szCs w:val="24"/>
              </w:rPr>
              <w:t>专项评价设置情况</w:t>
            </w:r>
          </w:p>
        </w:tc>
        <w:tc>
          <w:tcPr>
            <w:tcW w:w="4344" w:type="pct"/>
            <w:gridSpan w:val="3"/>
            <w:vAlign w:val="center"/>
          </w:tcPr>
          <w:p w14:paraId="2096912F">
            <w:pPr>
              <w:pStyle w:val="21"/>
              <w:keepNext w:val="0"/>
              <w:keepLines w:val="0"/>
              <w:pageBreakBefore w:val="0"/>
              <w:widowControl w:val="0"/>
              <w:kinsoku/>
              <w:wordWrap/>
              <w:overflowPunct/>
              <w:topLinePunct w:val="0"/>
              <w:autoSpaceDE/>
              <w:autoSpaceDN/>
              <w:bidi w:val="0"/>
              <w:adjustRightInd/>
              <w:snapToGrid/>
              <w:spacing w:before="0" w:beforeLines="0" w:line="360" w:lineRule="auto"/>
              <w:ind w:left="0" w:leftChars="0" w:firstLine="496" w:firstLineChars="200"/>
              <w:textAlignment w:val="auto"/>
              <w:rPr>
                <w:rFonts w:ascii="Times New Roman" w:hAnsi="Times New Roman"/>
                <w:szCs w:val="24"/>
              </w:rPr>
            </w:pPr>
            <w:r>
              <w:rPr>
                <w:rFonts w:hint="eastAsia" w:ascii="Times New Roman" w:hAnsi="Times New Roman"/>
                <w:szCs w:val="24"/>
                <w:lang w:val="en-US" w:eastAsia="zh-CN"/>
              </w:rPr>
              <w:t>电磁环境：</w:t>
            </w:r>
            <w:r>
              <w:rPr>
                <w:rFonts w:ascii="Times New Roman" w:hAnsi="Times New Roman"/>
                <w:szCs w:val="24"/>
              </w:rPr>
              <w:t>根据《环境影响评价技术导则 输变电》（HJ24-2020）</w:t>
            </w:r>
            <w:r>
              <w:rPr>
                <w:rFonts w:hint="eastAsia" w:ascii="宋体" w:hAnsi="宋体" w:eastAsia="宋体" w:cs="宋体"/>
                <w:szCs w:val="24"/>
              </w:rPr>
              <w:t>“附录</w:t>
            </w:r>
            <w:r>
              <w:rPr>
                <w:rFonts w:ascii="Times New Roman" w:hAnsi="Times New Roman"/>
                <w:szCs w:val="24"/>
              </w:rPr>
              <w:t>B</w:t>
            </w:r>
            <w:r>
              <w:rPr>
                <w:rFonts w:hint="eastAsia" w:ascii="宋体" w:hAnsi="宋体" w:eastAsia="宋体" w:cs="宋体"/>
                <w:szCs w:val="24"/>
              </w:rPr>
              <w:t>”</w:t>
            </w:r>
            <w:r>
              <w:rPr>
                <w:rFonts w:ascii="Times New Roman" w:hAnsi="Times New Roman"/>
                <w:szCs w:val="24"/>
              </w:rPr>
              <w:t>要求，</w:t>
            </w:r>
            <w:r>
              <w:rPr>
                <w:rFonts w:hint="eastAsia" w:ascii="Times New Roman" w:hAnsi="Times New Roman"/>
                <w:szCs w:val="24"/>
                <w:lang w:val="en-US" w:eastAsia="zh-CN"/>
              </w:rPr>
              <w:t>本工程需</w:t>
            </w:r>
            <w:r>
              <w:rPr>
                <w:rFonts w:ascii="Times New Roman" w:hAnsi="Times New Roman"/>
                <w:szCs w:val="24"/>
              </w:rPr>
              <w:t>设置电磁环境影响专项评价。</w:t>
            </w:r>
          </w:p>
          <w:p w14:paraId="34B0DD98">
            <w:pPr>
              <w:pStyle w:val="21"/>
              <w:keepNext w:val="0"/>
              <w:keepLines w:val="0"/>
              <w:pageBreakBefore w:val="0"/>
              <w:widowControl w:val="0"/>
              <w:kinsoku/>
              <w:wordWrap/>
              <w:overflowPunct/>
              <w:topLinePunct w:val="0"/>
              <w:autoSpaceDE/>
              <w:autoSpaceDN/>
              <w:bidi w:val="0"/>
              <w:adjustRightInd/>
              <w:snapToGrid/>
              <w:spacing w:before="0" w:beforeLines="0" w:line="360" w:lineRule="auto"/>
              <w:ind w:left="0" w:leftChars="0" w:firstLine="496" w:firstLineChars="200"/>
              <w:textAlignment w:val="auto"/>
              <w:rPr>
                <w:rFonts w:ascii="Times New Roman" w:hAnsi="Times New Roman"/>
                <w:szCs w:val="24"/>
              </w:rPr>
            </w:pPr>
            <w:r>
              <w:rPr>
                <w:rFonts w:hint="eastAsia" w:ascii="Times New Roman" w:hAnsi="Times New Roman"/>
                <w:szCs w:val="24"/>
                <w:lang w:val="en-US" w:eastAsia="zh-CN"/>
              </w:rPr>
              <w:t>生态环境：根据《环境影响评价技术导则 输变电》（</w:t>
            </w:r>
            <w:r>
              <w:rPr>
                <w:rFonts w:hint="default" w:ascii="Times New Roman" w:hAnsi="Times New Roman"/>
                <w:szCs w:val="24"/>
                <w:lang w:val="en-US" w:eastAsia="zh-CN"/>
              </w:rPr>
              <w:t>HJ24-2020</w:t>
            </w:r>
            <w:r>
              <w:rPr>
                <w:rFonts w:hint="eastAsia" w:ascii="Times New Roman" w:hAnsi="Times New Roman"/>
                <w:szCs w:val="24"/>
                <w:lang w:val="en-US" w:eastAsia="zh-CN"/>
              </w:rPr>
              <w:t>）、《关于印发</w:t>
            </w:r>
            <w:r>
              <w:rPr>
                <w:rFonts w:hint="default" w:ascii="Times New Roman" w:hAnsi="Times New Roman"/>
                <w:szCs w:val="24"/>
                <w:lang w:val="en-US" w:eastAsia="zh-CN"/>
              </w:rPr>
              <w:t>&lt;</w:t>
            </w:r>
            <w:r>
              <w:rPr>
                <w:rFonts w:hint="eastAsia" w:ascii="Times New Roman" w:hAnsi="Times New Roman"/>
                <w:szCs w:val="24"/>
                <w:lang w:val="en-US" w:eastAsia="zh-CN"/>
              </w:rPr>
              <w:t>建设项目环境影响报告表</w:t>
            </w:r>
            <w:r>
              <w:rPr>
                <w:rFonts w:hint="default" w:ascii="Times New Roman" w:hAnsi="Times New Roman"/>
                <w:szCs w:val="24"/>
                <w:lang w:val="en-US" w:eastAsia="zh-CN"/>
              </w:rPr>
              <w:t>&gt;</w:t>
            </w:r>
            <w:r>
              <w:rPr>
                <w:rFonts w:hint="eastAsia" w:ascii="Times New Roman" w:hAnsi="Times New Roman"/>
                <w:szCs w:val="24"/>
                <w:lang w:val="en-US" w:eastAsia="zh-CN"/>
              </w:rPr>
              <w:t>内容、格式及编制技术指南的通知》（环办环评〔</w:t>
            </w:r>
            <w:r>
              <w:rPr>
                <w:rFonts w:hint="default" w:ascii="Times New Roman" w:hAnsi="Times New Roman"/>
                <w:szCs w:val="24"/>
                <w:lang w:val="en-US" w:eastAsia="zh-CN"/>
              </w:rPr>
              <w:t>2020</w:t>
            </w:r>
            <w:r>
              <w:rPr>
                <w:rFonts w:hint="eastAsia" w:ascii="Times New Roman" w:hAnsi="Times New Roman"/>
                <w:szCs w:val="24"/>
                <w:lang w:val="en-US" w:eastAsia="zh-CN"/>
              </w:rPr>
              <w:t>〕</w:t>
            </w:r>
            <w:r>
              <w:rPr>
                <w:rFonts w:hint="default" w:ascii="Times New Roman" w:hAnsi="Times New Roman"/>
                <w:szCs w:val="24"/>
                <w:lang w:val="en-US" w:eastAsia="zh-CN"/>
              </w:rPr>
              <w:t>33</w:t>
            </w:r>
            <w:r>
              <w:rPr>
                <w:rFonts w:hint="eastAsia" w:ascii="Times New Roman" w:hAnsi="Times New Roman"/>
                <w:szCs w:val="24"/>
                <w:lang w:val="en-US" w:eastAsia="zh-CN"/>
              </w:rPr>
              <w:t>号）中相关要求，本工程需设置生态环境影响专项评价。</w:t>
            </w:r>
          </w:p>
        </w:tc>
      </w:tr>
      <w:tr w14:paraId="35A6B6DE">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286" w:hRule="atLeast"/>
          <w:jc w:val="center"/>
        </w:trPr>
        <w:tc>
          <w:tcPr>
            <w:tcW w:w="655" w:type="pct"/>
            <w:vAlign w:val="center"/>
          </w:tcPr>
          <w:p w14:paraId="6CA4A419">
            <w:pPr>
              <w:jc w:val="center"/>
              <w:rPr>
                <w:sz w:val="24"/>
                <w:szCs w:val="24"/>
              </w:rPr>
            </w:pPr>
            <w:r>
              <w:rPr>
                <w:sz w:val="24"/>
                <w:szCs w:val="24"/>
              </w:rPr>
              <w:t>规划情况</w:t>
            </w:r>
          </w:p>
        </w:tc>
        <w:tc>
          <w:tcPr>
            <w:tcW w:w="4344" w:type="pct"/>
            <w:gridSpan w:val="3"/>
            <w:vAlign w:val="center"/>
          </w:tcPr>
          <w:p w14:paraId="2A9FC05E">
            <w:pPr>
              <w:keepNext w:val="0"/>
              <w:keepLines w:val="0"/>
              <w:pageBreakBefore w:val="0"/>
              <w:widowControl w:val="0"/>
              <w:numPr>
                <w:ilvl w:val="0"/>
                <w:numId w:val="0"/>
              </w:numPr>
              <w:suppressLineNumbers w:val="0"/>
              <w:tabs>
                <w:tab w:val="left" w:pos="1167"/>
                <w:tab w:val="center" w:pos="4084"/>
              </w:tabs>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rPr>
                <w:rFonts w:hint="eastAsia" w:ascii="Times New Roman" w:hAnsi="Times New Roman" w:cs="Times New Roman"/>
                <w:color w:val="auto"/>
                <w:sz w:val="24"/>
                <w:szCs w:val="24"/>
                <w:vertAlign w:val="baseline"/>
                <w:lang w:val="en-US" w:eastAsia="zh-CN"/>
              </w:rPr>
            </w:pPr>
            <w:r>
              <w:rPr>
                <w:rFonts w:hint="eastAsia" w:ascii="Times New Roman" w:hAnsi="Times New Roman" w:cs="Times New Roman"/>
                <w:color w:val="auto"/>
                <w:sz w:val="24"/>
                <w:szCs w:val="24"/>
                <w:vertAlign w:val="baseline"/>
                <w:lang w:val="en-US" w:eastAsia="zh-CN"/>
              </w:rPr>
              <w:t>规划名称：《金寨县国土空间总体规划（2021-2035年）》</w:t>
            </w:r>
          </w:p>
          <w:p w14:paraId="642D7BE3">
            <w:pPr>
              <w:keepNext w:val="0"/>
              <w:keepLines w:val="0"/>
              <w:pageBreakBefore w:val="0"/>
              <w:widowControl w:val="0"/>
              <w:numPr>
                <w:ilvl w:val="0"/>
                <w:numId w:val="0"/>
              </w:numPr>
              <w:suppressLineNumbers w:val="0"/>
              <w:tabs>
                <w:tab w:val="left" w:pos="1167"/>
                <w:tab w:val="center" w:pos="4084"/>
              </w:tabs>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rPr>
                <w:rFonts w:hint="default"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审批</w:t>
            </w:r>
            <w:r>
              <w:rPr>
                <w:rFonts w:hint="eastAsia" w:ascii="Times New Roman" w:hAnsi="Times New Roman" w:cs="Times New Roman"/>
                <w:color w:val="auto"/>
                <w:sz w:val="24"/>
                <w:szCs w:val="24"/>
                <w:vertAlign w:val="baseline"/>
                <w:lang w:val="en-US" w:eastAsia="zh-CN"/>
              </w:rPr>
              <w:t>机关：</w:t>
            </w:r>
            <w:r>
              <w:rPr>
                <w:rFonts w:hint="eastAsia" w:cs="Times New Roman"/>
                <w:color w:val="auto"/>
                <w:sz w:val="24"/>
                <w:szCs w:val="24"/>
                <w:vertAlign w:val="baseline"/>
                <w:lang w:val="en-US" w:eastAsia="zh-CN"/>
              </w:rPr>
              <w:t>六安市</w:t>
            </w:r>
            <w:r>
              <w:rPr>
                <w:rFonts w:hint="eastAsia" w:ascii="Times New Roman" w:hAnsi="Times New Roman" w:cs="Times New Roman"/>
                <w:color w:val="auto"/>
                <w:sz w:val="24"/>
                <w:szCs w:val="24"/>
                <w:vertAlign w:val="baseline"/>
                <w:lang w:val="en-US" w:eastAsia="zh-CN"/>
              </w:rPr>
              <w:t>人民政府</w:t>
            </w:r>
          </w:p>
          <w:p w14:paraId="6903448A">
            <w:pPr>
              <w:keepNext w:val="0"/>
              <w:keepLines w:val="0"/>
              <w:pageBreakBefore w:val="0"/>
              <w:widowControl w:val="0"/>
              <w:numPr>
                <w:ilvl w:val="0"/>
                <w:numId w:val="0"/>
              </w:numPr>
              <w:suppressLineNumbers w:val="0"/>
              <w:tabs>
                <w:tab w:val="left" w:pos="1167"/>
                <w:tab w:val="center" w:pos="4084"/>
              </w:tabs>
              <w:kinsoku/>
              <w:wordWrap/>
              <w:overflowPunct/>
              <w:topLinePunct w:val="0"/>
              <w:autoSpaceDE/>
              <w:autoSpaceDN/>
              <w:bidi w:val="0"/>
              <w:adjustRightInd/>
              <w:snapToGrid/>
              <w:spacing w:before="0" w:beforeAutospacing="0" w:after="0" w:afterAutospacing="0" w:line="360" w:lineRule="auto"/>
              <w:ind w:left="0" w:leftChars="0" w:right="0" w:rightChars="0"/>
              <w:jc w:val="left"/>
              <w:textAlignment w:val="auto"/>
              <w:rPr>
                <w:rFonts w:hint="eastAsia" w:ascii="Times New Roman" w:hAnsi="Times New Roman" w:cs="Times New Roman"/>
                <w:color w:val="auto"/>
                <w:sz w:val="24"/>
                <w:szCs w:val="24"/>
                <w:vertAlign w:val="baseline"/>
                <w:lang w:val="en-US" w:eastAsia="zh-CN"/>
              </w:rPr>
            </w:pPr>
            <w:r>
              <w:rPr>
                <w:rFonts w:hint="eastAsia" w:cs="Times New Roman"/>
                <w:color w:val="auto"/>
                <w:sz w:val="24"/>
                <w:szCs w:val="24"/>
                <w:vertAlign w:val="baseline"/>
                <w:lang w:val="en-US" w:eastAsia="zh-CN"/>
              </w:rPr>
              <w:t>审批</w:t>
            </w:r>
            <w:r>
              <w:rPr>
                <w:rFonts w:hint="eastAsia" w:ascii="Times New Roman" w:hAnsi="Times New Roman" w:cs="Times New Roman"/>
                <w:color w:val="auto"/>
                <w:sz w:val="24"/>
                <w:szCs w:val="24"/>
                <w:vertAlign w:val="baseline"/>
                <w:lang w:val="en-US" w:eastAsia="zh-CN"/>
              </w:rPr>
              <w:t>文件名称：六安市人民政府关于《金寨县国土空间总体规划（2021-2035年）》的批复</w:t>
            </w:r>
          </w:p>
          <w:p w14:paraId="2E298F36">
            <w:pPr>
              <w:pStyle w:val="21"/>
              <w:spacing w:before="0" w:line="240" w:lineRule="auto"/>
              <w:ind w:firstLine="0" w:firstLineChars="0"/>
              <w:jc w:val="left"/>
              <w:rPr>
                <w:rFonts w:ascii="Times New Roman" w:hAnsi="Times New Roman"/>
                <w:szCs w:val="24"/>
              </w:rPr>
            </w:pPr>
            <w:r>
              <w:rPr>
                <w:rFonts w:hint="eastAsia" w:cs="Times New Roman"/>
                <w:color w:val="auto"/>
                <w:sz w:val="24"/>
                <w:szCs w:val="24"/>
                <w:vertAlign w:val="baseline"/>
                <w:lang w:val="en-US" w:eastAsia="zh-CN"/>
              </w:rPr>
              <w:t>审批</w:t>
            </w:r>
            <w:r>
              <w:rPr>
                <w:rFonts w:hint="eastAsia" w:ascii="Times New Roman" w:hAnsi="Times New Roman" w:cs="Times New Roman"/>
                <w:color w:val="auto"/>
                <w:sz w:val="24"/>
                <w:szCs w:val="24"/>
                <w:vertAlign w:val="baseline"/>
                <w:lang w:val="en-US" w:eastAsia="zh-CN"/>
              </w:rPr>
              <w:t>文号：六政秘〔2024〕71</w:t>
            </w:r>
            <w:r>
              <w:rPr>
                <w:rFonts w:hint="default" w:ascii="Times New Roman" w:hAnsi="Times New Roman" w:eastAsia="宋体" w:cs="Times New Roman"/>
                <w:color w:val="000000"/>
                <w:kern w:val="0"/>
                <w:sz w:val="24"/>
              </w:rPr>
              <w:t>号</w:t>
            </w:r>
          </w:p>
        </w:tc>
      </w:tr>
      <w:tr w14:paraId="50115A35">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01" w:hRule="atLeast"/>
          <w:jc w:val="center"/>
        </w:trPr>
        <w:tc>
          <w:tcPr>
            <w:tcW w:w="655" w:type="pct"/>
            <w:vAlign w:val="center"/>
          </w:tcPr>
          <w:p w14:paraId="675B247E">
            <w:pPr>
              <w:jc w:val="center"/>
              <w:rPr>
                <w:sz w:val="24"/>
                <w:szCs w:val="24"/>
              </w:rPr>
            </w:pPr>
            <w:r>
              <w:rPr>
                <w:sz w:val="24"/>
                <w:szCs w:val="24"/>
              </w:rPr>
              <w:t>规划环境影响评价情况</w:t>
            </w:r>
          </w:p>
        </w:tc>
        <w:tc>
          <w:tcPr>
            <w:tcW w:w="4344" w:type="pct"/>
            <w:gridSpan w:val="3"/>
            <w:vAlign w:val="center"/>
          </w:tcPr>
          <w:p w14:paraId="024B9D28">
            <w:pPr>
              <w:pStyle w:val="21"/>
              <w:spacing w:before="0" w:line="240" w:lineRule="auto"/>
              <w:ind w:firstLine="0" w:firstLineChars="0"/>
              <w:jc w:val="center"/>
              <w:rPr>
                <w:rFonts w:ascii="Times New Roman" w:hAnsi="Times New Roman"/>
                <w:szCs w:val="24"/>
              </w:rPr>
            </w:pPr>
            <w:r>
              <w:rPr>
                <w:rFonts w:ascii="Times New Roman" w:hAnsi="Times New Roman"/>
                <w:szCs w:val="24"/>
              </w:rPr>
              <w:t>无</w:t>
            </w:r>
          </w:p>
        </w:tc>
      </w:tr>
      <w:tr w14:paraId="7DD19477">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153" w:hRule="atLeast"/>
          <w:jc w:val="center"/>
        </w:trPr>
        <w:tc>
          <w:tcPr>
            <w:tcW w:w="655" w:type="pct"/>
            <w:vAlign w:val="center"/>
          </w:tcPr>
          <w:p w14:paraId="2ED8CBE4">
            <w:pPr>
              <w:jc w:val="center"/>
              <w:rPr>
                <w:sz w:val="24"/>
                <w:szCs w:val="24"/>
              </w:rPr>
            </w:pPr>
            <w:r>
              <w:rPr>
                <w:sz w:val="24"/>
                <w:szCs w:val="24"/>
              </w:rPr>
              <w:t>规划及规划环境影响评价符合性分析</w:t>
            </w:r>
          </w:p>
        </w:tc>
        <w:tc>
          <w:tcPr>
            <w:tcW w:w="4344" w:type="pct"/>
            <w:gridSpan w:val="3"/>
            <w:vAlign w:val="center"/>
          </w:tcPr>
          <w:p w14:paraId="46E53F9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82" w:firstLineChars="200"/>
              <w:jc w:val="both"/>
              <w:textAlignment w:val="auto"/>
              <w:rPr>
                <w:rFonts w:hint="default" w:ascii="Times New Roman" w:hAnsi="Times New Roman" w:cs="Times New Roman"/>
                <w:b w:val="0"/>
                <w:bCs w:val="0"/>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1、</w:t>
            </w:r>
            <w:r>
              <w:rPr>
                <w:rFonts w:hint="eastAsia" w:cs="Times New Roman"/>
                <w:b/>
                <w:bCs/>
                <w:color w:val="auto"/>
                <w:kern w:val="0"/>
                <w:sz w:val="24"/>
                <w:szCs w:val="24"/>
                <w:lang w:val="en-US" w:eastAsia="zh-CN"/>
              </w:rPr>
              <w:t>本工程</w:t>
            </w:r>
            <w:r>
              <w:rPr>
                <w:rFonts w:hint="default" w:ascii="Times New Roman" w:hAnsi="Times New Roman" w:cs="Times New Roman"/>
                <w:b/>
                <w:bCs/>
                <w:color w:val="auto"/>
                <w:kern w:val="0"/>
                <w:sz w:val="24"/>
                <w:szCs w:val="24"/>
                <w:lang w:val="en-US" w:eastAsia="zh-CN"/>
              </w:rPr>
              <w:t>与《金寨县国土空间总体规划（2021-2035年）》的符合性分析</w:t>
            </w:r>
          </w:p>
          <w:p w14:paraId="16A4AD17">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
              </w:rPr>
            </w:pPr>
            <w:r>
              <w:rPr>
                <w:rFonts w:hint="eastAsia" w:ascii="Times New Roman" w:hAnsi="Times New Roman" w:eastAsia="宋体" w:cs="Times New Roman"/>
                <w:b w:val="0"/>
                <w:bCs w:val="0"/>
                <w:color w:val="auto"/>
                <w:kern w:val="0"/>
                <w:sz w:val="24"/>
                <w:szCs w:val="24"/>
                <w:highlight w:val="none"/>
                <w:lang w:val="en-US" w:eastAsia="zh-CN" w:bidi="ar"/>
              </w:rPr>
              <w:t>《金寨县国土空间总体规划（2021-2035年）》提出“加强重点矿种和急需矿种的勘查，落实金寨沙坪沟钼矿开发项目，推进金寨沙坪沟钼矿国家规划矿区建设”，并将金寨县沙坪沟钼矿采选项目列入“专栏48近期重点项目—重大基础设施项目”</w:t>
            </w:r>
            <w:r>
              <w:rPr>
                <w:rFonts w:hint="eastAsia" w:cs="Times New Roman"/>
                <w:b w:val="0"/>
                <w:bCs w:val="0"/>
                <w:color w:val="auto"/>
                <w:kern w:val="0"/>
                <w:sz w:val="24"/>
                <w:szCs w:val="24"/>
                <w:highlight w:val="none"/>
                <w:lang w:val="en-US" w:eastAsia="zh-CN" w:bidi="ar"/>
              </w:rPr>
              <w:t>（详见附件38和附件39）</w:t>
            </w:r>
            <w:r>
              <w:rPr>
                <w:rFonts w:hint="eastAsia" w:ascii="Times New Roman" w:hAnsi="Times New Roman" w:eastAsia="宋体" w:cs="Times New Roman"/>
                <w:b w:val="0"/>
                <w:bCs w:val="0"/>
                <w:color w:val="auto"/>
                <w:kern w:val="0"/>
                <w:sz w:val="24"/>
                <w:szCs w:val="24"/>
                <w:highlight w:val="none"/>
                <w:lang w:val="en-US" w:eastAsia="zh-CN" w:bidi="ar"/>
              </w:rPr>
              <w:t>。</w:t>
            </w:r>
            <w:r>
              <w:rPr>
                <w:rFonts w:hint="eastAsia" w:cs="Times New Roman"/>
                <w:b w:val="0"/>
                <w:bCs w:val="0"/>
                <w:color w:val="auto"/>
                <w:kern w:val="0"/>
                <w:sz w:val="24"/>
                <w:szCs w:val="24"/>
                <w:highlight w:val="none"/>
                <w:lang w:val="en-US" w:eastAsia="zh-CN" w:bidi="ar"/>
              </w:rPr>
              <w:t>本工程</w:t>
            </w:r>
            <w:r>
              <w:rPr>
                <w:rFonts w:hint="eastAsia" w:ascii="Times New Roman" w:hAnsi="Times New Roman" w:eastAsia="宋体" w:cs="Times New Roman"/>
                <w:b w:val="0"/>
                <w:bCs w:val="0"/>
                <w:color w:val="auto"/>
                <w:kern w:val="0"/>
                <w:sz w:val="24"/>
                <w:szCs w:val="24"/>
                <w:highlight w:val="none"/>
                <w:lang w:val="en-US" w:eastAsia="zh-CN" w:bidi="ar"/>
              </w:rPr>
              <w:t>属于沙坪沟钼矿配套电力设施，已列入《金寨县国土空间总体规划（2021-2035年）》-重点项目安排表，项目的建设对于满足沙坪沟钼矿开发、缓解区域电网供应压力具有重要的意义，</w:t>
            </w:r>
            <w:r>
              <w:rPr>
                <w:rFonts w:hint="eastAsia" w:cs="Times New Roman"/>
                <w:b w:val="0"/>
                <w:bCs w:val="0"/>
                <w:color w:val="auto"/>
                <w:kern w:val="0"/>
                <w:sz w:val="24"/>
                <w:szCs w:val="24"/>
                <w:highlight w:val="none"/>
                <w:lang w:val="en-US" w:eastAsia="zh-CN" w:bidi="ar"/>
              </w:rPr>
              <w:t>本工程</w:t>
            </w:r>
            <w:r>
              <w:rPr>
                <w:rFonts w:hint="eastAsia" w:ascii="Times New Roman" w:hAnsi="Times New Roman" w:eastAsia="宋体" w:cs="Times New Roman"/>
                <w:b w:val="0"/>
                <w:bCs w:val="0"/>
                <w:color w:val="auto"/>
                <w:kern w:val="0"/>
                <w:sz w:val="24"/>
                <w:szCs w:val="24"/>
                <w:highlight w:val="none"/>
                <w:lang w:val="en-US" w:eastAsia="zh-CN" w:bidi="ar"/>
              </w:rPr>
              <w:t>符合金寨县国土空间总体规划。</w:t>
            </w:r>
          </w:p>
          <w:p w14:paraId="00DDFF62">
            <w:pPr>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b w:val="0"/>
                <w:bCs w:val="0"/>
                <w:color w:val="auto"/>
                <w:kern w:val="0"/>
                <w:sz w:val="24"/>
                <w:szCs w:val="24"/>
                <w:highlight w:val="none"/>
                <w:lang w:val="en-US" w:eastAsia="zh-CN" w:bidi="ar"/>
              </w:rPr>
            </w:pPr>
            <w:r>
              <w:rPr>
                <w:rFonts w:hint="eastAsia" w:ascii="Times New Roman" w:hAnsi="Times New Roman" w:eastAsia="宋体" w:cs="Times New Roman"/>
                <w:b w:val="0"/>
                <w:bCs w:val="0"/>
                <w:color w:val="auto"/>
                <w:kern w:val="0"/>
                <w:sz w:val="24"/>
                <w:szCs w:val="24"/>
                <w:highlight w:val="none"/>
                <w:lang w:val="en-US" w:eastAsia="zh-CN" w:bidi="ar"/>
              </w:rPr>
              <w:t>根据《金寨县国土空间总体规划（2021-2035年）》</w:t>
            </w:r>
            <w:r>
              <w:rPr>
                <w:rFonts w:hint="eastAsia" w:cs="Times New Roman"/>
                <w:b w:val="0"/>
                <w:bCs w:val="0"/>
                <w:color w:val="auto"/>
                <w:kern w:val="0"/>
                <w:sz w:val="24"/>
                <w:szCs w:val="24"/>
                <w:highlight w:val="none"/>
                <w:lang w:val="en-US" w:eastAsia="zh-CN" w:bidi="ar"/>
              </w:rPr>
              <w:t>中相关内容</w:t>
            </w:r>
            <w:r>
              <w:rPr>
                <w:rFonts w:hint="eastAsia" w:ascii="Times New Roman" w:hAnsi="Times New Roman" w:eastAsia="宋体" w:cs="Times New Roman"/>
                <w:b w:val="0"/>
                <w:bCs w:val="0"/>
                <w:color w:val="auto"/>
                <w:kern w:val="0"/>
                <w:sz w:val="24"/>
                <w:szCs w:val="24"/>
                <w:highlight w:val="none"/>
                <w:lang w:val="en-US" w:eastAsia="zh-CN" w:bidi="ar"/>
              </w:rPr>
              <w:t>，</w:t>
            </w:r>
            <w:r>
              <w:rPr>
                <w:rFonts w:hint="eastAsia" w:cs="Times New Roman"/>
                <w:b w:val="0"/>
                <w:bCs w:val="0"/>
                <w:color w:val="auto"/>
                <w:kern w:val="0"/>
                <w:sz w:val="24"/>
                <w:szCs w:val="24"/>
                <w:highlight w:val="none"/>
                <w:lang w:val="en-US" w:eastAsia="zh-CN" w:bidi="ar"/>
              </w:rPr>
              <w:t>本工程</w:t>
            </w:r>
            <w:r>
              <w:rPr>
                <w:rFonts w:hint="eastAsia" w:ascii="Times New Roman" w:hAnsi="Times New Roman" w:eastAsia="宋体" w:cs="Times New Roman"/>
                <w:b w:val="0"/>
                <w:bCs w:val="0"/>
                <w:color w:val="auto"/>
                <w:kern w:val="0"/>
                <w:sz w:val="24"/>
                <w:szCs w:val="24"/>
                <w:highlight w:val="none"/>
                <w:lang w:val="en-US" w:eastAsia="zh-CN" w:bidi="ar"/>
              </w:rPr>
              <w:t>与《金寨县国土空间总体规划（2021-2035年）》的符合性分析</w:t>
            </w:r>
            <w:r>
              <w:rPr>
                <w:rFonts w:hint="eastAsia" w:cs="Times New Roman"/>
                <w:b w:val="0"/>
                <w:bCs w:val="0"/>
                <w:color w:val="auto"/>
                <w:kern w:val="0"/>
                <w:sz w:val="24"/>
                <w:szCs w:val="24"/>
                <w:highlight w:val="none"/>
                <w:lang w:val="en-US" w:eastAsia="zh-CN" w:bidi="ar"/>
              </w:rPr>
              <w:t>情况详见下表</w:t>
            </w:r>
            <w:r>
              <w:rPr>
                <w:rFonts w:hint="eastAsia" w:ascii="Times New Roman" w:hAnsi="Times New Roman" w:eastAsia="宋体" w:cs="Times New Roman"/>
                <w:b w:val="0"/>
                <w:bCs w:val="0"/>
                <w:color w:val="auto"/>
                <w:kern w:val="0"/>
                <w:sz w:val="24"/>
                <w:szCs w:val="24"/>
                <w:highlight w:val="none"/>
                <w:lang w:val="en-US" w:eastAsia="zh-CN" w:bidi="ar"/>
              </w:rPr>
              <w:t>。</w:t>
            </w:r>
          </w:p>
          <w:p w14:paraId="0F5C27D1">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jc w:val="center"/>
              <w:textAlignment w:val="auto"/>
              <w:rPr>
                <w:rFonts w:hint="default" w:ascii="Times New Roman" w:hAnsi="Times New Roman" w:cs="Times New Roman"/>
                <w:b/>
                <w:color w:val="auto"/>
                <w:sz w:val="21"/>
                <w:szCs w:val="21"/>
                <w:highlight w:val="none"/>
                <w:lang w:val="en-US"/>
              </w:rPr>
            </w:pPr>
            <w:r>
              <w:rPr>
                <w:rFonts w:hint="default" w:ascii="Times New Roman" w:hAnsi="Times New Roman" w:cs="Times New Roman"/>
                <w:b/>
                <w:color w:val="auto"/>
                <w:sz w:val="21"/>
                <w:szCs w:val="21"/>
                <w:highlight w:val="none"/>
                <w:lang w:val="zh-CN"/>
              </w:rPr>
              <w:t>表1-</w:t>
            </w:r>
            <w:r>
              <w:rPr>
                <w:rFonts w:hint="eastAsia"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lang w:val="zh-CN"/>
              </w:rPr>
              <w:t>项目与</w:t>
            </w:r>
            <w:r>
              <w:rPr>
                <w:rFonts w:hint="default" w:ascii="Times New Roman" w:hAnsi="Times New Roman" w:cs="Times New Roman"/>
                <w:b/>
                <w:color w:val="auto"/>
                <w:sz w:val="21"/>
                <w:szCs w:val="21"/>
                <w:highlight w:val="none"/>
                <w:lang w:val="zh-CN" w:eastAsia="zh-CN"/>
              </w:rPr>
              <w:t>《金寨县国土空间总体规划（2021-2035年）》</w:t>
            </w:r>
            <w:r>
              <w:rPr>
                <w:rFonts w:hint="default" w:ascii="Times New Roman" w:hAnsi="Times New Roman" w:cs="Times New Roman"/>
                <w:b/>
                <w:color w:val="auto"/>
                <w:sz w:val="21"/>
                <w:szCs w:val="21"/>
                <w:highlight w:val="none"/>
                <w:lang w:val="zh-CN"/>
              </w:rPr>
              <w:t>的</w:t>
            </w:r>
            <w:r>
              <w:rPr>
                <w:rFonts w:hint="eastAsia" w:ascii="Times New Roman" w:hAnsi="Times New Roman" w:cs="Times New Roman"/>
                <w:b/>
                <w:color w:val="auto"/>
                <w:sz w:val="21"/>
                <w:szCs w:val="21"/>
                <w:highlight w:val="none"/>
                <w:lang w:val="en-US" w:eastAsia="zh-CN"/>
              </w:rPr>
              <w:t>符合性分析</w:t>
            </w:r>
            <w:r>
              <w:rPr>
                <w:rFonts w:hint="eastAsia" w:cs="Times New Roman"/>
                <w:b/>
                <w:color w:val="auto"/>
                <w:sz w:val="21"/>
                <w:szCs w:val="21"/>
                <w:highlight w:val="none"/>
                <w:lang w:val="en-US" w:eastAsia="zh-CN"/>
              </w:rPr>
              <w:t>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3760"/>
              <w:gridCol w:w="2799"/>
              <w:gridCol w:w="916"/>
            </w:tblGrid>
            <w:tr w14:paraId="4CC41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dxa"/>
                  <w:noWrap w:val="0"/>
                  <w:vAlign w:val="center"/>
                </w:tcPr>
                <w:p w14:paraId="728F7B7A">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3760" w:type="dxa"/>
                  <w:noWrap w:val="0"/>
                  <w:vAlign w:val="center"/>
                </w:tcPr>
                <w:p w14:paraId="75DA5993">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规划</w:t>
                  </w:r>
                  <w:r>
                    <w:rPr>
                      <w:rFonts w:hint="default" w:ascii="Times New Roman" w:hAnsi="Times New Roman" w:cs="Times New Roman"/>
                      <w:b/>
                      <w:color w:val="auto"/>
                      <w:sz w:val="21"/>
                      <w:szCs w:val="21"/>
                      <w:highlight w:val="none"/>
                    </w:rPr>
                    <w:t>要求</w:t>
                  </w:r>
                </w:p>
              </w:tc>
              <w:tc>
                <w:tcPr>
                  <w:tcW w:w="2799" w:type="dxa"/>
                  <w:noWrap w:val="0"/>
                  <w:vAlign w:val="center"/>
                </w:tcPr>
                <w:p w14:paraId="3C5A0E3D">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rPr>
                    <w:t>项目</w:t>
                  </w:r>
                  <w:r>
                    <w:rPr>
                      <w:rFonts w:hint="default" w:ascii="Times New Roman" w:hAnsi="Times New Roman" w:cs="Times New Roman"/>
                      <w:b/>
                      <w:color w:val="auto"/>
                      <w:sz w:val="21"/>
                      <w:szCs w:val="21"/>
                      <w:highlight w:val="none"/>
                      <w:lang w:val="en-US" w:eastAsia="zh-CN"/>
                    </w:rPr>
                    <w:t>情况</w:t>
                  </w:r>
                </w:p>
              </w:tc>
              <w:tc>
                <w:tcPr>
                  <w:tcW w:w="916" w:type="dxa"/>
                  <w:noWrap w:val="0"/>
                  <w:vAlign w:val="center"/>
                </w:tcPr>
                <w:p w14:paraId="3DEC0AAD">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符合性</w:t>
                  </w:r>
                </w:p>
              </w:tc>
            </w:tr>
            <w:tr w14:paraId="4B446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dxa"/>
                  <w:noWrap w:val="0"/>
                  <w:vAlign w:val="center"/>
                </w:tcPr>
                <w:p w14:paraId="2DC52335">
                  <w:pPr>
                    <w:keepNext w:val="0"/>
                    <w:keepLines w:val="0"/>
                    <w:suppressLineNumbers w:val="0"/>
                    <w:tabs>
                      <w:tab w:val="left" w:pos="840"/>
                      <w:tab w:val="right" w:leader="dot" w:pos="8820"/>
                    </w:tabs>
                    <w:spacing w:before="0" w:beforeAutospacing="0" w:after="0" w:afterAutospacing="0" w:line="240" w:lineRule="auto"/>
                    <w:ind w:left="0" w:right="0"/>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p>
              </w:tc>
              <w:tc>
                <w:tcPr>
                  <w:tcW w:w="3760" w:type="dxa"/>
                  <w:noWrap w:val="0"/>
                  <w:vAlign w:val="center"/>
                </w:tcPr>
                <w:p w14:paraId="7A785B57">
                  <w:pPr>
                    <w:keepNext w:val="0"/>
                    <w:keepLines w:val="0"/>
                    <w:pageBreakBefore w:val="0"/>
                    <w:widowControl w:val="0"/>
                    <w:suppressLineNumbers w:val="0"/>
                    <w:tabs>
                      <w:tab w:val="left" w:pos="840"/>
                      <w:tab w:val="right" w:leader="dot" w:pos="8820"/>
                    </w:tabs>
                    <w:kinsoku/>
                    <w:wordWrap/>
                    <w:overflowPunct/>
                    <w:topLinePunct w:val="0"/>
                    <w:autoSpaceDE/>
                    <w:autoSpaceDN/>
                    <w:bidi w:val="0"/>
                    <w:adjustRightInd w:val="0"/>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生态保护红线管控要求：生态保护红线一经划定，未经批准严禁擅自调整。自然保护地边界发生调整的，依据相关批准文件，对生态保护红线做相应调整。以生态保护红线围合的空间为核心，严格控制人为活动尤其是开发建设对生态系统的破坏和扰动，整体保护和合理利用森林、湿地、河流、荒地等自然生态空间，确保生态功能不降低、面积不减少、性质不改变。生态保护红线内按自然保护地核心保护区和其他区域进行分类管控。自然保护地核心保护区原则上禁止人为活动，其他区域禁止开发性、生产性建设活动。在符合现行法律法规前提下，仅允许对生态功能不造成破坏的有限人为活动和国家重大项目占用生态保护红线。</w:t>
                  </w:r>
                </w:p>
              </w:tc>
              <w:tc>
                <w:tcPr>
                  <w:tcW w:w="2799" w:type="dxa"/>
                  <w:noWrap w:val="0"/>
                  <w:vAlign w:val="center"/>
                </w:tcPr>
                <w:p w14:paraId="7BA5D954">
                  <w:pPr>
                    <w:keepNext w:val="0"/>
                    <w:keepLines w:val="0"/>
                    <w:pageBreakBefore w:val="0"/>
                    <w:widowControl w:val="0"/>
                    <w:suppressLineNumbers w:val="0"/>
                    <w:tabs>
                      <w:tab w:val="left" w:pos="840"/>
                      <w:tab w:val="right" w:leader="dot" w:pos="8820"/>
                    </w:tabs>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本工程</w:t>
                  </w:r>
                  <w:r>
                    <w:rPr>
                      <w:rFonts w:hint="default" w:ascii="Times New Roman" w:hAnsi="Times New Roman" w:eastAsia="宋体" w:cs="Times New Roman"/>
                      <w:bCs/>
                      <w:color w:val="auto"/>
                      <w:sz w:val="21"/>
                      <w:szCs w:val="21"/>
                      <w:highlight w:val="none"/>
                      <w:lang w:val="en-US" w:eastAsia="zh-CN"/>
                    </w:rPr>
                    <w:t>拟建110kV变电站位于金寨县关庙乡银山村沙坪沟道路一侧，线路工程全线位于金寨县双河镇、古碑镇、槐树湾乡、南溪镇、汤家汇镇、关庙乡境内。</w:t>
                  </w:r>
                  <w:r>
                    <w:rPr>
                      <w:rFonts w:hint="eastAsia" w:cs="Times New Roman"/>
                      <w:bCs/>
                      <w:color w:val="auto"/>
                      <w:sz w:val="21"/>
                      <w:szCs w:val="21"/>
                      <w:highlight w:val="none"/>
                      <w:lang w:val="en-US" w:eastAsia="zh-CN"/>
                    </w:rPr>
                    <w:t>本工程</w:t>
                  </w:r>
                  <w:r>
                    <w:rPr>
                      <w:rFonts w:hint="default" w:ascii="Times New Roman" w:hAnsi="Times New Roman" w:eastAsia="宋体" w:cs="Times New Roman"/>
                      <w:bCs/>
                      <w:color w:val="auto"/>
                      <w:sz w:val="21"/>
                      <w:szCs w:val="21"/>
                      <w:highlight w:val="none"/>
                      <w:lang w:val="en-US" w:eastAsia="zh-CN"/>
                    </w:rPr>
                    <w:t>线路工程涉及占用生态保护红线，新建塔基占用生态保护红线总面积为</w:t>
                  </w:r>
                  <w:r>
                    <w:rPr>
                      <w:rFonts w:hint="eastAsia" w:cs="Times New Roman"/>
                      <w:bCs/>
                      <w:color w:val="auto"/>
                      <w:sz w:val="21"/>
                      <w:szCs w:val="21"/>
                      <w:highlight w:val="none"/>
                      <w:lang w:val="en-US" w:eastAsia="zh-CN"/>
                    </w:rPr>
                    <w:t>0.4970</w:t>
                  </w:r>
                  <w:r>
                    <w:rPr>
                      <w:rFonts w:hint="default" w:ascii="Times New Roman" w:hAnsi="Times New Roman" w:eastAsia="宋体" w:cs="Times New Roman"/>
                      <w:bCs/>
                      <w:color w:val="auto"/>
                      <w:sz w:val="21"/>
                      <w:szCs w:val="21"/>
                      <w:highlight w:val="none"/>
                      <w:lang w:val="en-US" w:eastAsia="zh-CN"/>
                    </w:rPr>
                    <w:t>公顷，主要为林地等，输电线路不涉及占用国家一级公益林。</w:t>
                  </w:r>
                  <w:r>
                    <w:rPr>
                      <w:rFonts w:hint="eastAsia" w:ascii="Times New Roman" w:hAnsi="Times New Roman"/>
                      <w:szCs w:val="24"/>
                      <w:lang w:val="en-US" w:eastAsia="zh-CN"/>
                    </w:rPr>
                    <w:t>本工程已取得《金寨县人民政府关于安徽金沙钼业有限公司110kV输变电工程符合生态保护红线内允许有限人为活动的说明》（详见附件34），因此</w:t>
                  </w:r>
                  <w:r>
                    <w:rPr>
                      <w:rFonts w:hint="eastAsia"/>
                      <w:szCs w:val="24"/>
                      <w:lang w:val="en-US" w:eastAsia="zh-CN"/>
                    </w:rPr>
                    <w:t>本工程</w:t>
                  </w:r>
                  <w:r>
                    <w:rPr>
                      <w:rFonts w:hint="eastAsia" w:ascii="Times New Roman" w:hAnsi="Times New Roman"/>
                      <w:szCs w:val="24"/>
                      <w:lang w:val="en-US" w:eastAsia="zh-CN"/>
                    </w:rPr>
                    <w:t>的建设符合安徽省生态保护红线管控要求。</w:t>
                  </w:r>
                </w:p>
              </w:tc>
              <w:tc>
                <w:tcPr>
                  <w:tcW w:w="916" w:type="dxa"/>
                  <w:noWrap w:val="0"/>
                  <w:vAlign w:val="center"/>
                </w:tcPr>
                <w:p w14:paraId="36F5ABA4">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ascii="Times New Roman" w:hAnsi="Times New Roman" w:cs="Times New Roman"/>
                      <w:b/>
                      <w:color w:val="auto"/>
                      <w:sz w:val="21"/>
                      <w:szCs w:val="21"/>
                      <w:highlight w:val="none"/>
                    </w:rPr>
                  </w:pPr>
                  <w:r>
                    <w:rPr>
                      <w:rFonts w:hint="eastAsia" w:ascii="Times New Roman" w:hAnsi="Times New Roman" w:cs="Times New Roman"/>
                      <w:bCs/>
                      <w:color w:val="auto"/>
                      <w:sz w:val="21"/>
                      <w:szCs w:val="21"/>
                      <w:highlight w:val="none"/>
                      <w:lang w:val="en-US" w:eastAsia="zh-CN"/>
                    </w:rPr>
                    <w:t>符合</w:t>
                  </w:r>
                </w:p>
              </w:tc>
            </w:tr>
            <w:tr w14:paraId="202AB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0" w:type="dxa"/>
                  <w:noWrap w:val="0"/>
                  <w:vAlign w:val="center"/>
                </w:tcPr>
                <w:p w14:paraId="3D471B66">
                  <w:pPr>
                    <w:keepNext w:val="0"/>
                    <w:keepLines w:val="0"/>
                    <w:suppressLineNumbers w:val="0"/>
                    <w:tabs>
                      <w:tab w:val="left" w:pos="840"/>
                      <w:tab w:val="right" w:leader="dot" w:pos="8820"/>
                    </w:tabs>
                    <w:spacing w:before="0" w:beforeAutospacing="0" w:after="0" w:afterAutospacing="0" w:line="240" w:lineRule="auto"/>
                    <w:ind w:left="0" w:right="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2</w:t>
                  </w:r>
                </w:p>
              </w:tc>
              <w:tc>
                <w:tcPr>
                  <w:tcW w:w="3760" w:type="dxa"/>
                  <w:noWrap w:val="0"/>
                  <w:vAlign w:val="center"/>
                </w:tcPr>
                <w:p w14:paraId="13DFCFC2">
                  <w:pPr>
                    <w:keepNext w:val="0"/>
                    <w:keepLines w:val="0"/>
                    <w:pageBreakBefore w:val="0"/>
                    <w:widowControl w:val="0"/>
                    <w:suppressLineNumbers w:val="0"/>
                    <w:tabs>
                      <w:tab w:val="left" w:pos="840"/>
                      <w:tab w:val="right" w:leader="dot" w:pos="8820"/>
                    </w:tabs>
                    <w:kinsoku/>
                    <w:wordWrap/>
                    <w:overflowPunct/>
                    <w:topLinePunct w:val="0"/>
                    <w:autoSpaceDE/>
                    <w:autoSpaceDN/>
                    <w:bidi w:val="0"/>
                    <w:adjustRightInd w:val="0"/>
                    <w:snapToGrid/>
                    <w:spacing w:before="0" w:beforeAutospacing="0" w:after="0" w:afterAutospacing="0" w:line="240" w:lineRule="auto"/>
                    <w:ind w:left="0" w:leftChars="0" w:right="0" w:rightChars="0"/>
                    <w:jc w:val="center"/>
                    <w:textAlignment w:val="auto"/>
                    <w:rPr>
                      <w:rFonts w:hint="eastAsia" w:cs="Times New Roman"/>
                      <w:bCs/>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lang w:val="en-US" w:eastAsia="zh-CN" w:bidi="ar"/>
                    </w:rPr>
                    <w:t>《金寨县国土空间总体规划（2021-2035 年）》提出“加强重点矿种和急需矿种的勘查，落实金寨沙坪沟钼矿开发项目，推进金寨沙坪沟钼矿国家规划矿区建设”，并将金寨县沙坪沟钼矿采选项目列入“专栏48近期重点项目—重大基础设施项目”</w:t>
                  </w:r>
                  <w:r>
                    <w:rPr>
                      <w:rFonts w:hint="eastAsia" w:cs="Times New Roman"/>
                      <w:b w:val="0"/>
                      <w:bCs w:val="0"/>
                      <w:color w:val="auto"/>
                      <w:kern w:val="0"/>
                      <w:sz w:val="21"/>
                      <w:szCs w:val="21"/>
                      <w:highlight w:val="none"/>
                      <w:lang w:val="en-US" w:eastAsia="zh-CN" w:bidi="ar"/>
                    </w:rPr>
                    <w:t>。</w:t>
                  </w:r>
                </w:p>
              </w:tc>
              <w:tc>
                <w:tcPr>
                  <w:tcW w:w="2799" w:type="dxa"/>
                  <w:noWrap w:val="0"/>
                  <w:vAlign w:val="center"/>
                </w:tcPr>
                <w:p w14:paraId="7D201851">
                  <w:pPr>
                    <w:keepNext w:val="0"/>
                    <w:keepLines w:val="0"/>
                    <w:pageBreakBefore w:val="0"/>
                    <w:widowControl w:val="0"/>
                    <w:suppressLineNumbers w:val="0"/>
                    <w:tabs>
                      <w:tab w:val="left" w:pos="840"/>
                      <w:tab w:val="right" w:leader="dot" w:pos="8820"/>
                    </w:tabs>
                    <w:kinsoku/>
                    <w:wordWrap/>
                    <w:overflowPunct/>
                    <w:topLinePunct w:val="0"/>
                    <w:autoSpaceDE/>
                    <w:autoSpaceDN/>
                    <w:bidi w:val="0"/>
                    <w:adjustRightInd w:val="0"/>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 w:val="0"/>
                      <w:bCs w:val="0"/>
                      <w:color w:val="auto"/>
                      <w:kern w:val="0"/>
                      <w:sz w:val="21"/>
                      <w:szCs w:val="21"/>
                      <w:highlight w:val="none"/>
                      <w:lang w:val="en-US" w:eastAsia="zh-CN" w:bidi="ar"/>
                    </w:rPr>
                    <w:t>本工程</w:t>
                  </w:r>
                  <w:r>
                    <w:rPr>
                      <w:rFonts w:hint="eastAsia" w:ascii="Times New Roman" w:hAnsi="Times New Roman" w:eastAsia="宋体" w:cs="Times New Roman"/>
                      <w:b w:val="0"/>
                      <w:bCs w:val="0"/>
                      <w:color w:val="auto"/>
                      <w:kern w:val="0"/>
                      <w:sz w:val="21"/>
                      <w:szCs w:val="21"/>
                      <w:highlight w:val="none"/>
                      <w:lang w:val="en-US" w:eastAsia="zh-CN" w:bidi="ar"/>
                    </w:rPr>
                    <w:t>属于沙坪沟钼矿配套电力设施，已列入《金寨县国土空间总体规划（2021-2035年）》-重点项目安排表（序号743），项目的建设对于满足沙坪沟钼矿开发、缓解区域电网供应压力具有重要的意义。</w:t>
                  </w:r>
                </w:p>
              </w:tc>
              <w:tc>
                <w:tcPr>
                  <w:tcW w:w="916" w:type="dxa"/>
                  <w:noWrap w:val="0"/>
                  <w:vAlign w:val="center"/>
                </w:tcPr>
                <w:p w14:paraId="4FDFBD5F">
                  <w:pPr>
                    <w:keepNext w:val="0"/>
                    <w:keepLines w:val="0"/>
                    <w:suppressLineNumbers w:val="0"/>
                    <w:tabs>
                      <w:tab w:val="left" w:pos="840"/>
                      <w:tab w:val="right" w:leader="dot" w:pos="8820"/>
                    </w:tabs>
                    <w:spacing w:before="0" w:beforeAutospacing="0" w:after="0" w:afterAutospacing="0" w:line="240" w:lineRule="auto"/>
                    <w:ind w:left="0" w:leftChars="0" w:right="0" w:rightChars="0"/>
                    <w:jc w:val="center"/>
                    <w:rPr>
                      <w:rFonts w:hint="eastAsia"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符合</w:t>
                  </w:r>
                </w:p>
              </w:tc>
            </w:tr>
          </w:tbl>
          <w:p w14:paraId="5E627726">
            <w:pPr>
              <w:pStyle w:val="54"/>
              <w:rPr>
                <w:rFonts w:hint="eastAsia"/>
                <w:lang w:val="en-US" w:eastAsia="zh-CN"/>
              </w:rPr>
            </w:pPr>
          </w:p>
          <w:p w14:paraId="0DEFE6CF">
            <w:pPr>
              <w:pStyle w:val="29"/>
              <w:rPr>
                <w:rFonts w:hint="eastAsia"/>
                <w:lang w:val="en-US" w:eastAsia="zh-CN"/>
              </w:rPr>
            </w:pPr>
          </w:p>
          <w:p w14:paraId="001962F9">
            <w:pPr>
              <w:rPr>
                <w:rFonts w:hint="eastAsia"/>
                <w:lang w:val="en-US" w:eastAsia="zh-CN"/>
              </w:rPr>
            </w:pPr>
          </w:p>
          <w:p w14:paraId="39DDCF86">
            <w:pPr>
              <w:pStyle w:val="54"/>
              <w:rPr>
                <w:rFonts w:hint="eastAsia"/>
                <w:lang w:val="en-US" w:eastAsia="zh-CN"/>
              </w:rPr>
            </w:pPr>
          </w:p>
          <w:p w14:paraId="192F5DA1">
            <w:pPr>
              <w:rPr>
                <w:rFonts w:hint="eastAsia"/>
                <w:lang w:val="en-US" w:eastAsia="zh-CN"/>
              </w:rPr>
            </w:pPr>
          </w:p>
          <w:p w14:paraId="7F0F1DA3">
            <w:pPr>
              <w:pStyle w:val="54"/>
              <w:rPr>
                <w:rFonts w:hint="eastAsia"/>
                <w:lang w:val="en-US" w:eastAsia="zh-CN"/>
              </w:rPr>
            </w:pPr>
          </w:p>
          <w:p w14:paraId="13BB2457">
            <w:pPr>
              <w:pStyle w:val="29"/>
              <w:rPr>
                <w:rFonts w:hint="eastAsia"/>
                <w:lang w:val="en-US" w:eastAsia="zh-CN"/>
              </w:rPr>
            </w:pPr>
          </w:p>
          <w:p w14:paraId="3357ED31">
            <w:pPr>
              <w:rPr>
                <w:rFonts w:hint="eastAsia"/>
                <w:lang w:val="en-US" w:eastAsia="zh-CN"/>
              </w:rPr>
            </w:pPr>
          </w:p>
          <w:p w14:paraId="0F4CECD2">
            <w:pPr>
              <w:rPr>
                <w:rFonts w:hint="eastAsia"/>
                <w:lang w:val="en-US" w:eastAsia="zh-CN"/>
              </w:rPr>
            </w:pPr>
          </w:p>
          <w:p w14:paraId="792BA36B">
            <w:pPr>
              <w:rPr>
                <w:rFonts w:hint="eastAsia"/>
                <w:lang w:val="en-US" w:eastAsia="zh-CN"/>
              </w:rPr>
            </w:pPr>
          </w:p>
          <w:p w14:paraId="0D3CA19B">
            <w:pPr>
              <w:rPr>
                <w:rFonts w:hint="eastAsia"/>
                <w:lang w:val="en-US" w:eastAsia="zh-CN"/>
              </w:rPr>
            </w:pPr>
          </w:p>
          <w:p w14:paraId="71DEB884">
            <w:pPr>
              <w:rPr>
                <w:rFonts w:hint="eastAsia"/>
                <w:lang w:val="en-US" w:eastAsia="zh-CN"/>
              </w:rPr>
            </w:pPr>
          </w:p>
          <w:p w14:paraId="0A929FA6">
            <w:pPr>
              <w:rPr>
                <w:rFonts w:hint="eastAsia"/>
                <w:lang w:val="en-US" w:eastAsia="zh-CN"/>
              </w:rPr>
            </w:pPr>
          </w:p>
          <w:p w14:paraId="4C422947">
            <w:pPr>
              <w:rPr>
                <w:rFonts w:hint="eastAsia"/>
                <w:lang w:val="en-US" w:eastAsia="zh-CN"/>
              </w:rPr>
            </w:pPr>
          </w:p>
          <w:p w14:paraId="1E8506A0">
            <w:pPr>
              <w:rPr>
                <w:rFonts w:hint="eastAsia"/>
                <w:lang w:val="en-US" w:eastAsia="zh-CN"/>
              </w:rPr>
            </w:pPr>
          </w:p>
          <w:p w14:paraId="77A63DB6">
            <w:pPr>
              <w:rPr>
                <w:rFonts w:hint="eastAsia"/>
                <w:lang w:val="en-US" w:eastAsia="zh-CN"/>
              </w:rPr>
            </w:pPr>
          </w:p>
          <w:p w14:paraId="7B22B939">
            <w:pPr>
              <w:rPr>
                <w:rFonts w:hint="eastAsia"/>
                <w:lang w:val="en-US" w:eastAsia="zh-CN"/>
              </w:rPr>
            </w:pPr>
          </w:p>
          <w:p w14:paraId="3A10D3D1">
            <w:pPr>
              <w:rPr>
                <w:rFonts w:hint="eastAsia"/>
                <w:lang w:val="en-US" w:eastAsia="zh-CN"/>
              </w:rPr>
            </w:pPr>
          </w:p>
          <w:p w14:paraId="5F743AD6">
            <w:pPr>
              <w:rPr>
                <w:rFonts w:hint="eastAsia"/>
                <w:lang w:val="en-US" w:eastAsia="zh-CN"/>
              </w:rPr>
            </w:pPr>
          </w:p>
          <w:p w14:paraId="01F83B3D">
            <w:pPr>
              <w:rPr>
                <w:rFonts w:hint="eastAsia"/>
                <w:lang w:val="en-US" w:eastAsia="zh-CN"/>
              </w:rPr>
            </w:pPr>
          </w:p>
          <w:p w14:paraId="228BEF49">
            <w:pPr>
              <w:rPr>
                <w:rFonts w:hint="eastAsia"/>
                <w:lang w:val="en-US" w:eastAsia="zh-CN"/>
              </w:rPr>
            </w:pPr>
          </w:p>
          <w:p w14:paraId="5E5ABB0D">
            <w:pPr>
              <w:rPr>
                <w:rFonts w:hint="eastAsia"/>
                <w:lang w:val="en-US" w:eastAsia="zh-CN"/>
              </w:rPr>
            </w:pPr>
          </w:p>
          <w:p w14:paraId="3CD6F83F">
            <w:pPr>
              <w:rPr>
                <w:rFonts w:hint="eastAsia"/>
                <w:lang w:val="en-US" w:eastAsia="zh-CN"/>
              </w:rPr>
            </w:pPr>
          </w:p>
          <w:p w14:paraId="1381A5D7">
            <w:pPr>
              <w:rPr>
                <w:rFonts w:hint="eastAsia"/>
                <w:lang w:val="en-US" w:eastAsia="zh-CN"/>
              </w:rPr>
            </w:pPr>
          </w:p>
          <w:p w14:paraId="17471810">
            <w:pPr>
              <w:rPr>
                <w:rFonts w:hint="eastAsia"/>
                <w:lang w:val="en-US" w:eastAsia="zh-CN"/>
              </w:rPr>
            </w:pPr>
          </w:p>
          <w:p w14:paraId="560B6583">
            <w:pPr>
              <w:rPr>
                <w:rFonts w:hint="eastAsia"/>
                <w:lang w:val="en-US" w:eastAsia="zh-CN"/>
              </w:rPr>
            </w:pPr>
          </w:p>
          <w:p w14:paraId="531501D6">
            <w:pPr>
              <w:rPr>
                <w:rFonts w:hint="eastAsia"/>
                <w:lang w:val="en-US" w:eastAsia="zh-CN"/>
              </w:rPr>
            </w:pPr>
          </w:p>
          <w:p w14:paraId="5F970722">
            <w:pPr>
              <w:rPr>
                <w:rFonts w:hint="eastAsia"/>
                <w:lang w:val="en-US" w:eastAsia="zh-CN"/>
              </w:rPr>
            </w:pPr>
          </w:p>
          <w:p w14:paraId="58CEDEB7">
            <w:pPr>
              <w:rPr>
                <w:rFonts w:hint="eastAsia"/>
                <w:lang w:val="en-US" w:eastAsia="zh-CN"/>
              </w:rPr>
            </w:pPr>
          </w:p>
          <w:p w14:paraId="3E51F94B">
            <w:pPr>
              <w:rPr>
                <w:rFonts w:hint="eastAsia"/>
                <w:lang w:val="en-US" w:eastAsia="zh-CN"/>
              </w:rPr>
            </w:pPr>
          </w:p>
          <w:p w14:paraId="797D3510">
            <w:pPr>
              <w:rPr>
                <w:rFonts w:hint="eastAsia"/>
                <w:lang w:val="en-US" w:eastAsia="zh-CN"/>
              </w:rPr>
            </w:pPr>
          </w:p>
          <w:p w14:paraId="3FB260ED">
            <w:pPr>
              <w:rPr>
                <w:rFonts w:hint="eastAsia"/>
                <w:lang w:val="en-US" w:eastAsia="zh-CN"/>
              </w:rPr>
            </w:pPr>
          </w:p>
          <w:p w14:paraId="730EAE7C">
            <w:pPr>
              <w:rPr>
                <w:rFonts w:hint="eastAsia"/>
                <w:lang w:val="en-US" w:eastAsia="zh-CN"/>
              </w:rPr>
            </w:pPr>
          </w:p>
          <w:p w14:paraId="24D832D2">
            <w:pPr>
              <w:rPr>
                <w:rFonts w:hint="eastAsia"/>
                <w:lang w:val="en-US" w:eastAsia="zh-CN"/>
              </w:rPr>
            </w:pPr>
          </w:p>
          <w:p w14:paraId="3AA445C4">
            <w:pPr>
              <w:rPr>
                <w:rFonts w:hint="eastAsia"/>
                <w:lang w:val="en-US" w:eastAsia="zh-CN"/>
              </w:rPr>
            </w:pPr>
          </w:p>
          <w:p w14:paraId="49423958">
            <w:pPr>
              <w:pStyle w:val="54"/>
              <w:rPr>
                <w:rFonts w:hint="eastAsia"/>
                <w:lang w:val="en-US" w:eastAsia="zh-CN"/>
              </w:rPr>
            </w:pPr>
          </w:p>
          <w:p w14:paraId="2E06DF2C">
            <w:pPr>
              <w:rPr>
                <w:rFonts w:hint="eastAsia"/>
                <w:lang w:val="en-US" w:eastAsia="zh-CN"/>
              </w:rPr>
            </w:pPr>
          </w:p>
          <w:p w14:paraId="28610328">
            <w:pPr>
              <w:pStyle w:val="54"/>
              <w:rPr>
                <w:rFonts w:hint="eastAsia"/>
                <w:lang w:val="en-US" w:eastAsia="zh-CN"/>
              </w:rPr>
            </w:pPr>
          </w:p>
          <w:p w14:paraId="206DA511">
            <w:pPr>
              <w:rPr>
                <w:rFonts w:hint="eastAsia"/>
                <w:lang w:val="en-US" w:eastAsia="zh-CN"/>
              </w:rPr>
            </w:pPr>
          </w:p>
          <w:p w14:paraId="71442B33">
            <w:pPr>
              <w:pStyle w:val="21"/>
              <w:spacing w:before="0" w:line="240" w:lineRule="auto"/>
              <w:ind w:firstLine="0" w:firstLineChars="0"/>
              <w:jc w:val="both"/>
              <w:rPr>
                <w:rFonts w:ascii="Times New Roman" w:hAnsi="Times New Roman"/>
                <w:szCs w:val="24"/>
              </w:rPr>
            </w:pPr>
          </w:p>
        </w:tc>
      </w:tr>
      <w:tr w14:paraId="5B414AC5">
        <w:tblPrEx>
          <w:tblBorders>
            <w:top w:val="single" w:color="auto" w:sz="6"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2715" w:hRule="atLeast"/>
          <w:jc w:val="center"/>
        </w:trPr>
        <w:tc>
          <w:tcPr>
            <w:tcW w:w="655" w:type="pct"/>
            <w:vAlign w:val="center"/>
          </w:tcPr>
          <w:p w14:paraId="033BEF5B">
            <w:pPr>
              <w:jc w:val="center"/>
              <w:rPr>
                <w:b/>
                <w:bCs/>
                <w:sz w:val="24"/>
                <w:szCs w:val="24"/>
              </w:rPr>
            </w:pPr>
            <w:r>
              <w:rPr>
                <w:b/>
                <w:bCs/>
                <w:sz w:val="24"/>
                <w:szCs w:val="24"/>
              </w:rPr>
              <w:t>其他符合性分析</w:t>
            </w:r>
          </w:p>
        </w:tc>
        <w:tc>
          <w:tcPr>
            <w:tcW w:w="4344" w:type="pct"/>
            <w:gridSpan w:val="3"/>
          </w:tcPr>
          <w:p w14:paraId="35CC7D4C">
            <w:pPr>
              <w:spacing w:beforeLines="50" w:line="360" w:lineRule="auto"/>
              <w:rPr>
                <w:rFonts w:hint="eastAsia" w:eastAsia="宋体"/>
                <w:sz w:val="24"/>
                <w:szCs w:val="24"/>
                <w:lang w:val="en-US" w:eastAsia="zh-CN"/>
              </w:rPr>
            </w:pPr>
            <w:r>
              <w:rPr>
                <w:b/>
                <w:bCs/>
                <w:sz w:val="24"/>
                <w:szCs w:val="24"/>
              </w:rPr>
              <w:t>1.1</w:t>
            </w:r>
            <w:r>
              <w:rPr>
                <w:rFonts w:hint="eastAsia"/>
                <w:b/>
                <w:bCs/>
                <w:sz w:val="24"/>
                <w:szCs w:val="24"/>
                <w:lang w:val="en-US" w:eastAsia="zh-CN"/>
              </w:rPr>
              <w:t xml:space="preserve">  </w:t>
            </w:r>
            <w:r>
              <w:rPr>
                <w:b/>
                <w:bCs/>
                <w:sz w:val="24"/>
                <w:szCs w:val="24"/>
              </w:rPr>
              <w:t>政策</w:t>
            </w:r>
            <w:r>
              <w:rPr>
                <w:rFonts w:hint="eastAsia"/>
                <w:b/>
                <w:bCs/>
                <w:sz w:val="24"/>
                <w:szCs w:val="24"/>
                <w:lang w:val="en-US" w:eastAsia="zh-CN"/>
              </w:rPr>
              <w:t>及规划</w:t>
            </w:r>
            <w:r>
              <w:rPr>
                <w:b/>
                <w:bCs/>
                <w:sz w:val="24"/>
                <w:szCs w:val="24"/>
              </w:rPr>
              <w:t>相符性</w:t>
            </w:r>
            <w:r>
              <w:rPr>
                <w:rFonts w:hint="eastAsia"/>
                <w:b/>
                <w:bCs/>
                <w:sz w:val="24"/>
                <w:szCs w:val="24"/>
                <w:lang w:val="en-US" w:eastAsia="zh-CN"/>
              </w:rPr>
              <w:t>分析</w:t>
            </w:r>
          </w:p>
          <w:p w14:paraId="09B907A3">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eastAsia" w:ascii="Times New Roman" w:hAnsi="Times New Roman" w:eastAsia="宋体" w:cs="Times New Roman"/>
                <w:color w:val="000000"/>
                <w:kern w:val="0"/>
                <w:sz w:val="24"/>
                <w:szCs w:val="24"/>
                <w:highlight w:val="none"/>
                <w:lang w:val="en-US" w:eastAsia="zh-CN" w:bidi="ar-SA"/>
              </w:rPr>
            </w:pPr>
            <w:r>
              <w:rPr>
                <w:rFonts w:hint="eastAsia" w:ascii="Times New Roman" w:hAnsi="Times New Roman" w:eastAsia="宋体" w:cs="Times New Roman"/>
                <w:color w:val="000000"/>
                <w:kern w:val="0"/>
                <w:sz w:val="24"/>
                <w:szCs w:val="24"/>
                <w:highlight w:val="none"/>
                <w:lang w:val="en-US" w:eastAsia="zh-CN" w:bidi="ar-SA"/>
              </w:rPr>
              <w:t>根据</w:t>
            </w:r>
            <w:r>
              <w:rPr>
                <w:rFonts w:hint="eastAsia" w:cs="Times New Roman"/>
                <w:color w:val="000000"/>
                <w:kern w:val="0"/>
                <w:sz w:val="24"/>
                <w:szCs w:val="24"/>
                <w:highlight w:val="none"/>
                <w:lang w:val="en-US" w:eastAsia="zh-CN" w:bidi="ar-SA"/>
              </w:rPr>
              <w:t>《</w:t>
            </w:r>
            <w:r>
              <w:rPr>
                <w:rFonts w:hint="eastAsia" w:ascii="Times New Roman" w:hAnsi="Times New Roman" w:eastAsia="宋体" w:cs="Times New Roman"/>
                <w:color w:val="000000"/>
                <w:kern w:val="0"/>
                <w:sz w:val="24"/>
                <w:szCs w:val="24"/>
                <w:highlight w:val="none"/>
                <w:lang w:val="en-US" w:eastAsia="zh-CN" w:bidi="ar-SA"/>
              </w:rPr>
              <w:t>国民经济行业分类</w:t>
            </w:r>
            <w:r>
              <w:rPr>
                <w:rFonts w:hint="eastAsia" w:cs="Times New Roman"/>
                <w:color w:val="000000"/>
                <w:kern w:val="0"/>
                <w:sz w:val="24"/>
                <w:szCs w:val="24"/>
                <w:highlight w:val="none"/>
                <w:lang w:val="en-US" w:eastAsia="zh-CN" w:bidi="ar-SA"/>
              </w:rPr>
              <w:t>》（</w:t>
            </w:r>
            <w:r>
              <w:rPr>
                <w:rFonts w:hint="eastAsia" w:ascii="Times New Roman" w:hAnsi="Times New Roman" w:eastAsia="宋体" w:cs="Times New Roman"/>
                <w:color w:val="000000"/>
                <w:kern w:val="0"/>
                <w:sz w:val="24"/>
                <w:szCs w:val="24"/>
                <w:highlight w:val="none"/>
                <w:lang w:val="en-US" w:eastAsia="zh-CN" w:bidi="ar-SA"/>
              </w:rPr>
              <w:t>GB/T 4754-2017</w:t>
            </w:r>
            <w:r>
              <w:rPr>
                <w:rFonts w:hint="eastAsia" w:cs="Times New Roman"/>
                <w:color w:val="000000"/>
                <w:kern w:val="0"/>
                <w:sz w:val="24"/>
                <w:szCs w:val="24"/>
                <w:highlight w:val="none"/>
                <w:lang w:val="en-US" w:eastAsia="zh-CN" w:bidi="ar-SA"/>
              </w:rPr>
              <w:t>）</w:t>
            </w:r>
            <w:r>
              <w:rPr>
                <w:rFonts w:hint="eastAsia" w:ascii="Times New Roman" w:hAnsi="Times New Roman" w:eastAsia="宋体" w:cs="Times New Roman"/>
                <w:color w:val="000000"/>
                <w:kern w:val="0"/>
                <w:sz w:val="24"/>
                <w:szCs w:val="24"/>
                <w:highlight w:val="none"/>
                <w:lang w:val="en-US" w:eastAsia="zh-CN" w:bidi="ar-SA"/>
              </w:rPr>
              <w:t>，</w:t>
            </w:r>
            <w:r>
              <w:rPr>
                <w:rFonts w:hint="eastAsia" w:cs="Times New Roman"/>
                <w:color w:val="000000"/>
                <w:kern w:val="0"/>
                <w:sz w:val="24"/>
                <w:szCs w:val="24"/>
                <w:highlight w:val="none"/>
                <w:lang w:val="en-US" w:eastAsia="zh-CN" w:bidi="ar-SA"/>
              </w:rPr>
              <w:t>本工程</w:t>
            </w:r>
            <w:r>
              <w:rPr>
                <w:rFonts w:hint="eastAsia" w:ascii="Times New Roman" w:hAnsi="Times New Roman" w:eastAsia="宋体" w:cs="Times New Roman"/>
                <w:color w:val="000000"/>
                <w:kern w:val="0"/>
                <w:sz w:val="24"/>
                <w:szCs w:val="24"/>
                <w:highlight w:val="none"/>
                <w:lang w:val="en-US" w:eastAsia="zh-CN" w:bidi="ar-SA"/>
              </w:rPr>
              <w:t>行业代码为“D44</w:t>
            </w:r>
            <w:r>
              <w:rPr>
                <w:rFonts w:hint="eastAsia" w:cs="Times New Roman"/>
                <w:color w:val="000000"/>
                <w:kern w:val="0"/>
                <w:sz w:val="24"/>
                <w:szCs w:val="24"/>
                <w:highlight w:val="none"/>
                <w:lang w:val="en-US" w:eastAsia="zh-CN" w:bidi="ar-SA"/>
              </w:rPr>
              <w:t>20 电力供应</w:t>
            </w:r>
            <w:r>
              <w:rPr>
                <w:rFonts w:hint="eastAsia" w:ascii="Times New Roman" w:hAnsi="Times New Roman" w:eastAsia="宋体" w:cs="Times New Roman"/>
                <w:color w:val="000000"/>
                <w:kern w:val="0"/>
                <w:sz w:val="24"/>
                <w:szCs w:val="24"/>
                <w:highlight w:val="none"/>
                <w:lang w:val="en-US" w:eastAsia="zh-CN" w:bidi="ar-SA"/>
              </w:rPr>
              <w:t>”。</w:t>
            </w:r>
            <w:r>
              <w:rPr>
                <w:rFonts w:hint="eastAsia" w:cs="Times New Roman"/>
                <w:color w:val="000000"/>
                <w:kern w:val="0"/>
                <w:sz w:val="24"/>
                <w:szCs w:val="24"/>
                <w:highlight w:val="none"/>
                <w:lang w:val="en-US" w:eastAsia="zh-CN" w:bidi="ar-SA"/>
              </w:rPr>
              <w:t>本工程属于《产业结构调整指导目录（2024年本）》中的第一类</w:t>
            </w:r>
            <w:r>
              <w:rPr>
                <w:rFonts w:hint="eastAsia" w:ascii="Times New Roman" w:hAnsi="Times New Roman" w:eastAsia="宋体" w:cs="Times New Roman"/>
                <w:color w:val="000000"/>
                <w:kern w:val="0"/>
                <w:sz w:val="24"/>
                <w:szCs w:val="24"/>
                <w:highlight w:val="none"/>
                <w:lang w:val="en-US" w:eastAsia="zh-CN" w:bidi="ar-SA"/>
              </w:rPr>
              <w:t>鼓励类中第</w:t>
            </w:r>
            <w:r>
              <w:rPr>
                <w:rFonts w:hint="eastAsia" w:cs="Times New Roman"/>
                <w:color w:val="000000"/>
                <w:kern w:val="0"/>
                <w:sz w:val="24"/>
                <w:szCs w:val="24"/>
                <w:highlight w:val="none"/>
                <w:lang w:val="en-US" w:eastAsia="zh-CN" w:bidi="ar-SA"/>
              </w:rPr>
              <w:t>二</w:t>
            </w:r>
            <w:r>
              <w:rPr>
                <w:rFonts w:hint="eastAsia" w:ascii="Times New Roman" w:hAnsi="Times New Roman" w:eastAsia="宋体" w:cs="Times New Roman"/>
                <w:color w:val="000000"/>
                <w:kern w:val="0"/>
                <w:sz w:val="24"/>
                <w:szCs w:val="24"/>
                <w:highlight w:val="none"/>
                <w:lang w:val="en-US" w:eastAsia="zh-CN" w:bidi="ar-SA"/>
              </w:rPr>
              <w:t>条</w:t>
            </w:r>
            <w:r>
              <w:rPr>
                <w:rFonts w:hint="eastAsia" w:cs="Times New Roman"/>
                <w:color w:val="000000"/>
                <w:kern w:val="0"/>
                <w:sz w:val="24"/>
                <w:szCs w:val="24"/>
                <w:highlight w:val="none"/>
                <w:lang w:val="en-US" w:eastAsia="zh-CN" w:bidi="ar-SA"/>
              </w:rPr>
              <w:t>电力基础设施建设</w:t>
            </w:r>
            <w:r>
              <w:rPr>
                <w:rFonts w:hint="eastAsia" w:ascii="Times New Roman" w:hAnsi="Times New Roman" w:eastAsia="宋体" w:cs="Times New Roman"/>
                <w:color w:val="000000"/>
                <w:kern w:val="0"/>
                <w:sz w:val="24"/>
                <w:szCs w:val="24"/>
                <w:highlight w:val="none"/>
                <w:lang w:val="en-US" w:eastAsia="zh-CN" w:bidi="ar-SA"/>
              </w:rPr>
              <w:t>“电网改造与建设，增量配电网建设”类项目</w:t>
            </w:r>
            <w:r>
              <w:rPr>
                <w:rFonts w:hint="eastAsia" w:cs="Times New Roman"/>
                <w:color w:val="000000"/>
                <w:kern w:val="0"/>
                <w:sz w:val="24"/>
                <w:szCs w:val="24"/>
                <w:highlight w:val="none"/>
                <w:lang w:val="en-US" w:eastAsia="zh-CN" w:bidi="ar-SA"/>
              </w:rPr>
              <w:t>。本工程</w:t>
            </w:r>
            <w:r>
              <w:rPr>
                <w:rFonts w:hint="eastAsia" w:ascii="Times New Roman" w:hAnsi="Times New Roman" w:eastAsia="宋体" w:cs="Times New Roman"/>
                <w:color w:val="000000"/>
                <w:kern w:val="0"/>
                <w:sz w:val="24"/>
                <w:szCs w:val="24"/>
                <w:highlight w:val="none"/>
                <w:lang w:val="en-US" w:eastAsia="zh-CN" w:bidi="ar-SA"/>
              </w:rPr>
              <w:t>已取得</w:t>
            </w:r>
            <w:r>
              <w:rPr>
                <w:rFonts w:hint="eastAsia" w:ascii="Times New Roman" w:hAnsi="Times New Roman" w:cs="Times New Roman"/>
                <w:color w:val="000000"/>
                <w:kern w:val="0"/>
                <w:sz w:val="24"/>
                <w:szCs w:val="24"/>
                <w:highlight w:val="none"/>
                <w:lang w:val="en-US" w:eastAsia="zh-CN" w:bidi="ar-SA"/>
              </w:rPr>
              <w:t>六安市</w:t>
            </w:r>
            <w:r>
              <w:rPr>
                <w:rFonts w:hint="eastAsia" w:ascii="Times New Roman" w:hAnsi="Times New Roman" w:eastAsia="宋体" w:cs="Times New Roman"/>
                <w:color w:val="000000"/>
                <w:kern w:val="0"/>
                <w:sz w:val="24"/>
                <w:szCs w:val="24"/>
                <w:highlight w:val="none"/>
                <w:lang w:val="en-US" w:eastAsia="zh-CN" w:bidi="ar-SA"/>
              </w:rPr>
              <w:t>发展和改革委员会</w:t>
            </w:r>
            <w:r>
              <w:rPr>
                <w:rFonts w:hint="eastAsia" w:ascii="Times New Roman" w:hAnsi="Times New Roman" w:cs="Times New Roman"/>
                <w:color w:val="000000"/>
                <w:kern w:val="0"/>
                <w:sz w:val="24"/>
                <w:szCs w:val="24"/>
                <w:highlight w:val="none"/>
                <w:lang w:val="en-US" w:eastAsia="zh-CN" w:bidi="ar-SA"/>
              </w:rPr>
              <w:t>关于该项目核准的批复</w:t>
            </w:r>
            <w:r>
              <w:rPr>
                <w:rFonts w:hint="eastAsia" w:ascii="Times New Roman" w:hAnsi="Times New Roman" w:eastAsia="宋体" w:cs="Times New Roman"/>
                <w:color w:val="000000"/>
                <w:kern w:val="0"/>
                <w:sz w:val="24"/>
                <w:szCs w:val="24"/>
                <w:highlight w:val="none"/>
                <w:lang w:val="en-US" w:eastAsia="zh-CN" w:bidi="ar-SA"/>
              </w:rPr>
              <w:t>，项目代码为2501-341500-04-01-941002，</w:t>
            </w:r>
            <w:r>
              <w:rPr>
                <w:rFonts w:hint="eastAsia" w:ascii="Times New Roman" w:hAnsi="Times New Roman" w:cs="Times New Roman"/>
                <w:color w:val="000000"/>
                <w:kern w:val="0"/>
                <w:sz w:val="24"/>
                <w:szCs w:val="24"/>
                <w:highlight w:val="none"/>
                <w:lang w:val="en-US" w:eastAsia="zh-CN" w:bidi="ar-SA"/>
              </w:rPr>
              <w:t>（</w:t>
            </w:r>
            <w:r>
              <w:rPr>
                <w:rFonts w:hint="eastAsia" w:ascii="Times New Roman" w:hAnsi="Times New Roman" w:eastAsia="宋体" w:cs="Times New Roman"/>
                <w:color w:val="000000"/>
                <w:kern w:val="0"/>
                <w:sz w:val="24"/>
                <w:szCs w:val="24"/>
                <w:highlight w:val="none"/>
                <w:lang w:val="en-US" w:eastAsia="zh-CN" w:bidi="ar-SA"/>
              </w:rPr>
              <w:t>详见附件</w:t>
            </w:r>
            <w:r>
              <w:rPr>
                <w:rFonts w:hint="eastAsia" w:cs="Times New Roman"/>
                <w:color w:val="000000"/>
                <w:kern w:val="0"/>
                <w:sz w:val="24"/>
                <w:szCs w:val="24"/>
                <w:highlight w:val="none"/>
                <w:lang w:val="en-US" w:eastAsia="zh-CN" w:bidi="ar-SA"/>
              </w:rPr>
              <w:t>3</w:t>
            </w:r>
            <w:r>
              <w:rPr>
                <w:rFonts w:hint="eastAsia" w:ascii="Times New Roman" w:hAnsi="Times New Roman" w:cs="Times New Roman"/>
                <w:color w:val="000000"/>
                <w:kern w:val="0"/>
                <w:sz w:val="24"/>
                <w:szCs w:val="24"/>
                <w:highlight w:val="none"/>
                <w:lang w:val="en-US" w:eastAsia="zh-CN" w:bidi="ar-SA"/>
              </w:rPr>
              <w:t>）</w:t>
            </w:r>
            <w:r>
              <w:rPr>
                <w:rFonts w:hint="eastAsia" w:cs="Times New Roman"/>
                <w:color w:val="000000"/>
                <w:kern w:val="0"/>
                <w:sz w:val="24"/>
                <w:szCs w:val="24"/>
                <w:highlight w:val="none"/>
                <w:lang w:val="en-US" w:eastAsia="zh-CN" w:bidi="ar-SA"/>
              </w:rPr>
              <w:t>，</w:t>
            </w:r>
            <w:r>
              <w:rPr>
                <w:rFonts w:hint="eastAsia" w:ascii="Times New Roman" w:hAnsi="Times New Roman" w:eastAsia="宋体" w:cs="Times New Roman"/>
                <w:color w:val="000000"/>
                <w:kern w:val="0"/>
                <w:sz w:val="24"/>
                <w:szCs w:val="24"/>
                <w:highlight w:val="none"/>
                <w:lang w:val="en-US" w:eastAsia="zh-CN" w:bidi="ar"/>
              </w:rPr>
              <w:t>已列入《金寨县国土空间总体规划（2021—2035年）》-重点项目安排表</w:t>
            </w:r>
            <w:r>
              <w:rPr>
                <w:rFonts w:hint="eastAsia" w:cs="Times New Roman"/>
                <w:color w:val="000000"/>
                <w:kern w:val="0"/>
                <w:sz w:val="24"/>
                <w:szCs w:val="24"/>
                <w:highlight w:val="none"/>
                <w:lang w:val="en-US" w:eastAsia="zh-CN" w:bidi="ar-SA"/>
              </w:rPr>
              <w:t>。项目建设</w:t>
            </w:r>
            <w:r>
              <w:rPr>
                <w:rFonts w:hint="eastAsia" w:ascii="Times New Roman" w:hAnsi="Times New Roman" w:eastAsia="宋体" w:cs="Times New Roman"/>
                <w:color w:val="000000"/>
                <w:kern w:val="0"/>
                <w:sz w:val="24"/>
                <w:szCs w:val="24"/>
                <w:highlight w:val="none"/>
                <w:lang w:val="en-US" w:eastAsia="zh-CN" w:bidi="ar-SA"/>
              </w:rPr>
              <w:t>符合国家和地方的相关产业政策。</w:t>
            </w:r>
          </w:p>
          <w:p w14:paraId="1CA61188">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color w:val="000000"/>
                <w:kern w:val="0"/>
                <w:sz w:val="24"/>
                <w:szCs w:val="24"/>
                <w:highlight w:val="none"/>
                <w:lang w:val="en-US" w:eastAsia="zh-CN" w:bidi="ar-SA"/>
              </w:rPr>
            </w:pPr>
            <w:r>
              <w:rPr>
                <w:rFonts w:hint="eastAsia"/>
                <w:color w:val="000000"/>
                <w:sz w:val="24"/>
                <w:szCs w:val="24"/>
                <w:highlight w:val="none"/>
                <w:lang w:val="en-US" w:eastAsia="zh-CN"/>
              </w:rPr>
              <w:t>根据《</w:t>
            </w:r>
            <w:r>
              <w:rPr>
                <w:rFonts w:hint="eastAsia" w:ascii="Times New Roman" w:hAnsi="Times New Roman"/>
                <w:color w:val="000000"/>
                <w:sz w:val="24"/>
                <w:szCs w:val="24"/>
                <w:highlight w:val="none"/>
              </w:rPr>
              <w:t>安徽金沙钼业有限公司金寨县沙坪沟钼矿采选项目环境影响报告书</w:t>
            </w:r>
            <w:r>
              <w:rPr>
                <w:rFonts w:hint="eastAsia"/>
                <w:color w:val="000000"/>
                <w:sz w:val="24"/>
                <w:szCs w:val="24"/>
                <w:highlight w:val="none"/>
                <w:lang w:val="en-US" w:eastAsia="zh-CN"/>
              </w:rPr>
              <w:t>》，明确提出</w:t>
            </w:r>
            <w:r>
              <w:rPr>
                <w:rFonts w:hint="eastAsia"/>
                <w:color w:val="000000"/>
                <w:sz w:val="24"/>
                <w:szCs w:val="24"/>
                <w:highlight w:val="none"/>
              </w:rPr>
              <w:t>在</w:t>
            </w:r>
            <w:r>
              <w:rPr>
                <w:rFonts w:hint="eastAsia" w:ascii="Times New Roman" w:hAnsi="Times New Roman"/>
                <w:color w:val="000000"/>
                <w:sz w:val="24"/>
                <w:szCs w:val="24"/>
                <w:highlight w:val="none"/>
              </w:rPr>
              <w:t>沙坪沟钼矿</w:t>
            </w:r>
            <w:r>
              <w:rPr>
                <w:rFonts w:hint="eastAsia"/>
                <w:color w:val="000000"/>
                <w:sz w:val="24"/>
                <w:szCs w:val="24"/>
                <w:highlight w:val="none"/>
              </w:rPr>
              <w:t>选厂建设一座110/10kV总降压变电所，</w:t>
            </w:r>
            <w:r>
              <w:rPr>
                <w:rFonts w:hint="eastAsia"/>
                <w:color w:val="000000"/>
                <w:sz w:val="24"/>
                <w:szCs w:val="24"/>
                <w:highlight w:val="none"/>
                <w:lang w:val="en-US" w:eastAsia="zh-CN"/>
              </w:rPr>
              <w:t>属于企业自主建设，只</w:t>
            </w:r>
            <w:r>
              <w:rPr>
                <w:rFonts w:hint="eastAsia" w:ascii="Times New Roman" w:hAnsi="Times New Roman" w:eastAsia="宋体" w:cs="Times New Roman"/>
                <w:color w:val="000000"/>
                <w:kern w:val="0"/>
                <w:sz w:val="24"/>
                <w:szCs w:val="24"/>
                <w:highlight w:val="none"/>
                <w:lang w:val="en-US" w:eastAsia="zh-CN" w:bidi="ar-SA"/>
              </w:rPr>
              <w:t>服务于金寨钼矿建设开发和生产运营需要</w:t>
            </w:r>
            <w:r>
              <w:rPr>
                <w:rFonts w:hint="eastAsia"/>
                <w:color w:val="000000"/>
                <w:sz w:val="24"/>
                <w:szCs w:val="24"/>
                <w:highlight w:val="none"/>
                <w:lang w:val="en-US" w:eastAsia="zh-CN"/>
              </w:rPr>
              <w:t>，由供电公司供电。本项目通过了关于</w:t>
            </w:r>
            <w:r>
              <w:rPr>
                <w:rFonts w:hint="eastAsia" w:ascii="Times New Roman" w:hAnsi="Times New Roman"/>
                <w:color w:val="000000"/>
                <w:sz w:val="24"/>
                <w:szCs w:val="24"/>
                <w:highlight w:val="none"/>
              </w:rPr>
              <w:t>安徽金沙钼业有限公司</w:t>
            </w:r>
            <w:r>
              <w:rPr>
                <w:rFonts w:hint="eastAsia" w:ascii="Times New Roman" w:hAnsi="Times New Roman"/>
                <w:color w:val="000000"/>
                <w:sz w:val="24"/>
                <w:szCs w:val="24"/>
                <w:highlight w:val="none"/>
                <w:lang w:val="en-US" w:eastAsia="zh-CN"/>
              </w:rPr>
              <w:t>110kV输变电工程变电站接入系统设计评审，符合六安市电网相关规划要求。</w:t>
            </w:r>
          </w:p>
          <w:p w14:paraId="2CCE1B88">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96" w:firstLineChars="200"/>
              <w:textAlignment w:val="auto"/>
              <w:rPr>
                <w:rFonts w:hint="default" w:eastAsia="宋体"/>
                <w:lang w:val="en-US" w:eastAsia="zh-CN"/>
              </w:rPr>
            </w:pPr>
            <w:r>
              <w:rPr>
                <w:rFonts w:hint="eastAsia" w:ascii="Times New Roman" w:hAnsi="Times New Roman" w:eastAsia="宋体" w:cs="Times New Roman"/>
                <w:color w:val="000000"/>
                <w:kern w:val="0"/>
                <w:sz w:val="24"/>
                <w:szCs w:val="24"/>
                <w:highlight w:val="none"/>
                <w:lang w:val="en-US" w:eastAsia="zh-CN" w:bidi="ar-SA"/>
              </w:rPr>
              <w:t>在选址、选线阶段，设计单位对本工程变电站站址及输电线路路径选择给予了充分的重视，已经向地方政府、自然资源和规划局、林业局、交通运输局、文化和旅游局等部门征询意见，在本次评价中，评价单位就协议落实情况进行了详细调查了解，这些意见在后续工作中基本落实。因此本工程在建设工程中较好考虑了项目本身与环境的协调，满足规划要求。具体见附件</w:t>
            </w:r>
            <w:r>
              <w:rPr>
                <w:rFonts w:hint="eastAsia" w:ascii="Times New Roman" w:hAnsi="Times New Roman" w:cs="Times New Roman"/>
                <w:color w:val="000000"/>
                <w:kern w:val="0"/>
                <w:sz w:val="24"/>
                <w:szCs w:val="24"/>
                <w:highlight w:val="none"/>
                <w:lang w:val="en-US" w:eastAsia="zh-CN" w:bidi="ar-SA"/>
              </w:rPr>
              <w:t>4-</w:t>
            </w:r>
            <w:r>
              <w:rPr>
                <w:rFonts w:hint="eastAsia" w:ascii="Times New Roman" w:hAnsi="Times New Roman" w:eastAsia="宋体" w:cs="Times New Roman"/>
                <w:color w:val="000000"/>
                <w:kern w:val="0"/>
                <w:sz w:val="24"/>
                <w:szCs w:val="24"/>
                <w:highlight w:val="none"/>
                <w:lang w:val="en-US" w:eastAsia="zh-CN" w:bidi="ar-SA"/>
              </w:rPr>
              <w:t>附件</w:t>
            </w:r>
            <w:r>
              <w:rPr>
                <w:rFonts w:hint="eastAsia" w:ascii="Times New Roman" w:hAnsi="Times New Roman" w:cs="Times New Roman"/>
                <w:color w:val="000000"/>
                <w:kern w:val="0"/>
                <w:sz w:val="24"/>
                <w:szCs w:val="24"/>
                <w:highlight w:val="none"/>
                <w:lang w:val="en-US" w:eastAsia="zh-CN" w:bidi="ar-SA"/>
              </w:rPr>
              <w:t>28和附件40</w:t>
            </w:r>
            <w:r>
              <w:rPr>
                <w:rFonts w:hint="eastAsia" w:ascii="Times New Roman" w:hAnsi="Times New Roman" w:eastAsia="宋体" w:cs="Times New Roman"/>
                <w:color w:val="000000"/>
                <w:kern w:val="0"/>
                <w:sz w:val="24"/>
                <w:szCs w:val="24"/>
                <w:highlight w:val="none"/>
                <w:lang w:val="en-US" w:eastAsia="zh-CN" w:bidi="ar-SA"/>
              </w:rPr>
              <w:t>所示。</w:t>
            </w:r>
          </w:p>
          <w:p w14:paraId="7856A1B1">
            <w:pPr>
              <w:pStyle w:val="36"/>
              <w:spacing w:before="0" w:after="0" w:line="240" w:lineRule="auto"/>
              <w:ind w:left="0" w:leftChars="0" w:firstLine="0" w:firstLineChars="0"/>
              <w:jc w:val="center"/>
              <w:rPr>
                <w:rFonts w:hint="default" w:eastAsia="宋体"/>
                <w:b/>
                <w:bCs/>
                <w:sz w:val="21"/>
                <w:szCs w:val="21"/>
                <w:lang w:val="en-US" w:eastAsia="zh-CN"/>
              </w:rPr>
            </w:pPr>
            <w:r>
              <w:rPr>
                <w:rFonts w:hint="eastAsia"/>
                <w:b/>
                <w:bCs/>
                <w:sz w:val="21"/>
                <w:szCs w:val="21"/>
                <w:lang w:val="en-US" w:eastAsia="zh-CN"/>
              </w:rPr>
              <w:t>表1-2  本工程站址及路径协议一览表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4571"/>
              <w:gridCol w:w="1983"/>
              <w:gridCol w:w="474"/>
            </w:tblGrid>
            <w:tr w14:paraId="25D15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79D432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bCs/>
                      <w:sz w:val="21"/>
                      <w:szCs w:val="21"/>
                      <w:vertAlign w:val="baseline"/>
                      <w:lang w:val="en-US" w:eastAsia="zh-CN"/>
                    </w:rPr>
                  </w:pPr>
                  <w:r>
                    <w:rPr>
                      <w:rFonts w:hint="eastAsia" w:cs="Times New Roman"/>
                      <w:b/>
                      <w:bCs/>
                      <w:color w:val="000000" w:themeColor="text1"/>
                      <w:sz w:val="21"/>
                      <w:szCs w:val="21"/>
                      <w:lang w:eastAsia="zh-CN"/>
                      <w14:textFill>
                        <w14:solidFill>
                          <w14:schemeClr w14:val="tx1"/>
                        </w14:solidFill>
                      </w14:textFill>
                    </w:rPr>
                    <w:t>征求意见单位</w:t>
                  </w:r>
                </w:p>
              </w:tc>
              <w:tc>
                <w:tcPr>
                  <w:tcW w:w="2796" w:type="pct"/>
                  <w:vAlign w:val="center"/>
                </w:tcPr>
                <w:p w14:paraId="613A46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 w:val="21"/>
                      <w:szCs w:val="21"/>
                      <w:vertAlign w:val="baseline"/>
                      <w:lang w:val="en-US" w:eastAsia="zh-CN"/>
                    </w:rPr>
                  </w:pPr>
                  <w:r>
                    <w:rPr>
                      <w:rFonts w:hint="eastAsia" w:cs="Times New Roman"/>
                      <w:b/>
                      <w:bCs/>
                      <w:color w:val="000000" w:themeColor="text1"/>
                      <w:sz w:val="21"/>
                      <w:szCs w:val="21"/>
                      <w:lang w:eastAsia="zh-CN"/>
                      <w14:textFill>
                        <w14:solidFill>
                          <w14:schemeClr w14:val="tx1"/>
                        </w14:solidFill>
                      </w14:textFill>
                    </w:rPr>
                    <w:t>主要意见</w:t>
                  </w:r>
                </w:p>
              </w:tc>
              <w:tc>
                <w:tcPr>
                  <w:tcW w:w="1213" w:type="pct"/>
                  <w:vAlign w:val="center"/>
                </w:tcPr>
                <w:p w14:paraId="58BF3B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落实情况</w:t>
                  </w:r>
                </w:p>
              </w:tc>
              <w:tc>
                <w:tcPr>
                  <w:tcW w:w="290" w:type="pct"/>
                  <w:vAlign w:val="center"/>
                </w:tcPr>
                <w:p w14:paraId="6DC17A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备注</w:t>
                  </w:r>
                </w:p>
              </w:tc>
            </w:tr>
            <w:tr w14:paraId="3B0ED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074CEE0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sz w:val="21"/>
                      <w:szCs w:val="21"/>
                      <w:vertAlign w:val="baseline"/>
                      <w:lang w:val="en-US" w:eastAsia="zh-CN"/>
                    </w:rPr>
                  </w:pPr>
                  <w:r>
                    <w:rPr>
                      <w:rFonts w:hint="eastAsia"/>
                      <w:color w:val="auto"/>
                      <w:sz w:val="21"/>
                      <w:szCs w:val="21"/>
                      <w:lang w:val="en-US" w:eastAsia="zh-CN"/>
                    </w:rPr>
                    <w:t>金寨县自然资源和规划局</w:t>
                  </w:r>
                </w:p>
              </w:tc>
              <w:tc>
                <w:tcPr>
                  <w:tcW w:w="2796" w:type="pct"/>
                  <w:vAlign w:val="center"/>
                </w:tcPr>
                <w:p w14:paraId="27FE01B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eastAsia="宋体"/>
                      <w:sz w:val="21"/>
                      <w:szCs w:val="21"/>
                      <w:vertAlign w:val="baseline"/>
                      <w:lang w:val="en-US" w:eastAsia="zh-CN"/>
                    </w:rPr>
                  </w:pPr>
                  <w:r>
                    <w:rPr>
                      <w:rFonts w:hint="eastAsia"/>
                      <w:sz w:val="21"/>
                      <w:szCs w:val="21"/>
                      <w:vertAlign w:val="baseline"/>
                      <w:lang w:val="en-US" w:eastAsia="zh-CN"/>
                    </w:rPr>
                    <w:t>一、</w:t>
                  </w:r>
                  <w:r>
                    <w:rPr>
                      <w:rFonts w:hint="eastAsia" w:eastAsia="宋体"/>
                      <w:sz w:val="21"/>
                      <w:szCs w:val="21"/>
                      <w:vertAlign w:val="baseline"/>
                      <w:lang w:val="en-US" w:eastAsia="zh-CN"/>
                    </w:rPr>
                    <w:t>原则同意输电线路路径方案</w:t>
                  </w:r>
                  <w:r>
                    <w:rPr>
                      <w:rFonts w:hint="eastAsia"/>
                      <w:sz w:val="21"/>
                      <w:szCs w:val="21"/>
                      <w:vertAlign w:val="baseline"/>
                      <w:lang w:val="en-US" w:eastAsia="zh-CN"/>
                    </w:rPr>
                    <w:t>。</w:t>
                  </w:r>
                </w:p>
              </w:tc>
              <w:tc>
                <w:tcPr>
                  <w:tcW w:w="1213" w:type="pct"/>
                  <w:vAlign w:val="center"/>
                </w:tcPr>
                <w:p w14:paraId="370645FB">
                  <w:pPr>
                    <w:keepNext w:val="0"/>
                    <w:keepLines w:val="0"/>
                    <w:pageBreakBefore w:val="0"/>
                    <w:widowControl w:val="0"/>
                    <w:kinsoku/>
                    <w:wordWrap/>
                    <w:overflowPunct/>
                    <w:topLinePunct w:val="0"/>
                    <w:autoSpaceDE/>
                    <w:autoSpaceDN/>
                    <w:bidi w:val="0"/>
                    <w:adjustRightInd/>
                    <w:snapToGrid/>
                    <w:spacing w:before="0" w:beforeLines="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本工程输电线路部分塔基占用生态保护红线，已取得《金寨县人民政府关于安徽金沙钼业有限公司110kV输变电工程符合生态保护红线内允许有限人为活动的说明》；项目已</w:t>
                  </w:r>
                  <w:r>
                    <w:rPr>
                      <w:rFonts w:hint="eastAsia" w:eastAsia="宋体"/>
                      <w:sz w:val="21"/>
                      <w:szCs w:val="21"/>
                      <w:vertAlign w:val="baseline"/>
                      <w:lang w:val="en-US" w:eastAsia="zh-CN"/>
                    </w:rPr>
                    <w:t>制定生态保护措施方案，减轻项目建设对生态环境的影响</w:t>
                  </w:r>
                </w:p>
              </w:tc>
              <w:tc>
                <w:tcPr>
                  <w:tcW w:w="290" w:type="pct"/>
                  <w:vAlign w:val="center"/>
                </w:tcPr>
                <w:p w14:paraId="2ED84D7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w:t>
                  </w:r>
                  <w:r>
                    <w:rPr>
                      <w:rFonts w:hint="eastAsia"/>
                      <w:color w:val="auto"/>
                      <w:sz w:val="21"/>
                      <w:szCs w:val="21"/>
                      <w:lang w:val="en-US" w:eastAsia="zh-CN"/>
                    </w:rPr>
                    <w:t>4</w:t>
                  </w:r>
                </w:p>
              </w:tc>
            </w:tr>
            <w:tr w14:paraId="7D66D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6E4A5D7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r>
                    <w:rPr>
                      <w:rFonts w:hint="eastAsia"/>
                      <w:color w:val="auto"/>
                      <w:sz w:val="21"/>
                      <w:szCs w:val="21"/>
                      <w:lang w:val="en-US" w:eastAsia="zh-CN"/>
                    </w:rPr>
                    <w:t>六安市自然资源和规划局</w:t>
                  </w:r>
                </w:p>
              </w:tc>
              <w:tc>
                <w:tcPr>
                  <w:tcW w:w="2796" w:type="pct"/>
                  <w:vAlign w:val="center"/>
                </w:tcPr>
                <w:p w14:paraId="5BE5430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一、该项目用地符合规定，原则同意通过用地预审。</w:t>
                  </w:r>
                </w:p>
                <w:p w14:paraId="5AD9879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二、该项目用地应控制在0.4352公顷以内，其中农用地0.4352公顷（耕地0.0762公顷，不涉及占用永久基本农田）。在初步设计阶段，必须严格保护耕地，从严控制用地规模。</w:t>
                  </w:r>
                </w:p>
                <w:p w14:paraId="1CE57F3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三、项目用地涉及金寨县关庙乡银山村，不涉及占用生态保护红线。</w:t>
                  </w:r>
                </w:p>
                <w:p w14:paraId="0089996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四、按照《中华人民共和国土地管理法》等规定，建设项目占用耕地的，应当补充数量相同、质量相当的耕地。你单位应足额落实补充耕地、土地复垦等相关费用，在用地报批前按规定做好耕地占补平衡工作和土地复垦前期工作；结合土地整治、高标准农田建设和土地复垦等工作，及时组织开展耕作层土壤剥离利用、补充耕地；用地报批时，耕作层土壤剥离利用安排情况随同补充耕地方案一并予以说明。</w:t>
                  </w:r>
                </w:p>
                <w:p w14:paraId="00F496D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五、项目经审批后，必须按照《中华人民共和国土地管理法》有关规定，依法办理农用地转用和土地征收手续，纳入国土空间规划“一张图”实施监管。未取得建设用地批准手续的不得开工建设。已通过用地预审的项目，如对土地用途、建设项目选址等进行重大调整的，应当重新办理用地预审。</w:t>
                  </w:r>
                </w:p>
                <w:p w14:paraId="05B410B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六、建设单位应当对项目是否位于自然和历史文化保护区、地质灾害易发区，是否压覆重要矿产资源进行查询核实</w:t>
                  </w:r>
                  <w:r>
                    <w:rPr>
                      <w:rFonts w:hint="eastAsia"/>
                      <w:sz w:val="21"/>
                      <w:szCs w:val="21"/>
                      <w:vertAlign w:val="baseline"/>
                      <w:lang w:val="en-US" w:eastAsia="zh-CN"/>
                    </w:rPr>
                    <w:t>；</w:t>
                  </w:r>
                  <w:r>
                    <w:rPr>
                      <w:rFonts w:hint="default" w:eastAsia="宋体"/>
                      <w:sz w:val="21"/>
                      <w:szCs w:val="21"/>
                      <w:vertAlign w:val="baseline"/>
                      <w:lang w:val="en-US" w:eastAsia="zh-CN"/>
                    </w:rPr>
                    <w:t>应避让自然和历史文化保护区域，位于地质灾害易发区域或者压覆重要矿产资源的，应当根据相关法律法规的规定，在办理用地预审手续后，做好地质灾害危险性评估、压覆矿产资源审批等。</w:t>
                  </w:r>
                </w:p>
                <w:p w14:paraId="6F86EF7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eastAsia="宋体"/>
                      <w:sz w:val="21"/>
                      <w:szCs w:val="21"/>
                      <w:vertAlign w:val="baseline"/>
                      <w:lang w:val="en-US" w:eastAsia="zh-CN"/>
                    </w:rPr>
                  </w:pPr>
                  <w:r>
                    <w:rPr>
                      <w:rFonts w:hint="default" w:eastAsia="宋体"/>
                      <w:sz w:val="21"/>
                      <w:szCs w:val="21"/>
                      <w:vertAlign w:val="baseline"/>
                      <w:lang w:val="en-US" w:eastAsia="zh-CN"/>
                    </w:rPr>
                    <w:t>七、项目建设必须严格履行规划审批程序，按规划要求实施建设，服从规划管理。项目在深化设计及建设中，要符合所在地国土空间规划要求，协调好与周边市政基础设施、公共服务设施、公共安全设施等之间的关系，协调好与沿线相关资源保护及利用的关系。</w:t>
                  </w:r>
                </w:p>
              </w:tc>
              <w:tc>
                <w:tcPr>
                  <w:tcW w:w="1213" w:type="pct"/>
                  <w:vAlign w:val="center"/>
                </w:tcPr>
                <w:p w14:paraId="604B5E57">
                  <w:pPr>
                    <w:keepNext w:val="0"/>
                    <w:keepLines w:val="0"/>
                    <w:pageBreakBefore w:val="0"/>
                    <w:widowControl w:val="0"/>
                    <w:kinsoku/>
                    <w:wordWrap/>
                    <w:overflowPunct/>
                    <w:topLinePunct w:val="0"/>
                    <w:autoSpaceDE/>
                    <w:autoSpaceDN/>
                    <w:bidi w:val="0"/>
                    <w:adjustRightInd/>
                    <w:snapToGrid/>
                    <w:spacing w:before="0" w:beforeLines="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本工程变电站站址用地为</w:t>
                  </w:r>
                  <w:r>
                    <w:rPr>
                      <w:rFonts w:hint="default" w:eastAsia="宋体"/>
                      <w:sz w:val="21"/>
                      <w:szCs w:val="21"/>
                      <w:vertAlign w:val="baseline"/>
                      <w:lang w:val="en-US" w:eastAsia="zh-CN"/>
                    </w:rPr>
                    <w:t>0.4352公顷</w:t>
                  </w:r>
                  <w:r>
                    <w:rPr>
                      <w:rFonts w:hint="eastAsia"/>
                      <w:sz w:val="21"/>
                      <w:szCs w:val="21"/>
                      <w:vertAlign w:val="baseline"/>
                      <w:lang w:val="en-US" w:eastAsia="zh-CN"/>
                    </w:rPr>
                    <w:t>，初设阶段做到保护耕地，控制用地规模；变电站不涉及占用生态保护红线；项目</w:t>
                  </w:r>
                  <w:r>
                    <w:rPr>
                      <w:rFonts w:hint="default" w:eastAsia="宋体"/>
                      <w:sz w:val="21"/>
                      <w:szCs w:val="21"/>
                      <w:vertAlign w:val="baseline"/>
                      <w:lang w:val="en-US" w:eastAsia="zh-CN"/>
                    </w:rPr>
                    <w:t>在用地报批前按规定做好耕地占补平衡工作和土地复垦前期工作</w:t>
                  </w:r>
                  <w:r>
                    <w:rPr>
                      <w:rFonts w:hint="eastAsia"/>
                      <w:sz w:val="21"/>
                      <w:szCs w:val="21"/>
                      <w:vertAlign w:val="baseline"/>
                      <w:lang w:val="en-US" w:eastAsia="zh-CN"/>
                    </w:rPr>
                    <w:t>，</w:t>
                  </w:r>
                  <w:r>
                    <w:rPr>
                      <w:rFonts w:hint="default" w:eastAsia="宋体"/>
                      <w:sz w:val="21"/>
                      <w:szCs w:val="21"/>
                      <w:vertAlign w:val="baseline"/>
                      <w:lang w:val="en-US" w:eastAsia="zh-CN"/>
                    </w:rPr>
                    <w:t>及时组织开展耕作层土壤剥离利用、补充耕地</w:t>
                  </w:r>
                  <w:r>
                    <w:rPr>
                      <w:rFonts w:hint="eastAsia"/>
                      <w:sz w:val="21"/>
                      <w:szCs w:val="21"/>
                      <w:vertAlign w:val="baseline"/>
                      <w:lang w:val="en-US" w:eastAsia="zh-CN"/>
                    </w:rPr>
                    <w:t>；项目已</w:t>
                  </w:r>
                  <w:r>
                    <w:rPr>
                      <w:rFonts w:hint="default" w:eastAsia="宋体"/>
                      <w:sz w:val="21"/>
                      <w:szCs w:val="21"/>
                      <w:vertAlign w:val="baseline"/>
                      <w:lang w:val="en-US" w:eastAsia="zh-CN"/>
                    </w:rPr>
                    <w:t>依法办理农用地转用和土地征收手续</w:t>
                  </w:r>
                  <w:r>
                    <w:rPr>
                      <w:rFonts w:hint="eastAsia"/>
                      <w:sz w:val="21"/>
                      <w:szCs w:val="21"/>
                      <w:vertAlign w:val="baseline"/>
                      <w:lang w:val="en-US" w:eastAsia="zh-CN"/>
                    </w:rPr>
                    <w:t>，已取得安徽省人民政府关于该项目的建设用地批复，不涉及</w:t>
                  </w:r>
                  <w:r>
                    <w:rPr>
                      <w:rFonts w:hint="default" w:eastAsia="宋体"/>
                      <w:sz w:val="21"/>
                      <w:szCs w:val="21"/>
                      <w:vertAlign w:val="baseline"/>
                      <w:lang w:val="en-US" w:eastAsia="zh-CN"/>
                    </w:rPr>
                    <w:t>对土地用途、建设项目选址等进行重大调整</w:t>
                  </w:r>
                  <w:r>
                    <w:rPr>
                      <w:rFonts w:hint="eastAsia"/>
                      <w:sz w:val="21"/>
                      <w:szCs w:val="21"/>
                      <w:vertAlign w:val="baseline"/>
                      <w:lang w:val="en-US" w:eastAsia="zh-CN"/>
                    </w:rPr>
                    <w:t>；本工程不涉及</w:t>
                  </w:r>
                  <w:r>
                    <w:rPr>
                      <w:rFonts w:hint="default" w:eastAsia="宋体"/>
                      <w:sz w:val="21"/>
                      <w:szCs w:val="21"/>
                      <w:vertAlign w:val="baseline"/>
                      <w:lang w:val="en-US" w:eastAsia="zh-CN"/>
                    </w:rPr>
                    <w:t>压覆重要矿产资源</w:t>
                  </w:r>
                  <w:r>
                    <w:rPr>
                      <w:rFonts w:hint="eastAsia"/>
                      <w:sz w:val="21"/>
                      <w:szCs w:val="21"/>
                      <w:vertAlign w:val="baseline"/>
                      <w:lang w:val="en-US" w:eastAsia="zh-CN"/>
                    </w:rPr>
                    <w:t>，已避让</w:t>
                  </w:r>
                  <w:r>
                    <w:rPr>
                      <w:rFonts w:hint="default" w:eastAsia="宋体"/>
                      <w:sz w:val="21"/>
                      <w:szCs w:val="21"/>
                      <w:vertAlign w:val="baseline"/>
                      <w:lang w:val="en-US" w:eastAsia="zh-CN"/>
                    </w:rPr>
                    <w:t>自然和历史文化保护区域</w:t>
                  </w:r>
                  <w:r>
                    <w:rPr>
                      <w:rFonts w:hint="eastAsia"/>
                      <w:sz w:val="21"/>
                      <w:szCs w:val="21"/>
                      <w:vertAlign w:val="baseline"/>
                      <w:lang w:val="en-US" w:eastAsia="zh-CN"/>
                    </w:rPr>
                    <w:t>；项目</w:t>
                  </w:r>
                  <w:r>
                    <w:rPr>
                      <w:rFonts w:hint="default" w:eastAsia="宋体"/>
                      <w:sz w:val="21"/>
                      <w:szCs w:val="21"/>
                      <w:vertAlign w:val="baseline"/>
                      <w:lang w:val="en-US" w:eastAsia="zh-CN"/>
                    </w:rPr>
                    <w:t>按规划要求实施建设</w:t>
                  </w:r>
                  <w:r>
                    <w:rPr>
                      <w:rFonts w:hint="eastAsia"/>
                      <w:sz w:val="21"/>
                      <w:szCs w:val="21"/>
                      <w:vertAlign w:val="baseline"/>
                      <w:lang w:val="en-US" w:eastAsia="zh-CN"/>
                    </w:rPr>
                    <w:t>，</w:t>
                  </w:r>
                  <w:r>
                    <w:rPr>
                      <w:rFonts w:hint="default" w:eastAsia="宋体"/>
                      <w:sz w:val="21"/>
                      <w:szCs w:val="21"/>
                      <w:vertAlign w:val="baseline"/>
                      <w:lang w:val="en-US" w:eastAsia="zh-CN"/>
                    </w:rPr>
                    <w:t>符合</w:t>
                  </w:r>
                  <w:r>
                    <w:rPr>
                      <w:rFonts w:hint="eastAsia"/>
                      <w:sz w:val="21"/>
                      <w:szCs w:val="21"/>
                      <w:vertAlign w:val="baseline"/>
                      <w:lang w:val="en-US" w:eastAsia="zh-CN"/>
                    </w:rPr>
                    <w:t>六安市</w:t>
                  </w:r>
                  <w:r>
                    <w:rPr>
                      <w:rFonts w:hint="default" w:eastAsia="宋体"/>
                      <w:sz w:val="21"/>
                      <w:szCs w:val="21"/>
                      <w:vertAlign w:val="baseline"/>
                      <w:lang w:val="en-US" w:eastAsia="zh-CN"/>
                    </w:rPr>
                    <w:t>国土空间规划要求</w:t>
                  </w:r>
                  <w:r>
                    <w:rPr>
                      <w:rFonts w:hint="eastAsia"/>
                      <w:sz w:val="21"/>
                      <w:szCs w:val="21"/>
                      <w:vertAlign w:val="baseline"/>
                      <w:lang w:val="en-US" w:eastAsia="zh-CN"/>
                    </w:rPr>
                    <w:t>。</w:t>
                  </w:r>
                </w:p>
              </w:tc>
              <w:tc>
                <w:tcPr>
                  <w:tcW w:w="290" w:type="pct"/>
                  <w:vAlign w:val="center"/>
                </w:tcPr>
                <w:p w14:paraId="3A6D8A3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附件28</w:t>
                  </w:r>
                </w:p>
              </w:tc>
            </w:tr>
            <w:tr w14:paraId="313A2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7EB87A4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color w:val="auto"/>
                      <w:sz w:val="21"/>
                      <w:szCs w:val="21"/>
                      <w:lang w:val="en-US" w:eastAsia="zh-CN"/>
                    </w:rPr>
                    <w:t>金寨县林业局</w:t>
                  </w:r>
                </w:p>
              </w:tc>
              <w:tc>
                <w:tcPr>
                  <w:tcW w:w="2796" w:type="pct"/>
                  <w:vAlign w:val="center"/>
                </w:tcPr>
                <w:p w14:paraId="4115EEE8">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一、原则上同意工程线路路径方案。</w:t>
                  </w:r>
                </w:p>
                <w:p w14:paraId="50263952">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二、工程使用林地手续获得批准后，对所需采伐的林木，由林木所有者申请，村、镇签出意见，经属地林业站勘测设计后核发林木采伐证（I级保护林地和一级国家级公益林不得核发采伐证），凭证采伐，严禁无证采伐林木，严禁未批先伐。</w:t>
                  </w:r>
                </w:p>
                <w:p w14:paraId="4EFD0373">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三、施工期间要加强森林资源的保护，项目选址内如遇有列入国家、省保护的古树、名木，必须更改规划选址，不得破坏古树名木。</w:t>
                  </w:r>
                </w:p>
                <w:p w14:paraId="7118E0DF">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四、加强松材线虫病防控，按照松材线虫病防治技术方案要求除治疫木，严防疫木流失，严禁调入县外松木及其制品。</w:t>
                  </w:r>
                </w:p>
              </w:tc>
              <w:tc>
                <w:tcPr>
                  <w:tcW w:w="1213" w:type="pct"/>
                  <w:vMerge w:val="restart"/>
                  <w:vAlign w:val="center"/>
                </w:tcPr>
                <w:p w14:paraId="3003E6C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auto"/>
                      <w:sz w:val="21"/>
                      <w:szCs w:val="21"/>
                      <w:lang w:val="en-US" w:eastAsia="zh-CN"/>
                    </w:rPr>
                  </w:pPr>
                  <w:r>
                    <w:rPr>
                      <w:rFonts w:hint="eastAsia"/>
                      <w:lang w:val="en-US" w:eastAsia="zh-CN"/>
                    </w:rPr>
                    <w:t>项目施工前按要求履行</w:t>
                  </w:r>
                  <w:r>
                    <w:rPr>
                      <w:rFonts w:hint="eastAsia"/>
                      <w:color w:val="auto"/>
                      <w:sz w:val="21"/>
                      <w:szCs w:val="21"/>
                      <w:lang w:val="en-US" w:eastAsia="zh-CN"/>
                    </w:rPr>
                    <w:t>办理</w:t>
                  </w:r>
                  <w:r>
                    <w:rPr>
                      <w:rFonts w:hint="eastAsia" w:cs="Times New Roman"/>
                      <w:bCs/>
                      <w:color w:val="000000" w:themeColor="text1"/>
                      <w:sz w:val="21"/>
                      <w:szCs w:val="21"/>
                      <w:lang w:val="en-US" w:eastAsia="zh-CN"/>
                      <w14:textFill>
                        <w14:solidFill>
                          <w14:schemeClr w14:val="tx1"/>
                        </w14:solidFill>
                      </w14:textFill>
                    </w:rPr>
                    <w:t>使用林地和林木采伐手续，待林地手续获得批准后，对所需采伐的林木，由林木所有者申请，村、镇签出意见，经属地林业站勘测设计后核发林木采伐证再进行砍伐；项目不涉及自然保护区、不涉及采伐I级保护林地和一级国家级公益林，</w:t>
                  </w:r>
                  <w:r>
                    <w:rPr>
                      <w:rFonts w:hint="eastAsia"/>
                      <w:color w:val="auto"/>
                      <w:sz w:val="21"/>
                      <w:szCs w:val="21"/>
                      <w:lang w:val="en-US" w:eastAsia="zh-CN"/>
                    </w:rPr>
                    <w:t>不破坏古树名木；若工程施工过程中发现</w:t>
                  </w:r>
                  <w:r>
                    <w:rPr>
                      <w:rFonts w:hint="eastAsia" w:cs="Times New Roman"/>
                      <w:bCs/>
                      <w:color w:val="000000" w:themeColor="text1"/>
                      <w:sz w:val="21"/>
                      <w:szCs w:val="21"/>
                      <w:lang w:val="en-US" w:eastAsia="zh-CN"/>
                      <w14:textFill>
                        <w14:solidFill>
                          <w14:schemeClr w14:val="tx1"/>
                        </w14:solidFill>
                      </w14:textFill>
                    </w:rPr>
                    <w:t>疫木，按照松材线虫病防治技术方案要求除治疫木，严防疫木流失，本工程不涉及调入县外松木及其制品。</w:t>
                  </w:r>
                </w:p>
              </w:tc>
              <w:tc>
                <w:tcPr>
                  <w:tcW w:w="290" w:type="pct"/>
                  <w:vAlign w:val="center"/>
                </w:tcPr>
                <w:p w14:paraId="69A7011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5</w:t>
                  </w:r>
                </w:p>
              </w:tc>
            </w:tr>
            <w:tr w14:paraId="509D0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2358227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7E15CF49">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原则同意该项目选址方案。项目选址涉及使用林地，项目实施建设前需依法依规办理使用林地和林木采伐手续。</w:t>
                  </w:r>
                </w:p>
              </w:tc>
              <w:tc>
                <w:tcPr>
                  <w:tcW w:w="1213" w:type="pct"/>
                  <w:vMerge w:val="continue"/>
                  <w:vAlign w:val="center"/>
                </w:tcPr>
                <w:p w14:paraId="566C4AC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auto"/>
                      <w:sz w:val="21"/>
                      <w:szCs w:val="21"/>
                      <w:lang w:val="en-US" w:eastAsia="zh-CN"/>
                    </w:rPr>
                  </w:pPr>
                </w:p>
              </w:tc>
              <w:tc>
                <w:tcPr>
                  <w:tcW w:w="290" w:type="pct"/>
                  <w:vAlign w:val="center"/>
                </w:tcPr>
                <w:p w14:paraId="5F348D9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附件19</w:t>
                  </w:r>
                </w:p>
              </w:tc>
            </w:tr>
            <w:tr w14:paraId="158E7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405519D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color w:val="auto"/>
                      <w:sz w:val="21"/>
                      <w:szCs w:val="21"/>
                      <w:lang w:val="en-US" w:eastAsia="zh-CN"/>
                    </w:rPr>
                    <w:t>金寨县交通运输局</w:t>
                  </w:r>
                </w:p>
              </w:tc>
              <w:tc>
                <w:tcPr>
                  <w:tcW w:w="2796" w:type="pct"/>
                  <w:vAlign w:val="center"/>
                </w:tcPr>
                <w:p w14:paraId="1126D4B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一、原则同意</w:t>
                  </w:r>
                  <w:r>
                    <w:rPr>
                      <w:rFonts w:hint="eastAsia" w:cs="Times New Roman"/>
                      <w:bCs/>
                      <w:color w:val="000000" w:themeColor="text1"/>
                      <w:sz w:val="21"/>
                      <w:szCs w:val="21"/>
                      <w:lang w:val="en-US" w:eastAsia="zh-CN"/>
                      <w14:textFill>
                        <w14:solidFill>
                          <w14:schemeClr w14:val="tx1"/>
                        </w14:solidFill>
                      </w14:textFill>
                    </w:rPr>
                    <w:t>本工程</w:t>
                  </w:r>
                  <w:r>
                    <w:rPr>
                      <w:rFonts w:hint="eastAsia" w:ascii="Times New Roman" w:hAnsi="Times New Roman" w:cs="Times New Roman"/>
                      <w:bCs/>
                      <w:color w:val="000000" w:themeColor="text1"/>
                      <w:sz w:val="21"/>
                      <w:szCs w:val="21"/>
                      <w:lang w:val="en-US" w:eastAsia="zh-CN"/>
                      <w14:textFill>
                        <w14:solidFill>
                          <w14:schemeClr w14:val="tx1"/>
                        </w14:solidFill>
                      </w14:textFill>
                    </w:rPr>
                    <w:t>线路路径方案。</w:t>
                  </w:r>
                </w:p>
                <w:p w14:paraId="7D5B8C2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二、该项目古碑一钼矿线路、双河一钼矿线路分别跨越我县S331、S245、S443及部分县乡公路，根据《中华人民共和国公路法》《公路安全保护条例》《涉路工程安全评价规范》等有关规定：1.电力设施线路应在公路建筑控制区外布设（公路建筑控制区满足国道不少于20米，省道不少于15米，县道不少于10米，</w:t>
                  </w:r>
                </w:p>
                <w:p w14:paraId="28DC7FD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乡道不少于5米）</w:t>
                  </w:r>
                  <w:r>
                    <w:rPr>
                      <w:rFonts w:hint="eastAsia" w:cs="Times New Roman"/>
                      <w:bCs/>
                      <w:color w:val="000000" w:themeColor="text1"/>
                      <w:sz w:val="21"/>
                      <w:szCs w:val="21"/>
                      <w:lang w:val="en-US" w:eastAsia="zh-CN"/>
                      <w14:textFill>
                        <w14:solidFill>
                          <w14:schemeClr w14:val="tx1"/>
                        </w14:solidFill>
                      </w14:textFill>
                    </w:rPr>
                    <w:t>；</w:t>
                  </w:r>
                  <w:r>
                    <w:rPr>
                      <w:rFonts w:hint="eastAsia" w:ascii="Times New Roman" w:hAnsi="Times New Roman" w:cs="Times New Roman"/>
                      <w:bCs/>
                      <w:color w:val="000000" w:themeColor="text1"/>
                      <w:sz w:val="21"/>
                      <w:szCs w:val="21"/>
                      <w:lang w:val="en-US" w:eastAsia="zh-CN"/>
                      <w14:textFill>
                        <w14:solidFill>
                          <w14:schemeClr w14:val="tx1"/>
                        </w14:solidFill>
                      </w14:textFill>
                    </w:rPr>
                    <w:t>2.电力线跨越公路交角不小于70°（特殊情况下不小于60°）。</w:t>
                  </w:r>
                </w:p>
                <w:p w14:paraId="25AFBF6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请你单位根据规定，进一步优化工程线路方案，为公路改扩建预留空间。</w:t>
                  </w:r>
                </w:p>
              </w:tc>
              <w:tc>
                <w:tcPr>
                  <w:tcW w:w="1213" w:type="pct"/>
                  <w:vAlign w:val="center"/>
                </w:tcPr>
                <w:p w14:paraId="7A7B640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lang w:val="en-US" w:eastAsia="zh-CN"/>
                    </w:rPr>
                  </w:pPr>
                  <w:r>
                    <w:rPr>
                      <w:rFonts w:hint="eastAsia"/>
                      <w:color w:val="auto"/>
                      <w:sz w:val="21"/>
                      <w:szCs w:val="21"/>
                      <w:lang w:val="en-US" w:eastAsia="zh-CN"/>
                    </w:rPr>
                    <w:t>严格</w:t>
                  </w:r>
                  <w:r>
                    <w:rPr>
                      <w:rFonts w:hint="eastAsia"/>
                      <w:color w:val="auto"/>
                      <w:sz w:val="21"/>
                      <w:szCs w:val="21"/>
                    </w:rPr>
                    <w:t>按</w:t>
                  </w:r>
                  <w:r>
                    <w:rPr>
                      <w:rFonts w:hint="eastAsia"/>
                      <w:color w:val="auto"/>
                      <w:sz w:val="21"/>
                      <w:szCs w:val="21"/>
                      <w:lang w:val="en-US" w:eastAsia="zh-CN"/>
                    </w:rPr>
                    <w:t>国家相关法律、政策要求实施，本工程输电线路塔基距离</w:t>
                  </w:r>
                  <w:r>
                    <w:rPr>
                      <w:rFonts w:hint="eastAsia" w:ascii="Times New Roman" w:hAnsi="Times New Roman" w:cs="Times New Roman"/>
                      <w:bCs/>
                      <w:color w:val="000000" w:themeColor="text1"/>
                      <w:sz w:val="21"/>
                      <w:szCs w:val="21"/>
                      <w:lang w:val="en-US" w:eastAsia="zh-CN"/>
                      <w14:textFill>
                        <w14:solidFill>
                          <w14:schemeClr w14:val="tx1"/>
                        </w14:solidFill>
                      </w14:textFill>
                    </w:rPr>
                    <w:t>S331</w:t>
                  </w:r>
                  <w:r>
                    <w:rPr>
                      <w:rFonts w:hint="eastAsia" w:cs="Times New Roman"/>
                      <w:bCs/>
                      <w:color w:val="000000" w:themeColor="text1"/>
                      <w:sz w:val="21"/>
                      <w:szCs w:val="21"/>
                      <w:lang w:val="en-US" w:eastAsia="zh-CN"/>
                      <w14:textFill>
                        <w14:solidFill>
                          <w14:schemeClr w14:val="tx1"/>
                        </w14:solidFill>
                      </w14:textFill>
                    </w:rPr>
                    <w:t>最近距离约51m、</w:t>
                  </w:r>
                  <w:r>
                    <w:rPr>
                      <w:rFonts w:hint="eastAsia"/>
                      <w:color w:val="auto"/>
                      <w:sz w:val="21"/>
                      <w:szCs w:val="21"/>
                      <w:lang w:val="en-US" w:eastAsia="zh-CN"/>
                    </w:rPr>
                    <w:t>距离</w:t>
                  </w:r>
                  <w:r>
                    <w:rPr>
                      <w:rFonts w:hint="eastAsia" w:ascii="Times New Roman" w:hAnsi="Times New Roman" w:cs="Times New Roman"/>
                      <w:bCs/>
                      <w:color w:val="000000" w:themeColor="text1"/>
                      <w:sz w:val="21"/>
                      <w:szCs w:val="21"/>
                      <w:lang w:val="en-US" w:eastAsia="zh-CN"/>
                      <w14:textFill>
                        <w14:solidFill>
                          <w14:schemeClr w14:val="tx1"/>
                        </w14:solidFill>
                      </w14:textFill>
                    </w:rPr>
                    <w:t>S</w:t>
                  </w:r>
                  <w:r>
                    <w:rPr>
                      <w:rFonts w:hint="eastAsia" w:cs="Times New Roman"/>
                      <w:bCs/>
                      <w:color w:val="000000" w:themeColor="text1"/>
                      <w:sz w:val="21"/>
                      <w:szCs w:val="21"/>
                      <w:lang w:val="en-US" w:eastAsia="zh-CN"/>
                      <w14:textFill>
                        <w14:solidFill>
                          <w14:schemeClr w14:val="tx1"/>
                        </w14:solidFill>
                      </w14:textFill>
                    </w:rPr>
                    <w:t>245最近距离约33m、</w:t>
                  </w:r>
                  <w:r>
                    <w:rPr>
                      <w:rFonts w:hint="eastAsia"/>
                      <w:color w:val="auto"/>
                      <w:sz w:val="21"/>
                      <w:szCs w:val="21"/>
                      <w:lang w:val="en-US" w:eastAsia="zh-CN"/>
                    </w:rPr>
                    <w:t>距离</w:t>
                  </w:r>
                  <w:r>
                    <w:rPr>
                      <w:rFonts w:hint="eastAsia" w:ascii="Times New Roman" w:hAnsi="Times New Roman" w:cs="Times New Roman"/>
                      <w:bCs/>
                      <w:color w:val="000000" w:themeColor="text1"/>
                      <w:sz w:val="21"/>
                      <w:szCs w:val="21"/>
                      <w:lang w:val="en-US" w:eastAsia="zh-CN"/>
                      <w14:textFill>
                        <w14:solidFill>
                          <w14:schemeClr w14:val="tx1"/>
                        </w14:solidFill>
                      </w14:textFill>
                    </w:rPr>
                    <w:t>S</w:t>
                  </w:r>
                  <w:r>
                    <w:rPr>
                      <w:rFonts w:hint="eastAsia" w:cs="Times New Roman"/>
                      <w:bCs/>
                      <w:color w:val="000000" w:themeColor="text1"/>
                      <w:sz w:val="21"/>
                      <w:szCs w:val="21"/>
                      <w:lang w:val="en-US" w:eastAsia="zh-CN"/>
                      <w14:textFill>
                        <w14:solidFill>
                          <w14:schemeClr w14:val="tx1"/>
                        </w14:solidFill>
                      </w14:textFill>
                    </w:rPr>
                    <w:t>443最近距离约40m，已</w:t>
                  </w:r>
                  <w:r>
                    <w:rPr>
                      <w:rFonts w:hint="eastAsia"/>
                      <w:color w:val="auto"/>
                      <w:sz w:val="21"/>
                      <w:szCs w:val="21"/>
                      <w:lang w:val="en-US" w:eastAsia="zh-CN"/>
                    </w:rPr>
                    <w:t>为公路改扩建预留空间</w:t>
                  </w:r>
                </w:p>
              </w:tc>
              <w:tc>
                <w:tcPr>
                  <w:tcW w:w="290" w:type="pct"/>
                  <w:vAlign w:val="center"/>
                </w:tcPr>
                <w:p w14:paraId="53F97FB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6</w:t>
                  </w:r>
                </w:p>
              </w:tc>
            </w:tr>
            <w:tr w14:paraId="1ADA6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2F96739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31837FDA">
                  <w:pPr>
                    <w:pStyle w:val="214"/>
                    <w:keepNext w:val="0"/>
                    <w:keepLines w:val="0"/>
                    <w:pageBreakBefore w:val="0"/>
                    <w:widowControl w:val="0"/>
                    <w:numPr>
                      <w:ilvl w:val="0"/>
                      <w:numId w:val="3"/>
                    </w:numPr>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原则同意变电站选址方案。</w:t>
                  </w:r>
                </w:p>
                <w:p w14:paraId="4B1AE593">
                  <w:pPr>
                    <w:pStyle w:val="214"/>
                    <w:keepNext w:val="0"/>
                    <w:keepLines w:val="0"/>
                    <w:pageBreakBefore w:val="0"/>
                    <w:widowControl w:val="0"/>
                    <w:numPr>
                      <w:ilvl w:val="0"/>
                      <w:numId w:val="3"/>
                    </w:numPr>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根据《公路安全保护条例》《公路工程技术标准》和《涉路工程安全评价规范》等相关规定，电力设施涉路时应在公路建筑控制区外架设，公路建筑控制区的范围标准应满足：国道不少于20米；省道不少于15米；县道不少于10米；乡道不少于5米。同时保证涉路杆线与公路的交叉角度、最小垂直净空等技术指标均满足规范要求。</w:t>
                  </w:r>
                </w:p>
              </w:tc>
              <w:tc>
                <w:tcPr>
                  <w:tcW w:w="1213" w:type="pct"/>
                  <w:vAlign w:val="center"/>
                </w:tcPr>
                <w:p w14:paraId="56635E8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r>
                    <w:rPr>
                      <w:rFonts w:hint="eastAsia"/>
                      <w:color w:val="auto"/>
                      <w:sz w:val="21"/>
                      <w:szCs w:val="21"/>
                      <w:lang w:val="en-US" w:eastAsia="zh-CN"/>
                    </w:rPr>
                    <w:t>严格</w:t>
                  </w:r>
                  <w:r>
                    <w:rPr>
                      <w:rFonts w:hint="eastAsia"/>
                      <w:color w:val="auto"/>
                      <w:sz w:val="21"/>
                      <w:szCs w:val="21"/>
                    </w:rPr>
                    <w:t>按</w:t>
                  </w:r>
                  <w:r>
                    <w:rPr>
                      <w:rFonts w:hint="eastAsia"/>
                      <w:color w:val="auto"/>
                      <w:sz w:val="21"/>
                      <w:szCs w:val="21"/>
                      <w:lang w:val="en-US" w:eastAsia="zh-CN"/>
                    </w:rPr>
                    <w:t>国家相关法律、政策要求实施，输电线路涉及跨越公路时</w:t>
                  </w:r>
                  <w:r>
                    <w:rPr>
                      <w:rFonts w:hint="eastAsia" w:ascii="Times New Roman" w:hAnsi="Times New Roman" w:cs="Times New Roman"/>
                      <w:bCs/>
                      <w:color w:val="000000" w:themeColor="text1"/>
                      <w:sz w:val="21"/>
                      <w:szCs w:val="21"/>
                      <w:lang w:val="en-US" w:eastAsia="zh-CN"/>
                      <w14:textFill>
                        <w14:solidFill>
                          <w14:schemeClr w14:val="tx1"/>
                        </w14:solidFill>
                      </w14:textFill>
                    </w:rPr>
                    <w:t>在公路建筑控制区外架设</w:t>
                  </w:r>
                  <w:r>
                    <w:rPr>
                      <w:rFonts w:hint="eastAsia" w:cs="Times New Roman"/>
                      <w:bCs/>
                      <w:color w:val="000000" w:themeColor="text1"/>
                      <w:sz w:val="21"/>
                      <w:szCs w:val="21"/>
                      <w:lang w:val="en-US" w:eastAsia="zh-CN"/>
                      <w14:textFill>
                        <w14:solidFill>
                          <w14:schemeClr w14:val="tx1"/>
                        </w14:solidFill>
                      </w14:textFill>
                    </w:rPr>
                    <w:t>塔杆</w:t>
                  </w:r>
                  <w:r>
                    <w:rPr>
                      <w:rFonts w:hint="eastAsia" w:ascii="Times New Roman" w:hAnsi="Times New Roman" w:cs="Times New Roman"/>
                      <w:bCs/>
                      <w:color w:val="000000" w:themeColor="text1"/>
                      <w:sz w:val="21"/>
                      <w:szCs w:val="21"/>
                      <w:lang w:val="en-US" w:eastAsia="zh-CN"/>
                      <w14:textFill>
                        <w14:solidFill>
                          <w14:schemeClr w14:val="tx1"/>
                        </w14:solidFill>
                      </w14:textFill>
                    </w:rPr>
                    <w:t>，</w:t>
                  </w:r>
                  <w:r>
                    <w:rPr>
                      <w:rFonts w:hint="eastAsia"/>
                      <w:color w:val="auto"/>
                      <w:sz w:val="21"/>
                      <w:szCs w:val="21"/>
                      <w:lang w:val="en-US" w:eastAsia="zh-CN"/>
                    </w:rPr>
                    <w:t>本工程输电线路塔基距离</w:t>
                  </w:r>
                  <w:r>
                    <w:rPr>
                      <w:rFonts w:hint="eastAsia" w:ascii="Times New Roman" w:hAnsi="Times New Roman" w:cs="Times New Roman"/>
                      <w:bCs/>
                      <w:color w:val="000000" w:themeColor="text1"/>
                      <w:sz w:val="21"/>
                      <w:szCs w:val="21"/>
                      <w:lang w:val="en-US" w:eastAsia="zh-CN"/>
                      <w14:textFill>
                        <w14:solidFill>
                          <w14:schemeClr w14:val="tx1"/>
                        </w14:solidFill>
                      </w14:textFill>
                    </w:rPr>
                    <w:t>S331</w:t>
                  </w:r>
                  <w:r>
                    <w:rPr>
                      <w:rFonts w:hint="eastAsia" w:cs="Times New Roman"/>
                      <w:bCs/>
                      <w:color w:val="000000" w:themeColor="text1"/>
                      <w:sz w:val="21"/>
                      <w:szCs w:val="21"/>
                      <w:lang w:val="en-US" w:eastAsia="zh-CN"/>
                      <w14:textFill>
                        <w14:solidFill>
                          <w14:schemeClr w14:val="tx1"/>
                        </w14:solidFill>
                      </w14:textFill>
                    </w:rPr>
                    <w:t>最近距离约51m、</w:t>
                  </w:r>
                  <w:r>
                    <w:rPr>
                      <w:rFonts w:hint="eastAsia"/>
                      <w:color w:val="auto"/>
                      <w:sz w:val="21"/>
                      <w:szCs w:val="21"/>
                      <w:lang w:val="en-US" w:eastAsia="zh-CN"/>
                    </w:rPr>
                    <w:t>距离</w:t>
                  </w:r>
                  <w:r>
                    <w:rPr>
                      <w:rFonts w:hint="eastAsia" w:ascii="Times New Roman" w:hAnsi="Times New Roman" w:cs="Times New Roman"/>
                      <w:bCs/>
                      <w:color w:val="000000" w:themeColor="text1"/>
                      <w:sz w:val="21"/>
                      <w:szCs w:val="21"/>
                      <w:lang w:val="en-US" w:eastAsia="zh-CN"/>
                      <w14:textFill>
                        <w14:solidFill>
                          <w14:schemeClr w14:val="tx1"/>
                        </w14:solidFill>
                      </w14:textFill>
                    </w:rPr>
                    <w:t>S</w:t>
                  </w:r>
                  <w:r>
                    <w:rPr>
                      <w:rFonts w:hint="eastAsia" w:cs="Times New Roman"/>
                      <w:bCs/>
                      <w:color w:val="000000" w:themeColor="text1"/>
                      <w:sz w:val="21"/>
                      <w:szCs w:val="21"/>
                      <w:lang w:val="en-US" w:eastAsia="zh-CN"/>
                      <w14:textFill>
                        <w14:solidFill>
                          <w14:schemeClr w14:val="tx1"/>
                        </w14:solidFill>
                      </w14:textFill>
                    </w:rPr>
                    <w:t>245最近距离约33m、</w:t>
                  </w:r>
                  <w:r>
                    <w:rPr>
                      <w:rFonts w:hint="eastAsia"/>
                      <w:color w:val="auto"/>
                      <w:sz w:val="21"/>
                      <w:szCs w:val="21"/>
                      <w:lang w:val="en-US" w:eastAsia="zh-CN"/>
                    </w:rPr>
                    <w:t>距离</w:t>
                  </w:r>
                  <w:r>
                    <w:rPr>
                      <w:rFonts w:hint="eastAsia" w:ascii="Times New Roman" w:hAnsi="Times New Roman" w:cs="Times New Roman"/>
                      <w:bCs/>
                      <w:color w:val="000000" w:themeColor="text1"/>
                      <w:sz w:val="21"/>
                      <w:szCs w:val="21"/>
                      <w:lang w:val="en-US" w:eastAsia="zh-CN"/>
                      <w14:textFill>
                        <w14:solidFill>
                          <w14:schemeClr w14:val="tx1"/>
                        </w14:solidFill>
                      </w14:textFill>
                    </w:rPr>
                    <w:t>S</w:t>
                  </w:r>
                  <w:r>
                    <w:rPr>
                      <w:rFonts w:hint="eastAsia" w:cs="Times New Roman"/>
                      <w:bCs/>
                      <w:color w:val="000000" w:themeColor="text1"/>
                      <w:sz w:val="21"/>
                      <w:szCs w:val="21"/>
                      <w:lang w:val="en-US" w:eastAsia="zh-CN"/>
                      <w14:textFill>
                        <w14:solidFill>
                          <w14:schemeClr w14:val="tx1"/>
                        </w14:solidFill>
                      </w14:textFill>
                    </w:rPr>
                    <w:t>443最近距离约40m，</w:t>
                  </w:r>
                  <w:r>
                    <w:rPr>
                      <w:rFonts w:hint="eastAsia" w:ascii="Times New Roman" w:hAnsi="Times New Roman" w:cs="Times New Roman"/>
                      <w:bCs/>
                      <w:color w:val="000000" w:themeColor="text1"/>
                      <w:sz w:val="21"/>
                      <w:szCs w:val="21"/>
                      <w:lang w:val="en-US" w:eastAsia="zh-CN"/>
                      <w14:textFill>
                        <w14:solidFill>
                          <w14:schemeClr w14:val="tx1"/>
                        </w14:solidFill>
                      </w14:textFill>
                    </w:rPr>
                    <w:t>涉路杆线与公路的交叉角度、最小垂直净空等技术指标均满足规范要求</w:t>
                  </w:r>
                </w:p>
              </w:tc>
              <w:tc>
                <w:tcPr>
                  <w:tcW w:w="290" w:type="pct"/>
                  <w:vAlign w:val="center"/>
                </w:tcPr>
                <w:p w14:paraId="62389EA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附件24</w:t>
                  </w:r>
                </w:p>
              </w:tc>
            </w:tr>
            <w:tr w14:paraId="63192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58B6CE3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金寨县水利局</w:t>
                  </w:r>
                </w:p>
              </w:tc>
              <w:tc>
                <w:tcPr>
                  <w:tcW w:w="2796" w:type="pct"/>
                  <w:vAlign w:val="center"/>
                </w:tcPr>
                <w:p w14:paraId="7614F08F">
                  <w:pPr>
                    <w:pStyle w:val="214"/>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原则同意安徽金沙钼业有限公司110kv输变电工程线路路径方案。</w:t>
                  </w:r>
                </w:p>
              </w:tc>
              <w:tc>
                <w:tcPr>
                  <w:tcW w:w="1213" w:type="pct"/>
                  <w:vMerge w:val="restart"/>
                  <w:vAlign w:val="center"/>
                </w:tcPr>
                <w:p w14:paraId="61396F8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color w:val="auto"/>
                      <w:sz w:val="21"/>
                      <w:szCs w:val="21"/>
                      <w:highlight w:val="none"/>
                      <w:lang w:val="en-US" w:eastAsia="zh-CN"/>
                    </w:rPr>
                    <w:t>按要求实施，项目建设单位已委托编制涉水建设方案并在项目施工前取得水行政主管部门许可；确保</w:t>
                  </w:r>
                  <w:r>
                    <w:rPr>
                      <w:rFonts w:hint="eastAsia" w:ascii="Times New Roman" w:hAnsi="Times New Roman" w:cs="Times New Roman"/>
                      <w:bCs/>
                      <w:color w:val="auto"/>
                      <w:sz w:val="21"/>
                      <w:szCs w:val="21"/>
                      <w:highlight w:val="none"/>
                      <w:lang w:val="en-US" w:eastAsia="zh-CN"/>
                    </w:rPr>
                    <w:t>施工废水、固体废物不排入天然河道</w:t>
                  </w:r>
                </w:p>
              </w:tc>
              <w:tc>
                <w:tcPr>
                  <w:tcW w:w="290" w:type="pct"/>
                  <w:vAlign w:val="center"/>
                </w:tcPr>
                <w:p w14:paraId="45BCD58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7</w:t>
                  </w:r>
                </w:p>
              </w:tc>
            </w:tr>
            <w:tr w14:paraId="00CCA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637EFF0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01BFE578">
                  <w:pPr>
                    <w:pStyle w:val="214"/>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ascii="Times New Roman" w:hAnsi="Times New Roman"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原则同意</w:t>
                  </w:r>
                  <w:r>
                    <w:rPr>
                      <w:rFonts w:hint="eastAsia" w:ascii="Times New Roman" w:hAnsi="Times New Roman" w:cs="Times New Roman"/>
                      <w:bCs/>
                      <w:color w:val="000000" w:themeColor="text1"/>
                      <w:sz w:val="21"/>
                      <w:szCs w:val="21"/>
                      <w:lang w:val="en-US" w:eastAsia="zh-CN"/>
                      <w14:textFill>
                        <w14:solidFill>
                          <w14:schemeClr w14:val="tx1"/>
                        </w14:solidFill>
                      </w14:textFill>
                    </w:rPr>
                    <w:t>该项目选址方案，建议做好水土保持防治，施工废水、固体废物不得排入天然河道。</w:t>
                  </w:r>
                </w:p>
              </w:tc>
              <w:tc>
                <w:tcPr>
                  <w:tcW w:w="1213" w:type="pct"/>
                  <w:vMerge w:val="continue"/>
                  <w:vAlign w:val="center"/>
                </w:tcPr>
                <w:p w14:paraId="4A079EC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90" w:type="pct"/>
                  <w:vAlign w:val="center"/>
                </w:tcPr>
                <w:p w14:paraId="330772D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附件27</w:t>
                  </w:r>
                </w:p>
              </w:tc>
            </w:tr>
            <w:tr w14:paraId="36B0D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0C283AA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安徽省梅山水库管理处</w:t>
                  </w:r>
                </w:p>
              </w:tc>
              <w:tc>
                <w:tcPr>
                  <w:tcW w:w="2796" w:type="pct"/>
                  <w:vAlign w:val="center"/>
                </w:tcPr>
                <w:p w14:paraId="1A5499D8">
                  <w:pPr>
                    <w:pStyle w:val="214"/>
                    <w:keepNext w:val="0"/>
                    <w:keepLines w:val="0"/>
                    <w:pageBreakBefore w:val="0"/>
                    <w:widowControl w:val="0"/>
                    <w:numPr>
                      <w:ilvl w:val="0"/>
                      <w:numId w:val="4"/>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该输变电工程线路选址第1处和第3处塔基位于梅山水库保护范围内，项目建设全过程均应按照《梅山水库保护规划》相关要求落实保护措施，充分考虑梅山水库库区水资源、水环境、水生态保护，减少对原有周边环境、植被造成的影响，最大限度减少项目实施区域的水土流失等不利影响，最大程度保持库区水域岸线自然原貌。</w:t>
                  </w:r>
                </w:p>
                <w:p w14:paraId="705623E8">
                  <w:pPr>
                    <w:pStyle w:val="214"/>
                    <w:keepNext w:val="0"/>
                    <w:keepLines w:val="0"/>
                    <w:pageBreakBefore w:val="0"/>
                    <w:widowControl w:val="0"/>
                    <w:numPr>
                      <w:ilvl w:val="0"/>
                      <w:numId w:val="4"/>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输变电线路塔基选址应合理，塔基处设计高程不得低于防洪高水位133.00m，建议不低于居民迁移线高程136.5m。</w:t>
                  </w:r>
                </w:p>
                <w:p w14:paraId="11896C1A">
                  <w:pPr>
                    <w:pStyle w:val="214"/>
                    <w:keepNext w:val="0"/>
                    <w:keepLines w:val="0"/>
                    <w:pageBreakBefore w:val="0"/>
                    <w:widowControl w:val="0"/>
                    <w:numPr>
                      <w:ilvl w:val="-1"/>
                      <w:numId w:val="0"/>
                    </w:numPr>
                    <w:kinsoku/>
                    <w:wordWrap/>
                    <w:overflowPunct/>
                    <w:topLinePunct w:val="0"/>
                    <w:autoSpaceDE/>
                    <w:autoSpaceDN/>
                    <w:bidi w:val="0"/>
                    <w:adjustRightInd w:val="0"/>
                    <w:snapToGrid/>
                    <w:spacing w:line="240" w:lineRule="auto"/>
                    <w:ind w:left="0" w:leftChars="0" w:firstLine="0" w:firstLineChars="0"/>
                    <w:jc w:val="left"/>
                    <w:textAlignment w:val="baseline"/>
                    <w:rPr>
                      <w:rFonts w:hint="eastAsia" w:cs="Times New Roman"/>
                      <w:bCs/>
                      <w:color w:val="000000" w:themeColor="text1"/>
                      <w:sz w:val="21"/>
                      <w:szCs w:val="21"/>
                      <w:lang w:val="en-US" w:eastAsia="zh-CN"/>
                      <w14:textFill>
                        <w14:solidFill>
                          <w14:schemeClr w14:val="tx1"/>
                        </w14:solidFill>
                      </w14:textFill>
                    </w:rPr>
                  </w:pPr>
                  <w:r>
                    <w:rPr>
                      <w:rFonts w:hint="eastAsia" w:cs="Times New Roman"/>
                      <w:bCs/>
                      <w:color w:val="000000" w:themeColor="text1"/>
                      <w:sz w:val="21"/>
                      <w:szCs w:val="21"/>
                      <w:lang w:val="en-US" w:eastAsia="zh-CN"/>
                      <w14:textFill>
                        <w14:solidFill>
                          <w14:schemeClr w14:val="tx1"/>
                        </w14:solidFill>
                      </w14:textFill>
                    </w:rPr>
                    <w:t>三、应充分考虑项目实施过程中可能对梅山水库防洪蓄洪造成的影响，不得侵占水库库容及影响水库调度运用。</w:t>
                  </w:r>
                </w:p>
              </w:tc>
              <w:tc>
                <w:tcPr>
                  <w:tcW w:w="1213" w:type="pct"/>
                  <w:vAlign w:val="center"/>
                </w:tcPr>
                <w:p w14:paraId="2380041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ascii="Times New Roman" w:hAnsi="Times New Roman" w:eastAsia="宋体" w:cs="Times New Roman"/>
                      <w:b w:val="0"/>
                      <w:bCs w:val="0"/>
                      <w:sz w:val="21"/>
                      <w:szCs w:val="21"/>
                      <w:vertAlign w:val="baseline"/>
                      <w:lang w:val="en-US" w:eastAsia="zh-CN"/>
                    </w:rPr>
                    <w:t>本工程输电线路涉及跨越梅山水库部分水域，涉及塔基编号为A32和A33</w:t>
                  </w:r>
                  <w:r>
                    <w:rPr>
                      <w:rFonts w:hint="eastAsia"/>
                      <w:lang w:eastAsia="zh-CN"/>
                    </w:rPr>
                    <w:t>；</w:t>
                  </w:r>
                  <w:r>
                    <w:rPr>
                      <w:rFonts w:hint="eastAsia"/>
                      <w:color w:val="auto"/>
                      <w:sz w:val="21"/>
                      <w:szCs w:val="21"/>
                      <w:lang w:val="en-US" w:eastAsia="zh-CN"/>
                    </w:rPr>
                    <w:t>本工程已按照</w:t>
                  </w:r>
                  <w:r>
                    <w:rPr>
                      <w:rFonts w:hint="eastAsia" w:cs="Times New Roman"/>
                      <w:bCs/>
                      <w:color w:val="000000" w:themeColor="text1"/>
                      <w:sz w:val="21"/>
                      <w:szCs w:val="21"/>
                      <w:lang w:val="en-US" w:eastAsia="zh-CN"/>
                      <w14:textFill>
                        <w14:solidFill>
                          <w14:schemeClr w14:val="tx1"/>
                        </w14:solidFill>
                      </w14:textFill>
                    </w:rPr>
                    <w:t>《梅山水库保护规划》相关要求落实保护措施，充分考虑梅山水库库区水资源、水环境、水生态保护，减少对原有周边环境、植被造成的影响；</w:t>
                  </w:r>
                  <w:r>
                    <w:rPr>
                      <w:rFonts w:hint="eastAsia"/>
                      <w:color w:val="auto"/>
                      <w:sz w:val="21"/>
                      <w:szCs w:val="21"/>
                      <w:lang w:val="en-US" w:eastAsia="zh-CN"/>
                    </w:rPr>
                    <w:t>项目</w:t>
                  </w:r>
                  <w:r>
                    <w:rPr>
                      <w:rFonts w:hint="eastAsia" w:cs="Times New Roman"/>
                      <w:bCs/>
                      <w:color w:val="000000" w:themeColor="text1"/>
                      <w:sz w:val="21"/>
                      <w:szCs w:val="21"/>
                      <w:lang w:val="en-US" w:eastAsia="zh-CN"/>
                      <w14:textFill>
                        <w14:solidFill>
                          <w14:schemeClr w14:val="tx1"/>
                        </w14:solidFill>
                      </w14:textFill>
                    </w:rPr>
                    <w:t>塔基处设计高程不低于防洪高水位133.00m，不低于居民迁移线高程136.5m；项目实施过程中对梅山水库防洪蓄洪造成的影响可接受，不涉及侵占水库库容及影响水库调度运用</w:t>
                  </w:r>
                </w:p>
              </w:tc>
              <w:tc>
                <w:tcPr>
                  <w:tcW w:w="290" w:type="pct"/>
                  <w:vAlign w:val="center"/>
                </w:tcPr>
                <w:p w14:paraId="6EDB9E1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附件40</w:t>
                  </w:r>
                </w:p>
              </w:tc>
            </w:tr>
            <w:tr w14:paraId="58405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79091A8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金寨县生态环境分局</w:t>
                  </w:r>
                </w:p>
              </w:tc>
              <w:tc>
                <w:tcPr>
                  <w:tcW w:w="2796" w:type="pct"/>
                  <w:vAlign w:val="center"/>
                </w:tcPr>
                <w:p w14:paraId="7159E68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1.项目主要建设内容及规模包括：新建110KV线路总长约55.5km，其中古碑-钼矿线路路径长约32.4km，线路路径沿途经过关庙乡、汤家汇镇、南溪镇、槐树湾乡和古碑镇；双河-钼矿线路路径长约23.1km，线路路径沿途经过关庙乡、汤家汇镇、南溪镇、双河镇。项目建成后将加快金寨县沙坪沟钼矿开发，保障钼矿生产运营期间供电需求。</w:t>
                  </w:r>
                </w:p>
                <w:p w14:paraId="3D2A8A6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2.我局原则同意安徽金沙钼业有限公司110KV输变电工程路线路径方案选址选线。</w:t>
                  </w:r>
                </w:p>
                <w:p w14:paraId="00E74A1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3.请严格按照环境保护法律法规及相关政策要求，及时落实相关环保手续。</w:t>
                  </w:r>
                </w:p>
              </w:tc>
              <w:tc>
                <w:tcPr>
                  <w:tcW w:w="1213" w:type="pct"/>
                  <w:vMerge w:val="restart"/>
                  <w:vAlign w:val="center"/>
                </w:tcPr>
                <w:p w14:paraId="25368A6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color w:val="auto"/>
                      <w:sz w:val="21"/>
                      <w:szCs w:val="21"/>
                    </w:rPr>
                    <w:t>按要求实施，</w:t>
                  </w:r>
                  <w:r>
                    <w:rPr>
                      <w:rFonts w:hint="eastAsia"/>
                      <w:color w:val="auto"/>
                      <w:sz w:val="21"/>
                      <w:szCs w:val="21"/>
                      <w:lang w:val="en-US" w:eastAsia="zh-CN"/>
                    </w:rPr>
                    <w:t>本工程已避开饮用水水源保护区；</w:t>
                  </w:r>
                  <w:r>
                    <w:rPr>
                      <w:rFonts w:hint="eastAsia"/>
                      <w:sz w:val="21"/>
                      <w:szCs w:val="21"/>
                      <w:vertAlign w:val="baseline"/>
                      <w:lang w:val="en-US" w:eastAsia="zh-CN"/>
                    </w:rPr>
                    <w:t>按照环境保护法律法规及相关政策要求，正在落实相关环保手续</w:t>
                  </w:r>
                </w:p>
              </w:tc>
              <w:tc>
                <w:tcPr>
                  <w:tcW w:w="290" w:type="pct"/>
                  <w:vAlign w:val="center"/>
                </w:tcPr>
                <w:p w14:paraId="5F6CA64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8</w:t>
                  </w:r>
                </w:p>
              </w:tc>
            </w:tr>
            <w:tr w14:paraId="19380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6045F45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4E902D6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1.我局原则同意安徽金沙钼业有限公司110KV输变电工程项目站址规划选址。尽量优化输变线路路径，避开饮用水水源保护区。</w:t>
                  </w:r>
                </w:p>
                <w:p w14:paraId="28B989A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2.请严格按照环境保护法律法规及相关政策要求，及时落实相关环保手续。</w:t>
                  </w:r>
                </w:p>
              </w:tc>
              <w:tc>
                <w:tcPr>
                  <w:tcW w:w="1213" w:type="pct"/>
                  <w:vMerge w:val="continue"/>
                  <w:vAlign w:val="center"/>
                </w:tcPr>
                <w:p w14:paraId="6B30E5A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rPr>
                  </w:pPr>
                </w:p>
              </w:tc>
              <w:tc>
                <w:tcPr>
                  <w:tcW w:w="290" w:type="pct"/>
                  <w:vAlign w:val="center"/>
                </w:tcPr>
                <w:p w14:paraId="0650B05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附件21</w:t>
                  </w:r>
                </w:p>
              </w:tc>
            </w:tr>
            <w:tr w14:paraId="60EF1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6625869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金寨县文化旅游和体育局</w:t>
                  </w:r>
                </w:p>
              </w:tc>
              <w:tc>
                <w:tcPr>
                  <w:tcW w:w="2796" w:type="pct"/>
                  <w:vAlign w:val="center"/>
                </w:tcPr>
                <w:p w14:paraId="66350D9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如在施工过程中发现古遗址、古墓葬等，请立即停工，妥善保护好现场，并第一时间与我局联系。</w:t>
                  </w:r>
                </w:p>
              </w:tc>
              <w:tc>
                <w:tcPr>
                  <w:tcW w:w="1213" w:type="pct"/>
                  <w:vMerge w:val="restart"/>
                  <w:vAlign w:val="center"/>
                </w:tcPr>
                <w:p w14:paraId="107D2AC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若施工过程中发现</w:t>
                  </w:r>
                  <w:r>
                    <w:rPr>
                      <w:rFonts w:hint="eastAsia"/>
                      <w:sz w:val="21"/>
                      <w:szCs w:val="21"/>
                      <w:vertAlign w:val="baseline"/>
                      <w:lang w:val="en-US" w:eastAsia="zh-CN"/>
                    </w:rPr>
                    <w:t>古遗址、古墓葬等</w:t>
                  </w:r>
                  <w:r>
                    <w:rPr>
                      <w:rFonts w:hint="eastAsia"/>
                      <w:color w:val="auto"/>
                      <w:sz w:val="21"/>
                      <w:szCs w:val="21"/>
                      <w:lang w:val="en-US" w:eastAsia="zh-CN"/>
                    </w:rPr>
                    <w:t>，项目立即停工并通知金寨县文化旅游和体育局</w:t>
                  </w:r>
                </w:p>
              </w:tc>
              <w:tc>
                <w:tcPr>
                  <w:tcW w:w="290" w:type="pct"/>
                  <w:vAlign w:val="center"/>
                </w:tcPr>
                <w:p w14:paraId="477679E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9</w:t>
                  </w:r>
                </w:p>
              </w:tc>
            </w:tr>
            <w:tr w14:paraId="51B84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12EC08B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0D807E4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原则同意该项目选址方案。如在施工过程中发现古遗址、古墓葬等，请立即停工，妥善保护好现场，并第一时间与我局联系。</w:t>
                  </w:r>
                </w:p>
              </w:tc>
              <w:tc>
                <w:tcPr>
                  <w:tcW w:w="1213" w:type="pct"/>
                  <w:vMerge w:val="continue"/>
                  <w:vAlign w:val="center"/>
                </w:tcPr>
                <w:p w14:paraId="732A32F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90" w:type="pct"/>
                  <w:vAlign w:val="center"/>
                </w:tcPr>
                <w:p w14:paraId="7377A12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附件22</w:t>
                  </w:r>
                </w:p>
              </w:tc>
            </w:tr>
            <w:tr w14:paraId="3D478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restart"/>
                  <w:vAlign w:val="center"/>
                </w:tcPr>
                <w:p w14:paraId="21CFC49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金寨县应急管理局</w:t>
                  </w:r>
                </w:p>
              </w:tc>
              <w:tc>
                <w:tcPr>
                  <w:tcW w:w="2796" w:type="pct"/>
                  <w:vAlign w:val="center"/>
                </w:tcPr>
                <w:p w14:paraId="7941AA1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一、原则同意你公司110kV输变电工程线路路径方案。</w:t>
                  </w:r>
                </w:p>
                <w:p w14:paraId="0D85D8F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二、该项目施工过程中存在高处坠落、物体打击、触电等安全风险，你公司要严格落实安全生产主体责任，督促施工、监理等单位遵守安全生产有关法律法规，明确“安全生产责任，落实安全生产教育培训和安全技术交底等”，强化现场安全管理，确保施工作业期间安全稳定。</w:t>
                  </w:r>
                </w:p>
                <w:p w14:paraId="4BD4E1B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三、项目设计阶段要保持与矿山、危化、加油（气）站等高风险企业安全距离，遇到相关问题需经有关专家和行业监管部门论证同意方可。</w:t>
                  </w:r>
                </w:p>
              </w:tc>
              <w:tc>
                <w:tcPr>
                  <w:tcW w:w="1213" w:type="pct"/>
                  <w:vMerge w:val="restart"/>
                  <w:vAlign w:val="center"/>
                </w:tcPr>
                <w:p w14:paraId="4EE0C62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lang w:val="en-US" w:eastAsia="zh-CN"/>
                    </w:rPr>
                    <w:t>施工时</w:t>
                  </w:r>
                  <w:r>
                    <w:rPr>
                      <w:rFonts w:hint="eastAsia"/>
                      <w:sz w:val="21"/>
                      <w:szCs w:val="21"/>
                      <w:vertAlign w:val="baseline"/>
                      <w:lang w:val="en-US" w:eastAsia="zh-CN"/>
                    </w:rPr>
                    <w:t>落实安全生产主体责任，督促施工、监理等单位遵守安全生产有关法律法规，确保施工作业期间安全稳定；项目设计阶段已保持与矿山、危化、加油（气）站等高风险企业安全距离；工程已</w:t>
                  </w:r>
                  <w:r>
                    <w:rPr>
                      <w:rFonts w:hint="eastAsia"/>
                      <w:lang w:val="en-US" w:eastAsia="zh-CN"/>
                    </w:rPr>
                    <w:t>按要求履行，</w:t>
                  </w:r>
                  <w:r>
                    <w:rPr>
                      <w:rFonts w:hint="eastAsia"/>
                      <w:sz w:val="21"/>
                      <w:szCs w:val="21"/>
                      <w:vertAlign w:val="baseline"/>
                      <w:lang w:val="en-US" w:eastAsia="zh-CN"/>
                    </w:rPr>
                    <w:t>线路已避开人员密集场所和易燃易爆场所，</w:t>
                  </w:r>
                  <w:r>
                    <w:rPr>
                      <w:rFonts w:hint="eastAsia"/>
                      <w:color w:val="auto"/>
                      <w:sz w:val="21"/>
                      <w:szCs w:val="21"/>
                      <w:lang w:val="en-US" w:eastAsia="zh-CN"/>
                    </w:rPr>
                    <w:t>确保施工安全</w:t>
                  </w:r>
                </w:p>
              </w:tc>
              <w:tc>
                <w:tcPr>
                  <w:tcW w:w="290" w:type="pct"/>
                  <w:vAlign w:val="center"/>
                </w:tcPr>
                <w:p w14:paraId="16311AC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10</w:t>
                  </w:r>
                </w:p>
              </w:tc>
            </w:tr>
            <w:tr w14:paraId="41270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Merge w:val="continue"/>
                  <w:vAlign w:val="center"/>
                </w:tcPr>
                <w:p w14:paraId="06C43C9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796" w:type="pct"/>
                  <w:vAlign w:val="center"/>
                </w:tcPr>
                <w:p w14:paraId="70E8A8F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原则同意该项目选址方案。线路应避开人员密集场所和易燃易爆场所，在建设过程中，应加强安全管理，确保施工安全。</w:t>
                  </w:r>
                </w:p>
              </w:tc>
              <w:tc>
                <w:tcPr>
                  <w:tcW w:w="1213" w:type="pct"/>
                  <w:vMerge w:val="continue"/>
                  <w:vAlign w:val="center"/>
                </w:tcPr>
                <w:p w14:paraId="3BF5058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p>
              </w:tc>
              <w:tc>
                <w:tcPr>
                  <w:tcW w:w="290" w:type="pct"/>
                  <w:vAlign w:val="center"/>
                </w:tcPr>
                <w:p w14:paraId="10D102B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sz w:val="21"/>
                      <w:szCs w:val="21"/>
                      <w:vertAlign w:val="baseline"/>
                      <w:lang w:val="en-US" w:eastAsia="zh-CN"/>
                    </w:rPr>
                  </w:pPr>
                  <w:r>
                    <w:rPr>
                      <w:rFonts w:hint="eastAsia"/>
                      <w:sz w:val="21"/>
                      <w:szCs w:val="21"/>
                      <w:vertAlign w:val="baseline"/>
                      <w:lang w:val="en-US" w:eastAsia="zh-CN"/>
                    </w:rPr>
                    <w:t>附件20</w:t>
                  </w:r>
                </w:p>
              </w:tc>
            </w:tr>
            <w:tr w14:paraId="188F0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6A25073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金寨县人武部军事科</w:t>
                  </w:r>
                </w:p>
              </w:tc>
              <w:tc>
                <w:tcPr>
                  <w:tcW w:w="2796" w:type="pct"/>
                  <w:vAlign w:val="center"/>
                </w:tcPr>
                <w:p w14:paraId="735D017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1.该线路沿线无重要军事设施；</w:t>
                  </w:r>
                </w:p>
                <w:p w14:paraId="07B64CF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2.原则同意本工程路径方案。</w:t>
                  </w:r>
                </w:p>
              </w:tc>
              <w:tc>
                <w:tcPr>
                  <w:tcW w:w="1213" w:type="pct"/>
                  <w:vAlign w:val="center"/>
                </w:tcPr>
                <w:p w14:paraId="4108681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按要求实施</w:t>
                  </w:r>
                </w:p>
              </w:tc>
              <w:tc>
                <w:tcPr>
                  <w:tcW w:w="290" w:type="pct"/>
                  <w:vAlign w:val="center"/>
                </w:tcPr>
                <w:p w14:paraId="413C6AF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sz w:val="21"/>
                      <w:szCs w:val="21"/>
                      <w:vertAlign w:val="baseline"/>
                      <w:lang w:val="en-US" w:eastAsia="zh-CN"/>
                    </w:rPr>
                    <w:t>附件</w:t>
                  </w:r>
                  <w:r>
                    <w:rPr>
                      <w:rFonts w:hint="eastAsia"/>
                      <w:color w:val="auto"/>
                      <w:sz w:val="21"/>
                      <w:szCs w:val="21"/>
                      <w:lang w:val="en-US" w:eastAsia="zh-CN"/>
                    </w:rPr>
                    <w:t>11</w:t>
                  </w:r>
                </w:p>
              </w:tc>
            </w:tr>
            <w:tr w14:paraId="53323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60B79AF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金寨县古碑镇人民政府</w:t>
                  </w:r>
                </w:p>
              </w:tc>
              <w:tc>
                <w:tcPr>
                  <w:tcW w:w="2796" w:type="pct"/>
                  <w:vAlign w:val="center"/>
                </w:tcPr>
                <w:p w14:paraId="1F52B1D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sz w:val="21"/>
                      <w:szCs w:val="21"/>
                      <w:vertAlign w:val="baseline"/>
                      <w:lang w:val="en-US" w:eastAsia="zh-CN"/>
                    </w:rPr>
                  </w:pPr>
                  <w:r>
                    <w:rPr>
                      <w:rFonts w:hint="eastAsia"/>
                      <w:sz w:val="21"/>
                      <w:szCs w:val="21"/>
                      <w:vertAlign w:val="baseline"/>
                      <w:lang w:val="en-US" w:eastAsia="zh-CN"/>
                    </w:rPr>
                    <w:t>原则同意该项目选址方案。</w:t>
                  </w:r>
                </w:p>
              </w:tc>
              <w:tc>
                <w:tcPr>
                  <w:tcW w:w="1213" w:type="pct"/>
                  <w:vAlign w:val="center"/>
                </w:tcPr>
                <w:p w14:paraId="061104A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w:t>
                  </w:r>
                </w:p>
              </w:tc>
              <w:tc>
                <w:tcPr>
                  <w:tcW w:w="290" w:type="pct"/>
                  <w:vAlign w:val="center"/>
                </w:tcPr>
                <w:p w14:paraId="7FF18C49">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color w:val="auto"/>
                      <w:sz w:val="21"/>
                      <w:szCs w:val="21"/>
                      <w:lang w:val="en-US" w:eastAsia="zh-CN"/>
                    </w:rPr>
                  </w:pPr>
                  <w:r>
                    <w:rPr>
                      <w:rFonts w:hint="eastAsia"/>
                      <w:sz w:val="21"/>
                      <w:szCs w:val="21"/>
                      <w:vertAlign w:val="baseline"/>
                      <w:lang w:val="en-US" w:eastAsia="zh-CN"/>
                    </w:rPr>
                    <w:t>附件12</w:t>
                  </w:r>
                </w:p>
              </w:tc>
            </w:tr>
            <w:tr w14:paraId="017E1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1E89CF7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金寨县槐树湾乡人民政府</w:t>
                  </w:r>
                </w:p>
              </w:tc>
              <w:tc>
                <w:tcPr>
                  <w:tcW w:w="2796" w:type="pct"/>
                  <w:vAlign w:val="center"/>
                </w:tcPr>
                <w:p w14:paraId="0D4DAAB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原则同意该项目选址方案，项目具体施工阶段，请及时与我乡做好对接，并根据现场实际，适当予以调整，以减少对张公山旅游开发的影响。</w:t>
                  </w:r>
                </w:p>
              </w:tc>
              <w:tc>
                <w:tcPr>
                  <w:tcW w:w="1213" w:type="pct"/>
                  <w:vAlign w:val="center"/>
                </w:tcPr>
                <w:p w14:paraId="472212B5">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本工程建设不涉及对张公山旅游开发区的影响</w:t>
                  </w:r>
                </w:p>
              </w:tc>
              <w:tc>
                <w:tcPr>
                  <w:tcW w:w="290" w:type="pct"/>
                  <w:vAlign w:val="center"/>
                </w:tcPr>
                <w:p w14:paraId="252959C0">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附件13</w:t>
                  </w:r>
                </w:p>
              </w:tc>
            </w:tr>
            <w:tr w14:paraId="5AAA6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58445D2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金寨县南溪镇人民政府</w:t>
                  </w:r>
                </w:p>
              </w:tc>
              <w:tc>
                <w:tcPr>
                  <w:tcW w:w="2796" w:type="pct"/>
                  <w:vAlign w:val="center"/>
                </w:tcPr>
                <w:p w14:paraId="26D5D2B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原则同意该项目选址方案，项目具体施工阶段，请及时与我镇做好对接，并根据现场实际，适当予以调整。</w:t>
                  </w:r>
                </w:p>
              </w:tc>
              <w:tc>
                <w:tcPr>
                  <w:tcW w:w="1213" w:type="pct"/>
                  <w:vAlign w:val="center"/>
                </w:tcPr>
                <w:p w14:paraId="392D423C">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按要求实施</w:t>
                  </w:r>
                </w:p>
              </w:tc>
              <w:tc>
                <w:tcPr>
                  <w:tcW w:w="290" w:type="pct"/>
                  <w:vAlign w:val="center"/>
                </w:tcPr>
                <w:p w14:paraId="13B8C8AF">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附件14</w:t>
                  </w:r>
                </w:p>
              </w:tc>
            </w:tr>
            <w:tr w14:paraId="2C9D9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30062CE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sz w:val="21"/>
                      <w:szCs w:val="21"/>
                      <w:vertAlign w:val="baseline"/>
                      <w:lang w:val="en-US" w:eastAsia="zh-CN"/>
                    </w:rPr>
                  </w:pPr>
                  <w:r>
                    <w:rPr>
                      <w:rFonts w:hint="eastAsia"/>
                      <w:color w:val="auto"/>
                      <w:sz w:val="21"/>
                      <w:szCs w:val="21"/>
                      <w:lang w:val="en-US" w:eastAsia="zh-CN"/>
                    </w:rPr>
                    <w:t>金寨县双河镇人民政府</w:t>
                  </w:r>
                </w:p>
              </w:tc>
              <w:tc>
                <w:tcPr>
                  <w:tcW w:w="2796" w:type="pct"/>
                  <w:vAlign w:val="center"/>
                </w:tcPr>
                <w:p w14:paraId="39F51EB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经研究，对该方案无异议，同时我们建议：</w:t>
                  </w:r>
                </w:p>
                <w:p w14:paraId="5A60E52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1.与新建合武高铁施工单位及原110kV线路有关负责单位充分对接，避免规划冲突。</w:t>
                  </w:r>
                </w:p>
                <w:p w14:paraId="2280885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sz w:val="21"/>
                      <w:szCs w:val="21"/>
                      <w:vertAlign w:val="baseline"/>
                      <w:lang w:val="en-US" w:eastAsia="zh-CN"/>
                    </w:rPr>
                  </w:pPr>
                  <w:r>
                    <w:rPr>
                      <w:rFonts w:hint="eastAsia"/>
                      <w:sz w:val="21"/>
                      <w:szCs w:val="21"/>
                      <w:vertAlign w:val="baseline"/>
                      <w:lang w:val="en-US" w:eastAsia="zh-CN"/>
                    </w:rPr>
                    <w:t>2.方案线路拟经过的河东、河西二村，需到场对接相关细节。</w:t>
                  </w:r>
                </w:p>
              </w:tc>
              <w:tc>
                <w:tcPr>
                  <w:tcW w:w="1213" w:type="pct"/>
                  <w:vAlign w:val="center"/>
                </w:tcPr>
                <w:p w14:paraId="5604E3F6">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按要求实施，本工程已与新建合武高铁施工单位及原110kV线路有关负责单位充分对接</w:t>
                  </w:r>
                </w:p>
              </w:tc>
              <w:tc>
                <w:tcPr>
                  <w:tcW w:w="290" w:type="pct"/>
                  <w:vAlign w:val="center"/>
                </w:tcPr>
                <w:p w14:paraId="3C0E9872">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附件15</w:t>
                  </w:r>
                </w:p>
              </w:tc>
            </w:tr>
            <w:tr w14:paraId="48A5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61A76FC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olor w:val="auto"/>
                      <w:sz w:val="21"/>
                      <w:szCs w:val="21"/>
                      <w:lang w:val="en-US" w:eastAsia="zh-CN"/>
                    </w:rPr>
                  </w:pPr>
                  <w:r>
                    <w:rPr>
                      <w:rFonts w:hint="eastAsia"/>
                      <w:color w:val="auto"/>
                      <w:sz w:val="21"/>
                      <w:szCs w:val="21"/>
                      <w:lang w:val="en-US" w:eastAsia="zh-CN"/>
                    </w:rPr>
                    <w:t>金寨县汤家汇镇人民政府</w:t>
                  </w:r>
                </w:p>
              </w:tc>
              <w:tc>
                <w:tcPr>
                  <w:tcW w:w="2796" w:type="pct"/>
                  <w:vAlign w:val="center"/>
                </w:tcPr>
                <w:p w14:paraId="4215DF4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sz w:val="21"/>
                      <w:szCs w:val="21"/>
                      <w:vertAlign w:val="baseline"/>
                      <w:lang w:val="en-US" w:eastAsia="zh-CN"/>
                    </w:rPr>
                    <w:t>原则同意该项目选址方案。</w:t>
                  </w:r>
                </w:p>
              </w:tc>
              <w:tc>
                <w:tcPr>
                  <w:tcW w:w="1213" w:type="pct"/>
                  <w:vAlign w:val="center"/>
                </w:tcPr>
                <w:p w14:paraId="24734098">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290" w:type="pct"/>
                  <w:vAlign w:val="center"/>
                </w:tcPr>
                <w:p w14:paraId="2A8DE265">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附件16</w:t>
                  </w:r>
                </w:p>
              </w:tc>
            </w:tr>
            <w:tr w14:paraId="07F23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64B1881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金寨县移动公司网络部</w:t>
                  </w:r>
                </w:p>
              </w:tc>
              <w:tc>
                <w:tcPr>
                  <w:tcW w:w="2796" w:type="pct"/>
                  <w:vAlign w:val="center"/>
                </w:tcPr>
                <w:p w14:paraId="6398CE2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1、原则同意本工程路径方案；</w:t>
                  </w:r>
                </w:p>
                <w:p w14:paraId="5A8D1E1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2、如涉及金寨县移动公司通信杆线迁改，请提前告知，并按照《安徽省电信设施建设和保护办法》予以赔偿。</w:t>
                  </w:r>
                </w:p>
              </w:tc>
              <w:tc>
                <w:tcPr>
                  <w:tcW w:w="1213" w:type="pct"/>
                  <w:vAlign w:val="center"/>
                </w:tcPr>
                <w:p w14:paraId="745B1416">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sz w:val="21"/>
                      <w:szCs w:val="21"/>
                      <w:vertAlign w:val="baseline"/>
                      <w:lang w:val="en-US" w:eastAsia="zh-CN"/>
                    </w:rPr>
                  </w:pPr>
                  <w:r>
                    <w:rPr>
                      <w:rFonts w:hint="eastAsia"/>
                      <w:sz w:val="21"/>
                      <w:szCs w:val="21"/>
                      <w:vertAlign w:val="baseline"/>
                      <w:lang w:val="en-US" w:eastAsia="zh-CN"/>
                    </w:rPr>
                    <w:t>本工程建设不涉及</w:t>
                  </w:r>
                  <w:r>
                    <w:rPr>
                      <w:rFonts w:hint="eastAsia"/>
                      <w:color w:val="auto"/>
                      <w:sz w:val="21"/>
                      <w:szCs w:val="21"/>
                      <w:lang w:val="en-US" w:eastAsia="zh-CN"/>
                    </w:rPr>
                    <w:t>通信杆线迁改</w:t>
                  </w:r>
                </w:p>
              </w:tc>
              <w:tc>
                <w:tcPr>
                  <w:tcW w:w="290" w:type="pct"/>
                  <w:vAlign w:val="center"/>
                </w:tcPr>
                <w:p w14:paraId="3997012E">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附件17</w:t>
                  </w:r>
                </w:p>
              </w:tc>
            </w:tr>
            <w:tr w14:paraId="74F0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549C61B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中国联合网络通信有限公司金寨县分公司</w:t>
                  </w:r>
                </w:p>
              </w:tc>
              <w:tc>
                <w:tcPr>
                  <w:tcW w:w="2796" w:type="pct"/>
                  <w:vAlign w:val="center"/>
                </w:tcPr>
                <w:p w14:paraId="7130099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1、原则同意本工程路径方案。</w:t>
                  </w:r>
                </w:p>
                <w:p w14:paraId="4CCCC01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2、如若涉及联通通信杆线，请提前告知，并按照《安徽省电信设施建设和保护办法》予以补偿。</w:t>
                  </w:r>
                </w:p>
              </w:tc>
              <w:tc>
                <w:tcPr>
                  <w:tcW w:w="1213" w:type="pct"/>
                  <w:vAlign w:val="center"/>
                </w:tcPr>
                <w:p w14:paraId="6C7F267F">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eastAsia"/>
                      <w:sz w:val="21"/>
                      <w:szCs w:val="21"/>
                      <w:vertAlign w:val="baseline"/>
                      <w:lang w:val="en-US" w:eastAsia="zh-CN"/>
                    </w:rPr>
                  </w:pPr>
                  <w:r>
                    <w:rPr>
                      <w:rFonts w:hint="eastAsia"/>
                      <w:sz w:val="21"/>
                      <w:szCs w:val="21"/>
                      <w:vertAlign w:val="baseline"/>
                      <w:lang w:val="en-US" w:eastAsia="zh-CN"/>
                    </w:rPr>
                    <w:t>本工程建设不涉及</w:t>
                  </w:r>
                  <w:r>
                    <w:rPr>
                      <w:rFonts w:hint="eastAsia"/>
                      <w:color w:val="auto"/>
                      <w:sz w:val="21"/>
                      <w:szCs w:val="21"/>
                      <w:lang w:val="en-US" w:eastAsia="zh-CN"/>
                    </w:rPr>
                    <w:t>通信杆线迁改</w:t>
                  </w:r>
                </w:p>
              </w:tc>
              <w:tc>
                <w:tcPr>
                  <w:tcW w:w="290" w:type="pct"/>
                  <w:vAlign w:val="center"/>
                </w:tcPr>
                <w:p w14:paraId="40CA387B">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附件18</w:t>
                  </w:r>
                </w:p>
              </w:tc>
            </w:tr>
            <w:tr w14:paraId="68FE7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2C42D10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金寨县农业农村局</w:t>
                  </w:r>
                </w:p>
              </w:tc>
              <w:tc>
                <w:tcPr>
                  <w:tcW w:w="2796" w:type="pct"/>
                  <w:vAlign w:val="center"/>
                </w:tcPr>
                <w:p w14:paraId="3001D1D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default"/>
                      <w:color w:val="auto"/>
                      <w:sz w:val="21"/>
                      <w:szCs w:val="21"/>
                      <w:lang w:val="en-US" w:eastAsia="zh-CN"/>
                    </w:rPr>
                  </w:pPr>
                  <w:r>
                    <w:rPr>
                      <w:rFonts w:hint="eastAsia"/>
                      <w:color w:val="auto"/>
                      <w:sz w:val="21"/>
                      <w:szCs w:val="21"/>
                      <w:lang w:val="en-US" w:eastAsia="zh-CN"/>
                    </w:rPr>
                    <w:t>原则同意该项目选址方案。</w:t>
                  </w:r>
                </w:p>
              </w:tc>
              <w:tc>
                <w:tcPr>
                  <w:tcW w:w="1213" w:type="pct"/>
                  <w:vAlign w:val="center"/>
                </w:tcPr>
                <w:p w14:paraId="160F3200">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290" w:type="pct"/>
                  <w:vAlign w:val="center"/>
                </w:tcPr>
                <w:p w14:paraId="029442F7">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附件23</w:t>
                  </w:r>
                </w:p>
              </w:tc>
            </w:tr>
            <w:tr w14:paraId="43C94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5217C76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金寨县关庙乡银山村民委员会</w:t>
                  </w:r>
                </w:p>
              </w:tc>
              <w:tc>
                <w:tcPr>
                  <w:tcW w:w="2796" w:type="pct"/>
                  <w:vAlign w:val="center"/>
                </w:tcPr>
                <w:p w14:paraId="291C3BC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原则同意该项目选址方案。</w:t>
                  </w:r>
                </w:p>
              </w:tc>
              <w:tc>
                <w:tcPr>
                  <w:tcW w:w="1213" w:type="pct"/>
                  <w:vAlign w:val="center"/>
                </w:tcPr>
                <w:p w14:paraId="28D604D8">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290" w:type="pct"/>
                  <w:vAlign w:val="center"/>
                </w:tcPr>
                <w:p w14:paraId="25514FCB">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附件25</w:t>
                  </w:r>
                </w:p>
              </w:tc>
            </w:tr>
            <w:tr w14:paraId="48BCA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9" w:type="pct"/>
                  <w:vAlign w:val="center"/>
                </w:tcPr>
                <w:p w14:paraId="470859E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auto"/>
                      <w:sz w:val="21"/>
                      <w:szCs w:val="21"/>
                      <w:lang w:val="en-US" w:eastAsia="zh-CN"/>
                    </w:rPr>
                  </w:pPr>
                  <w:r>
                    <w:rPr>
                      <w:rFonts w:hint="eastAsia"/>
                      <w:color w:val="auto"/>
                      <w:sz w:val="21"/>
                      <w:szCs w:val="21"/>
                      <w:lang w:val="en-US" w:eastAsia="zh-CN"/>
                    </w:rPr>
                    <w:t>金寨县关庙乡人民政府</w:t>
                  </w:r>
                </w:p>
              </w:tc>
              <w:tc>
                <w:tcPr>
                  <w:tcW w:w="2796" w:type="pct"/>
                  <w:vAlign w:val="center"/>
                </w:tcPr>
                <w:p w14:paraId="0638A54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jc w:val="left"/>
                    <w:textAlignment w:val="baseline"/>
                    <w:rPr>
                      <w:rFonts w:hint="eastAsia"/>
                      <w:color w:val="auto"/>
                      <w:sz w:val="21"/>
                      <w:szCs w:val="21"/>
                      <w:lang w:val="en-US" w:eastAsia="zh-CN"/>
                    </w:rPr>
                  </w:pPr>
                  <w:r>
                    <w:rPr>
                      <w:rFonts w:hint="eastAsia"/>
                      <w:color w:val="auto"/>
                      <w:sz w:val="21"/>
                      <w:szCs w:val="21"/>
                      <w:lang w:val="en-US" w:eastAsia="zh-CN"/>
                    </w:rPr>
                    <w:t>原则同意该项目选址方案。</w:t>
                  </w:r>
                </w:p>
              </w:tc>
              <w:tc>
                <w:tcPr>
                  <w:tcW w:w="1213" w:type="pct"/>
                  <w:vAlign w:val="center"/>
                </w:tcPr>
                <w:p w14:paraId="18EBD66A">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w:t>
                  </w:r>
                </w:p>
              </w:tc>
              <w:tc>
                <w:tcPr>
                  <w:tcW w:w="290" w:type="pct"/>
                  <w:vAlign w:val="center"/>
                </w:tcPr>
                <w:p w14:paraId="0AE175F5">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sz w:val="21"/>
                      <w:szCs w:val="21"/>
                      <w:vertAlign w:val="baseline"/>
                      <w:lang w:val="en-US" w:eastAsia="zh-CN"/>
                    </w:rPr>
                  </w:pPr>
                  <w:r>
                    <w:rPr>
                      <w:rFonts w:hint="eastAsia"/>
                      <w:sz w:val="21"/>
                      <w:szCs w:val="21"/>
                      <w:vertAlign w:val="baseline"/>
                      <w:lang w:val="en-US" w:eastAsia="zh-CN"/>
                    </w:rPr>
                    <w:t>附件26</w:t>
                  </w:r>
                </w:p>
              </w:tc>
            </w:tr>
          </w:tbl>
          <w:p w14:paraId="313CE1D5">
            <w:pPr>
              <w:keepNext w:val="0"/>
              <w:keepLines w:val="0"/>
              <w:pageBreakBefore w:val="0"/>
              <w:wordWrap/>
              <w:overflowPunct/>
              <w:topLinePunct w:val="0"/>
              <w:bidi w:val="0"/>
              <w:spacing w:line="360" w:lineRule="auto"/>
              <w:rPr>
                <w:b/>
                <w:sz w:val="24"/>
                <w:szCs w:val="24"/>
              </w:rPr>
            </w:pPr>
            <w:r>
              <w:rPr>
                <w:b/>
                <w:sz w:val="24"/>
                <w:szCs w:val="24"/>
              </w:rPr>
              <w:t>1.</w:t>
            </w:r>
            <w:r>
              <w:rPr>
                <w:rFonts w:hint="eastAsia"/>
                <w:b/>
                <w:sz w:val="24"/>
                <w:szCs w:val="24"/>
                <w:lang w:val="en-US" w:eastAsia="zh-CN"/>
              </w:rPr>
              <w:t xml:space="preserve">2 </w:t>
            </w:r>
            <w:r>
              <w:rPr>
                <w:b/>
                <w:sz w:val="24"/>
                <w:szCs w:val="24"/>
              </w:rPr>
              <w:t xml:space="preserve"> 与</w:t>
            </w:r>
            <w:r>
              <w:rPr>
                <w:rFonts w:hint="eastAsia"/>
                <w:b/>
                <w:sz w:val="24"/>
                <w:szCs w:val="24"/>
                <w:lang w:eastAsia="zh-CN"/>
              </w:rPr>
              <w:t>“</w:t>
            </w:r>
            <w:r>
              <w:rPr>
                <w:b/>
                <w:sz w:val="24"/>
                <w:szCs w:val="24"/>
              </w:rPr>
              <w:t>三线一单</w:t>
            </w:r>
            <w:r>
              <w:rPr>
                <w:rFonts w:hint="eastAsia"/>
                <w:b/>
                <w:sz w:val="24"/>
                <w:szCs w:val="24"/>
                <w:lang w:eastAsia="zh-CN"/>
              </w:rPr>
              <w:t>”</w:t>
            </w:r>
            <w:r>
              <w:rPr>
                <w:b/>
                <w:sz w:val="24"/>
                <w:szCs w:val="24"/>
              </w:rPr>
              <w:t>相符性分析</w:t>
            </w:r>
          </w:p>
          <w:p w14:paraId="71F0C880">
            <w:pPr>
              <w:pStyle w:val="21"/>
              <w:keepNext w:val="0"/>
              <w:keepLines w:val="0"/>
              <w:pageBreakBefore w:val="0"/>
              <w:widowControl w:val="0"/>
              <w:kinsoku/>
              <w:wordWrap/>
              <w:overflowPunct/>
              <w:topLinePunct w:val="0"/>
              <w:autoSpaceDE/>
              <w:autoSpaceDN/>
              <w:bidi w:val="0"/>
              <w:adjustRightInd/>
              <w:snapToGrid/>
              <w:spacing w:before="0" w:line="360" w:lineRule="auto"/>
              <w:ind w:firstLine="488"/>
              <w:textAlignment w:val="auto"/>
              <w:rPr>
                <w:rFonts w:ascii="Times New Roman" w:hAnsi="Times New Roman"/>
                <w:szCs w:val="24"/>
              </w:rPr>
            </w:pPr>
            <w:r>
              <w:rPr>
                <w:rFonts w:hint="eastAsia" w:ascii="Times New Roman" w:hAnsi="Times New Roman"/>
                <w:szCs w:val="24"/>
              </w:rPr>
              <w:t>根据原环境保护部《关于以改善环境质量为核心加强环境影响评价管理的通知》（环环评</w:t>
            </w:r>
            <w:r>
              <w:rPr>
                <w:rFonts w:hint="eastAsia" w:ascii="Times New Roman" w:hAnsi="Times New Roman"/>
                <w:szCs w:val="24"/>
                <w:lang w:eastAsia="zh-CN"/>
              </w:rPr>
              <w:t>〔2016〕150号</w:t>
            </w:r>
            <w:r>
              <w:rPr>
                <w:rFonts w:hint="eastAsia" w:ascii="Times New Roman" w:hAnsi="Times New Roman"/>
                <w:szCs w:val="24"/>
              </w:rPr>
              <w:t>）、《</w:t>
            </w:r>
            <w:r>
              <w:rPr>
                <w:rFonts w:hint="eastAsia" w:ascii="Times New Roman" w:hAnsi="Times New Roman"/>
                <w:szCs w:val="24"/>
                <w:lang w:eastAsia="zh-CN"/>
              </w:rPr>
              <w:t>安徽省</w:t>
            </w:r>
            <w:r>
              <w:rPr>
                <w:rFonts w:hint="eastAsia" w:ascii="Times New Roman" w:hAnsi="Times New Roman"/>
                <w:szCs w:val="24"/>
              </w:rPr>
              <w:t>人民政府关于加快实施“三线一单”生态环境分区管控的通知》（</w:t>
            </w:r>
            <w:r>
              <w:rPr>
                <w:rFonts w:hint="eastAsia" w:ascii="Times New Roman" w:hAnsi="Times New Roman"/>
                <w:szCs w:val="24"/>
                <w:lang w:eastAsia="zh-CN"/>
              </w:rPr>
              <w:t>安徽省</w:t>
            </w:r>
            <w:r>
              <w:rPr>
                <w:rFonts w:hint="eastAsia" w:ascii="Times New Roman" w:hAnsi="Times New Roman"/>
                <w:szCs w:val="24"/>
              </w:rPr>
              <w:t>人民政府，2020年6月29日）的要求，将“生态保护红线、环境质量底线、资源利用上线和生态环境准入清单”（以下简称“三线一单”）作为环境评价的一条主线与建设项目选址选线、规模、性质和工艺路线进行对照。发挥环评制度从源头防范环境污染和生态破坏的作用，加快推进改善环境质量。本工程的建设与《六安市“三线一单”》相符性分析如下：</w:t>
            </w:r>
          </w:p>
          <w:p w14:paraId="2FB2C2CC">
            <w:pPr>
              <w:pStyle w:val="21"/>
              <w:keepNext w:val="0"/>
              <w:keepLines w:val="0"/>
              <w:pageBreakBefore w:val="0"/>
              <w:widowControl w:val="0"/>
              <w:kinsoku/>
              <w:wordWrap/>
              <w:overflowPunct/>
              <w:topLinePunct w:val="0"/>
              <w:autoSpaceDE/>
              <w:autoSpaceDN/>
              <w:bidi w:val="0"/>
              <w:adjustRightInd/>
              <w:snapToGrid/>
              <w:spacing w:before="0" w:line="360" w:lineRule="auto"/>
              <w:ind w:firstLine="488"/>
              <w:textAlignment w:val="auto"/>
              <w:rPr>
                <w:rFonts w:ascii="Times New Roman" w:hAnsi="Times New Roman"/>
                <w:szCs w:val="24"/>
              </w:rPr>
            </w:pPr>
            <w:r>
              <w:rPr>
                <w:rFonts w:ascii="Times New Roman" w:hAnsi="Times New Roman"/>
                <w:szCs w:val="24"/>
              </w:rPr>
              <w:t>（1）生态保护红线</w:t>
            </w:r>
          </w:p>
          <w:p w14:paraId="13F94C58">
            <w:pPr>
              <w:pStyle w:val="21"/>
              <w:keepNext w:val="0"/>
              <w:keepLines w:val="0"/>
              <w:pageBreakBefore w:val="0"/>
              <w:widowControl w:val="0"/>
              <w:tabs>
                <w:tab w:val="left" w:pos="3400"/>
              </w:tabs>
              <w:kinsoku/>
              <w:wordWrap/>
              <w:overflowPunct/>
              <w:topLinePunct w:val="0"/>
              <w:autoSpaceDE/>
              <w:autoSpaceDN/>
              <w:bidi w:val="0"/>
              <w:adjustRightInd/>
              <w:snapToGrid/>
              <w:spacing w:line="360" w:lineRule="auto"/>
              <w:ind w:left="0" w:leftChars="0" w:firstLine="496" w:firstLineChars="200"/>
              <w:textAlignment w:val="auto"/>
              <w:rPr>
                <w:rFonts w:hint="eastAsia" w:ascii="Times New Roman" w:hAnsi="Times New Roman"/>
                <w:szCs w:val="24"/>
              </w:rPr>
            </w:pPr>
            <w:r>
              <w:rPr>
                <w:rFonts w:hint="eastAsia" w:ascii="Times New Roman" w:hAnsi="Times New Roman"/>
                <w:szCs w:val="24"/>
                <w:lang w:eastAsia="zh-CN"/>
              </w:rPr>
              <w:t>本工程</w:t>
            </w:r>
            <w:r>
              <w:rPr>
                <w:rFonts w:hint="eastAsia" w:ascii="Times New Roman" w:hAnsi="Times New Roman"/>
                <w:szCs w:val="24"/>
              </w:rPr>
              <w:t>拟建110kV变电站位于</w:t>
            </w:r>
            <w:r>
              <w:rPr>
                <w:rFonts w:hint="default"/>
                <w:sz w:val="24"/>
                <w:szCs w:val="24"/>
                <w:lang w:val="en-US" w:eastAsia="zh-CN"/>
              </w:rPr>
              <w:t>金寨县关庙乡银山村</w:t>
            </w:r>
            <w:r>
              <w:rPr>
                <w:rFonts w:hint="eastAsia"/>
                <w:sz w:val="24"/>
                <w:szCs w:val="24"/>
                <w:lang w:val="en-US" w:eastAsia="zh-CN"/>
              </w:rPr>
              <w:t>沙坪沟道路一侧</w:t>
            </w:r>
            <w:r>
              <w:rPr>
                <w:rFonts w:hint="eastAsia" w:ascii="Times New Roman" w:hAnsi="Times New Roman"/>
                <w:szCs w:val="24"/>
              </w:rPr>
              <w:t>，线路工程全线位于</w:t>
            </w:r>
            <w:r>
              <w:rPr>
                <w:rFonts w:hint="default"/>
                <w:sz w:val="24"/>
                <w:szCs w:val="24"/>
                <w:lang w:val="en-US" w:eastAsia="zh-CN"/>
              </w:rPr>
              <w:t>金寨县</w:t>
            </w:r>
            <w:r>
              <w:rPr>
                <w:rFonts w:hint="eastAsia"/>
                <w:sz w:val="24"/>
                <w:szCs w:val="24"/>
                <w:lang w:val="en-US" w:eastAsia="zh-CN"/>
              </w:rPr>
              <w:t>双河镇、古碑镇、槐树湾乡、南溪镇、汤家汇镇、关庙乡境内</w:t>
            </w:r>
            <w:r>
              <w:rPr>
                <w:rFonts w:hint="eastAsia" w:ascii="Times New Roman" w:hAnsi="Times New Roman"/>
                <w:szCs w:val="24"/>
              </w:rPr>
              <w:t>。</w:t>
            </w:r>
          </w:p>
          <w:p w14:paraId="02AAF907">
            <w:pPr>
              <w:pStyle w:val="21"/>
              <w:keepNext w:val="0"/>
              <w:keepLines w:val="0"/>
              <w:pageBreakBefore w:val="0"/>
              <w:widowControl w:val="0"/>
              <w:tabs>
                <w:tab w:val="left" w:pos="3400"/>
              </w:tabs>
              <w:kinsoku/>
              <w:wordWrap/>
              <w:overflowPunct/>
              <w:topLinePunct w:val="0"/>
              <w:autoSpaceDE/>
              <w:autoSpaceDN/>
              <w:bidi w:val="0"/>
              <w:adjustRightInd/>
              <w:snapToGrid/>
              <w:spacing w:line="360" w:lineRule="auto"/>
              <w:ind w:left="0" w:leftChars="0" w:firstLine="496" w:firstLineChars="200"/>
              <w:textAlignment w:val="auto"/>
              <w:rPr>
                <w:rFonts w:hint="eastAsia" w:ascii="Times New Roman" w:hAnsi="Times New Roman"/>
                <w:szCs w:val="24"/>
                <w:lang w:val="en-US" w:eastAsia="zh-CN"/>
              </w:rPr>
            </w:pPr>
            <w:r>
              <w:rPr>
                <w:rFonts w:hint="eastAsia" w:ascii="Times New Roman" w:hAnsi="Times New Roman"/>
                <w:szCs w:val="24"/>
                <w:lang w:val="en-US" w:eastAsia="zh-CN"/>
              </w:rPr>
              <w:t>本工程位于大别山区，古碑-钼矿110kV线路工程起点为位于古碑镇的古碑220kV变电站，终点为位于关庙乡的110kV钼矿变电站；双河-钼矿110kV线路工程起点为位于双河镇的双河220kV变电站，终点为位于关庙乡的110kV钼矿变电站，线路走向总体呈东西走向，起终点之间存在有大片区的生态保护红线，东西绵延密布；输电线路作为线性工程具有连续性和不可分割性，由于本工程路径长、跨度大，受沿线城镇规划、自然条件等因素限制，为有效避让国家一级公益林及饮用水水源保护区，本工程线路路径很难避让生态保护红线。本工程在选址选线过程中从生态环境、施工难度、建设安全性、建设经济性等角度经多方案比选，尽最大可能避让生态保护红线，由于输电线路较长，沿线涉及的乡镇生态保护红线分布广泛、占比较高，因此，输电线路和塔基难以完全避让生态保护红线。对照《自然资源部办公厅关于依据“三区三线”划定成果报批建设项目用地用海有关事宜的函》（自然资办函〔2022〕2072号）中划定的生态保护红线，本工程线路工程涉及占用生态保护红线，主要为林地等，新建塔基占用生态保护红线总面积为0.4970公顷，输电线路穿越生态保护红线距离为17.738km，输电线路在生态保护红线范围内立塔数量为54基，输电线路</w:t>
            </w:r>
            <w:r>
              <w:rPr>
                <w:rFonts w:hint="eastAsia" w:ascii="Times New Roman" w:hAnsi="Times New Roman"/>
                <w:color w:val="auto"/>
                <w:szCs w:val="24"/>
                <w:lang w:val="en-US" w:eastAsia="zh-CN"/>
              </w:rPr>
              <w:t>跨越国家一级公益林，</w:t>
            </w:r>
            <w:r>
              <w:rPr>
                <w:rFonts w:hint="eastAsia" w:ascii="Times New Roman" w:hAnsi="Times New Roman" w:cs="Times New Roman"/>
                <w:color w:val="auto"/>
                <w:sz w:val="24"/>
                <w:szCs w:val="24"/>
                <w:lang w:val="en-US" w:eastAsia="zh-CN"/>
              </w:rPr>
              <w:t>跨越桩号A32-A33，跨越长度420米，塔基距离一级公益林边界分别为310米和23米</w:t>
            </w:r>
            <w:r>
              <w:rPr>
                <w:rFonts w:hint="eastAsia" w:ascii="Times New Roman" w:hAnsi="Times New Roman"/>
                <w:color w:val="auto"/>
                <w:szCs w:val="24"/>
                <w:lang w:val="en-US" w:eastAsia="zh-CN"/>
              </w:rPr>
              <w:t>。</w:t>
            </w:r>
          </w:p>
          <w:p w14:paraId="4D2FBFA2">
            <w:pPr>
              <w:pStyle w:val="21"/>
              <w:keepNext w:val="0"/>
              <w:keepLines w:val="0"/>
              <w:pageBreakBefore w:val="0"/>
              <w:widowControl w:val="0"/>
              <w:kinsoku/>
              <w:wordWrap/>
              <w:overflowPunct/>
              <w:topLinePunct w:val="0"/>
              <w:autoSpaceDE/>
              <w:autoSpaceDN/>
              <w:bidi w:val="0"/>
              <w:adjustRightInd/>
              <w:snapToGrid/>
              <w:spacing w:line="360" w:lineRule="auto"/>
              <w:ind w:left="0" w:leftChars="0" w:firstLine="504" w:firstLineChars="200"/>
              <w:textAlignment w:val="auto"/>
              <w:rPr>
                <w:rFonts w:hint="eastAsia" w:ascii="Times New Roman" w:hAnsi="Times New Roman"/>
                <w:szCs w:val="24"/>
              </w:rPr>
            </w:pPr>
            <w:r>
              <w:rPr>
                <w:rFonts w:hint="eastAsia" w:ascii="Times New Roman" w:hAnsi="Times New Roman" w:cs="Times New Roman"/>
                <w:snapToGrid w:val="0"/>
                <w:color w:val="000000"/>
                <w:spacing w:val="6"/>
                <w:kern w:val="0"/>
                <w:sz w:val="24"/>
                <w:szCs w:val="24"/>
                <w:lang w:val="en-US" w:eastAsia="zh-CN"/>
              </w:rPr>
              <w:t>本工程</w:t>
            </w:r>
            <w:r>
              <w:rPr>
                <w:rFonts w:hint="eastAsia" w:ascii="Times New Roman" w:hAnsi="Times New Roman"/>
                <w:szCs w:val="24"/>
                <w:lang w:val="en-US" w:eastAsia="zh-CN"/>
              </w:rPr>
              <w:t>已取得《金寨县人民政府关于安徽金沙钼业有限公司110kV输变电工程符合生态保护红线内允许有限人为活动的说明》（详见附件34），</w:t>
            </w:r>
            <w:r>
              <w:rPr>
                <w:rFonts w:hint="eastAsia"/>
                <w:color w:val="auto"/>
                <w:highlight w:val="none"/>
              </w:rPr>
              <w:t>属于对生态功能不造成破坏的有限人为活动</w:t>
            </w:r>
            <w:r>
              <w:rPr>
                <w:rFonts w:hint="eastAsia"/>
                <w:color w:val="auto"/>
                <w:highlight w:val="none"/>
                <w:lang w:eastAsia="zh-CN"/>
              </w:rPr>
              <w:t>。</w:t>
            </w:r>
          </w:p>
          <w:p w14:paraId="5F45CE51">
            <w:pPr>
              <w:pStyle w:val="21"/>
              <w:keepNext w:val="0"/>
              <w:keepLines w:val="0"/>
              <w:pageBreakBefore w:val="0"/>
              <w:widowControl w:val="0"/>
              <w:kinsoku/>
              <w:wordWrap/>
              <w:overflowPunct/>
              <w:topLinePunct w:val="0"/>
              <w:autoSpaceDE/>
              <w:autoSpaceDN/>
              <w:bidi w:val="0"/>
              <w:adjustRightInd/>
              <w:snapToGrid/>
              <w:spacing w:line="360" w:lineRule="auto"/>
              <w:ind w:left="0" w:leftChars="0" w:firstLine="496" w:firstLineChars="200"/>
              <w:textAlignment w:val="auto"/>
              <w:rPr>
                <w:rFonts w:hint="eastAsia" w:ascii="Times New Roman" w:hAnsi="Times New Roman"/>
                <w:szCs w:val="24"/>
                <w:lang w:val="en-US" w:eastAsia="zh-CN"/>
              </w:rPr>
            </w:pPr>
            <w:r>
              <w:rPr>
                <w:rFonts w:hint="eastAsia" w:ascii="Times New Roman" w:hAnsi="Times New Roman"/>
                <w:szCs w:val="24"/>
                <w:lang w:val="en-US" w:eastAsia="zh-CN"/>
              </w:rPr>
              <w:t>本工程在跨越生态保护红线和公益林时，尽量减少线路进入保护区路径长度及塔基占地；采取塔基定位避让、控制导线高度等环境保护措施，以减少在生态保护红线区域内占地、减少林木砍伐和植被破坏；对占用的林地，按规定及时足额支付林地补偿费、林木补偿费、森林植被恢复费等，按照规定收缴的森林植被恢复费，由政府部门专门用于森林植被的异地恢复，占一补一，确保林地总量保持平衡，确保造林成活率和造林质量；塔基施工主要采取人工开挖方式，严禁在生态保护红线和公益林范围内设置取土场、弃土场；生态保护红线、公益林内尽量利用红线区域内已有</w:t>
            </w:r>
            <w:r>
              <w:rPr>
                <w:rFonts w:hint="default" w:ascii="Times New Roman" w:hAnsi="Times New Roman" w:cs="Times New Roman"/>
                <w:color w:val="auto"/>
                <w:sz w:val="24"/>
                <w:lang w:val="en-US" w:eastAsia="zh-CN"/>
              </w:rPr>
              <w:t>市政道路及机耕小路，无法直接到达塔基处，</w:t>
            </w:r>
            <w:r>
              <w:rPr>
                <w:rFonts w:hint="eastAsia" w:ascii="Times New Roman" w:hAnsi="Times New Roman"/>
                <w:szCs w:val="24"/>
                <w:lang w:val="en-US" w:eastAsia="zh-CN"/>
              </w:rPr>
              <w:t>优先采用人畜运输材料或无人机等新技术运输材料</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尽量减少</w:t>
            </w:r>
            <w:r>
              <w:rPr>
                <w:rFonts w:hint="default" w:ascii="Times New Roman" w:hAnsi="Times New Roman" w:cs="Times New Roman"/>
                <w:color w:val="auto"/>
                <w:sz w:val="24"/>
                <w:lang w:val="en-US" w:eastAsia="zh-CN"/>
              </w:rPr>
              <w:t>砍伐乔木开辟施工便道</w:t>
            </w:r>
            <w:r>
              <w:rPr>
                <w:rFonts w:hint="eastAsia" w:ascii="Times New Roman" w:hAnsi="Times New Roman"/>
                <w:szCs w:val="24"/>
                <w:lang w:val="en-US" w:eastAsia="zh-CN"/>
              </w:rPr>
              <w:t>。架线施工优先利用无人机放线方式，以减少土石方开挖和破坏植被；塔基处设置护坡、挡土墙等水土保持措施，以减少水土流失；工程建成后对塔基处进行绿化或恢复原有土地功能。通过采取相关减缓和补偿措施，以尽量减轻对跨越生态保护红线、公益林的不良影响。项目有关监管单位切实加强项目实施管理，确保符合生态保护红线内允许有限人为活动的相关要求。</w:t>
            </w:r>
          </w:p>
          <w:p w14:paraId="13B2E39C">
            <w:pPr>
              <w:pStyle w:val="21"/>
              <w:keepNext w:val="0"/>
              <w:keepLines w:val="0"/>
              <w:pageBreakBefore w:val="0"/>
              <w:widowControl w:val="0"/>
              <w:kinsoku/>
              <w:wordWrap/>
              <w:overflowPunct/>
              <w:topLinePunct w:val="0"/>
              <w:autoSpaceDE/>
              <w:autoSpaceDN/>
              <w:bidi w:val="0"/>
              <w:adjustRightInd/>
              <w:snapToGrid/>
              <w:spacing w:line="360" w:lineRule="auto"/>
              <w:ind w:left="0" w:leftChars="0" w:firstLine="496" w:firstLineChars="200"/>
              <w:textAlignment w:val="auto"/>
              <w:rPr>
                <w:rFonts w:hint="default" w:ascii="Times New Roman" w:hAnsi="Times New Roman"/>
                <w:szCs w:val="24"/>
                <w:lang w:val="en-US" w:eastAsia="zh-CN"/>
              </w:rPr>
            </w:pPr>
            <w:r>
              <w:rPr>
                <w:rFonts w:hint="eastAsia" w:ascii="Times New Roman" w:hAnsi="Times New Roman"/>
                <w:szCs w:val="24"/>
                <w:lang w:val="en-US" w:eastAsia="zh-CN"/>
              </w:rPr>
              <w:t>本项目符合生态保护红线管理要求。本工程与生态保护红线及主要敏感区位置关系示意图详见附图10。</w:t>
            </w:r>
          </w:p>
          <w:p w14:paraId="5FBD9CDA">
            <w:pPr>
              <w:pStyle w:val="21"/>
              <w:spacing w:before="0" w:line="360" w:lineRule="auto"/>
              <w:ind w:firstLine="488"/>
              <w:rPr>
                <w:rFonts w:ascii="Times New Roman" w:hAnsi="Times New Roman"/>
                <w:szCs w:val="24"/>
              </w:rPr>
            </w:pPr>
            <w:r>
              <w:rPr>
                <w:rFonts w:ascii="Times New Roman" w:hAnsi="Times New Roman"/>
                <w:szCs w:val="24"/>
              </w:rPr>
              <w:t>（2）环境质量底线</w:t>
            </w:r>
          </w:p>
          <w:p w14:paraId="4C302B0E">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szCs w:val="24"/>
              </w:rPr>
              <w:t>①大气环境：</w:t>
            </w:r>
            <w:r>
              <w:rPr>
                <w:rFonts w:hint="eastAsia" w:ascii="Times New Roman" w:hAnsi="Times New Roman" w:cs="Times New Roman"/>
                <w:szCs w:val="24"/>
                <w:lang w:val="en-US" w:eastAsia="zh-CN"/>
              </w:rPr>
              <w:t>六安市金寨县</w:t>
            </w:r>
            <w:r>
              <w:rPr>
                <w:rFonts w:hint="default" w:ascii="Times New Roman" w:hAnsi="Times New Roman" w:eastAsia="宋体" w:cs="Times New Roman"/>
                <w:szCs w:val="24"/>
                <w:lang w:eastAsia="zh-CN"/>
              </w:rPr>
              <w:t>生态环境</w:t>
            </w:r>
            <w:r>
              <w:rPr>
                <w:rFonts w:hint="eastAsia" w:ascii="Times New Roman" w:hAnsi="Times New Roman" w:cs="Times New Roman"/>
                <w:szCs w:val="24"/>
                <w:lang w:val="en-US" w:eastAsia="zh-CN"/>
              </w:rPr>
              <w:t>分局</w:t>
            </w:r>
            <w:r>
              <w:rPr>
                <w:rFonts w:hint="default" w:ascii="Times New Roman" w:hAnsi="Times New Roman" w:eastAsia="宋体" w:cs="Times New Roman"/>
                <w:szCs w:val="24"/>
                <w:lang w:eastAsia="zh-CN"/>
              </w:rPr>
              <w:t>发布的</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202</w:t>
            </w:r>
            <w:r>
              <w:rPr>
                <w:rFonts w:hint="eastAsia" w:ascii="Times New Roman" w:hAnsi="Times New Roman" w:cs="Times New Roman"/>
                <w:kern w:val="0"/>
                <w:sz w:val="24"/>
                <w:szCs w:val="24"/>
                <w:lang w:val="en-US" w:eastAsia="zh-CN"/>
              </w:rPr>
              <w:t>4</w:t>
            </w:r>
            <w:r>
              <w:rPr>
                <w:rFonts w:hint="eastAsia" w:ascii="Times New Roman" w:hAnsi="Times New Roman" w:eastAsia="宋体" w:cs="Times New Roman"/>
                <w:kern w:val="0"/>
                <w:sz w:val="24"/>
                <w:szCs w:val="24"/>
                <w:lang w:eastAsia="zh-CN"/>
              </w:rPr>
              <w:t>年</w:t>
            </w:r>
            <w:r>
              <w:rPr>
                <w:rFonts w:hint="eastAsia" w:ascii="Times New Roman" w:hAnsi="Times New Roman" w:cs="Times New Roman"/>
                <w:kern w:val="0"/>
                <w:sz w:val="24"/>
                <w:szCs w:val="24"/>
                <w:lang w:val="en-US" w:eastAsia="zh-CN"/>
              </w:rPr>
              <w:t>金寨县</w:t>
            </w:r>
            <w:r>
              <w:rPr>
                <w:rFonts w:hint="eastAsia" w:ascii="Times New Roman" w:hAnsi="Times New Roman" w:eastAsia="宋体" w:cs="Times New Roman"/>
                <w:kern w:val="0"/>
                <w:sz w:val="24"/>
                <w:szCs w:val="24"/>
                <w:lang w:eastAsia="zh-CN"/>
              </w:rPr>
              <w:t>环境质量公报</w:t>
            </w:r>
            <w:r>
              <w:rPr>
                <w:rFonts w:hint="default" w:ascii="Times New Roman" w:hAnsi="Times New Roman" w:eastAsia="宋体" w:cs="Times New Roman"/>
                <w:kern w:val="0"/>
                <w:sz w:val="24"/>
                <w:szCs w:val="24"/>
              </w:rPr>
              <w:t>》，2024年</w:t>
            </w:r>
            <w:r>
              <w:rPr>
                <w:rFonts w:hint="eastAsia" w:ascii="Times New Roman" w:hAnsi="Times New Roman" w:cs="Times New Roman"/>
                <w:kern w:val="0"/>
                <w:sz w:val="24"/>
                <w:szCs w:val="24"/>
                <w:lang w:val="en-US" w:eastAsia="zh-CN"/>
              </w:rPr>
              <w:t>金寨县</w:t>
            </w:r>
            <w:r>
              <w:rPr>
                <w:rFonts w:hint="default" w:ascii="Times New Roman" w:hAnsi="Times New Roman" w:eastAsia="宋体" w:cs="Times New Roman"/>
                <w:kern w:val="0"/>
                <w:sz w:val="24"/>
                <w:szCs w:val="24"/>
              </w:rPr>
              <w:t>环境空气质量优良天数比例为</w:t>
            </w:r>
            <w:r>
              <w:rPr>
                <w:rFonts w:hint="eastAsia" w:ascii="Times New Roman" w:hAnsi="Times New Roman" w:cs="Times New Roman"/>
                <w:kern w:val="0"/>
                <w:sz w:val="24"/>
                <w:szCs w:val="24"/>
                <w:lang w:val="en-US" w:eastAsia="zh-CN"/>
              </w:rPr>
              <w:t>91.8</w:t>
            </w:r>
            <w:r>
              <w:rPr>
                <w:rFonts w:hint="default" w:ascii="Times New Roman" w:hAnsi="Times New Roman" w:eastAsia="宋体" w:cs="Times New Roman"/>
                <w:kern w:val="0"/>
                <w:sz w:val="24"/>
                <w:szCs w:val="24"/>
              </w:rPr>
              <w:t>%（有效天数366天，优良天数为336天）。可吸入颗粒物（PM</w:t>
            </w:r>
            <w:r>
              <w:rPr>
                <w:rFonts w:hint="default" w:ascii="Times New Roman" w:hAnsi="Times New Roman" w:eastAsia="宋体" w:cs="Times New Roman"/>
                <w:kern w:val="0"/>
                <w:sz w:val="24"/>
                <w:szCs w:val="24"/>
                <w:vertAlign w:val="subscript"/>
              </w:rPr>
              <w:t>10</w:t>
            </w:r>
            <w:r>
              <w:rPr>
                <w:rFonts w:hint="default" w:ascii="Times New Roman" w:hAnsi="Times New Roman" w:eastAsia="宋体" w:cs="Times New Roman"/>
                <w:kern w:val="0"/>
                <w:sz w:val="24"/>
                <w:szCs w:val="24"/>
              </w:rPr>
              <w:t>）、细颗粒物（PM</w:t>
            </w:r>
            <w:r>
              <w:rPr>
                <w:rFonts w:hint="default" w:ascii="Times New Roman" w:hAnsi="Times New Roman" w:eastAsia="宋体" w:cs="Times New Roman"/>
                <w:kern w:val="0"/>
                <w:sz w:val="24"/>
                <w:szCs w:val="24"/>
                <w:vertAlign w:val="subscript"/>
              </w:rPr>
              <w:t>2.5</w:t>
            </w:r>
            <w:r>
              <w:rPr>
                <w:rFonts w:hint="default" w:ascii="Times New Roman" w:hAnsi="Times New Roman" w:eastAsia="宋体" w:cs="Times New Roman"/>
                <w:kern w:val="0"/>
                <w:sz w:val="24"/>
                <w:szCs w:val="24"/>
              </w:rPr>
              <w:t>）、二氧化硫</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SO</w:t>
            </w:r>
            <w:r>
              <w:rPr>
                <w:rFonts w:hint="default" w:ascii="Times New Roman" w:hAnsi="Times New Roman" w:eastAsia="宋体" w:cs="Times New Roman"/>
                <w:kern w:val="0"/>
                <w:sz w:val="24"/>
                <w:szCs w:val="24"/>
                <w:vertAlign w:val="subscript"/>
              </w:rPr>
              <w:t>2</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和二氧化氮</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NO</w:t>
            </w:r>
            <w:r>
              <w:rPr>
                <w:rFonts w:hint="default" w:ascii="Times New Roman" w:hAnsi="Times New Roman" w:eastAsia="宋体" w:cs="Times New Roman"/>
                <w:kern w:val="0"/>
                <w:sz w:val="24"/>
                <w:szCs w:val="24"/>
                <w:vertAlign w:val="subscript"/>
              </w:rPr>
              <w:t>2</w:t>
            </w:r>
            <w:r>
              <w:rPr>
                <w:rFonts w:hint="eastAsia" w:ascii="Times New Roman" w:hAnsi="Times New Roman" w:cs="Times New Roman"/>
                <w:kern w:val="0"/>
                <w:sz w:val="24"/>
                <w:szCs w:val="24"/>
                <w:vertAlign w:val="subscript"/>
                <w:lang w:eastAsia="zh-CN"/>
              </w:rPr>
              <w:t>）</w:t>
            </w:r>
            <w:r>
              <w:rPr>
                <w:rFonts w:hint="default" w:ascii="Times New Roman" w:hAnsi="Times New Roman" w:eastAsia="宋体" w:cs="Times New Roman"/>
                <w:kern w:val="0"/>
                <w:sz w:val="24"/>
                <w:szCs w:val="24"/>
              </w:rPr>
              <w:t>年平均浓度分别为</w:t>
            </w:r>
            <w:r>
              <w:rPr>
                <w:rFonts w:hint="eastAsia" w:ascii="Times New Roman" w:hAnsi="Times New Roman" w:cs="Times New Roman"/>
                <w:kern w:val="0"/>
                <w:sz w:val="24"/>
                <w:szCs w:val="24"/>
                <w:lang w:val="en-US" w:eastAsia="zh-CN"/>
              </w:rPr>
              <w:t>49</w:t>
            </w:r>
            <w:r>
              <w:rPr>
                <w:rFonts w:hint="default" w:ascii="Times New Roman" w:hAnsi="Times New Roman" w:eastAsia="宋体" w:cs="Times New Roman"/>
                <w:kern w:val="0"/>
                <w:sz w:val="24"/>
                <w:szCs w:val="24"/>
              </w:rPr>
              <w:t>微克/立方米、3</w:t>
            </w:r>
            <w:r>
              <w:rPr>
                <w:rFonts w:hint="eastAsia" w:ascii="Times New Roman" w:hAnsi="Times New Roman" w:cs="Times New Roman"/>
                <w:kern w:val="0"/>
                <w:sz w:val="24"/>
                <w:szCs w:val="24"/>
                <w:lang w:val="en-US" w:eastAsia="zh-CN"/>
              </w:rPr>
              <w:t>1</w:t>
            </w:r>
            <w:r>
              <w:rPr>
                <w:rFonts w:hint="default" w:ascii="Times New Roman" w:hAnsi="Times New Roman" w:eastAsia="宋体" w:cs="Times New Roman"/>
                <w:kern w:val="0"/>
                <w:sz w:val="24"/>
                <w:szCs w:val="24"/>
              </w:rPr>
              <w:t>微克/立方米、5微克/立方米和1</w:t>
            </w:r>
            <w:r>
              <w:rPr>
                <w:rFonts w:hint="eastAsia" w:ascii="Times New Roman" w:hAnsi="Times New Roman" w:cs="Times New Roman"/>
                <w:kern w:val="0"/>
                <w:sz w:val="24"/>
                <w:szCs w:val="24"/>
                <w:lang w:val="en-US" w:eastAsia="zh-CN"/>
              </w:rPr>
              <w:t>5</w:t>
            </w:r>
            <w:r>
              <w:rPr>
                <w:rFonts w:hint="default" w:ascii="Times New Roman" w:hAnsi="Times New Roman" w:eastAsia="宋体" w:cs="Times New Roman"/>
                <w:kern w:val="0"/>
                <w:sz w:val="24"/>
                <w:szCs w:val="24"/>
              </w:rPr>
              <w:t>微克/立方米；一氧化碳（CO）日均值第95百分位数为0.8毫克/立方米，臭氧（O</w:t>
            </w:r>
            <w:r>
              <w:rPr>
                <w:rFonts w:hint="default" w:ascii="Times New Roman" w:hAnsi="Times New Roman" w:eastAsia="宋体" w:cs="Times New Roman"/>
                <w:kern w:val="0"/>
                <w:sz w:val="24"/>
                <w:szCs w:val="24"/>
                <w:vertAlign w:val="subscript"/>
              </w:rPr>
              <w:t>3</w:t>
            </w:r>
            <w:r>
              <w:rPr>
                <w:rFonts w:hint="default" w:ascii="Times New Roman" w:hAnsi="Times New Roman" w:eastAsia="宋体" w:cs="Times New Roman"/>
                <w:kern w:val="0"/>
                <w:sz w:val="24"/>
                <w:szCs w:val="24"/>
              </w:rPr>
              <w:t>）日最大8小时平均第90百分位数为</w:t>
            </w:r>
            <w:r>
              <w:rPr>
                <w:rFonts w:hint="eastAsia" w:ascii="Times New Roman" w:hAnsi="Times New Roman" w:cs="Times New Roman"/>
                <w:kern w:val="0"/>
                <w:sz w:val="24"/>
                <w:szCs w:val="24"/>
                <w:lang w:val="en-US" w:eastAsia="zh-CN"/>
              </w:rPr>
              <w:t>138</w:t>
            </w:r>
            <w:r>
              <w:rPr>
                <w:rFonts w:hint="default" w:ascii="Times New Roman" w:hAnsi="Times New Roman" w:eastAsia="宋体" w:cs="Times New Roman"/>
                <w:kern w:val="0"/>
                <w:sz w:val="24"/>
                <w:szCs w:val="24"/>
              </w:rPr>
              <w:t>微克/立方米。</w:t>
            </w:r>
          </w:p>
          <w:p w14:paraId="18323C15">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与上年相比，空气质量优良天数比例上升0.3个百分点。臭氧日最大8小时平均第90百分位数、细颗粒物等年均浓度分别上升1.5%、3.3%；二氧化硫和可吸入颗粒物、CO日均值第95百分位数年均浓度均有所下降，降幅分别为16.7%、12.5%和11.1%；二氧化氮无变化。</w:t>
            </w:r>
          </w:p>
          <w:p w14:paraId="6200BDE6">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szCs w:val="24"/>
                <w:lang w:val="en-US" w:eastAsia="zh-CN"/>
              </w:rPr>
            </w:pPr>
            <w:r>
              <w:rPr>
                <w:rFonts w:hint="eastAsia" w:ascii="Times New Roman" w:hAnsi="Times New Roman" w:cs="Times New Roman"/>
                <w:szCs w:val="24"/>
                <w:lang w:val="en-US" w:eastAsia="zh-CN"/>
              </w:rPr>
              <w:t>金寨县</w:t>
            </w:r>
            <w:r>
              <w:rPr>
                <w:rFonts w:hint="default" w:ascii="Times New Roman" w:hAnsi="Times New Roman" w:eastAsia="宋体" w:cs="Times New Roman"/>
                <w:szCs w:val="24"/>
                <w:lang w:val="en-US" w:eastAsia="zh-CN"/>
              </w:rPr>
              <w:t>202</w:t>
            </w:r>
            <w:r>
              <w:rPr>
                <w:rFonts w:hint="eastAsia" w:ascii="Times New Roman" w:hAnsi="Times New Roman" w:cs="Times New Roman"/>
                <w:szCs w:val="24"/>
                <w:lang w:val="en-US" w:eastAsia="zh-CN"/>
              </w:rPr>
              <w:t>4</w:t>
            </w:r>
            <w:r>
              <w:rPr>
                <w:rFonts w:hint="default" w:ascii="Times New Roman" w:hAnsi="Times New Roman" w:eastAsia="宋体" w:cs="Times New Roman"/>
                <w:szCs w:val="24"/>
                <w:lang w:val="en-US" w:eastAsia="zh-CN"/>
              </w:rPr>
              <w:t>年可吸入颗粒物（PM</w:t>
            </w:r>
            <w:r>
              <w:rPr>
                <w:rFonts w:hint="default" w:ascii="Times New Roman" w:hAnsi="Times New Roman" w:eastAsia="宋体" w:cs="Times New Roman"/>
                <w:szCs w:val="24"/>
                <w:vertAlign w:val="subscript"/>
                <w:lang w:val="en-US" w:eastAsia="zh-CN"/>
              </w:rPr>
              <w:t>10</w:t>
            </w:r>
            <w:r>
              <w:rPr>
                <w:rFonts w:hint="default" w:ascii="Times New Roman" w:hAnsi="Times New Roman" w:eastAsia="宋体" w:cs="Times New Roman"/>
                <w:szCs w:val="24"/>
                <w:lang w:val="en-US" w:eastAsia="zh-CN"/>
              </w:rPr>
              <w:t>）、细颗粒物（PM</w:t>
            </w:r>
            <w:r>
              <w:rPr>
                <w:rFonts w:hint="default" w:ascii="Times New Roman" w:hAnsi="Times New Roman" w:eastAsia="宋体" w:cs="Times New Roman"/>
                <w:szCs w:val="24"/>
                <w:vertAlign w:val="subscript"/>
                <w:lang w:val="en-US" w:eastAsia="zh-CN"/>
              </w:rPr>
              <w:t>2.5</w:t>
            </w:r>
            <w:r>
              <w:rPr>
                <w:rFonts w:hint="default" w:ascii="Times New Roman" w:hAnsi="Times New Roman" w:eastAsia="宋体" w:cs="Times New Roman"/>
                <w:szCs w:val="24"/>
                <w:lang w:val="en-US" w:eastAsia="zh-CN"/>
              </w:rPr>
              <w:t>）</w:t>
            </w:r>
            <w:r>
              <w:rPr>
                <w:rFonts w:hint="eastAsia" w:ascii="Times New Roman" w:hAnsi="Times New Roman" w:cs="Times New Roman"/>
                <w:szCs w:val="24"/>
                <w:lang w:val="en-US" w:eastAsia="zh-CN"/>
              </w:rPr>
              <w:t>、</w:t>
            </w:r>
            <w:r>
              <w:rPr>
                <w:rFonts w:hint="default" w:ascii="Times New Roman" w:hAnsi="Times New Roman" w:eastAsia="宋体" w:cs="Times New Roman"/>
                <w:szCs w:val="24"/>
                <w:lang w:val="en-US" w:eastAsia="zh-CN"/>
              </w:rPr>
              <w:t>二氧化硫（SO</w:t>
            </w:r>
            <w:r>
              <w:rPr>
                <w:rFonts w:hint="default" w:ascii="Times New Roman" w:hAnsi="Times New Roman" w:eastAsia="宋体" w:cs="Times New Roman"/>
                <w:szCs w:val="24"/>
                <w:vertAlign w:val="subscript"/>
                <w:lang w:val="en-US" w:eastAsia="zh-CN"/>
              </w:rPr>
              <w:t>2</w:t>
            </w:r>
            <w:r>
              <w:rPr>
                <w:rFonts w:hint="default" w:ascii="Times New Roman" w:hAnsi="Times New Roman" w:eastAsia="宋体" w:cs="Times New Roman"/>
                <w:szCs w:val="24"/>
                <w:lang w:val="en-US" w:eastAsia="zh-CN"/>
              </w:rPr>
              <w:t>）、二氧化氮（NO</w:t>
            </w:r>
            <w:r>
              <w:rPr>
                <w:rFonts w:hint="default" w:ascii="Times New Roman" w:hAnsi="Times New Roman" w:eastAsia="宋体" w:cs="Times New Roman"/>
                <w:szCs w:val="24"/>
                <w:vertAlign w:val="subscript"/>
                <w:lang w:val="en-US" w:eastAsia="zh-CN"/>
              </w:rPr>
              <w:t>2</w:t>
            </w:r>
            <w:r>
              <w:rPr>
                <w:rFonts w:hint="eastAsia" w:ascii="Times New Roman" w:hAnsi="Times New Roman" w:cs="Times New Roman"/>
                <w:szCs w:val="24"/>
                <w:vertAlign w:val="subscript"/>
                <w:lang w:val="en-US" w:eastAsia="zh-CN"/>
              </w:rPr>
              <w:t>）</w:t>
            </w:r>
            <w:r>
              <w:rPr>
                <w:rFonts w:hint="default" w:ascii="Times New Roman" w:hAnsi="Times New Roman" w:eastAsia="宋体" w:cs="Times New Roman"/>
                <w:szCs w:val="24"/>
                <w:lang w:val="en-US" w:eastAsia="zh-CN"/>
              </w:rPr>
              <w:t>、一氧化碳（CO）、臭氧（O</w:t>
            </w:r>
            <w:r>
              <w:rPr>
                <w:rFonts w:hint="default" w:ascii="Times New Roman" w:hAnsi="Times New Roman" w:eastAsia="宋体" w:cs="Times New Roman"/>
                <w:szCs w:val="24"/>
                <w:vertAlign w:val="subscript"/>
                <w:lang w:val="en-US" w:eastAsia="zh-CN"/>
              </w:rPr>
              <w:t>3</w:t>
            </w:r>
            <w:r>
              <w:rPr>
                <w:rFonts w:hint="default" w:ascii="Times New Roman" w:hAnsi="Times New Roman" w:eastAsia="宋体" w:cs="Times New Roman"/>
                <w:szCs w:val="24"/>
                <w:lang w:val="en-US" w:eastAsia="zh-CN"/>
              </w:rPr>
              <w:t>）均符合《环境空气质量标准》（GB3095-2012）二级标准</w:t>
            </w:r>
            <w:r>
              <w:rPr>
                <w:rFonts w:hint="eastAsia" w:ascii="Times New Roman" w:hAnsi="Times New Roman" w:cs="Times New Roman"/>
                <w:szCs w:val="24"/>
                <w:lang w:val="en-US" w:eastAsia="zh-CN"/>
              </w:rPr>
              <w:t>。</w:t>
            </w:r>
          </w:p>
          <w:p w14:paraId="45E98695">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rPr>
            </w:pPr>
            <w:r>
              <w:rPr>
                <w:rFonts w:hint="default" w:ascii="Times New Roman" w:hAnsi="Times New Roman" w:eastAsia="宋体" w:cs="Times New Roman"/>
                <w:szCs w:val="24"/>
                <w:lang w:val="en-US" w:eastAsia="zh-CN"/>
              </w:rPr>
              <w:t>项目所在区域空气质量为达标区域，</w:t>
            </w:r>
            <w:r>
              <w:rPr>
                <w:rFonts w:hint="eastAsia" w:ascii="Times New Roman" w:hAnsi="Times New Roman" w:cs="Times New Roman"/>
                <w:szCs w:val="24"/>
                <w:lang w:val="en-US" w:eastAsia="zh-CN"/>
              </w:rPr>
              <w:t>本工程</w:t>
            </w:r>
            <w:r>
              <w:rPr>
                <w:rFonts w:hint="default" w:ascii="Times New Roman" w:hAnsi="Times New Roman" w:eastAsia="宋体" w:cs="Times New Roman"/>
                <w:szCs w:val="24"/>
                <w:lang w:val="en-US" w:eastAsia="zh-CN"/>
              </w:rPr>
              <w:t>运营期无生产废气产生</w:t>
            </w:r>
            <w:r>
              <w:rPr>
                <w:rFonts w:hint="eastAsia" w:ascii="Times New Roman" w:hAnsi="Times New Roman" w:cs="Times New Roman"/>
                <w:szCs w:val="24"/>
                <w:lang w:val="en-US" w:eastAsia="zh-CN"/>
              </w:rPr>
              <w:t>，在采取本评价提出的环保措施后，均能达到相关排放标准，对金寨县环境质量底线影响较小</w:t>
            </w:r>
            <w:r>
              <w:rPr>
                <w:rFonts w:hint="default" w:ascii="Times New Roman" w:hAnsi="Times New Roman" w:eastAsia="宋体" w:cs="Times New Roman"/>
                <w:szCs w:val="24"/>
                <w:lang w:val="en-US" w:eastAsia="zh-CN"/>
              </w:rPr>
              <w:t>。</w:t>
            </w:r>
          </w:p>
          <w:p w14:paraId="25AABD42">
            <w:pPr>
              <w:pStyle w:val="21"/>
              <w:spacing w:line="360" w:lineRule="auto"/>
              <w:ind w:left="0" w:leftChars="0" w:firstLine="496" w:firstLineChars="200"/>
              <w:rPr>
                <w:rFonts w:hint="default" w:ascii="Times New Roman" w:hAnsi="Times New Roman" w:cs="Times New Roman"/>
                <w:szCs w:val="24"/>
              </w:rPr>
            </w:pPr>
            <w:r>
              <w:rPr>
                <w:rFonts w:hint="eastAsia" w:ascii="宋体" w:hAnsi="宋体" w:eastAsia="宋体" w:cs="宋体"/>
                <w:szCs w:val="24"/>
              </w:rPr>
              <w:t>②</w:t>
            </w:r>
            <w:r>
              <w:rPr>
                <w:rFonts w:hint="eastAsia" w:cs="宋体"/>
                <w:szCs w:val="24"/>
              </w:rPr>
              <w:t>地表水环境：</w:t>
            </w:r>
            <w:r>
              <w:rPr>
                <w:rFonts w:hint="default" w:ascii="Times New Roman" w:hAnsi="Times New Roman" w:eastAsia="宋体" w:cs="Times New Roman"/>
                <w:szCs w:val="24"/>
              </w:rPr>
              <w:t>根据</w:t>
            </w:r>
            <w:r>
              <w:rPr>
                <w:rFonts w:hint="eastAsia" w:ascii="Times New Roman" w:hAnsi="Times New Roman" w:cs="Times New Roman"/>
                <w:szCs w:val="24"/>
                <w:lang w:val="en-US" w:eastAsia="zh-CN"/>
              </w:rPr>
              <w:t>金寨县生态环境分局</w:t>
            </w:r>
            <w:r>
              <w:rPr>
                <w:rFonts w:hint="default" w:ascii="Times New Roman" w:hAnsi="Times New Roman" w:eastAsia="宋体" w:cs="Times New Roman"/>
                <w:szCs w:val="24"/>
                <w:lang w:eastAsia="zh-CN"/>
              </w:rPr>
              <w:t>发布的</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202</w:t>
            </w:r>
            <w:r>
              <w:rPr>
                <w:rFonts w:hint="eastAsia" w:ascii="Times New Roman" w:hAnsi="Times New Roman" w:cs="Times New Roman"/>
                <w:kern w:val="0"/>
                <w:sz w:val="24"/>
                <w:szCs w:val="24"/>
                <w:lang w:val="en-US" w:eastAsia="zh-CN"/>
              </w:rPr>
              <w:t>4</w:t>
            </w:r>
            <w:r>
              <w:rPr>
                <w:rFonts w:hint="eastAsia" w:ascii="Times New Roman" w:hAnsi="Times New Roman" w:eastAsia="宋体" w:cs="Times New Roman"/>
                <w:kern w:val="0"/>
                <w:sz w:val="24"/>
                <w:szCs w:val="24"/>
                <w:lang w:eastAsia="zh-CN"/>
              </w:rPr>
              <w:t>年</w:t>
            </w:r>
            <w:r>
              <w:rPr>
                <w:rFonts w:hint="eastAsia" w:ascii="Times New Roman" w:hAnsi="Times New Roman" w:cs="Times New Roman"/>
                <w:kern w:val="0"/>
                <w:sz w:val="24"/>
                <w:szCs w:val="24"/>
                <w:lang w:val="en-US" w:eastAsia="zh-CN"/>
              </w:rPr>
              <w:t>金寨县</w:t>
            </w:r>
            <w:r>
              <w:rPr>
                <w:rFonts w:hint="eastAsia" w:ascii="Times New Roman" w:hAnsi="Times New Roman" w:eastAsia="宋体" w:cs="Times New Roman"/>
                <w:kern w:val="0"/>
                <w:sz w:val="24"/>
                <w:szCs w:val="24"/>
                <w:lang w:eastAsia="zh-CN"/>
              </w:rPr>
              <w:t>环境质量公报</w:t>
            </w:r>
            <w:r>
              <w:rPr>
                <w:rFonts w:hint="default" w:ascii="Times New Roman" w:hAnsi="Times New Roman" w:eastAsia="宋体" w:cs="Times New Roman"/>
                <w:kern w:val="0"/>
                <w:sz w:val="24"/>
                <w:szCs w:val="24"/>
              </w:rPr>
              <w:t>》</w:t>
            </w:r>
            <w:r>
              <w:rPr>
                <w:rFonts w:hint="default" w:ascii="Times New Roman" w:hAnsi="Times New Roman" w:cs="Times New Roman"/>
                <w:szCs w:val="24"/>
              </w:rPr>
              <w:t>，2024年金寨县国控监测断面共5个，总体水质状况良好，水质年均达到Ⅱ类，均达到考核目标要求</w:t>
            </w:r>
            <w:r>
              <w:rPr>
                <w:rFonts w:hint="eastAsia" w:ascii="Times New Roman" w:hAnsi="Times New Roman" w:cs="Times New Roman"/>
                <w:szCs w:val="24"/>
                <w:lang w:eastAsia="zh-CN"/>
              </w:rPr>
              <w:t>；</w:t>
            </w:r>
            <w:r>
              <w:rPr>
                <w:rFonts w:hint="default" w:ascii="Times New Roman" w:hAnsi="Times New Roman" w:cs="Times New Roman"/>
                <w:szCs w:val="24"/>
              </w:rPr>
              <w:t>2024年金寨县省控监测断面共1个，总体水质状况良好，水质年均达到Ⅱ类，达到考核目标要求。</w:t>
            </w:r>
          </w:p>
          <w:p w14:paraId="5E52E521">
            <w:pPr>
              <w:pStyle w:val="21"/>
              <w:spacing w:line="360" w:lineRule="auto"/>
              <w:ind w:left="0" w:leftChars="0" w:firstLine="496" w:firstLineChars="200"/>
              <w:rPr>
                <w:rFonts w:hint="default" w:ascii="Times New Roman" w:hAnsi="Times New Roman" w:cs="Times New Roman"/>
                <w:szCs w:val="24"/>
                <w:lang w:val="en-US" w:eastAsia="zh-CN"/>
              </w:rPr>
            </w:pPr>
            <w:r>
              <w:rPr>
                <w:rFonts w:hint="default" w:ascii="Times New Roman" w:hAnsi="Times New Roman" w:cs="Times New Roman"/>
                <w:szCs w:val="24"/>
              </w:rPr>
              <w:t>2024年，金寨县城镇集中式饮用水源地梅山水库水质各项监测指标均达到《地表水环境质量标准》（GB3838-2002）Ⅲ类标准，水质达标率为100％。10个农村集中式饮用水源地水质各项监测指标均达到《地表水环境质量标准》（GB3838-2002）Ⅲ类标准，达标率为100％。</w:t>
            </w:r>
            <w:r>
              <w:rPr>
                <w:rFonts w:hint="eastAsia" w:ascii="Times New Roman" w:hAnsi="Times New Roman" w:cs="Times New Roman"/>
                <w:b w:val="0"/>
                <w:bCs/>
                <w:spacing w:val="0"/>
                <w:sz w:val="24"/>
                <w:szCs w:val="24"/>
                <w:lang w:val="en-US" w:eastAsia="zh-CN" w:bidi="ar-SA"/>
              </w:rPr>
              <w:t>本工程涉及</w:t>
            </w:r>
            <w:r>
              <w:rPr>
                <w:rFonts w:hint="default" w:ascii="Times New Roman" w:hAnsi="Times New Roman" w:eastAsia="宋体" w:cs="Times New Roman"/>
                <w:b w:val="0"/>
                <w:bCs/>
                <w:spacing w:val="0"/>
                <w:sz w:val="24"/>
                <w:szCs w:val="24"/>
                <w:lang w:val="en-US" w:eastAsia="zh-CN" w:bidi="ar-SA"/>
              </w:rPr>
              <w:t>的</w:t>
            </w:r>
            <w:r>
              <w:rPr>
                <w:rFonts w:hint="eastAsia" w:ascii="Times New Roman" w:hAnsi="Times New Roman" w:cs="Times New Roman"/>
                <w:szCs w:val="24"/>
                <w:lang w:val="en-US" w:eastAsia="zh-CN"/>
              </w:rPr>
              <w:t>地表水水体</w:t>
            </w:r>
            <w:r>
              <w:rPr>
                <w:rFonts w:hint="default" w:ascii="Times New Roman" w:hAnsi="Times New Roman" w:cs="Times New Roman"/>
                <w:szCs w:val="24"/>
                <w:lang w:val="en-US" w:eastAsia="zh-CN"/>
              </w:rPr>
              <w:t>为</w:t>
            </w:r>
            <w:r>
              <w:rPr>
                <w:rFonts w:hint="eastAsia" w:ascii="Times New Roman" w:hAnsi="Times New Roman" w:cs="Times New Roman"/>
                <w:szCs w:val="24"/>
                <w:lang w:val="en-US" w:eastAsia="zh-CN"/>
              </w:rPr>
              <w:t>白水河、梅山水库、麻河、双河</w:t>
            </w:r>
            <w:r>
              <w:rPr>
                <w:rFonts w:hint="default" w:ascii="Times New Roman" w:hAnsi="Times New Roman" w:eastAsia="宋体" w:cs="Times New Roman"/>
                <w:b w:val="0"/>
                <w:bCs/>
                <w:spacing w:val="0"/>
                <w:sz w:val="24"/>
                <w:szCs w:val="24"/>
                <w:lang w:val="en-US" w:eastAsia="zh-CN" w:bidi="ar-SA"/>
              </w:rPr>
              <w:t>，</w:t>
            </w:r>
            <w:r>
              <w:rPr>
                <w:rFonts w:hint="default" w:ascii="Times New Roman" w:hAnsi="Times New Roman" w:cs="Times New Roman"/>
                <w:color w:val="auto"/>
                <w:lang w:val="en-US" w:eastAsia="zh-CN"/>
              </w:rPr>
              <w:t>满足</w:t>
            </w:r>
            <w:r>
              <w:rPr>
                <w:rFonts w:ascii="Times New Roman" w:hAnsi="Times New Roman"/>
                <w:kern w:val="0"/>
                <w:sz w:val="24"/>
              </w:rPr>
              <w:t>《地表水环境质量标准》（GB3838-2002）Ⅲ类标准</w:t>
            </w:r>
            <w:r>
              <w:rPr>
                <w:rFonts w:hint="default" w:ascii="Times New Roman" w:hAnsi="Times New Roman"/>
                <w:kern w:val="0"/>
                <w:sz w:val="24"/>
                <w:lang w:eastAsia="zh-CN"/>
              </w:rPr>
              <w:t>。</w:t>
            </w:r>
          </w:p>
          <w:p w14:paraId="552959DB">
            <w:pPr>
              <w:pStyle w:val="21"/>
              <w:spacing w:line="360" w:lineRule="auto"/>
              <w:ind w:left="0" w:leftChars="0" w:firstLine="496" w:firstLineChars="200"/>
              <w:rPr>
                <w:rFonts w:hint="eastAsia" w:ascii="Times New Roman" w:hAnsi="Times New Roman" w:cs="Times New Roman"/>
                <w:szCs w:val="24"/>
                <w:lang w:val="en-US" w:eastAsia="zh-CN"/>
              </w:rPr>
            </w:pPr>
            <w:r>
              <w:rPr>
                <w:rFonts w:hint="eastAsia" w:ascii="Times New Roman" w:hAnsi="Times New Roman" w:cs="Times New Roman"/>
                <w:szCs w:val="24"/>
                <w:lang w:val="en-US" w:eastAsia="zh-CN"/>
              </w:rPr>
              <w:t>本工程</w:t>
            </w:r>
            <w:r>
              <w:rPr>
                <w:rFonts w:hint="default" w:ascii="Times New Roman" w:hAnsi="Times New Roman" w:cs="Times New Roman"/>
                <w:szCs w:val="24"/>
                <w:lang w:val="en-US" w:eastAsia="zh-CN"/>
              </w:rPr>
              <w:t>运营期仅有少量生活污水产生，</w:t>
            </w:r>
            <w:r>
              <w:rPr>
                <w:rFonts w:hint="eastAsia" w:ascii="Times New Roman" w:hAnsi="Times New Roman" w:cs="Times New Roman"/>
                <w:szCs w:val="24"/>
                <w:lang w:val="en-US" w:eastAsia="zh-CN"/>
              </w:rPr>
              <w:t>生活污水经化粪池收集后排入厂区生活排水管道，最终排入矿区内地埋式生活污水处理装置（生物接触氧化+砂滤+消毒工艺）收集处理后泵至选矿生产，地埋式生活污水处理装置位于变电站西侧，依托具有可行性，</w:t>
            </w:r>
            <w:r>
              <w:rPr>
                <w:rFonts w:hint="default" w:ascii="Times New Roman" w:hAnsi="Times New Roman" w:cs="Times New Roman"/>
                <w:szCs w:val="24"/>
                <w:lang w:val="en-US" w:eastAsia="zh-CN"/>
              </w:rPr>
              <w:t>对周围水环境影响较小。</w:t>
            </w:r>
          </w:p>
          <w:p w14:paraId="24F97A90">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szCs w:val="24"/>
              </w:rPr>
            </w:pPr>
            <w:r>
              <w:rPr>
                <w:rFonts w:hint="eastAsia" w:ascii="宋体" w:hAnsi="宋体" w:eastAsia="宋体" w:cs="宋体"/>
                <w:szCs w:val="24"/>
              </w:rPr>
              <w:t>③</w:t>
            </w:r>
            <w:r>
              <w:rPr>
                <w:rFonts w:hint="eastAsia" w:cs="宋体"/>
                <w:szCs w:val="24"/>
              </w:rPr>
              <w:t>声环境：</w:t>
            </w:r>
            <w:r>
              <w:rPr>
                <w:rFonts w:hint="default" w:ascii="Times New Roman" w:hAnsi="Times New Roman" w:cs="Times New Roman"/>
                <w:color w:val="auto"/>
                <w:sz w:val="24"/>
                <w:szCs w:val="24"/>
              </w:rPr>
              <w:t>根据</w:t>
            </w:r>
            <w:r>
              <w:rPr>
                <w:rFonts w:hint="eastAsia" w:ascii="Times New Roman" w:hAnsi="Times New Roman" w:cs="Times New Roman"/>
                <w:color w:val="auto"/>
                <w:sz w:val="24"/>
                <w:szCs w:val="24"/>
                <w:lang w:val="en-US" w:eastAsia="zh-CN"/>
              </w:rPr>
              <w:t>声环境现状</w:t>
            </w:r>
            <w:r>
              <w:rPr>
                <w:rFonts w:hint="default" w:ascii="Times New Roman" w:hAnsi="Times New Roman" w:cs="Times New Roman"/>
                <w:color w:val="auto"/>
                <w:sz w:val="24"/>
                <w:szCs w:val="24"/>
              </w:rPr>
              <w:t>监测结果分析</w:t>
            </w:r>
            <w:r>
              <w:rPr>
                <w:rFonts w:hint="eastAsia" w:ascii="Times New Roman" w:hAnsi="Times New Roman" w:cs="Times New Roman"/>
                <w:color w:val="auto"/>
                <w:sz w:val="24"/>
                <w:szCs w:val="24"/>
                <w:lang w:val="en-US" w:eastAsia="zh-CN"/>
              </w:rPr>
              <w:t>可知：</w:t>
            </w:r>
            <w:r>
              <w:rPr>
                <w:rFonts w:hint="default" w:ascii="Times New Roman" w:hAnsi="Times New Roman" w:cs="Times New Roman"/>
                <w:color w:val="auto"/>
                <w:sz w:val="24"/>
                <w:szCs w:val="24"/>
              </w:rPr>
              <w:t>拟建变电站及</w:t>
            </w:r>
            <w:r>
              <w:rPr>
                <w:rFonts w:hint="eastAsia" w:ascii="Times New Roman" w:hAnsi="Times New Roman" w:cs="Times New Roman"/>
                <w:color w:val="auto"/>
                <w:sz w:val="24"/>
                <w:szCs w:val="24"/>
                <w:lang w:val="en-US" w:eastAsia="zh-CN"/>
              </w:rPr>
              <w:t>架空</w:t>
            </w:r>
            <w:r>
              <w:rPr>
                <w:rFonts w:hint="default" w:ascii="Times New Roman" w:hAnsi="Times New Roman" w:cs="Times New Roman"/>
                <w:color w:val="auto"/>
                <w:sz w:val="24"/>
                <w:szCs w:val="24"/>
              </w:rPr>
              <w:t>线路沿线声环境保护目标测点处的昼间噪声监测值在</w:t>
            </w:r>
            <w:r>
              <w:rPr>
                <w:rFonts w:hint="eastAsia" w:ascii="Times New Roman" w:hAnsi="Times New Roman" w:cs="Times New Roman"/>
                <w:color w:val="auto"/>
                <w:sz w:val="24"/>
                <w:szCs w:val="24"/>
                <w:lang w:val="en-US" w:eastAsia="zh-CN"/>
              </w:rPr>
              <w:t>38.3</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val="en-US" w:eastAsia="zh-CN"/>
              </w:rPr>
              <w:t>50.9</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之间，夜间噪声监测值在</w:t>
            </w:r>
            <w:r>
              <w:rPr>
                <w:rFonts w:hint="eastAsia" w:ascii="Times New Roman" w:hAnsi="Times New Roman" w:cs="Times New Roman"/>
                <w:color w:val="auto"/>
                <w:sz w:val="24"/>
                <w:szCs w:val="24"/>
                <w:lang w:val="en-US" w:eastAsia="zh-CN"/>
              </w:rPr>
              <w:t>36.6</w:t>
            </w:r>
            <w:r>
              <w:rPr>
                <w:rFonts w:hint="default" w:ascii="Times New Roman" w:hAnsi="Times New Roman" w:cs="Times New Roman"/>
                <w:color w:val="auto"/>
                <w:sz w:val="24"/>
                <w:szCs w:val="24"/>
              </w:rPr>
              <w:t>dB(A)~41</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之间，满足《声环境质量标准》（GB3096-2008）中</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类标准限值要求。</w:t>
            </w:r>
          </w:p>
          <w:p w14:paraId="7280A9CB">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eastAsia" w:ascii="Times New Roman" w:hAnsi="Times New Roman" w:eastAsia="宋体" w:cs="Times New Roman"/>
                <w:szCs w:val="24"/>
                <w:lang w:eastAsia="zh-CN"/>
              </w:rPr>
            </w:pPr>
            <w:r>
              <w:rPr>
                <w:rFonts w:hint="eastAsia" w:ascii="Times New Roman" w:hAnsi="Times New Roman" w:cs="Times New Roman"/>
                <w:szCs w:val="24"/>
                <w:lang w:eastAsia="zh-CN"/>
              </w:rPr>
              <w:t>本工程</w:t>
            </w:r>
            <w:r>
              <w:rPr>
                <w:rFonts w:hint="default" w:ascii="Times New Roman" w:hAnsi="Times New Roman" w:cs="Times New Roman"/>
                <w:szCs w:val="24"/>
              </w:rPr>
              <w:t>在采取评价中提出的环保措施后，</w:t>
            </w:r>
            <w:r>
              <w:rPr>
                <w:rFonts w:hint="default" w:ascii="Times New Roman" w:hAnsi="Times New Roman" w:cs="Times New Roman"/>
                <w:szCs w:val="24"/>
                <w:lang w:val="en-US" w:eastAsia="zh-CN"/>
              </w:rPr>
              <w:t>噪声</w:t>
            </w:r>
            <w:r>
              <w:rPr>
                <w:rFonts w:hint="default" w:ascii="Times New Roman" w:hAnsi="Times New Roman" w:cs="Times New Roman"/>
                <w:szCs w:val="24"/>
                <w:lang w:eastAsia="zh-CN"/>
              </w:rPr>
              <w:t>可做到达标排放，</w:t>
            </w:r>
            <w:r>
              <w:rPr>
                <w:rFonts w:hint="eastAsia" w:ascii="Times New Roman" w:hAnsi="Times New Roman" w:cs="Times New Roman"/>
                <w:szCs w:val="24"/>
                <w:lang w:eastAsia="zh-CN"/>
              </w:rPr>
              <w:t>本工程</w:t>
            </w:r>
            <w:r>
              <w:rPr>
                <w:rFonts w:hint="eastAsia" w:cs="宋体"/>
                <w:szCs w:val="24"/>
              </w:rPr>
              <w:t>运营期对周围声环境影响较小。</w:t>
            </w:r>
          </w:p>
          <w:p w14:paraId="107AB129">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eastAsia="宋体" w:cs="Times New Roman"/>
                <w:szCs w:val="24"/>
                <w:lang w:val="en-US" w:eastAsia="zh-CN"/>
              </w:rPr>
            </w:pPr>
            <w:r>
              <w:rPr>
                <w:rFonts w:hint="eastAsia" w:ascii="Times New Roman" w:hAnsi="Times New Roman" w:cs="Times New Roman"/>
                <w:szCs w:val="24"/>
                <w:lang w:val="en-US" w:eastAsia="zh-CN"/>
              </w:rPr>
              <w:t>④电磁环境</w:t>
            </w:r>
          </w:p>
          <w:p w14:paraId="27A869CB">
            <w:pPr>
              <w:pStyle w:val="36"/>
              <w:keepNext w:val="0"/>
              <w:keepLines w:val="0"/>
              <w:pageBreakBefore w:val="0"/>
              <w:widowControl w:val="0"/>
              <w:kinsoku/>
              <w:wordWrap/>
              <w:overflowPunct/>
              <w:topLinePunct w:val="0"/>
              <w:autoSpaceDE/>
              <w:autoSpaceDN/>
              <w:bidi w:val="0"/>
              <w:adjustRightInd/>
              <w:snapToGrid w:val="0"/>
              <w:spacing w:before="0" w:beforeLines="0" w:after="0" w:line="360" w:lineRule="auto"/>
              <w:ind w:left="0" w:leftChars="0" w:firstLine="480" w:firstLineChars="200"/>
              <w:textAlignment w:val="auto"/>
              <w:rPr>
                <w:rFonts w:hint="eastAsia" w:ascii="Times New Roman" w:hAnsi="Times New Roman" w:eastAsia="宋体" w:cs="Times New Roman"/>
                <w:b w:val="0"/>
                <w:bCs/>
                <w:sz w:val="24"/>
                <w:szCs w:val="24"/>
                <w:lang w:eastAsia="zh-CN"/>
              </w:rPr>
            </w:pPr>
            <w:r>
              <w:rPr>
                <w:color w:val="0D0D0D" w:themeColor="text1" w:themeTint="F2"/>
                <w14:textFill>
                  <w14:solidFill>
                    <w14:schemeClr w14:val="tx1">
                      <w14:lumMod w14:val="95000"/>
                      <w14:lumOff w14:val="5000"/>
                    </w14:schemeClr>
                  </w14:solidFill>
                </w14:textFill>
              </w:rPr>
              <w:t>为掌握</w:t>
            </w:r>
            <w:r>
              <w:rPr>
                <w:rFonts w:hint="eastAsia"/>
                <w:color w:val="0D0D0D" w:themeColor="text1" w:themeTint="F2"/>
                <w:lang w:eastAsia="zh-CN"/>
                <w14:textFill>
                  <w14:solidFill>
                    <w14:schemeClr w14:val="tx1">
                      <w14:lumMod w14:val="95000"/>
                      <w14:lumOff w14:val="5000"/>
                    </w14:schemeClr>
                  </w14:solidFill>
                </w14:textFill>
              </w:rPr>
              <w:t>本工程</w:t>
            </w:r>
            <w:r>
              <w:rPr>
                <w:rFonts w:hint="eastAsia"/>
                <w:color w:val="0D0D0D" w:themeColor="text1" w:themeTint="F2"/>
                <w:lang w:val="en-US" w:eastAsia="zh-CN"/>
                <w14:textFill>
                  <w14:solidFill>
                    <w14:schemeClr w14:val="tx1">
                      <w14:lumMod w14:val="95000"/>
                      <w14:lumOff w14:val="5000"/>
                    </w14:schemeClr>
                  </w14:solidFill>
                </w14:textFill>
              </w:rPr>
              <w:t>变电站及输电线路</w:t>
            </w:r>
            <w:r>
              <w:rPr>
                <w:color w:val="0D0D0D" w:themeColor="text1" w:themeTint="F2"/>
                <w14:textFill>
                  <w14:solidFill>
                    <w14:schemeClr w14:val="tx1">
                      <w14:lumMod w14:val="95000"/>
                      <w14:lumOff w14:val="5000"/>
                    </w14:schemeClr>
                  </w14:solidFill>
                </w14:textFill>
              </w:rPr>
              <w:t>周边电磁环境现状，</w:t>
            </w:r>
            <w:r>
              <w:rPr>
                <w:rFonts w:hint="eastAsia"/>
                <w:color w:val="0D0D0D" w:themeColor="text1" w:themeTint="F2"/>
                <w:lang w:val="en-US" w:eastAsia="zh-CN"/>
                <w14:textFill>
                  <w14:solidFill>
                    <w14:schemeClr w14:val="tx1">
                      <w14:lumMod w14:val="95000"/>
                      <w14:lumOff w14:val="5000"/>
                    </w14:schemeClr>
                  </w14:solidFill>
                </w14:textFill>
              </w:rPr>
              <w:t>环评机构委托阜阳三达环境检测有限公司</w:t>
            </w:r>
            <w:r>
              <w:rPr>
                <w:rFonts w:hint="eastAsia"/>
                <w:color w:val="0D0D0D" w:themeColor="text1" w:themeTint="F2"/>
                <w:lang w:eastAsia="zh-CN"/>
                <w14:textFill>
                  <w14:solidFill>
                    <w14:schemeClr w14:val="tx1">
                      <w14:lumMod w14:val="95000"/>
                      <w14:lumOff w14:val="5000"/>
                    </w14:schemeClr>
                  </w14:solidFill>
                </w14:textFill>
              </w:rPr>
              <w:t>（CMA证书号：</w:t>
            </w:r>
            <w:r>
              <w:rPr>
                <w:rFonts w:hint="eastAsia"/>
                <w:color w:val="0D0D0D" w:themeColor="text1" w:themeTint="F2"/>
                <w:lang w:val="en-US" w:eastAsia="zh-CN"/>
                <w14:textFill>
                  <w14:solidFill>
                    <w14:schemeClr w14:val="tx1">
                      <w14:lumMod w14:val="95000"/>
                      <w14:lumOff w14:val="5000"/>
                    </w14:schemeClr>
                  </w14:solidFill>
                </w14:textFill>
              </w:rPr>
              <w:t>191212051497</w:t>
            </w:r>
            <w:r>
              <w:rPr>
                <w:rFonts w:hint="eastAsia"/>
                <w:color w:val="0D0D0D" w:themeColor="text1" w:themeTint="F2"/>
                <w:lang w:eastAsia="zh-CN"/>
                <w14:textFill>
                  <w14:solidFill>
                    <w14:schemeClr w14:val="tx1">
                      <w14:lumMod w14:val="95000"/>
                      <w14:lumOff w14:val="5000"/>
                    </w14:schemeClr>
                  </w14:solidFill>
                </w14:textFill>
              </w:rPr>
              <w:t>）</w:t>
            </w:r>
            <w:r>
              <w:rPr>
                <w:color w:val="0D0D0D" w:themeColor="text1" w:themeTint="F2"/>
                <w14:textFill>
                  <w14:solidFill>
                    <w14:schemeClr w14:val="tx1">
                      <w14:lumMod w14:val="95000"/>
                      <w14:lumOff w14:val="5000"/>
                    </w14:schemeClr>
                  </w14:solidFill>
                </w14:textFill>
              </w:rPr>
              <w:t>于20</w:t>
            </w:r>
            <w:r>
              <w:rPr>
                <w:rFonts w:hint="eastAsia"/>
                <w:color w:val="0D0D0D" w:themeColor="text1" w:themeTint="F2"/>
                <w14:textFill>
                  <w14:solidFill>
                    <w14:schemeClr w14:val="tx1">
                      <w14:lumMod w14:val="95000"/>
                      <w14:lumOff w14:val="5000"/>
                    </w14:schemeClr>
                  </w14:solidFill>
                </w14:textFill>
              </w:rPr>
              <w:t>2</w:t>
            </w:r>
            <w:r>
              <w:rPr>
                <w:rFonts w:hint="eastAsia"/>
                <w:color w:val="0D0D0D" w:themeColor="text1" w:themeTint="F2"/>
                <w:lang w:val="en-US" w:eastAsia="zh-CN"/>
                <w14:textFill>
                  <w14:solidFill>
                    <w14:schemeClr w14:val="tx1">
                      <w14:lumMod w14:val="95000"/>
                      <w14:lumOff w14:val="5000"/>
                    </w14:schemeClr>
                  </w14:solidFill>
                </w14:textFill>
              </w:rPr>
              <w:t>5</w:t>
            </w:r>
            <w:r>
              <w:rPr>
                <w:color w:val="0D0D0D" w:themeColor="text1" w:themeTint="F2"/>
                <w14:textFill>
                  <w14:solidFill>
                    <w14:schemeClr w14:val="tx1">
                      <w14:lumMod w14:val="95000"/>
                      <w14:lumOff w14:val="5000"/>
                    </w14:schemeClr>
                  </w14:solidFill>
                </w14:textFill>
              </w:rPr>
              <w:t>年</w:t>
            </w:r>
            <w:r>
              <w:rPr>
                <w:rFonts w:hint="eastAsia"/>
                <w:color w:val="0D0D0D" w:themeColor="text1" w:themeTint="F2"/>
                <w:lang w:val="en-US" w:eastAsia="zh-CN"/>
                <w14:textFill>
                  <w14:solidFill>
                    <w14:schemeClr w14:val="tx1">
                      <w14:lumMod w14:val="95000"/>
                      <w14:lumOff w14:val="5000"/>
                    </w14:schemeClr>
                  </w14:solidFill>
                </w14:textFill>
              </w:rPr>
              <w:t>5</w:t>
            </w:r>
            <w:r>
              <w:rPr>
                <w:color w:val="0D0D0D" w:themeColor="text1" w:themeTint="F2"/>
                <w14:textFill>
                  <w14:solidFill>
                    <w14:schemeClr w14:val="tx1">
                      <w14:lumMod w14:val="95000"/>
                      <w14:lumOff w14:val="5000"/>
                    </w14:schemeClr>
                  </w14:solidFill>
                </w14:textFill>
              </w:rPr>
              <w:t>月</w:t>
            </w:r>
            <w:r>
              <w:rPr>
                <w:rFonts w:hint="eastAsia"/>
                <w:color w:val="0D0D0D" w:themeColor="text1" w:themeTint="F2"/>
                <w:lang w:val="en-US" w:eastAsia="zh-CN"/>
                <w14:textFill>
                  <w14:solidFill>
                    <w14:schemeClr w14:val="tx1">
                      <w14:lumMod w14:val="95000"/>
                      <w14:lumOff w14:val="5000"/>
                    </w14:schemeClr>
                  </w14:solidFill>
                </w14:textFill>
              </w:rPr>
              <w:t>27</w:t>
            </w:r>
            <w:r>
              <w:rPr>
                <w:color w:val="0D0D0D" w:themeColor="text1" w:themeTint="F2"/>
                <w14:textFill>
                  <w14:solidFill>
                    <w14:schemeClr w14:val="tx1">
                      <w14:lumMod w14:val="95000"/>
                      <w14:lumOff w14:val="5000"/>
                    </w14:schemeClr>
                  </w14:solidFill>
                </w14:textFill>
              </w:rPr>
              <w:t>日</w:t>
            </w:r>
            <w:r>
              <w:rPr>
                <w:rFonts w:hint="eastAsia"/>
                <w:color w:val="0D0D0D" w:themeColor="text1" w:themeTint="F2"/>
                <w:lang w:val="en-US" w:eastAsia="zh-CN"/>
                <w14:textFill>
                  <w14:solidFill>
                    <w14:schemeClr w14:val="tx1">
                      <w14:lumMod w14:val="95000"/>
                      <w14:lumOff w14:val="5000"/>
                    </w14:schemeClr>
                  </w14:solidFill>
                </w14:textFill>
              </w:rPr>
              <w:t>和</w:t>
            </w:r>
            <w:r>
              <w:rPr>
                <w:rFonts w:hint="default"/>
                <w:sz w:val="24"/>
                <w:szCs w:val="24"/>
                <w:lang w:val="en-US" w:eastAsia="zh-CN"/>
              </w:rPr>
              <w:t>2026年1月5日</w:t>
            </w:r>
            <w:r>
              <w:rPr>
                <w:color w:val="0D0D0D" w:themeColor="text1" w:themeTint="F2"/>
                <w14:textFill>
                  <w14:solidFill>
                    <w14:schemeClr w14:val="tx1">
                      <w14:lumMod w14:val="95000"/>
                      <w14:lumOff w14:val="5000"/>
                    </w14:schemeClr>
                  </w14:solidFill>
                </w14:textFill>
              </w:rPr>
              <w:t>对</w:t>
            </w:r>
            <w:r>
              <w:rPr>
                <w:rFonts w:hint="eastAsia"/>
                <w:color w:val="0D0D0D" w:themeColor="text1" w:themeTint="F2"/>
                <w:lang w:val="en-US" w:eastAsia="zh-CN"/>
                <w14:textFill>
                  <w14:solidFill>
                    <w14:schemeClr w14:val="tx1">
                      <w14:lumMod w14:val="95000"/>
                      <w14:lumOff w14:val="5000"/>
                    </w14:schemeClr>
                  </w14:solidFill>
                </w14:textFill>
              </w:rPr>
              <w:t>本工程变电站站址</w:t>
            </w:r>
            <w:r>
              <w:rPr>
                <w:rFonts w:hint="eastAsia"/>
                <w:color w:val="0D0D0D" w:themeColor="text1" w:themeTint="F2"/>
                <w14:textFill>
                  <w14:solidFill>
                    <w14:schemeClr w14:val="tx1">
                      <w14:lumMod w14:val="95000"/>
                      <w14:lumOff w14:val="5000"/>
                    </w14:schemeClr>
                  </w14:solidFill>
                </w14:textFill>
              </w:rPr>
              <w:t>四周</w:t>
            </w:r>
            <w:r>
              <w:rPr>
                <w:rFonts w:hint="eastAsia"/>
                <w:color w:val="0D0D0D" w:themeColor="text1" w:themeTint="F2"/>
                <w:lang w:val="en-US" w:eastAsia="zh-CN"/>
                <w14:textFill>
                  <w14:solidFill>
                    <w14:schemeClr w14:val="tx1">
                      <w14:lumMod w14:val="95000"/>
                      <w14:lumOff w14:val="5000"/>
                    </w14:schemeClr>
                  </w14:solidFill>
                </w14:textFill>
              </w:rPr>
              <w:t>及输电线路沿线具有代表性的敏感点</w:t>
            </w:r>
            <w:r>
              <w:rPr>
                <w:color w:val="0D0D0D" w:themeColor="text1" w:themeTint="F2"/>
                <w14:textFill>
                  <w14:solidFill>
                    <w14:schemeClr w14:val="tx1">
                      <w14:lumMod w14:val="95000"/>
                      <w14:lumOff w14:val="5000"/>
                    </w14:schemeClr>
                  </w14:solidFill>
                </w14:textFill>
              </w:rPr>
              <w:t>进行了电磁环境现状监测</w:t>
            </w:r>
            <w:r>
              <w:rPr>
                <w:rFonts w:hint="eastAsia"/>
                <w:color w:val="0D0D0D" w:themeColor="text1" w:themeTint="F2"/>
                <w:lang w:eastAsia="zh-CN"/>
                <w14:textFill>
                  <w14:solidFill>
                    <w14:schemeClr w14:val="tx1">
                      <w14:lumMod w14:val="95000"/>
                      <w14:lumOff w14:val="5000"/>
                    </w14:schemeClr>
                  </w14:solidFill>
                </w14:textFill>
              </w:rPr>
              <w:t>，</w:t>
            </w:r>
            <w:r>
              <w:rPr>
                <w:rFonts w:hint="eastAsia"/>
                <w:color w:val="0D0D0D" w:themeColor="text1" w:themeTint="F2"/>
                <w:lang w:val="en-US" w:eastAsia="zh-CN"/>
                <w14:textFill>
                  <w14:solidFill>
                    <w14:schemeClr w14:val="tx1">
                      <w14:lumMod w14:val="95000"/>
                      <w14:lumOff w14:val="5000"/>
                    </w14:schemeClr>
                  </w14:solidFill>
                </w14:textFill>
              </w:rPr>
              <w:t>监测报告见附件32-2及附件32-4，电磁环境</w:t>
            </w:r>
            <w:r>
              <w:rPr>
                <w:rFonts w:hint="eastAsia" w:ascii="Times New Roman" w:hAnsi="Times New Roman" w:eastAsia="宋体" w:cs="Times New Roman"/>
                <w:b w:val="0"/>
                <w:bCs/>
                <w:sz w:val="24"/>
                <w:szCs w:val="24"/>
                <w:lang w:eastAsia="zh-CN"/>
              </w:rPr>
              <w:t>现状监测结果表明：</w:t>
            </w:r>
          </w:p>
          <w:p w14:paraId="6D120B94">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eastAsia="宋体" w:cs="Times New Roman"/>
                <w:b w:val="0"/>
                <w:bCs/>
                <w:sz w:val="24"/>
                <w:szCs w:val="24"/>
                <w:lang w:eastAsia="zh-CN"/>
              </w:rPr>
            </w:pPr>
            <w:r>
              <w:rPr>
                <w:rFonts w:hint="default" w:ascii="Times New Roman" w:hAnsi="Times New Roman" w:eastAsia="宋体" w:cs="Times New Roman"/>
                <w:b w:val="0"/>
                <w:bCs/>
                <w:sz w:val="24"/>
                <w:szCs w:val="24"/>
                <w:lang w:val="en-US" w:eastAsia="zh-CN"/>
              </w:rPr>
              <w:t>拟建金沙钼矿110kV变电站站址四周及敏感点所有测点处的工频电场强度监测值在0.103V/m~1.77V/m之间，工频磁感应强度监测值在0.001μT~0.002μT之间，所有测点处的监测值均满足《电磁环境控制限值》（GB8702-2014）中工频电场强度4000V/m、工频磁感应强度100μT的标准要求。</w:t>
            </w:r>
          </w:p>
          <w:p w14:paraId="4BA42BA9">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eastAsia="宋体" w:cs="Times New Roman"/>
                <w:b w:val="0"/>
                <w:bCs/>
                <w:sz w:val="24"/>
                <w:szCs w:val="24"/>
                <w:lang w:eastAsia="zh-CN"/>
              </w:rPr>
            </w:pPr>
            <w:r>
              <w:rPr>
                <w:rFonts w:hint="default" w:ascii="Times New Roman" w:hAnsi="Times New Roman" w:eastAsia="宋体" w:cs="Times New Roman"/>
                <w:b w:val="0"/>
                <w:bCs/>
                <w:sz w:val="24"/>
                <w:szCs w:val="24"/>
                <w:lang w:val="en-US" w:eastAsia="zh-CN"/>
              </w:rPr>
              <w:t>拟建输电线路沿线所有测点处的工频电场强度监测值在</w:t>
            </w:r>
            <w:r>
              <w:rPr>
                <w:rFonts w:hint="eastAsia" w:ascii="Times New Roman" w:hAnsi="Times New Roman" w:cs="Times New Roman"/>
                <w:b w:val="0"/>
                <w:bCs/>
                <w:sz w:val="24"/>
                <w:szCs w:val="24"/>
                <w:lang w:val="en-US" w:eastAsia="zh-CN"/>
              </w:rPr>
              <w:t>0.110</w:t>
            </w:r>
            <w:r>
              <w:rPr>
                <w:rFonts w:hint="default" w:ascii="Times New Roman" w:hAnsi="Times New Roman" w:eastAsia="宋体" w:cs="Times New Roman"/>
                <w:b w:val="0"/>
                <w:bCs/>
                <w:sz w:val="24"/>
                <w:szCs w:val="24"/>
                <w:lang w:val="en-US" w:eastAsia="zh-CN"/>
              </w:rPr>
              <w:t>V/m~</w:t>
            </w:r>
            <w:r>
              <w:rPr>
                <w:rFonts w:hint="eastAsia" w:ascii="Times New Roman" w:hAnsi="Times New Roman" w:cs="Times New Roman"/>
                <w:b w:val="0"/>
                <w:bCs/>
                <w:sz w:val="24"/>
                <w:szCs w:val="24"/>
                <w:lang w:val="en-US" w:eastAsia="zh-CN"/>
              </w:rPr>
              <w:t>16.9</w:t>
            </w:r>
            <w:r>
              <w:rPr>
                <w:rFonts w:hint="default" w:ascii="Times New Roman" w:hAnsi="Times New Roman" w:eastAsia="宋体" w:cs="Times New Roman"/>
                <w:b w:val="0"/>
                <w:bCs/>
                <w:sz w:val="24"/>
                <w:szCs w:val="24"/>
                <w:lang w:val="en-US" w:eastAsia="zh-CN"/>
              </w:rPr>
              <w:t>V/m之间，工频磁感应强度监测值在0.00</w:t>
            </w:r>
            <w:r>
              <w:rPr>
                <w:rFonts w:hint="eastAsia" w:ascii="Times New Roman" w:hAnsi="Times New Roman" w:cs="Times New Roman"/>
                <w:b w:val="0"/>
                <w:bCs/>
                <w:sz w:val="24"/>
                <w:szCs w:val="24"/>
                <w:lang w:val="en-US" w:eastAsia="zh-CN"/>
              </w:rPr>
              <w:t>2</w:t>
            </w:r>
            <w:r>
              <w:rPr>
                <w:rFonts w:hint="default" w:ascii="Times New Roman" w:hAnsi="Times New Roman" w:eastAsia="宋体" w:cs="Times New Roman"/>
                <w:b w:val="0"/>
                <w:bCs/>
                <w:sz w:val="24"/>
                <w:szCs w:val="24"/>
                <w:lang w:val="en-US" w:eastAsia="zh-CN"/>
              </w:rPr>
              <w:t>μT~0.088μT之间，所有测点处的监测值均满足《电磁环境控制限值》（GB8702-2014）中工频电场强度4000V/m、工频磁感应强度100μT的标准要求。</w:t>
            </w:r>
          </w:p>
          <w:p w14:paraId="7770C0A8">
            <w:pPr>
              <w:pStyle w:val="36"/>
              <w:keepNext w:val="0"/>
              <w:keepLines w:val="0"/>
              <w:pageBreakBefore w:val="0"/>
              <w:widowControl w:val="0"/>
              <w:kinsoku/>
              <w:wordWrap/>
              <w:overflowPunct/>
              <w:topLinePunct w:val="0"/>
              <w:autoSpaceDE/>
              <w:autoSpaceDN/>
              <w:bidi w:val="0"/>
              <w:adjustRightInd/>
              <w:snapToGrid w:val="0"/>
              <w:spacing w:before="0" w:after="0" w:line="360" w:lineRule="auto"/>
              <w:ind w:left="0" w:leftChars="0"/>
              <w:textAlignment w:val="auto"/>
            </w:pPr>
            <w:r>
              <w:rPr>
                <w:rFonts w:hint="eastAsia"/>
                <w:lang w:eastAsia="zh-CN"/>
              </w:rPr>
              <w:t>综上所述</w:t>
            </w:r>
            <w:r>
              <w:t>，</w:t>
            </w:r>
            <w:r>
              <w:rPr>
                <w:rFonts w:hint="eastAsia"/>
                <w:lang w:eastAsia="zh-CN"/>
              </w:rPr>
              <w:t>本工程</w:t>
            </w:r>
            <w:r>
              <w:t>的建设不会</w:t>
            </w:r>
            <w:r>
              <w:rPr>
                <w:rFonts w:hint="eastAsia"/>
                <w:lang w:eastAsia="zh-CN"/>
              </w:rPr>
              <w:t>突破当地的</w:t>
            </w:r>
            <w:r>
              <w:t>环境质量底线。</w:t>
            </w:r>
          </w:p>
          <w:p w14:paraId="0C175FB6">
            <w:pPr>
              <w:pStyle w:val="21"/>
              <w:spacing w:before="0" w:line="360" w:lineRule="auto"/>
              <w:ind w:firstLine="488"/>
              <w:rPr>
                <w:rFonts w:ascii="Times New Roman" w:hAnsi="Times New Roman"/>
                <w:szCs w:val="24"/>
              </w:rPr>
            </w:pPr>
            <w:r>
              <w:rPr>
                <w:rFonts w:ascii="Times New Roman" w:hAnsi="Times New Roman"/>
                <w:szCs w:val="24"/>
              </w:rPr>
              <w:t>（3）资源利用上线</w:t>
            </w:r>
          </w:p>
          <w:p w14:paraId="547EB5CE">
            <w:pPr>
              <w:pStyle w:val="21"/>
              <w:spacing w:before="0" w:line="360" w:lineRule="auto"/>
              <w:ind w:left="0" w:leftChars="0" w:firstLine="496" w:firstLineChars="200"/>
              <w:rPr>
                <w:rFonts w:ascii="Times New Roman" w:hAnsi="Times New Roman"/>
                <w:szCs w:val="24"/>
              </w:rPr>
            </w:pPr>
            <w:r>
              <w:rPr>
                <w:rFonts w:hint="eastAsia" w:ascii="Times New Roman" w:hAnsi="Times New Roman"/>
                <w:szCs w:val="24"/>
              </w:rPr>
              <w:t>项目采用的能源主要为</w:t>
            </w:r>
            <w:r>
              <w:rPr>
                <w:rFonts w:hint="eastAsia" w:ascii="Times New Roman" w:hAnsi="Times New Roman"/>
                <w:szCs w:val="24"/>
                <w:lang w:val="en-US" w:eastAsia="zh-CN"/>
              </w:rPr>
              <w:t>电能和新鲜水</w:t>
            </w:r>
            <w:r>
              <w:rPr>
                <w:rFonts w:hint="eastAsia" w:ascii="Times New Roman" w:hAnsi="Times New Roman"/>
                <w:szCs w:val="24"/>
              </w:rPr>
              <w:t>，项目施工</w:t>
            </w:r>
            <w:r>
              <w:rPr>
                <w:rFonts w:hint="eastAsia" w:ascii="Times New Roman" w:hAnsi="Times New Roman"/>
                <w:szCs w:val="24"/>
                <w:lang w:val="en-US" w:eastAsia="zh-CN"/>
              </w:rPr>
              <w:t>期</w:t>
            </w:r>
            <w:r>
              <w:rPr>
                <w:rFonts w:hint="eastAsia" w:ascii="Times New Roman" w:hAnsi="Times New Roman"/>
                <w:szCs w:val="24"/>
              </w:rPr>
              <w:t>及运营期用水量很小，项目对资源的使用较少、利用率较高，不会突破资源利用上线。</w:t>
            </w:r>
          </w:p>
          <w:p w14:paraId="3A854C30">
            <w:pPr>
              <w:pStyle w:val="21"/>
              <w:keepNext w:val="0"/>
              <w:keepLines w:val="0"/>
              <w:pageBreakBefore w:val="0"/>
              <w:widowControl w:val="0"/>
              <w:kinsoku/>
              <w:wordWrap/>
              <w:overflowPunct/>
              <w:topLinePunct w:val="0"/>
              <w:autoSpaceDE/>
              <w:autoSpaceDN/>
              <w:bidi w:val="0"/>
              <w:adjustRightInd/>
              <w:snapToGrid/>
              <w:spacing w:before="0" w:line="360" w:lineRule="auto"/>
              <w:ind w:firstLine="488"/>
              <w:textAlignment w:val="auto"/>
              <w:rPr>
                <w:rFonts w:ascii="Times New Roman" w:hAnsi="Times New Roman"/>
                <w:szCs w:val="24"/>
              </w:rPr>
            </w:pPr>
            <w:r>
              <w:rPr>
                <w:rFonts w:ascii="Times New Roman" w:hAnsi="Times New Roman"/>
                <w:szCs w:val="24"/>
              </w:rPr>
              <w:t>（4）生态环境准入清单</w:t>
            </w:r>
          </w:p>
          <w:p w14:paraId="12CBA5F4">
            <w:pPr>
              <w:pStyle w:val="21"/>
              <w:keepNext w:val="0"/>
              <w:keepLines w:val="0"/>
              <w:pageBreakBefore w:val="0"/>
              <w:widowControl w:val="0"/>
              <w:kinsoku/>
              <w:wordWrap/>
              <w:overflowPunct/>
              <w:topLinePunct w:val="0"/>
              <w:autoSpaceDE/>
              <w:autoSpaceDN/>
              <w:bidi w:val="0"/>
              <w:adjustRightInd/>
              <w:snapToGrid/>
              <w:spacing w:line="360" w:lineRule="auto"/>
              <w:ind w:left="0" w:leftChars="0" w:firstLine="496" w:firstLineChars="200"/>
              <w:textAlignment w:val="auto"/>
              <w:rPr>
                <w:rFonts w:ascii="Times New Roman" w:hAnsi="Times New Roman"/>
                <w:szCs w:val="24"/>
              </w:rPr>
            </w:pPr>
            <w:r>
              <w:rPr>
                <w:rFonts w:ascii="Times New Roman" w:hAnsi="Times New Roman"/>
                <w:szCs w:val="24"/>
              </w:rPr>
              <w:t>①</w:t>
            </w:r>
            <w:r>
              <w:rPr>
                <w:rFonts w:hint="eastAsia" w:cs="Times New Roman"/>
                <w:color w:val="000000"/>
                <w:kern w:val="0"/>
                <w:sz w:val="24"/>
                <w:szCs w:val="24"/>
                <w:highlight w:val="none"/>
                <w:lang w:val="en-US" w:eastAsia="zh-CN" w:bidi="ar-SA"/>
              </w:rPr>
              <w:t>本工程属于《产业结构调整指导目录</w:t>
            </w:r>
            <w:r>
              <w:rPr>
                <w:rFonts w:hint="default" w:ascii="Times New Roman" w:hAnsi="Times New Roman" w:cs="Times New Roman"/>
                <w:color w:val="000000"/>
                <w:kern w:val="0"/>
                <w:sz w:val="24"/>
                <w:szCs w:val="24"/>
                <w:highlight w:val="none"/>
                <w:lang w:val="en-US" w:eastAsia="zh-CN" w:bidi="ar-SA"/>
              </w:rPr>
              <w:t>（2024年本）</w:t>
            </w:r>
            <w:r>
              <w:rPr>
                <w:rFonts w:hint="eastAsia" w:cs="Times New Roman"/>
                <w:color w:val="000000"/>
                <w:kern w:val="0"/>
                <w:sz w:val="24"/>
                <w:szCs w:val="24"/>
                <w:highlight w:val="none"/>
                <w:lang w:val="en-US" w:eastAsia="zh-CN" w:bidi="ar-SA"/>
              </w:rPr>
              <w:t>》中的第一类</w:t>
            </w:r>
            <w:r>
              <w:rPr>
                <w:rFonts w:ascii="Times New Roman" w:hAnsi="Times New Roman" w:eastAsia="宋体" w:cs="Times New Roman"/>
                <w:color w:val="000000"/>
                <w:kern w:val="0"/>
                <w:sz w:val="24"/>
                <w:szCs w:val="24"/>
                <w:highlight w:val="none"/>
                <w:lang w:val="en-US" w:eastAsia="zh-CN" w:bidi="ar-SA"/>
              </w:rPr>
              <w:t>鼓励类中第</w:t>
            </w:r>
            <w:r>
              <w:rPr>
                <w:rFonts w:hint="eastAsia" w:cs="Times New Roman"/>
                <w:color w:val="000000"/>
                <w:kern w:val="0"/>
                <w:sz w:val="24"/>
                <w:szCs w:val="24"/>
                <w:highlight w:val="none"/>
                <w:lang w:val="en-US" w:eastAsia="zh-CN" w:bidi="ar-SA"/>
              </w:rPr>
              <w:t>二</w:t>
            </w:r>
            <w:r>
              <w:rPr>
                <w:rFonts w:ascii="Times New Roman" w:hAnsi="Times New Roman" w:eastAsia="宋体" w:cs="Times New Roman"/>
                <w:color w:val="000000"/>
                <w:kern w:val="0"/>
                <w:sz w:val="24"/>
                <w:szCs w:val="24"/>
                <w:highlight w:val="none"/>
                <w:lang w:val="en-US" w:eastAsia="zh-CN" w:bidi="ar-SA"/>
              </w:rPr>
              <w:t>条</w:t>
            </w:r>
            <w:r>
              <w:rPr>
                <w:rFonts w:hint="eastAsia" w:cs="Times New Roman"/>
                <w:color w:val="000000"/>
                <w:kern w:val="0"/>
                <w:sz w:val="24"/>
                <w:szCs w:val="24"/>
                <w:highlight w:val="none"/>
                <w:lang w:val="en-US" w:eastAsia="zh-CN" w:bidi="ar-SA"/>
              </w:rPr>
              <w:t>电力基础设施建设</w:t>
            </w:r>
            <w:r>
              <w:rPr>
                <w:rFonts w:hint="eastAsia" w:ascii="宋体" w:hAnsi="宋体" w:eastAsia="宋体" w:cs="宋体"/>
                <w:color w:val="000000"/>
                <w:kern w:val="0"/>
                <w:sz w:val="24"/>
                <w:szCs w:val="24"/>
                <w:highlight w:val="none"/>
                <w:lang w:val="en-US" w:eastAsia="zh-CN" w:bidi="ar-SA"/>
              </w:rPr>
              <w:t>“电网改造与建设，增量配电网建设”</w:t>
            </w:r>
            <w:r>
              <w:rPr>
                <w:rFonts w:ascii="Times New Roman" w:hAnsi="Times New Roman" w:eastAsia="宋体" w:cs="Times New Roman"/>
                <w:color w:val="000000"/>
                <w:kern w:val="0"/>
                <w:sz w:val="24"/>
                <w:szCs w:val="24"/>
                <w:highlight w:val="none"/>
                <w:lang w:val="en-US" w:eastAsia="zh-CN" w:bidi="ar-SA"/>
              </w:rPr>
              <w:t>类项目</w:t>
            </w:r>
            <w:r>
              <w:rPr>
                <w:rFonts w:hint="eastAsia" w:cs="Times New Roman"/>
                <w:color w:val="000000"/>
                <w:kern w:val="0"/>
                <w:sz w:val="24"/>
                <w:szCs w:val="24"/>
                <w:highlight w:val="none"/>
                <w:lang w:val="en-US" w:eastAsia="zh-CN" w:bidi="ar-SA"/>
              </w:rPr>
              <w:t>。</w:t>
            </w:r>
          </w:p>
          <w:p w14:paraId="0724D559">
            <w:pPr>
              <w:pStyle w:val="21"/>
              <w:keepNext w:val="0"/>
              <w:keepLines w:val="0"/>
              <w:pageBreakBefore w:val="0"/>
              <w:widowControl w:val="0"/>
              <w:kinsoku/>
              <w:wordWrap/>
              <w:overflowPunct/>
              <w:topLinePunct w:val="0"/>
              <w:autoSpaceDE/>
              <w:autoSpaceDN/>
              <w:bidi w:val="0"/>
              <w:adjustRightInd/>
              <w:snapToGrid/>
              <w:spacing w:line="360" w:lineRule="auto"/>
              <w:ind w:left="0" w:leftChars="0" w:firstLine="496" w:firstLineChars="200"/>
              <w:textAlignment w:val="auto"/>
              <w:rPr>
                <w:rFonts w:ascii="Times New Roman" w:hAnsi="Times New Roman"/>
                <w:szCs w:val="24"/>
              </w:rPr>
            </w:pPr>
            <w:r>
              <w:rPr>
                <w:rFonts w:hint="eastAsia" w:cs="宋体"/>
                <w:szCs w:val="24"/>
                <w:lang w:eastAsia="zh-CN"/>
              </w:rPr>
              <w:t>②</w:t>
            </w:r>
            <w:r>
              <w:rPr>
                <w:rFonts w:hint="eastAsia" w:ascii="Times New Roman" w:hAnsi="Times New Roman"/>
                <w:szCs w:val="24"/>
                <w:highlight w:val="none"/>
                <w:lang w:eastAsia="zh-CN"/>
              </w:rPr>
              <w:t>本工程</w:t>
            </w:r>
            <w:r>
              <w:rPr>
                <w:rFonts w:hint="eastAsia" w:ascii="Times New Roman" w:hAnsi="Times New Roman"/>
                <w:szCs w:val="24"/>
                <w:lang w:eastAsia="zh-CN"/>
              </w:rPr>
              <w:t>不属于《市场准入负面清单（202</w:t>
            </w:r>
            <w:r>
              <w:rPr>
                <w:rFonts w:hint="eastAsia" w:ascii="Times New Roman" w:hAnsi="Times New Roman"/>
                <w:szCs w:val="24"/>
                <w:lang w:val="en-US" w:eastAsia="zh-CN"/>
              </w:rPr>
              <w:t>5</w:t>
            </w:r>
            <w:r>
              <w:rPr>
                <w:rFonts w:hint="eastAsia" w:ascii="Times New Roman" w:hAnsi="Times New Roman"/>
                <w:szCs w:val="24"/>
                <w:lang w:eastAsia="zh-CN"/>
              </w:rPr>
              <w:t>年版）》禁止准入类项目</w:t>
            </w:r>
            <w:r>
              <w:rPr>
                <w:rFonts w:ascii="Times New Roman" w:hAnsi="Times New Roman"/>
                <w:szCs w:val="24"/>
              </w:rPr>
              <w:t>，且项目已</w:t>
            </w:r>
            <w:r>
              <w:rPr>
                <w:rFonts w:hint="eastAsia" w:ascii="Times New Roman" w:hAnsi="Times New Roman" w:eastAsia="宋体" w:cs="Times New Roman"/>
                <w:color w:val="000000"/>
                <w:kern w:val="0"/>
                <w:sz w:val="24"/>
                <w:szCs w:val="24"/>
                <w:highlight w:val="none"/>
                <w:lang w:val="en-US" w:eastAsia="zh-CN" w:bidi="ar-SA"/>
              </w:rPr>
              <w:t>取得</w:t>
            </w:r>
            <w:r>
              <w:rPr>
                <w:rFonts w:hint="eastAsia" w:ascii="Times New Roman" w:hAnsi="Times New Roman" w:cs="Times New Roman"/>
                <w:color w:val="000000"/>
                <w:kern w:val="0"/>
                <w:sz w:val="24"/>
                <w:szCs w:val="24"/>
                <w:highlight w:val="none"/>
                <w:lang w:val="en-US" w:eastAsia="zh-CN" w:bidi="ar-SA"/>
              </w:rPr>
              <w:t>六安市</w:t>
            </w:r>
            <w:r>
              <w:rPr>
                <w:rFonts w:hint="eastAsia" w:ascii="Times New Roman" w:hAnsi="Times New Roman" w:eastAsia="宋体" w:cs="Times New Roman"/>
                <w:color w:val="000000"/>
                <w:kern w:val="0"/>
                <w:sz w:val="24"/>
                <w:szCs w:val="24"/>
                <w:highlight w:val="none"/>
                <w:lang w:val="en-US" w:eastAsia="zh-CN" w:bidi="ar-SA"/>
              </w:rPr>
              <w:t>发展和改革委员会</w:t>
            </w:r>
            <w:r>
              <w:rPr>
                <w:rFonts w:hint="eastAsia" w:ascii="Times New Roman" w:hAnsi="Times New Roman" w:cs="Times New Roman"/>
                <w:color w:val="000000"/>
                <w:kern w:val="0"/>
                <w:sz w:val="24"/>
                <w:szCs w:val="24"/>
                <w:highlight w:val="none"/>
                <w:lang w:val="en-US" w:eastAsia="zh-CN" w:bidi="ar-SA"/>
              </w:rPr>
              <w:t>关于该项目核准的批复</w:t>
            </w:r>
            <w:r>
              <w:rPr>
                <w:rFonts w:hint="eastAsia" w:ascii="Times New Roman" w:hAnsi="Times New Roman" w:eastAsia="宋体" w:cs="Times New Roman"/>
                <w:color w:val="000000"/>
                <w:kern w:val="0"/>
                <w:sz w:val="24"/>
                <w:szCs w:val="24"/>
                <w:highlight w:val="none"/>
                <w:lang w:val="en-US" w:eastAsia="zh-CN" w:bidi="ar-SA"/>
              </w:rPr>
              <w:t>，项目代码为2501-341500-04-01-941002</w:t>
            </w:r>
            <w:r>
              <w:rPr>
                <w:rFonts w:ascii="Times New Roman" w:hAnsi="Times New Roman"/>
                <w:szCs w:val="24"/>
              </w:rPr>
              <w:t>。</w:t>
            </w:r>
          </w:p>
          <w:p w14:paraId="45DB9FBC">
            <w:pPr>
              <w:pStyle w:val="21"/>
              <w:keepNext w:val="0"/>
              <w:keepLines w:val="0"/>
              <w:pageBreakBefore w:val="0"/>
              <w:widowControl w:val="0"/>
              <w:kinsoku/>
              <w:wordWrap/>
              <w:overflowPunct/>
              <w:topLinePunct w:val="0"/>
              <w:autoSpaceDE/>
              <w:autoSpaceDN/>
              <w:bidi w:val="0"/>
              <w:adjustRightInd/>
              <w:snapToGrid/>
              <w:spacing w:line="360" w:lineRule="auto"/>
              <w:ind w:firstLine="488"/>
              <w:textAlignment w:val="auto"/>
              <w:rPr>
                <w:rFonts w:hint="default" w:ascii="Times New Roman" w:hAnsi="Times New Roman" w:eastAsia="宋体"/>
                <w:szCs w:val="24"/>
                <w:lang w:val="en-US" w:eastAsia="zh-CN"/>
              </w:rPr>
            </w:pPr>
            <w:r>
              <w:rPr>
                <w:rFonts w:hint="eastAsia" w:ascii="Times New Roman" w:hAnsi="Times New Roman"/>
                <w:szCs w:val="24"/>
                <w:lang w:val="en-US" w:eastAsia="zh-CN"/>
              </w:rPr>
              <w:t>③生态环境分区管控要求</w:t>
            </w:r>
          </w:p>
          <w:p w14:paraId="25F7766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kern w:val="0"/>
                <w:sz w:val="24"/>
                <w:lang w:eastAsia="zh-CN"/>
              </w:rPr>
            </w:pPr>
            <w:r>
              <w:rPr>
                <w:rFonts w:hint="eastAsia" w:ascii="Times New Roman" w:hAnsi="Times New Roman" w:cs="Times New Roman"/>
                <w:color w:val="auto"/>
                <w:kern w:val="0"/>
                <w:sz w:val="24"/>
                <w:lang w:eastAsia="zh-CN"/>
              </w:rPr>
              <w:t>对照《</w:t>
            </w:r>
            <w:r>
              <w:rPr>
                <w:rFonts w:hint="eastAsia" w:cs="Times New Roman"/>
                <w:color w:val="auto"/>
                <w:kern w:val="0"/>
                <w:sz w:val="24"/>
                <w:lang w:eastAsia="zh-CN"/>
              </w:rPr>
              <w:t>安徽省</w:t>
            </w:r>
            <w:r>
              <w:rPr>
                <w:rFonts w:hint="eastAsia" w:ascii="Times New Roman" w:hAnsi="Times New Roman" w:cs="Times New Roman"/>
                <w:color w:val="auto"/>
                <w:kern w:val="0"/>
                <w:sz w:val="24"/>
                <w:lang w:eastAsia="zh-CN"/>
              </w:rPr>
              <w:t>人民政府关于加快实施“三线一单”生态环境分区管控的通知》《</w:t>
            </w:r>
            <w:r>
              <w:rPr>
                <w:rFonts w:hint="eastAsia" w:cs="Times New Roman"/>
                <w:color w:val="auto"/>
                <w:kern w:val="0"/>
                <w:sz w:val="24"/>
                <w:lang w:eastAsia="zh-CN"/>
              </w:rPr>
              <w:t>安徽省</w:t>
            </w:r>
            <w:r>
              <w:rPr>
                <w:rFonts w:hint="eastAsia" w:ascii="Times New Roman" w:hAnsi="Times New Roman" w:cs="Times New Roman"/>
                <w:color w:val="auto"/>
                <w:kern w:val="0"/>
                <w:sz w:val="24"/>
                <w:lang w:eastAsia="zh-CN"/>
              </w:rPr>
              <w:t>“三线一单”生态环境分区管控管理办法（暂行）</w:t>
            </w:r>
            <w:r>
              <w:rPr>
                <w:rFonts w:hint="eastAsia" w:cs="Times New Roman"/>
                <w:color w:val="auto"/>
                <w:kern w:val="0"/>
                <w:sz w:val="24"/>
                <w:lang w:eastAsia="zh-CN"/>
              </w:rPr>
              <w:t>》《安徽省</w:t>
            </w:r>
            <w:r>
              <w:rPr>
                <w:rFonts w:hint="eastAsia" w:ascii="Times New Roman" w:hAnsi="Times New Roman" w:cs="Times New Roman"/>
                <w:color w:val="auto"/>
                <w:kern w:val="0"/>
                <w:sz w:val="24"/>
                <w:lang w:eastAsia="zh-CN"/>
              </w:rPr>
              <w:t>“三线一单”公众服务平台》，本工程拟建变电站位于一般管控单元内（管控编码：ZH34152430036）、拟建线路途经一般管控单元（管控编码：ZH34150330101）和</w:t>
            </w:r>
            <w:r>
              <w:rPr>
                <w:rFonts w:hint="eastAsia" w:cs="Times New Roman"/>
                <w:color w:val="auto"/>
                <w:kern w:val="0"/>
                <w:sz w:val="24"/>
                <w:lang w:val="en-US" w:eastAsia="zh-CN"/>
              </w:rPr>
              <w:t>优先保护</w:t>
            </w:r>
            <w:r>
              <w:rPr>
                <w:rFonts w:hint="eastAsia" w:ascii="Times New Roman" w:hAnsi="Times New Roman" w:cs="Times New Roman"/>
                <w:color w:val="auto"/>
                <w:kern w:val="0"/>
                <w:sz w:val="24"/>
                <w:lang w:eastAsia="zh-CN"/>
              </w:rPr>
              <w:t>单元（管控编码：</w:t>
            </w:r>
            <w:r>
              <w:rPr>
                <w:rFonts w:hint="eastAsia" w:ascii="Times New Roman" w:hAnsi="Times New Roman" w:cs="Times New Roman"/>
                <w:color w:val="auto"/>
                <w:kern w:val="0"/>
                <w:sz w:val="24"/>
                <w:lang w:val="en-US" w:eastAsia="zh-CN"/>
              </w:rPr>
              <w:t>ZH34152410205</w:t>
            </w:r>
            <w:r>
              <w:rPr>
                <w:rFonts w:hint="eastAsia" w:ascii="Times New Roman" w:hAnsi="Times New Roman" w:cs="Times New Roman"/>
                <w:color w:val="auto"/>
                <w:kern w:val="0"/>
                <w:sz w:val="24"/>
                <w:lang w:eastAsia="zh-CN"/>
              </w:rPr>
              <w:t>）。本工程评价范围内涉及优先保护单元（管控编码：ZH34150310537）</w:t>
            </w:r>
            <w:r>
              <w:rPr>
                <w:rFonts w:hint="eastAsia" w:cs="Times New Roman"/>
                <w:color w:val="auto"/>
                <w:kern w:val="0"/>
                <w:sz w:val="24"/>
                <w:lang w:eastAsia="zh-CN"/>
              </w:rPr>
              <w:t>。本工程</w:t>
            </w:r>
            <w:r>
              <w:rPr>
                <w:rFonts w:hint="eastAsia" w:ascii="Times New Roman" w:hAnsi="Times New Roman" w:cs="Times New Roman"/>
                <w:color w:val="auto"/>
                <w:kern w:val="0"/>
                <w:sz w:val="24"/>
                <w:lang w:eastAsia="zh-CN"/>
              </w:rPr>
              <w:t>与六安市环境管控单元图位置关系图，见</w:t>
            </w:r>
            <w:r>
              <w:rPr>
                <w:rFonts w:hint="eastAsia" w:cs="Times New Roman"/>
                <w:color w:val="auto"/>
                <w:kern w:val="0"/>
                <w:sz w:val="24"/>
                <w:lang w:val="en-US" w:eastAsia="zh-CN"/>
              </w:rPr>
              <w:t>图1-1和图1-2</w:t>
            </w:r>
            <w:r>
              <w:rPr>
                <w:rFonts w:hint="eastAsia" w:ascii="Times New Roman" w:hAnsi="Times New Roman" w:cs="Times New Roman"/>
                <w:color w:val="auto"/>
                <w:kern w:val="0"/>
                <w:sz w:val="24"/>
                <w:lang w:eastAsia="zh-CN"/>
              </w:rPr>
              <w:t>。</w:t>
            </w:r>
          </w:p>
          <w:p w14:paraId="48AA41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outlineLvl w:val="9"/>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根据安徽省</w:t>
            </w:r>
            <w:r>
              <w:rPr>
                <w:rFonts w:hint="eastAsia" w:ascii="Times New Roman" w:hAnsi="Times New Roman" w:cs="Times New Roman"/>
                <w:color w:val="000000"/>
                <w:sz w:val="24"/>
                <w:szCs w:val="24"/>
                <w:highlight w:val="none"/>
                <w:lang w:val="en-US" w:eastAsia="zh-CN"/>
              </w:rPr>
              <w:t>“</w:t>
            </w:r>
            <w:r>
              <w:rPr>
                <w:rFonts w:hint="default" w:ascii="Times New Roman" w:hAnsi="Times New Roman" w:cs="Times New Roman"/>
                <w:color w:val="000000"/>
                <w:sz w:val="24"/>
                <w:szCs w:val="24"/>
                <w:highlight w:val="none"/>
                <w:lang w:val="en-US" w:eastAsia="zh-CN"/>
              </w:rPr>
              <w:t>三线一单</w:t>
            </w:r>
            <w:r>
              <w:rPr>
                <w:rFonts w:hint="eastAsia" w:ascii="Times New Roman" w:hAnsi="Times New Roman" w:cs="Times New Roman"/>
                <w:color w:val="000000"/>
                <w:sz w:val="24"/>
                <w:szCs w:val="24"/>
                <w:highlight w:val="none"/>
                <w:lang w:val="en-US" w:eastAsia="zh-CN"/>
              </w:rPr>
              <w:t>”</w:t>
            </w:r>
            <w:r>
              <w:rPr>
                <w:rFonts w:hint="default" w:ascii="Times New Roman" w:hAnsi="Times New Roman" w:cs="Times New Roman"/>
                <w:color w:val="000000"/>
                <w:sz w:val="24"/>
                <w:szCs w:val="24"/>
                <w:highlight w:val="none"/>
                <w:lang w:val="en-US" w:eastAsia="zh-CN"/>
              </w:rPr>
              <w:t>成果数据分析（见图1-1</w:t>
            </w:r>
            <w:r>
              <w:rPr>
                <w:rFonts w:hint="eastAsia" w:cs="Times New Roman"/>
                <w:color w:val="auto"/>
                <w:kern w:val="0"/>
                <w:sz w:val="24"/>
                <w:lang w:val="en-US" w:eastAsia="zh-CN"/>
              </w:rPr>
              <w:t>和图1-2</w:t>
            </w:r>
            <w:r>
              <w:rPr>
                <w:rFonts w:hint="default" w:ascii="Times New Roman" w:hAnsi="Times New Roman" w:cs="Times New Roman"/>
                <w:color w:val="000000"/>
                <w:sz w:val="24"/>
                <w:szCs w:val="24"/>
                <w:highlight w:val="none"/>
                <w:lang w:val="en-US" w:eastAsia="zh-CN"/>
              </w:rPr>
              <w:t>），</w:t>
            </w:r>
            <w:r>
              <w:rPr>
                <w:rFonts w:hint="eastAsia" w:cs="Times New Roman"/>
                <w:color w:val="000000"/>
                <w:sz w:val="24"/>
                <w:szCs w:val="24"/>
                <w:highlight w:val="none"/>
                <w:lang w:val="en-US" w:eastAsia="zh-CN"/>
              </w:rPr>
              <w:t>本工程</w:t>
            </w:r>
            <w:r>
              <w:rPr>
                <w:rFonts w:hint="default" w:ascii="Times New Roman" w:hAnsi="Times New Roman" w:cs="Times New Roman"/>
                <w:color w:val="000000"/>
                <w:sz w:val="24"/>
                <w:szCs w:val="24"/>
                <w:highlight w:val="none"/>
                <w:lang w:val="en-US" w:eastAsia="zh-CN"/>
              </w:rPr>
              <w:t>与</w:t>
            </w:r>
            <w:r>
              <w:rPr>
                <w:rFonts w:hint="eastAsia" w:cs="Times New Roman"/>
                <w:color w:val="000000"/>
                <w:sz w:val="24"/>
                <w:szCs w:val="24"/>
                <w:highlight w:val="none"/>
                <w:lang w:val="en-US" w:eastAsia="zh-CN"/>
              </w:rPr>
              <w:t>2</w:t>
            </w:r>
            <w:r>
              <w:rPr>
                <w:rFonts w:hint="default" w:ascii="Times New Roman" w:hAnsi="Times New Roman" w:cs="Times New Roman"/>
                <w:color w:val="000000"/>
                <w:sz w:val="24"/>
                <w:szCs w:val="24"/>
                <w:highlight w:val="none"/>
                <w:lang w:val="en-US" w:eastAsia="zh-CN"/>
              </w:rPr>
              <w:t>个环境管控单元存在交叠，其中优先保护类</w:t>
            </w:r>
            <w:r>
              <w:rPr>
                <w:rFonts w:hint="eastAsia" w:cs="Times New Roman"/>
                <w:color w:val="000000"/>
                <w:sz w:val="24"/>
                <w:szCs w:val="24"/>
                <w:highlight w:val="none"/>
                <w:lang w:val="en-US" w:eastAsia="zh-CN"/>
              </w:rPr>
              <w:t>1</w:t>
            </w:r>
            <w:r>
              <w:rPr>
                <w:rFonts w:hint="default" w:ascii="Times New Roman" w:hAnsi="Times New Roman" w:cs="Times New Roman"/>
                <w:color w:val="000000"/>
                <w:sz w:val="24"/>
                <w:szCs w:val="24"/>
                <w:highlight w:val="none"/>
                <w:lang w:val="en-US" w:eastAsia="zh-CN"/>
              </w:rPr>
              <w:t>个，重点管控类</w:t>
            </w:r>
            <w:r>
              <w:rPr>
                <w:rFonts w:hint="eastAsia" w:cs="Times New Roman"/>
                <w:color w:val="000000"/>
                <w:sz w:val="24"/>
                <w:szCs w:val="24"/>
                <w:highlight w:val="none"/>
                <w:lang w:val="en-US" w:eastAsia="zh-CN"/>
              </w:rPr>
              <w:t>0</w:t>
            </w:r>
            <w:r>
              <w:rPr>
                <w:rFonts w:hint="default" w:ascii="Times New Roman" w:hAnsi="Times New Roman" w:cs="Times New Roman"/>
                <w:color w:val="000000"/>
                <w:sz w:val="24"/>
                <w:szCs w:val="24"/>
                <w:highlight w:val="none"/>
                <w:lang w:val="en-US" w:eastAsia="zh-CN"/>
              </w:rPr>
              <w:t>个，一般管控类</w:t>
            </w:r>
            <w:r>
              <w:rPr>
                <w:rFonts w:hint="eastAsia" w:cs="Times New Roman"/>
                <w:color w:val="000000"/>
                <w:sz w:val="24"/>
                <w:szCs w:val="24"/>
                <w:highlight w:val="none"/>
                <w:lang w:val="en-US" w:eastAsia="zh-CN"/>
              </w:rPr>
              <w:t>1</w:t>
            </w:r>
            <w:r>
              <w:rPr>
                <w:rFonts w:hint="default" w:ascii="Times New Roman" w:hAnsi="Times New Roman" w:cs="Times New Roman"/>
                <w:color w:val="000000"/>
                <w:sz w:val="24"/>
                <w:szCs w:val="24"/>
                <w:highlight w:val="none"/>
                <w:lang w:val="en-US" w:eastAsia="zh-CN"/>
              </w:rPr>
              <w:t>个。具体管控要求及交叠情况详见下表：</w:t>
            </w:r>
          </w:p>
          <w:p w14:paraId="16CAE820">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表1-</w:t>
            </w:r>
            <w:r>
              <w:rPr>
                <w:rFonts w:hint="eastAsia" w:ascii="Times New Roman" w:eastAsia="宋体" w:cs="Times New Roman"/>
                <w:b/>
                <w:bCs/>
                <w:sz w:val="21"/>
                <w:szCs w:val="21"/>
                <w:highlight w:val="none"/>
                <w:lang w:val="en-US" w:eastAsia="zh-CN"/>
              </w:rPr>
              <w:t>3</w:t>
            </w:r>
            <w:r>
              <w:rPr>
                <w:rFonts w:hint="default" w:ascii="Times New Roman" w:hAnsi="Times New Roman" w:eastAsia="宋体" w:cs="Times New Roman"/>
                <w:b/>
                <w:bCs/>
                <w:sz w:val="21"/>
                <w:szCs w:val="21"/>
                <w:highlight w:val="none"/>
                <w:lang w:val="en-US" w:eastAsia="zh-CN"/>
              </w:rPr>
              <w:t xml:space="preserve">  建设项目与</w:t>
            </w:r>
            <w:r>
              <w:rPr>
                <w:rFonts w:hint="eastAsia" w:ascii="Times New Roman" w:eastAsia="宋体" w:cs="Times New Roman"/>
                <w:b/>
                <w:bCs/>
                <w:sz w:val="21"/>
                <w:szCs w:val="21"/>
                <w:highlight w:val="none"/>
                <w:lang w:val="en-US" w:eastAsia="zh-CN"/>
              </w:rPr>
              <w:t>生态环境分区</w:t>
            </w:r>
            <w:r>
              <w:rPr>
                <w:rFonts w:hint="default" w:ascii="Times New Roman" w:hAnsi="Times New Roman" w:eastAsia="宋体" w:cs="Times New Roman"/>
                <w:b/>
                <w:bCs/>
                <w:sz w:val="21"/>
                <w:szCs w:val="21"/>
                <w:highlight w:val="none"/>
                <w:lang w:val="en-US" w:eastAsia="zh-CN"/>
              </w:rPr>
              <w:t>管控要求及交叠情况一览表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5"/>
              <w:gridCol w:w="1909"/>
              <w:gridCol w:w="1977"/>
              <w:gridCol w:w="2344"/>
            </w:tblGrid>
            <w:tr w14:paraId="6B6D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5" w:type="dxa"/>
                  <w:vAlign w:val="center"/>
                </w:tcPr>
                <w:p w14:paraId="24AD7B95">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环境管控单元编码</w:t>
                  </w:r>
                </w:p>
              </w:tc>
              <w:tc>
                <w:tcPr>
                  <w:tcW w:w="1909" w:type="dxa"/>
                  <w:vAlign w:val="center"/>
                </w:tcPr>
                <w:p w14:paraId="3A05F6B1">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环境管控单元名称</w:t>
                  </w:r>
                </w:p>
              </w:tc>
              <w:tc>
                <w:tcPr>
                  <w:tcW w:w="1977" w:type="dxa"/>
                  <w:vAlign w:val="center"/>
                </w:tcPr>
                <w:p w14:paraId="5DA719BB">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环境管控单元分类</w:t>
                  </w:r>
                </w:p>
              </w:tc>
              <w:tc>
                <w:tcPr>
                  <w:tcW w:w="2344" w:type="dxa"/>
                  <w:vAlign w:val="center"/>
                </w:tcPr>
                <w:p w14:paraId="190698B7">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区域管控要求</w:t>
                  </w:r>
                </w:p>
              </w:tc>
            </w:tr>
            <w:tr w14:paraId="6A534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5" w:type="dxa"/>
                  <w:vAlign w:val="center"/>
                </w:tcPr>
                <w:p w14:paraId="5851EB26">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ZH34152410205</w:t>
                  </w:r>
                </w:p>
              </w:tc>
              <w:tc>
                <w:tcPr>
                  <w:tcW w:w="1909" w:type="dxa"/>
                  <w:vAlign w:val="center"/>
                </w:tcPr>
                <w:p w14:paraId="48E27A45">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优先保护单元30</w:t>
                  </w:r>
                </w:p>
              </w:tc>
              <w:tc>
                <w:tcPr>
                  <w:tcW w:w="1977" w:type="dxa"/>
                  <w:vAlign w:val="center"/>
                </w:tcPr>
                <w:p w14:paraId="3365A3F3">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优先保护单元</w:t>
                  </w:r>
                </w:p>
              </w:tc>
              <w:tc>
                <w:tcPr>
                  <w:tcW w:w="2344" w:type="dxa"/>
                  <w:vAlign w:val="center"/>
                </w:tcPr>
                <w:p w14:paraId="0A41A967">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皖西大别山生态屏障区-优先管控单元16，环巢湖生态示范区-优先管控单元17</w:t>
                  </w:r>
                </w:p>
              </w:tc>
            </w:tr>
            <w:tr w14:paraId="3F78A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45" w:type="dxa"/>
                  <w:vAlign w:val="center"/>
                </w:tcPr>
                <w:p w14:paraId="288D76AC">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ZH34152430036</w:t>
                  </w:r>
                </w:p>
              </w:tc>
              <w:tc>
                <w:tcPr>
                  <w:tcW w:w="1909" w:type="dxa"/>
                  <w:vAlign w:val="center"/>
                </w:tcPr>
                <w:p w14:paraId="214798DC">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一般管控单元6</w:t>
                  </w:r>
                </w:p>
              </w:tc>
              <w:tc>
                <w:tcPr>
                  <w:tcW w:w="1977" w:type="dxa"/>
                  <w:vAlign w:val="center"/>
                </w:tcPr>
                <w:p w14:paraId="587F6AA6">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一般管控单元</w:t>
                  </w:r>
                </w:p>
              </w:tc>
              <w:tc>
                <w:tcPr>
                  <w:tcW w:w="2344" w:type="dxa"/>
                  <w:vAlign w:val="center"/>
                </w:tcPr>
                <w:p w14:paraId="32F29891">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val="0"/>
                      <w:bCs w:val="0"/>
                      <w:sz w:val="21"/>
                      <w:szCs w:val="21"/>
                      <w:highlight w:val="none"/>
                      <w:vertAlign w:val="baseline"/>
                      <w:lang w:val="en-US" w:eastAsia="zh-CN"/>
                    </w:rPr>
                  </w:pPr>
                  <w:r>
                    <w:rPr>
                      <w:rFonts w:ascii="Times New Roman" w:hAnsi="Times New Roman" w:eastAsia="宋体" w:cs="Times New Roman"/>
                      <w:sz w:val="21"/>
                      <w:szCs w:val="21"/>
                    </w:rPr>
                    <w:t>环巢湖生态示范区-一般管控单元15，皖西大别山生态屏障区-一般管控单元16</w:t>
                  </w:r>
                </w:p>
              </w:tc>
            </w:tr>
          </w:tbl>
          <w:p w14:paraId="2F886F2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pPr>
          </w:p>
          <w:p w14:paraId="0B25920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宋体" w:hAnsi="宋体" w:eastAsia="宋体" w:cs="宋体"/>
                <w:sz w:val="24"/>
                <w:szCs w:val="24"/>
              </w:rPr>
            </w:pPr>
            <w:r>
              <w:drawing>
                <wp:inline distT="0" distB="0" distL="114300" distR="114300">
                  <wp:extent cx="5133340" cy="3775075"/>
                  <wp:effectExtent l="0" t="0" r="10160" b="15875"/>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pic:cNvPicPr>
                        </pic:nvPicPr>
                        <pic:blipFill>
                          <a:blip r:embed="rId11"/>
                          <a:stretch>
                            <a:fillRect/>
                          </a:stretch>
                        </pic:blipFill>
                        <pic:spPr>
                          <a:xfrm>
                            <a:off x="0" y="0"/>
                            <a:ext cx="5133340" cy="3775075"/>
                          </a:xfrm>
                          <a:prstGeom prst="rect">
                            <a:avLst/>
                          </a:prstGeom>
                          <a:noFill/>
                          <a:ln>
                            <a:noFill/>
                          </a:ln>
                        </pic:spPr>
                      </pic:pic>
                    </a:graphicData>
                  </a:graphic>
                </wp:inline>
              </w:drawing>
            </w:r>
          </w:p>
          <w:p w14:paraId="13BDBF7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ascii="宋体" w:hAnsi="宋体" w:eastAsia="宋体" w:cs="宋体"/>
                <w:sz w:val="24"/>
                <w:szCs w:val="24"/>
              </w:rPr>
            </w:pPr>
            <w:r>
              <w:rPr>
                <w:rFonts w:hint="default" w:ascii="Times New Roman" w:hAnsi="Times New Roman" w:cs="Times New Roman"/>
                <w:b/>
                <w:bCs/>
                <w:lang w:val="en-US" w:eastAsia="zh-CN"/>
              </w:rPr>
              <w:t>图1-</w:t>
            </w:r>
            <w:r>
              <w:rPr>
                <w:rFonts w:hint="eastAsia" w:cs="Times New Roman"/>
                <w:b/>
                <w:bCs/>
                <w:lang w:val="en-US" w:eastAsia="zh-CN"/>
              </w:rPr>
              <w:t>1</w:t>
            </w:r>
            <w:r>
              <w:rPr>
                <w:rFonts w:hint="default" w:ascii="Times New Roman" w:hAnsi="Times New Roman" w:cs="Times New Roman"/>
                <w:b/>
                <w:bCs/>
                <w:lang w:val="en-US" w:eastAsia="zh-CN"/>
              </w:rPr>
              <w:t xml:space="preserve">  </w:t>
            </w:r>
            <w:r>
              <w:rPr>
                <w:rFonts w:hint="eastAsia" w:ascii="Times New Roman" w:hAnsi="Times New Roman" w:cs="Times New Roman"/>
                <w:b/>
                <w:bCs/>
                <w:lang w:val="en-US" w:eastAsia="zh-CN"/>
              </w:rPr>
              <w:t>项目</w:t>
            </w:r>
            <w:r>
              <w:rPr>
                <w:rFonts w:hint="eastAsia" w:cs="Times New Roman"/>
                <w:b/>
                <w:bCs/>
                <w:lang w:val="en-US" w:eastAsia="zh-CN"/>
              </w:rPr>
              <w:t>变电站</w:t>
            </w:r>
            <w:r>
              <w:rPr>
                <w:rFonts w:hint="eastAsia" w:ascii="Times New Roman" w:hAnsi="Times New Roman" w:cs="Times New Roman"/>
                <w:b/>
                <w:bCs/>
                <w:lang w:val="en-US" w:eastAsia="zh-CN"/>
              </w:rPr>
              <w:t>与环境管控单元相对位置示意图</w:t>
            </w:r>
          </w:p>
          <w:p w14:paraId="752665F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ascii="宋体" w:hAnsi="宋体" w:eastAsia="宋体" w:cs="宋体"/>
                <w:sz w:val="24"/>
                <w:szCs w:val="24"/>
              </w:rPr>
              <w:drawing>
                <wp:inline distT="0" distB="0" distL="114300" distR="114300">
                  <wp:extent cx="5261610" cy="2812415"/>
                  <wp:effectExtent l="0" t="0" r="15240" b="6985"/>
                  <wp:docPr id="24" name="图片 6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0" descr="IMG_256"/>
                          <pic:cNvPicPr>
                            <a:picLocks noChangeAspect="1"/>
                          </pic:cNvPicPr>
                        </pic:nvPicPr>
                        <pic:blipFill>
                          <a:blip r:embed="rId12"/>
                          <a:stretch>
                            <a:fillRect/>
                          </a:stretch>
                        </pic:blipFill>
                        <pic:spPr>
                          <a:xfrm>
                            <a:off x="0" y="0"/>
                            <a:ext cx="5261610" cy="2812415"/>
                          </a:xfrm>
                          <a:prstGeom prst="rect">
                            <a:avLst/>
                          </a:prstGeom>
                          <a:noFill/>
                          <a:ln w="9525">
                            <a:noFill/>
                          </a:ln>
                        </pic:spPr>
                      </pic:pic>
                    </a:graphicData>
                  </a:graphic>
                </wp:inline>
              </w:drawing>
            </w:r>
          </w:p>
          <w:p w14:paraId="71F40C5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b/>
                <w:bCs/>
                <w:lang w:val="en-US" w:eastAsia="zh-CN"/>
              </w:rPr>
              <w:t>图1-</w:t>
            </w:r>
            <w:r>
              <w:rPr>
                <w:rFonts w:hint="eastAsia" w:cs="Times New Roman"/>
                <w:b/>
                <w:bCs/>
                <w:lang w:val="en-US" w:eastAsia="zh-CN"/>
              </w:rPr>
              <w:t>2</w:t>
            </w:r>
            <w:r>
              <w:rPr>
                <w:rFonts w:hint="default" w:ascii="Times New Roman" w:hAnsi="Times New Roman" w:cs="Times New Roman"/>
                <w:b/>
                <w:bCs/>
                <w:lang w:val="en-US" w:eastAsia="zh-CN"/>
              </w:rPr>
              <w:t xml:space="preserve">  </w:t>
            </w:r>
            <w:r>
              <w:rPr>
                <w:rFonts w:hint="eastAsia" w:ascii="Times New Roman" w:hAnsi="Times New Roman" w:cs="Times New Roman"/>
                <w:b/>
                <w:bCs/>
                <w:lang w:val="en-US" w:eastAsia="zh-CN"/>
              </w:rPr>
              <w:t>项目</w:t>
            </w:r>
            <w:r>
              <w:rPr>
                <w:rFonts w:hint="eastAsia" w:cs="Times New Roman"/>
                <w:b/>
                <w:bCs/>
                <w:lang w:val="en-US" w:eastAsia="zh-CN"/>
              </w:rPr>
              <w:t>输电线路</w:t>
            </w:r>
            <w:r>
              <w:rPr>
                <w:rFonts w:hint="eastAsia" w:ascii="Times New Roman" w:hAnsi="Times New Roman" w:cs="Times New Roman"/>
                <w:b/>
                <w:bCs/>
                <w:lang w:val="en-US" w:eastAsia="zh-CN"/>
              </w:rPr>
              <w:t>与环境管控单元相对位置示意图</w:t>
            </w:r>
          </w:p>
          <w:p w14:paraId="0A8E7AE5">
            <w:pPr>
              <w:pStyle w:val="174"/>
              <w:keepNext w:val="0"/>
              <w:keepLines w:val="0"/>
              <w:suppressLineNumbers w:val="0"/>
              <w:spacing w:before="0" w:beforeAutospacing="0" w:after="0" w:afterAutospacing="0"/>
              <w:ind w:left="0" w:leftChars="0" w:right="0" w:firstLine="480" w:firstLineChars="200"/>
              <w:rPr>
                <w:rFonts w:hint="eastAsia"/>
                <w:color w:val="auto"/>
                <w:sz w:val="24"/>
                <w:szCs w:val="24"/>
                <w:highlight w:val="none"/>
                <w:lang w:val="en-US" w:eastAsia="zh-CN"/>
              </w:rPr>
            </w:pPr>
            <w:r>
              <w:rPr>
                <w:rFonts w:hint="eastAsia"/>
                <w:color w:val="auto"/>
                <w:sz w:val="24"/>
                <w:szCs w:val="24"/>
                <w:highlight w:val="none"/>
                <w:lang w:val="en-US" w:eastAsia="zh-CN"/>
              </w:rPr>
              <w:t>根据六安市生态环境管控单元图，本工程拟建变电站位于一般管控单元和优先管控单元区域，输电线路途经一般管控单元、优先管控单元区域，对照管控单元生态环境准入清单，项目不属于管控单元内禁止、限制开发建设活动，工程建设符合管控单元的管控要求。本工程与一般管控单元和优先管控单元中管控要求符合性分析内容见下表。</w:t>
            </w:r>
          </w:p>
          <w:p w14:paraId="1C7E069C">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表1-</w:t>
            </w:r>
            <w:r>
              <w:rPr>
                <w:rFonts w:hint="eastAsia" w:ascii="Times New Roman" w:eastAsia="宋体" w:cs="Times New Roman"/>
                <w:b/>
                <w:bCs/>
                <w:sz w:val="21"/>
                <w:szCs w:val="21"/>
                <w:highlight w:val="none"/>
                <w:lang w:val="en-US" w:eastAsia="zh-CN"/>
              </w:rPr>
              <w:t>4</w:t>
            </w:r>
            <w:r>
              <w:rPr>
                <w:rFonts w:hint="default" w:ascii="Times New Roman" w:hAnsi="Times New Roman" w:eastAsia="宋体" w:cs="Times New Roman"/>
                <w:b/>
                <w:bCs/>
                <w:sz w:val="21"/>
                <w:szCs w:val="21"/>
                <w:highlight w:val="none"/>
                <w:lang w:val="en-US" w:eastAsia="zh-CN"/>
              </w:rPr>
              <w:t xml:space="preserve">  建设项目与</w:t>
            </w:r>
            <w:r>
              <w:rPr>
                <w:rFonts w:hint="eastAsia" w:ascii="Times New Roman" w:eastAsia="宋体" w:cs="Times New Roman"/>
                <w:b/>
                <w:bCs/>
                <w:sz w:val="21"/>
                <w:szCs w:val="21"/>
                <w:highlight w:val="none"/>
                <w:lang w:val="en-US" w:eastAsia="zh-CN"/>
              </w:rPr>
              <w:t>生态环境分区</w:t>
            </w:r>
            <w:r>
              <w:rPr>
                <w:rFonts w:hint="default" w:ascii="Times New Roman" w:hAnsi="Times New Roman" w:eastAsia="宋体" w:cs="Times New Roman"/>
                <w:b/>
                <w:bCs/>
                <w:sz w:val="21"/>
                <w:szCs w:val="21"/>
                <w:highlight w:val="none"/>
                <w:lang w:val="en-US" w:eastAsia="zh-CN"/>
              </w:rPr>
              <w:t>管控要求</w:t>
            </w:r>
            <w:r>
              <w:rPr>
                <w:rFonts w:hint="eastAsia" w:ascii="Times New Roman" w:eastAsia="宋体" w:cs="Times New Roman"/>
                <w:b/>
                <w:bCs/>
                <w:sz w:val="21"/>
                <w:szCs w:val="21"/>
                <w:highlight w:val="none"/>
                <w:lang w:val="en-US" w:eastAsia="zh-CN"/>
              </w:rPr>
              <w:t>符合性分析</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3545"/>
              <w:gridCol w:w="2646"/>
              <w:gridCol w:w="871"/>
            </w:tblGrid>
            <w:tr w14:paraId="673A3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27729D89">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管控单元</w:t>
                  </w:r>
                </w:p>
              </w:tc>
              <w:tc>
                <w:tcPr>
                  <w:tcW w:w="3545" w:type="dxa"/>
                  <w:vAlign w:val="center"/>
                </w:tcPr>
                <w:p w14:paraId="103F0921">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管控要求</w:t>
                  </w:r>
                </w:p>
              </w:tc>
              <w:tc>
                <w:tcPr>
                  <w:tcW w:w="2646" w:type="dxa"/>
                  <w:vAlign w:val="center"/>
                </w:tcPr>
                <w:p w14:paraId="79671CA5">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项目情况</w:t>
                  </w:r>
                </w:p>
              </w:tc>
              <w:tc>
                <w:tcPr>
                  <w:tcW w:w="871" w:type="dxa"/>
                  <w:vAlign w:val="center"/>
                </w:tcPr>
                <w:p w14:paraId="023D1D04">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宋体" w:hAnsi="宋体" w:eastAsia="宋体" w:cs="宋体"/>
                      <w:b/>
                      <w:bCs/>
                      <w:sz w:val="21"/>
                      <w:szCs w:val="21"/>
                      <w:highlight w:val="none"/>
                      <w:vertAlign w:val="baseline"/>
                      <w:lang w:val="en-US" w:eastAsia="zh-CN"/>
                    </w:rPr>
                  </w:pPr>
                  <w:r>
                    <w:rPr>
                      <w:rFonts w:hint="eastAsia" w:ascii="宋体" w:hAnsi="宋体" w:eastAsia="宋体" w:cs="宋体"/>
                      <w:b/>
                      <w:bCs/>
                      <w:sz w:val="21"/>
                      <w:szCs w:val="21"/>
                      <w:highlight w:val="none"/>
                      <w:vertAlign w:val="baseline"/>
                      <w:lang w:val="en-US" w:eastAsia="zh-CN"/>
                    </w:rPr>
                    <w:t>符合性</w:t>
                  </w:r>
                </w:p>
              </w:tc>
            </w:tr>
            <w:tr w14:paraId="4C666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63F7CBFD">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水环境分区管控-优先管控单元</w:t>
                  </w:r>
                </w:p>
              </w:tc>
              <w:tc>
                <w:tcPr>
                  <w:tcW w:w="3545" w:type="dxa"/>
                  <w:vAlign w:val="center"/>
                </w:tcPr>
                <w:p w14:paraId="1EEEF263">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水污染防治法》《安徽省饮用水水源环境保护条例》等法律法规和规章对饮用水水源保护区实施管控；依据《中华人民共和国自然保护区条例》《国家湿地公园管理办法》《安徽省湿地保护条例》《安徽省湿地公园管理办法（试行）》等法律法规和规章对湿地型自然保护区、湿地公园实施管控；依据《水产种质资源保护区管理暂行办法》对水产种质资源保护区实施管控；依据《巢湖流域水污染防治条例》对巢湖流域实施管控；各类保护地外围区域按照既有规定进行管控；依据《六安市饮用水水源环境保护条例》《六安市水污染防治工作方案》等法律法规和规章对饮用水水源保护区实施管控。</w:t>
                  </w:r>
                </w:p>
              </w:tc>
              <w:tc>
                <w:tcPr>
                  <w:tcW w:w="2646" w:type="dxa"/>
                  <w:vMerge w:val="restart"/>
                  <w:vAlign w:val="center"/>
                </w:tcPr>
                <w:p w14:paraId="524658B7">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本工程为输变电工程，运行期仅日常巡检人员产生少量的生活污水</w:t>
                  </w:r>
                  <w:r>
                    <w:rPr>
                      <w:rFonts w:hint="eastAsia" w:ascii="Times New Roman" w:eastAsia="宋体"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vertAlign w:val="baseline"/>
                      <w:lang w:val="en-US" w:eastAsia="zh-CN"/>
                    </w:rPr>
                    <w:t>经矿区内地埋式生活污水处理装置（生物接触氧化+砂滤+消毒工艺）收集处理后泵至选矿生产。不会对沿线水环境产生影响，因此符合</w:t>
                  </w:r>
                  <w:r>
                    <w:rPr>
                      <w:rFonts w:hint="eastAsia" w:ascii="Times New Roman" w:eastAsia="宋体" w:cs="Times New Roman"/>
                      <w:b w:val="0"/>
                      <w:bCs w:val="0"/>
                      <w:sz w:val="21"/>
                      <w:szCs w:val="21"/>
                      <w:highlight w:val="none"/>
                      <w:vertAlign w:val="baseline"/>
                      <w:lang w:val="en-US" w:eastAsia="zh-CN"/>
                    </w:rPr>
                    <w:t>优先管控单元和</w:t>
                  </w:r>
                  <w:r>
                    <w:rPr>
                      <w:rFonts w:hint="default" w:ascii="Times New Roman" w:hAnsi="Times New Roman" w:eastAsia="宋体" w:cs="Times New Roman"/>
                      <w:b w:val="0"/>
                      <w:bCs w:val="0"/>
                      <w:sz w:val="21"/>
                      <w:szCs w:val="21"/>
                      <w:highlight w:val="none"/>
                      <w:vertAlign w:val="baseline"/>
                      <w:lang w:val="en-US" w:eastAsia="zh-CN"/>
                    </w:rPr>
                    <w:t>一般管控单元中环境分区管控要求。</w:t>
                  </w:r>
                </w:p>
              </w:tc>
              <w:tc>
                <w:tcPr>
                  <w:tcW w:w="871" w:type="dxa"/>
                  <w:vAlign w:val="center"/>
                </w:tcPr>
                <w:p w14:paraId="457340D6">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符合</w:t>
                  </w:r>
                </w:p>
              </w:tc>
            </w:tr>
            <w:tr w14:paraId="623A5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7BBF251B">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水环境分区管控-一般管控单元</w:t>
                  </w:r>
                </w:p>
              </w:tc>
              <w:tc>
                <w:tcPr>
                  <w:tcW w:w="3545" w:type="dxa"/>
                  <w:vAlign w:val="center"/>
                </w:tcPr>
                <w:p w14:paraId="23CB5A7D">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依据《中华人民共和国水污染防治法》《水污染防治行动计划》《安徽省水污染防治工作方案》《六安市水污染防治工作方案》对一般管控区实施管控。</w:t>
                  </w:r>
                </w:p>
              </w:tc>
              <w:tc>
                <w:tcPr>
                  <w:tcW w:w="2646" w:type="dxa"/>
                  <w:vMerge w:val="continue"/>
                  <w:vAlign w:val="center"/>
                </w:tcPr>
                <w:p w14:paraId="299E7348">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p>
              </w:tc>
              <w:tc>
                <w:tcPr>
                  <w:tcW w:w="871" w:type="dxa"/>
                  <w:vAlign w:val="center"/>
                </w:tcPr>
                <w:p w14:paraId="51A35709">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val="0"/>
                      <w:bCs w:val="0"/>
                      <w:sz w:val="21"/>
                      <w:szCs w:val="21"/>
                      <w:highlight w:val="none"/>
                      <w:vertAlign w:val="baseline"/>
                      <w:lang w:val="en-US" w:eastAsia="zh-CN"/>
                    </w:rPr>
                  </w:pPr>
                  <w:r>
                    <w:rPr>
                      <w:rFonts w:hint="eastAsia" w:ascii="宋体" w:hAnsi="宋体" w:eastAsia="宋体" w:cs="宋体"/>
                      <w:b w:val="0"/>
                      <w:bCs w:val="0"/>
                      <w:sz w:val="21"/>
                      <w:szCs w:val="21"/>
                      <w:highlight w:val="none"/>
                      <w:vertAlign w:val="baseline"/>
                      <w:lang w:val="en-US" w:eastAsia="zh-CN"/>
                    </w:rPr>
                    <w:t>符合</w:t>
                  </w:r>
                </w:p>
              </w:tc>
            </w:tr>
            <w:tr w14:paraId="66B71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2DF04A75">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大气环境分区管控-优先管控单元</w:t>
                  </w:r>
                </w:p>
              </w:tc>
              <w:tc>
                <w:tcPr>
                  <w:tcW w:w="3545" w:type="dxa"/>
                  <w:vAlign w:val="center"/>
                </w:tcPr>
                <w:p w14:paraId="0991E7FD">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大气污染防治法》《安徽省大气污染防治条例》等法律法规和规章对优先保护区实施管控；依据《国家森林公园管理条例》《安徽省森林公园管理条例》等法律法规和规章对森林公园实施管控；依据《地质遗迹保护管理规定》对地质公园实施管控；依据《国家风景名胜区管理条例》、安徽省人民政府办公厅《关于加强风景名胜区规划建设管理工作的意见》等法律法规和规章对各类风景名胜区实施管控；依据《中华人民共和国自然保护区条例》等法律法规和规章对各类自然保护区实施管控。</w:t>
                  </w:r>
                </w:p>
              </w:tc>
              <w:tc>
                <w:tcPr>
                  <w:tcW w:w="2646" w:type="dxa"/>
                  <w:vMerge w:val="restart"/>
                  <w:vAlign w:val="center"/>
                </w:tcPr>
                <w:p w14:paraId="51F31627">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本工程为输变电工程，运行期无大气</w:t>
                  </w:r>
                  <w:r>
                    <w:rPr>
                      <w:rFonts w:hint="eastAsia" w:ascii="Times New Roman" w:eastAsia="宋体" w:cs="Times New Roman"/>
                      <w:b w:val="0"/>
                      <w:bCs w:val="0"/>
                      <w:sz w:val="21"/>
                      <w:szCs w:val="21"/>
                      <w:highlight w:val="none"/>
                      <w:vertAlign w:val="baseline"/>
                      <w:lang w:val="en-US" w:eastAsia="zh-CN"/>
                    </w:rPr>
                    <w:t>污染物</w:t>
                  </w:r>
                  <w:r>
                    <w:rPr>
                      <w:rFonts w:hint="default" w:ascii="Times New Roman" w:hAnsi="Times New Roman" w:eastAsia="宋体" w:cs="Times New Roman"/>
                      <w:b w:val="0"/>
                      <w:bCs w:val="0"/>
                      <w:sz w:val="21"/>
                      <w:szCs w:val="21"/>
                      <w:highlight w:val="none"/>
                      <w:vertAlign w:val="baseline"/>
                      <w:lang w:val="en-US" w:eastAsia="zh-CN"/>
                    </w:rPr>
                    <w:t>排放，施工期土方开挖等易产生扬尘污染，通过采取针对性的污染防治措施后，不会对大气环境带来显著影响。因此符合</w:t>
                  </w:r>
                  <w:r>
                    <w:rPr>
                      <w:rFonts w:hint="eastAsia" w:ascii="Times New Roman" w:eastAsia="宋体" w:cs="Times New Roman"/>
                      <w:b w:val="0"/>
                      <w:bCs w:val="0"/>
                      <w:sz w:val="21"/>
                      <w:szCs w:val="21"/>
                      <w:highlight w:val="none"/>
                      <w:vertAlign w:val="baseline"/>
                      <w:lang w:val="en-US" w:eastAsia="zh-CN"/>
                    </w:rPr>
                    <w:t>优先管控单元和</w:t>
                  </w:r>
                  <w:r>
                    <w:rPr>
                      <w:rFonts w:hint="default" w:ascii="Times New Roman" w:hAnsi="Times New Roman" w:eastAsia="宋体" w:cs="Times New Roman"/>
                      <w:b w:val="0"/>
                      <w:bCs w:val="0"/>
                      <w:sz w:val="21"/>
                      <w:szCs w:val="21"/>
                      <w:highlight w:val="none"/>
                      <w:vertAlign w:val="baseline"/>
                      <w:lang w:val="en-US" w:eastAsia="zh-CN"/>
                    </w:rPr>
                    <w:t>一般管控单元中大气环境分区管控要求</w:t>
                  </w:r>
                  <w:r>
                    <w:rPr>
                      <w:rFonts w:hint="eastAsia" w:ascii="Times New Roman" w:eastAsia="宋体" w:cs="Times New Roman"/>
                      <w:b w:val="0"/>
                      <w:bCs w:val="0"/>
                      <w:sz w:val="21"/>
                      <w:szCs w:val="21"/>
                      <w:highlight w:val="none"/>
                      <w:vertAlign w:val="baseline"/>
                      <w:lang w:val="en-US" w:eastAsia="zh-CN"/>
                    </w:rPr>
                    <w:t>。</w:t>
                  </w:r>
                </w:p>
              </w:tc>
              <w:tc>
                <w:tcPr>
                  <w:tcW w:w="871" w:type="dxa"/>
                  <w:vAlign w:val="center"/>
                </w:tcPr>
                <w:p w14:paraId="46AA80DD">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val="0"/>
                      <w:bCs w:val="0"/>
                      <w:sz w:val="21"/>
                      <w:szCs w:val="21"/>
                      <w:highlight w:val="none"/>
                      <w:vertAlign w:val="baseline"/>
                      <w:lang w:val="en-US" w:eastAsia="zh-CN"/>
                    </w:rPr>
                  </w:pPr>
                  <w:r>
                    <w:rPr>
                      <w:rFonts w:hint="eastAsia" w:ascii="宋体" w:hAnsi="宋体" w:eastAsia="宋体" w:cs="宋体"/>
                      <w:b w:val="0"/>
                      <w:bCs w:val="0"/>
                      <w:sz w:val="21"/>
                      <w:szCs w:val="21"/>
                      <w:highlight w:val="none"/>
                      <w:vertAlign w:val="baseline"/>
                      <w:lang w:val="en-US" w:eastAsia="zh-CN"/>
                    </w:rPr>
                    <w:t>符合</w:t>
                  </w:r>
                </w:p>
              </w:tc>
            </w:tr>
            <w:tr w14:paraId="5AFA3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4DE22751">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大气环境分区管控-一般管控单元</w:t>
                  </w:r>
                </w:p>
              </w:tc>
              <w:tc>
                <w:tcPr>
                  <w:tcW w:w="3545" w:type="dxa"/>
                  <w:vAlign w:val="center"/>
                </w:tcPr>
                <w:p w14:paraId="7B8C9B36">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大气污染防治法》《打赢蓝天保卫战三年行动计划》《安徽省打赢蓝天保卫战三年行动计划实施方案》《六安市打赢蓝天保卫战三年行动计划实施方案》等法律法规和规章对一般管控区实施管控。上年度PM</w:t>
                  </w:r>
                  <w:r>
                    <w:rPr>
                      <w:rFonts w:hint="default" w:ascii="Times New Roman" w:hAnsi="Times New Roman" w:eastAsia="宋体" w:cs="Times New Roman"/>
                      <w:b w:val="0"/>
                      <w:bCs w:val="0"/>
                      <w:sz w:val="21"/>
                      <w:szCs w:val="21"/>
                      <w:highlight w:val="none"/>
                      <w:vertAlign w:val="subscript"/>
                      <w:lang w:val="en-US" w:eastAsia="zh-CN"/>
                    </w:rPr>
                    <w:t>2.5</w:t>
                  </w:r>
                  <w:r>
                    <w:rPr>
                      <w:rFonts w:hint="default" w:ascii="Times New Roman" w:hAnsi="Times New Roman" w:eastAsia="宋体" w:cs="Times New Roman"/>
                      <w:b w:val="0"/>
                      <w:bCs w:val="0"/>
                      <w:sz w:val="21"/>
                      <w:szCs w:val="21"/>
                      <w:highlight w:val="none"/>
                      <w:vertAlign w:val="baseline"/>
                      <w:lang w:val="en-US" w:eastAsia="zh-CN"/>
                    </w:rPr>
                    <w:t>不达标城市新建、改建和扩建项目大气污染物实施“倍量替代”，执行特别排放标准的行业实施提标升级改造。</w:t>
                  </w:r>
                </w:p>
              </w:tc>
              <w:tc>
                <w:tcPr>
                  <w:tcW w:w="2646" w:type="dxa"/>
                  <w:vMerge w:val="continue"/>
                  <w:vAlign w:val="center"/>
                </w:tcPr>
                <w:p w14:paraId="35E9A1B8">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p>
              </w:tc>
              <w:tc>
                <w:tcPr>
                  <w:tcW w:w="871" w:type="dxa"/>
                  <w:vAlign w:val="center"/>
                </w:tcPr>
                <w:p w14:paraId="7274A29C">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val="0"/>
                      <w:bCs w:val="0"/>
                      <w:sz w:val="21"/>
                      <w:szCs w:val="21"/>
                      <w:highlight w:val="none"/>
                      <w:vertAlign w:val="baseline"/>
                      <w:lang w:val="en-US" w:eastAsia="zh-CN"/>
                    </w:rPr>
                  </w:pPr>
                  <w:r>
                    <w:rPr>
                      <w:rFonts w:hint="eastAsia" w:ascii="宋体" w:hAnsi="宋体" w:eastAsia="宋体" w:cs="宋体"/>
                      <w:b w:val="0"/>
                      <w:bCs w:val="0"/>
                      <w:sz w:val="21"/>
                      <w:szCs w:val="21"/>
                      <w:highlight w:val="none"/>
                      <w:vertAlign w:val="baseline"/>
                      <w:lang w:val="en-US" w:eastAsia="zh-CN"/>
                    </w:rPr>
                    <w:t>符合</w:t>
                  </w:r>
                </w:p>
              </w:tc>
            </w:tr>
            <w:tr w14:paraId="711F1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28A80688">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土壤环境分区管控-优先管控单元</w:t>
                  </w:r>
                </w:p>
              </w:tc>
              <w:tc>
                <w:tcPr>
                  <w:tcW w:w="3545" w:type="dxa"/>
                  <w:vAlign w:val="center"/>
                </w:tcPr>
                <w:p w14:paraId="0728C2B3">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依据《中华人民共和国土壤污染防治法》《基本农田保护条例》《土壤污染防治行动计划》《安徽省土壤污染防治工作方案》《六安市土壤污染防治工作方案》等要求对优先保护区实施管控。</w:t>
                  </w:r>
                </w:p>
              </w:tc>
              <w:tc>
                <w:tcPr>
                  <w:tcW w:w="2646" w:type="dxa"/>
                  <w:vMerge w:val="restart"/>
                  <w:vAlign w:val="center"/>
                </w:tcPr>
                <w:p w14:paraId="6D489419">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本工程为输变电工程，变电站主变下方设置有事故油坑，并与站内事故油池相连，事故油坑及油池均采取了防渗措施。变压器漏油事故产生的变压器废油经事故油池收集后委托有资质单位处置。不会对土壤产生影响。</w:t>
                  </w:r>
                </w:p>
              </w:tc>
              <w:tc>
                <w:tcPr>
                  <w:tcW w:w="871" w:type="dxa"/>
                  <w:vAlign w:val="center"/>
                </w:tcPr>
                <w:p w14:paraId="13F91BA6">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val="0"/>
                      <w:bCs w:val="0"/>
                      <w:sz w:val="21"/>
                      <w:szCs w:val="21"/>
                      <w:highlight w:val="none"/>
                      <w:vertAlign w:val="baseline"/>
                      <w:lang w:val="en-US" w:eastAsia="zh-CN"/>
                    </w:rPr>
                  </w:pPr>
                  <w:r>
                    <w:rPr>
                      <w:rFonts w:hint="eastAsia" w:ascii="宋体" w:hAnsi="宋体" w:eastAsia="宋体" w:cs="宋体"/>
                      <w:b w:val="0"/>
                      <w:bCs w:val="0"/>
                      <w:sz w:val="21"/>
                      <w:szCs w:val="21"/>
                      <w:highlight w:val="none"/>
                      <w:vertAlign w:val="baseline"/>
                      <w:lang w:val="en-US" w:eastAsia="zh-CN"/>
                    </w:rPr>
                    <w:t>符合</w:t>
                  </w:r>
                </w:p>
              </w:tc>
            </w:tr>
            <w:tr w14:paraId="16637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vAlign w:val="center"/>
                </w:tcPr>
                <w:p w14:paraId="132FB3F7">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eastAsia="宋体" w:cs="Times New Roman"/>
                      <w:b w:val="0"/>
                      <w:bCs w:val="0"/>
                      <w:sz w:val="21"/>
                      <w:szCs w:val="21"/>
                      <w:highlight w:val="none"/>
                      <w:vertAlign w:val="baseline"/>
                      <w:lang w:val="en-US" w:eastAsia="zh-CN"/>
                    </w:rPr>
                    <w:t>土壤环境分区管控-一般管控单元</w:t>
                  </w:r>
                </w:p>
              </w:tc>
              <w:tc>
                <w:tcPr>
                  <w:tcW w:w="3545" w:type="dxa"/>
                  <w:vAlign w:val="center"/>
                </w:tcPr>
                <w:p w14:paraId="52170989">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依据《中华人民共和国土壤污染防治法》《土壤污染防治行动计划》《安徽省土壤污染防治工作方案》《安徽省“十三五”环境保护规划》《六安市土壤污染防治工作方案》等要求及各市土壤污染防治工作方案对一般管控区实施管控。</w:t>
                  </w:r>
                </w:p>
              </w:tc>
              <w:tc>
                <w:tcPr>
                  <w:tcW w:w="2646" w:type="dxa"/>
                  <w:vMerge w:val="continue"/>
                  <w:vAlign w:val="center"/>
                </w:tcPr>
                <w:p w14:paraId="261EF1B3">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highlight w:val="none"/>
                      <w:vertAlign w:val="baseline"/>
                      <w:lang w:val="en-US" w:eastAsia="zh-CN"/>
                    </w:rPr>
                  </w:pPr>
                </w:p>
              </w:tc>
              <w:tc>
                <w:tcPr>
                  <w:tcW w:w="871" w:type="dxa"/>
                  <w:vAlign w:val="center"/>
                </w:tcPr>
                <w:p w14:paraId="43D2852F">
                  <w:pPr>
                    <w:pStyle w:val="54"/>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宋体" w:hAnsi="宋体" w:eastAsia="宋体" w:cs="宋体"/>
                      <w:b w:val="0"/>
                      <w:bCs w:val="0"/>
                      <w:sz w:val="21"/>
                      <w:szCs w:val="21"/>
                      <w:highlight w:val="none"/>
                      <w:vertAlign w:val="baseline"/>
                      <w:lang w:val="en-US" w:eastAsia="zh-CN"/>
                    </w:rPr>
                  </w:pPr>
                  <w:r>
                    <w:rPr>
                      <w:rFonts w:hint="eastAsia" w:ascii="宋体" w:hAnsi="宋体" w:eastAsia="宋体" w:cs="宋体"/>
                      <w:b w:val="0"/>
                      <w:bCs w:val="0"/>
                      <w:sz w:val="21"/>
                      <w:szCs w:val="21"/>
                      <w:highlight w:val="none"/>
                      <w:vertAlign w:val="baseline"/>
                      <w:lang w:val="en-US" w:eastAsia="zh-CN"/>
                    </w:rPr>
                    <w:t>符合</w:t>
                  </w:r>
                </w:p>
              </w:tc>
            </w:tr>
          </w:tbl>
          <w:p w14:paraId="4B4417A1">
            <w:pPr>
              <w:widowControl/>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根据</w:t>
            </w:r>
            <w:r>
              <w:rPr>
                <w:rFonts w:hint="eastAsia"/>
                <w:color w:val="auto"/>
                <w:sz w:val="24"/>
                <w:szCs w:val="24"/>
                <w:highlight w:val="none"/>
                <w:lang w:val="en-US" w:eastAsia="zh-CN"/>
              </w:rPr>
              <w:t>优先保护单元和一般管控单元</w:t>
            </w:r>
            <w:r>
              <w:rPr>
                <w:rFonts w:hint="default" w:ascii="Times New Roman" w:hAnsi="Times New Roman" w:cs="Times New Roman"/>
                <w:color w:val="auto"/>
                <w:kern w:val="0"/>
                <w:sz w:val="24"/>
              </w:rPr>
              <w:t>总体要求，</w:t>
            </w:r>
            <w:r>
              <w:rPr>
                <w:rFonts w:hint="eastAsia" w:cs="Times New Roman"/>
                <w:color w:val="auto"/>
                <w:kern w:val="0"/>
                <w:sz w:val="24"/>
                <w:lang w:eastAsia="zh-CN"/>
              </w:rPr>
              <w:t>本工程</w:t>
            </w:r>
            <w:r>
              <w:rPr>
                <w:rFonts w:hint="default" w:ascii="Times New Roman" w:hAnsi="Times New Roman" w:cs="Times New Roman"/>
                <w:color w:val="auto"/>
                <w:kern w:val="0"/>
                <w:sz w:val="24"/>
              </w:rPr>
              <w:t>为基础设施建设项目，不属于</w:t>
            </w:r>
            <w:r>
              <w:rPr>
                <w:rFonts w:hint="eastAsia"/>
                <w:color w:val="auto"/>
                <w:sz w:val="24"/>
                <w:szCs w:val="24"/>
                <w:highlight w:val="none"/>
                <w:lang w:val="en-US" w:eastAsia="zh-CN"/>
              </w:rPr>
              <w:t>建设项目禁入清单、污染物排放管控、土壤风险防控、资源能源利用控制要求范围内</w:t>
            </w:r>
            <w:r>
              <w:rPr>
                <w:rFonts w:hint="default" w:ascii="Times New Roman" w:hAnsi="Times New Roman" w:cs="Times New Roman"/>
                <w:color w:val="auto"/>
                <w:kern w:val="0"/>
                <w:sz w:val="24"/>
              </w:rPr>
              <w:t>，变电站配套新建满足环境风险防控要求的事故油池，</w:t>
            </w:r>
            <w:r>
              <w:rPr>
                <w:rFonts w:hint="eastAsia" w:cs="Times New Roman"/>
                <w:color w:val="auto"/>
                <w:kern w:val="0"/>
                <w:sz w:val="24"/>
                <w:lang w:eastAsia="zh-CN"/>
              </w:rPr>
              <w:t>本工程</w:t>
            </w:r>
            <w:r>
              <w:rPr>
                <w:rFonts w:hint="default" w:ascii="Times New Roman" w:hAnsi="Times New Roman" w:cs="Times New Roman"/>
                <w:color w:val="auto"/>
                <w:kern w:val="0"/>
                <w:sz w:val="24"/>
              </w:rPr>
              <w:t>符合该区域生态环境保护的基本要求。</w:t>
            </w:r>
          </w:p>
          <w:p w14:paraId="4E472E2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cs="Times New Roman"/>
                <w:color w:val="auto"/>
                <w:kern w:val="0"/>
                <w:sz w:val="24"/>
                <w:lang w:eastAsia="zh-CN"/>
              </w:rPr>
            </w:pPr>
            <w:r>
              <w:rPr>
                <w:rFonts w:hint="eastAsia" w:ascii="Times New Roman" w:hAnsi="Times New Roman" w:cs="Times New Roman"/>
                <w:color w:val="auto"/>
                <w:kern w:val="0"/>
                <w:sz w:val="24"/>
                <w:lang w:eastAsia="zh-CN"/>
              </w:rPr>
              <w:t>综上所述，</w:t>
            </w:r>
            <w:r>
              <w:rPr>
                <w:rFonts w:hint="eastAsia" w:cs="Times New Roman"/>
                <w:color w:val="auto"/>
                <w:kern w:val="0"/>
                <w:sz w:val="24"/>
                <w:lang w:eastAsia="zh-CN"/>
              </w:rPr>
              <w:t>本工程</w:t>
            </w:r>
            <w:r>
              <w:rPr>
                <w:rFonts w:hint="eastAsia" w:ascii="Times New Roman" w:hAnsi="Times New Roman" w:cs="Times New Roman"/>
                <w:color w:val="auto"/>
                <w:kern w:val="0"/>
                <w:sz w:val="24"/>
                <w:lang w:eastAsia="zh-CN"/>
              </w:rPr>
              <w:t>为输变电工程，属于基础设施建设项目，不属于高耗水、高排放、高污染行业，不属于对应优先保护、重点及一般管控单元生态环境准入清单中禁止开发类建设活动，项目符合生态环境准入清单内的管控要求</w:t>
            </w:r>
            <w:r>
              <w:rPr>
                <w:rFonts w:hint="eastAsia" w:cs="Times New Roman"/>
                <w:color w:val="auto"/>
                <w:kern w:val="0"/>
                <w:sz w:val="24"/>
                <w:lang w:eastAsia="zh-CN"/>
              </w:rPr>
              <w:t>，</w:t>
            </w:r>
            <w:r>
              <w:rPr>
                <w:rFonts w:hint="eastAsia" w:cs="Times New Roman"/>
                <w:color w:val="auto"/>
                <w:kern w:val="0"/>
                <w:sz w:val="24"/>
                <w:lang w:val="en-US" w:eastAsia="zh-CN"/>
              </w:rPr>
              <w:t>本工程与金寨县饮用水水源保护区相对位置示意图详见附图8-1</w:t>
            </w:r>
            <w:r>
              <w:rPr>
                <w:rFonts w:hint="eastAsia" w:ascii="Times New Roman" w:hAnsi="Times New Roman" w:cs="Times New Roman"/>
                <w:color w:val="auto"/>
                <w:kern w:val="0"/>
                <w:sz w:val="24"/>
                <w:lang w:eastAsia="zh-CN"/>
              </w:rPr>
              <w:t>。</w:t>
            </w:r>
            <w:r>
              <w:rPr>
                <w:rFonts w:hint="eastAsia" w:cs="Times New Roman"/>
                <w:color w:val="auto"/>
                <w:kern w:val="0"/>
                <w:sz w:val="24"/>
                <w:lang w:eastAsia="zh-CN"/>
              </w:rPr>
              <w:t>本工程</w:t>
            </w:r>
            <w:r>
              <w:rPr>
                <w:rFonts w:hint="eastAsia" w:ascii="Times New Roman" w:hAnsi="Times New Roman" w:cs="Times New Roman"/>
                <w:color w:val="auto"/>
                <w:kern w:val="0"/>
                <w:sz w:val="24"/>
                <w:lang w:eastAsia="zh-CN"/>
              </w:rPr>
              <w:t>区域环境质量满足项目所在地环境功能区划要求</w:t>
            </w:r>
            <w:r>
              <w:rPr>
                <w:rFonts w:hint="eastAsia" w:cs="Times New Roman"/>
                <w:color w:val="auto"/>
                <w:kern w:val="0"/>
                <w:sz w:val="24"/>
                <w:lang w:eastAsia="zh-CN"/>
              </w:rPr>
              <w:t>，具</w:t>
            </w:r>
            <w:r>
              <w:rPr>
                <w:rFonts w:hint="eastAsia" w:ascii="Times New Roman" w:hAnsi="Times New Roman" w:cs="Times New Roman"/>
                <w:color w:val="auto"/>
                <w:kern w:val="0"/>
                <w:sz w:val="24"/>
                <w:lang w:eastAsia="zh-CN"/>
              </w:rPr>
              <w:t>有一定的环境容量，且各污染物均可做到达标排放</w:t>
            </w:r>
            <w:r>
              <w:rPr>
                <w:rFonts w:hint="eastAsia" w:cs="Times New Roman"/>
                <w:color w:val="auto"/>
                <w:kern w:val="0"/>
                <w:sz w:val="24"/>
                <w:lang w:eastAsia="zh-CN"/>
              </w:rPr>
              <w:t>；</w:t>
            </w:r>
            <w:r>
              <w:rPr>
                <w:rFonts w:hint="eastAsia" w:ascii="Times New Roman" w:hAnsi="Times New Roman" w:cs="Times New Roman"/>
                <w:color w:val="auto"/>
                <w:kern w:val="0"/>
                <w:sz w:val="24"/>
                <w:lang w:eastAsia="zh-CN"/>
              </w:rPr>
              <w:t>项目使用资源为清洁的电能，利用率较高，不触及资源利用上线</w:t>
            </w:r>
            <w:r>
              <w:rPr>
                <w:rFonts w:hint="eastAsia" w:cs="Times New Roman"/>
                <w:color w:val="auto"/>
                <w:kern w:val="0"/>
                <w:sz w:val="24"/>
                <w:lang w:eastAsia="zh-CN"/>
              </w:rPr>
              <w:t>；</w:t>
            </w:r>
            <w:r>
              <w:rPr>
                <w:rFonts w:hint="eastAsia" w:ascii="Times New Roman" w:hAnsi="Times New Roman" w:cs="Times New Roman"/>
                <w:color w:val="auto"/>
                <w:kern w:val="0"/>
                <w:sz w:val="24"/>
                <w:lang w:eastAsia="zh-CN"/>
              </w:rPr>
              <w:t>符合国家产业、地方政策和生态环境准入标准和要求</w:t>
            </w:r>
            <w:r>
              <w:rPr>
                <w:rFonts w:hint="eastAsia" w:cs="Times New Roman"/>
                <w:color w:val="auto"/>
                <w:kern w:val="0"/>
                <w:sz w:val="24"/>
                <w:lang w:eastAsia="zh-CN"/>
              </w:rPr>
              <w:t>。因此，项目符合国家和地方产业政策要求，满足生态环境准入清单要求。</w:t>
            </w:r>
          </w:p>
          <w:p w14:paraId="36077D9D">
            <w:pPr>
              <w:pStyle w:val="21"/>
              <w:keepNext w:val="0"/>
              <w:keepLines w:val="0"/>
              <w:pageBreakBefore w:val="0"/>
              <w:widowControl w:val="0"/>
              <w:kinsoku/>
              <w:wordWrap/>
              <w:overflowPunct/>
              <w:topLinePunct w:val="0"/>
              <w:autoSpaceDE/>
              <w:autoSpaceDN/>
              <w:bidi w:val="0"/>
              <w:adjustRightInd/>
              <w:snapToGrid/>
              <w:spacing w:before="0" w:line="360" w:lineRule="auto"/>
              <w:ind w:firstLine="0" w:firstLineChars="0"/>
              <w:textAlignment w:val="auto"/>
              <w:rPr>
                <w:rFonts w:ascii="Times New Roman" w:hAnsi="Times New Roman"/>
                <w:b/>
                <w:bCs/>
                <w:szCs w:val="24"/>
              </w:rPr>
            </w:pPr>
            <w:r>
              <w:rPr>
                <w:rFonts w:ascii="Times New Roman" w:hAnsi="Times New Roman"/>
                <w:b/>
                <w:bCs/>
                <w:szCs w:val="24"/>
              </w:rPr>
              <w:t>1.</w:t>
            </w:r>
            <w:r>
              <w:rPr>
                <w:rFonts w:hint="eastAsia" w:ascii="Times New Roman" w:hAnsi="Times New Roman"/>
                <w:b/>
                <w:bCs/>
                <w:szCs w:val="24"/>
                <w:lang w:val="en-US" w:eastAsia="zh-CN"/>
              </w:rPr>
              <w:t xml:space="preserve">3  </w:t>
            </w:r>
            <w:r>
              <w:rPr>
                <w:rFonts w:hint="eastAsia" w:ascii="Times New Roman" w:hAnsi="Times New Roman"/>
                <w:b/>
                <w:bCs/>
                <w:szCs w:val="24"/>
              </w:rPr>
              <w:t>项目与生态环境保护规划的</w:t>
            </w:r>
            <w:r>
              <w:rPr>
                <w:rFonts w:hint="eastAsia" w:ascii="宋体" w:hAnsi="宋体" w:cs="宋体"/>
                <w:b/>
                <w:bCs/>
                <w:snapToGrid w:val="0"/>
                <w:color w:val="000000"/>
                <w:spacing w:val="6"/>
                <w:kern w:val="0"/>
                <w:sz w:val="24"/>
                <w:szCs w:val="24"/>
                <w:lang w:val="en-US" w:eastAsia="zh-CN"/>
              </w:rPr>
              <w:t>符合性</w:t>
            </w:r>
            <w:r>
              <w:rPr>
                <w:rFonts w:hint="eastAsia" w:ascii="Times New Roman" w:hAnsi="Times New Roman"/>
                <w:b/>
                <w:bCs/>
                <w:szCs w:val="24"/>
                <w:lang w:val="en-US" w:eastAsia="zh-CN"/>
              </w:rPr>
              <w:t>分析</w:t>
            </w:r>
          </w:p>
          <w:p w14:paraId="22AB27F6">
            <w:pPr>
              <w:keepNext w:val="0"/>
              <w:keepLines w:val="0"/>
              <w:pageBreakBefore w:val="0"/>
              <w:widowControl/>
              <w:kinsoku/>
              <w:wordWrap/>
              <w:overflowPunct/>
              <w:topLinePunct/>
              <w:autoSpaceDE/>
              <w:autoSpaceDN/>
              <w:bidi w:val="0"/>
              <w:adjustRightInd/>
              <w:snapToGrid/>
              <w:spacing w:line="360" w:lineRule="auto"/>
              <w:ind w:right="0" w:firstLine="506" w:firstLineChars="200"/>
              <w:jc w:val="both"/>
              <w:textAlignment w:val="baseline"/>
              <w:rPr>
                <w:rFonts w:hint="eastAsia" w:ascii="宋体" w:hAnsi="宋体" w:cs="宋体"/>
                <w:snapToGrid w:val="0"/>
                <w:color w:val="000000"/>
                <w:spacing w:val="6"/>
                <w:kern w:val="0"/>
                <w:sz w:val="24"/>
                <w:szCs w:val="24"/>
                <w:lang w:eastAsia="zh-CN"/>
              </w:rPr>
            </w:pPr>
            <w:r>
              <w:rPr>
                <w:rFonts w:hint="default" w:ascii="Times New Roman" w:hAnsi="Times New Roman" w:cs="Times New Roman"/>
                <w:b/>
                <w:bCs/>
                <w:snapToGrid w:val="0"/>
                <w:color w:val="000000"/>
                <w:spacing w:val="6"/>
                <w:kern w:val="0"/>
                <w:sz w:val="24"/>
                <w:szCs w:val="24"/>
                <w:lang w:eastAsia="zh-CN"/>
              </w:rPr>
              <w:t>（</w:t>
            </w:r>
            <w:r>
              <w:rPr>
                <w:rFonts w:hint="eastAsia" w:cs="Times New Roman"/>
                <w:b/>
                <w:bCs/>
                <w:snapToGrid w:val="0"/>
                <w:color w:val="000000"/>
                <w:spacing w:val="6"/>
                <w:kern w:val="0"/>
                <w:sz w:val="24"/>
                <w:szCs w:val="24"/>
                <w:lang w:val="en-US" w:eastAsia="zh-CN"/>
              </w:rPr>
              <w:t>1</w:t>
            </w:r>
            <w:r>
              <w:rPr>
                <w:rFonts w:hint="default" w:ascii="Times New Roman" w:hAnsi="Times New Roman" w:cs="Times New Roman"/>
                <w:b/>
                <w:bCs/>
                <w:snapToGrid w:val="0"/>
                <w:color w:val="000000"/>
                <w:spacing w:val="6"/>
                <w:kern w:val="0"/>
                <w:sz w:val="24"/>
                <w:szCs w:val="24"/>
                <w:lang w:eastAsia="zh-CN"/>
              </w:rPr>
              <w:t>）</w:t>
            </w:r>
            <w:r>
              <w:rPr>
                <w:rFonts w:hint="default" w:ascii="Times New Roman" w:hAnsi="Times New Roman" w:cs="Times New Roman"/>
                <w:b/>
                <w:bCs/>
                <w:snapToGrid w:val="0"/>
                <w:color w:val="000000"/>
                <w:spacing w:val="6"/>
                <w:kern w:val="0"/>
                <w:sz w:val="24"/>
                <w:szCs w:val="24"/>
                <w:lang w:val="en-US" w:eastAsia="zh-CN"/>
              </w:rPr>
              <w:t>项目与《六安市“十四五”生态环境保护规划》符合性分析</w:t>
            </w:r>
          </w:p>
          <w:p w14:paraId="7C6C5A1E">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eastAsia" w:ascii="宋体" w:hAnsi="宋体" w:eastAsia="宋体" w:cs="宋体"/>
                <w:snapToGrid w:val="0"/>
                <w:color w:val="000000"/>
                <w:spacing w:val="6"/>
                <w:kern w:val="0"/>
                <w:sz w:val="24"/>
                <w:szCs w:val="24"/>
                <w:lang w:eastAsia="zh-CN"/>
              </w:rPr>
            </w:pPr>
            <w:r>
              <w:rPr>
                <w:rFonts w:hint="eastAsia" w:ascii="宋体" w:hAnsi="宋体" w:eastAsia="宋体" w:cs="宋体"/>
                <w:snapToGrid w:val="0"/>
                <w:color w:val="000000"/>
                <w:spacing w:val="6"/>
                <w:kern w:val="0"/>
                <w:sz w:val="24"/>
                <w:szCs w:val="24"/>
                <w:lang w:val="en-US" w:eastAsia="zh-CN"/>
              </w:rPr>
              <w:t>根据《六安市“十四五”生态环境保护规划》，</w:t>
            </w:r>
            <w:r>
              <w:rPr>
                <w:rFonts w:hint="eastAsia" w:ascii="宋体" w:hAnsi="宋体" w:cs="宋体"/>
                <w:snapToGrid w:val="0"/>
                <w:color w:val="000000"/>
                <w:spacing w:val="6"/>
                <w:kern w:val="0"/>
                <w:sz w:val="24"/>
                <w:szCs w:val="24"/>
                <w:lang w:val="en-US" w:eastAsia="zh-CN"/>
              </w:rPr>
              <w:t>本工程</w:t>
            </w:r>
            <w:r>
              <w:rPr>
                <w:rFonts w:hint="eastAsia" w:ascii="宋体" w:hAnsi="宋体" w:eastAsia="宋体" w:cs="宋体"/>
                <w:snapToGrid w:val="0"/>
                <w:color w:val="000000"/>
                <w:spacing w:val="6"/>
                <w:kern w:val="0"/>
                <w:sz w:val="24"/>
                <w:szCs w:val="24"/>
                <w:lang w:val="en-US" w:eastAsia="zh-CN"/>
              </w:rPr>
              <w:t>未进入自然保护区、风景名胜区等需要特别保护的生态敏感区域。施工期的主要环境影响为施工扬尘、地表水、噪声、固体废物，运营期主要的环境影响为工频电场、工频磁场及噪声，产生的环境影响及环境风险均相对较小，不属于资源开发类以及污染重、风险高对生态环境具有较大的现实和潜在影响的项目，因此项目符合《六安市“十四五”生态环境保护规划》要求。</w:t>
            </w:r>
          </w:p>
          <w:p w14:paraId="43EEFCE2">
            <w:pPr>
              <w:keepNext w:val="0"/>
              <w:keepLines w:val="0"/>
              <w:pageBreakBefore w:val="0"/>
              <w:widowControl/>
              <w:kinsoku/>
              <w:wordWrap/>
              <w:overflowPunct/>
              <w:topLinePunct/>
              <w:autoSpaceDE/>
              <w:autoSpaceDN/>
              <w:bidi w:val="0"/>
              <w:adjustRightInd/>
              <w:snapToGrid/>
              <w:spacing w:line="360" w:lineRule="auto"/>
              <w:ind w:right="0" w:firstLine="506" w:firstLineChars="200"/>
              <w:jc w:val="both"/>
              <w:textAlignment w:val="baseline"/>
              <w:rPr>
                <w:rFonts w:hint="default" w:ascii="Times New Roman" w:hAnsi="Times New Roman" w:cs="Times New Roman"/>
                <w:b/>
                <w:bCs/>
                <w:snapToGrid w:val="0"/>
                <w:color w:val="000000"/>
                <w:spacing w:val="6"/>
                <w:kern w:val="0"/>
                <w:sz w:val="24"/>
                <w:szCs w:val="24"/>
                <w:lang w:eastAsia="zh-CN"/>
              </w:rPr>
            </w:pPr>
            <w:r>
              <w:rPr>
                <w:rFonts w:hint="default" w:ascii="Times New Roman" w:hAnsi="Times New Roman" w:cs="Times New Roman"/>
                <w:b/>
                <w:bCs/>
                <w:snapToGrid w:val="0"/>
                <w:color w:val="000000"/>
                <w:spacing w:val="6"/>
                <w:kern w:val="0"/>
                <w:sz w:val="24"/>
                <w:szCs w:val="24"/>
                <w:lang w:eastAsia="zh-CN"/>
              </w:rPr>
              <w:t>（</w:t>
            </w:r>
            <w:r>
              <w:rPr>
                <w:rFonts w:hint="eastAsia" w:cs="Times New Roman"/>
                <w:b/>
                <w:bCs/>
                <w:snapToGrid w:val="0"/>
                <w:color w:val="000000"/>
                <w:spacing w:val="6"/>
                <w:kern w:val="0"/>
                <w:sz w:val="24"/>
                <w:szCs w:val="24"/>
                <w:lang w:val="en-US" w:eastAsia="zh-CN"/>
              </w:rPr>
              <w:t>2</w:t>
            </w:r>
            <w:r>
              <w:rPr>
                <w:rFonts w:hint="default" w:ascii="Times New Roman" w:hAnsi="Times New Roman" w:cs="Times New Roman"/>
                <w:b/>
                <w:bCs/>
                <w:snapToGrid w:val="0"/>
                <w:color w:val="000000"/>
                <w:spacing w:val="6"/>
                <w:kern w:val="0"/>
                <w:sz w:val="24"/>
                <w:szCs w:val="24"/>
                <w:lang w:eastAsia="zh-CN"/>
              </w:rPr>
              <w:t>）</w:t>
            </w:r>
            <w:r>
              <w:rPr>
                <w:rFonts w:hint="default" w:ascii="Times New Roman" w:hAnsi="Times New Roman" w:cs="Times New Roman"/>
                <w:b/>
                <w:bCs/>
                <w:snapToGrid w:val="0"/>
                <w:color w:val="000000"/>
                <w:spacing w:val="6"/>
                <w:kern w:val="0"/>
                <w:sz w:val="24"/>
                <w:szCs w:val="24"/>
                <w:lang w:val="en-US" w:eastAsia="zh-CN"/>
              </w:rPr>
              <w:t>与国土空间规划（</w:t>
            </w:r>
            <w:r>
              <w:rPr>
                <w:rFonts w:hint="eastAsia" w:cs="Times New Roman"/>
                <w:b/>
                <w:bCs/>
                <w:snapToGrid w:val="0"/>
                <w:color w:val="000000"/>
                <w:spacing w:val="6"/>
                <w:kern w:val="0"/>
                <w:sz w:val="24"/>
                <w:szCs w:val="24"/>
                <w:lang w:val="en-US" w:eastAsia="zh-CN"/>
              </w:rPr>
              <w:t>“三区三线”</w:t>
            </w:r>
            <w:r>
              <w:rPr>
                <w:rFonts w:hint="default" w:ascii="Times New Roman" w:hAnsi="Times New Roman" w:cs="Times New Roman"/>
                <w:b/>
                <w:bCs/>
                <w:snapToGrid w:val="0"/>
                <w:color w:val="000000"/>
                <w:spacing w:val="6"/>
                <w:kern w:val="0"/>
                <w:sz w:val="24"/>
                <w:szCs w:val="24"/>
                <w:lang w:val="en-US" w:eastAsia="zh-CN"/>
              </w:rPr>
              <w:t>）的符合性分析</w:t>
            </w:r>
          </w:p>
          <w:p w14:paraId="01DEE220">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default" w:ascii="Times New Roman" w:hAnsi="Times New Roman" w:eastAsia="宋体" w:cs="Times New Roman"/>
                <w:snapToGrid w:val="0"/>
                <w:color w:val="000000"/>
                <w:spacing w:val="6"/>
                <w:kern w:val="0"/>
                <w:sz w:val="24"/>
                <w:szCs w:val="24"/>
                <w:lang w:val="en-US" w:eastAsia="zh-CN"/>
              </w:rPr>
            </w:pPr>
            <w:r>
              <w:rPr>
                <w:rFonts w:hint="eastAsia" w:cs="Times New Roman"/>
                <w:snapToGrid w:val="0"/>
                <w:color w:val="000000"/>
                <w:spacing w:val="6"/>
                <w:kern w:val="0"/>
                <w:sz w:val="24"/>
                <w:szCs w:val="24"/>
                <w:lang w:val="en-US" w:eastAsia="zh-CN"/>
              </w:rPr>
              <w:t>①生态保护红线：本工程</w:t>
            </w:r>
            <w:r>
              <w:rPr>
                <w:rFonts w:hint="default" w:ascii="Times New Roman" w:hAnsi="Times New Roman" w:eastAsia="宋体" w:cs="Times New Roman"/>
                <w:snapToGrid w:val="0"/>
                <w:color w:val="000000"/>
                <w:spacing w:val="6"/>
                <w:kern w:val="0"/>
                <w:sz w:val="24"/>
                <w:szCs w:val="24"/>
                <w:lang w:val="en-US" w:eastAsia="zh-CN"/>
              </w:rPr>
              <w:t>线路跨越金寨县生态保护红线，塔基占用生态保护红线面积</w:t>
            </w:r>
            <w:r>
              <w:rPr>
                <w:rFonts w:hint="eastAsia" w:cs="Times New Roman"/>
                <w:snapToGrid w:val="0"/>
                <w:color w:val="000000"/>
                <w:spacing w:val="6"/>
                <w:kern w:val="0"/>
                <w:sz w:val="24"/>
                <w:szCs w:val="24"/>
                <w:lang w:val="en-US" w:eastAsia="zh-CN"/>
              </w:rPr>
              <w:t>0.4970</w:t>
            </w:r>
            <w:r>
              <w:rPr>
                <w:rFonts w:hint="default" w:ascii="Times New Roman" w:hAnsi="Times New Roman" w:eastAsia="宋体" w:cs="Times New Roman"/>
                <w:snapToGrid w:val="0"/>
                <w:color w:val="000000"/>
                <w:spacing w:val="6"/>
                <w:kern w:val="0"/>
                <w:sz w:val="24"/>
                <w:szCs w:val="24"/>
                <w:lang w:val="en-US" w:eastAsia="zh-CN"/>
              </w:rPr>
              <w:t>公顷，根据《自然资源部 生态环境部 国家林业和草原局关于加强生态保护红线管理的通知（试行）》（自然资发〔2022〕142号）有关规定：“生态保护红线内自然保护地核心保护区外，禁止开发性、生产性建设活动，在符合法律法规的前提下，仅允许以下对生态功能不造成破坏的有限人为活动”。</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符合《金寨县国土空间总体规划（2021-2035年）》，输电线路不可避免穿越生态保护红线，符合</w:t>
            </w:r>
            <w:r>
              <w:rPr>
                <w:rFonts w:hint="eastAsia" w:cs="Times New Roman"/>
                <w:snapToGrid w:val="0"/>
                <w:color w:val="000000"/>
                <w:spacing w:val="6"/>
                <w:kern w:val="0"/>
                <w:sz w:val="24"/>
                <w:szCs w:val="24"/>
                <w:lang w:val="en-US" w:eastAsia="zh-CN"/>
              </w:rPr>
              <w:t>《自然资源部生态环境部国家林业和草原局关于加强生态保护红线管理的通知（试行）》</w:t>
            </w:r>
            <w:r>
              <w:rPr>
                <w:rFonts w:hint="default" w:ascii="Times New Roman" w:hAnsi="Times New Roman" w:eastAsia="宋体" w:cs="Times New Roman"/>
                <w:snapToGrid w:val="0"/>
                <w:color w:val="000000"/>
                <w:spacing w:val="6"/>
                <w:kern w:val="0"/>
                <w:sz w:val="24"/>
                <w:szCs w:val="24"/>
                <w:lang w:val="en-US" w:eastAsia="zh-CN"/>
              </w:rPr>
              <w:t>（自然资发〔2022〕142号）</w:t>
            </w:r>
            <w:r>
              <w:rPr>
                <w:rFonts w:hint="eastAsia" w:cs="Times New Roman"/>
                <w:snapToGrid w:val="0"/>
                <w:color w:val="000000"/>
                <w:spacing w:val="6"/>
                <w:kern w:val="0"/>
                <w:sz w:val="24"/>
                <w:szCs w:val="24"/>
                <w:lang w:val="en-US" w:eastAsia="zh-CN"/>
              </w:rPr>
              <w:t>中</w:t>
            </w:r>
            <w:r>
              <w:rPr>
                <w:rFonts w:hint="default" w:ascii="Times New Roman" w:hAnsi="Times New Roman" w:eastAsia="宋体" w:cs="Times New Roman"/>
                <w:snapToGrid w:val="0"/>
                <w:color w:val="000000"/>
                <w:spacing w:val="6"/>
                <w:kern w:val="0"/>
                <w:sz w:val="24"/>
                <w:szCs w:val="24"/>
                <w:lang w:val="en-US" w:eastAsia="zh-CN"/>
              </w:rPr>
              <w:t>规定的自然保护地核心保护区外、生态保护红线内对生态功能不造成破坏的有限人为活动，具体情形为“6.必须且无法避让、符合县级以上国土空间规划的线性基础设施、通讯和防洪、供水设施建设和船舶航行、航道疏浚清淤等活动；已有的合法水利、交通运输等设施运行维护改造”情形。</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涉及生态保护红线符合有关规定。</w:t>
            </w:r>
          </w:p>
          <w:p w14:paraId="1E080B20">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default" w:ascii="Times New Roman" w:hAnsi="Times New Roman" w:eastAsia="宋体" w:cs="Times New Roman"/>
                <w:snapToGrid w:val="0"/>
                <w:color w:val="000000"/>
                <w:spacing w:val="6"/>
                <w:kern w:val="0"/>
                <w:sz w:val="24"/>
                <w:szCs w:val="24"/>
                <w:lang w:val="en-US" w:eastAsia="zh-CN"/>
              </w:rPr>
            </w:pPr>
            <w:r>
              <w:rPr>
                <w:rFonts w:hint="default" w:ascii="Times New Roman" w:hAnsi="Times New Roman" w:eastAsia="宋体" w:cs="Times New Roman"/>
                <w:snapToGrid w:val="0"/>
                <w:color w:val="000000"/>
                <w:spacing w:val="6"/>
                <w:sz w:val="24"/>
                <w:szCs w:val="24"/>
                <w:lang w:val="en-US" w:eastAsia="zh-CN"/>
              </w:rPr>
              <w:t>根据安徽省生态环境厅《安徽省生态保护红线生态环境监督实施办法（试行）》，生态保护红线是生态空间范围内具有特殊重要生态功能必须实行强制性严格保护的区域。生态保护红线内，自然保护地核心保护区原则上禁止人为活动，其他区域严格禁止开发性、生产性建设活动。在符合现行法律法规前提下，除国家重大项目外，仅允许对生态功能不造成破坏的有限人为活动。本工程符合《金寨县国土空间总体规划（2021-2035年）》中相关要求，本工程已取得《金寨县人民政府关于安徽金沙钼业有限公司110kV输变电工程符合生态保护红线内允许有限人为活动的说明》（详见附件34），属于对生态功能不造成破坏的有限人为活动。本工程的建设符合安徽省生态保护红线管控要求。</w:t>
            </w:r>
          </w:p>
          <w:p w14:paraId="487BAD96">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default" w:ascii="Times New Roman" w:hAnsi="Times New Roman" w:eastAsia="宋体" w:cs="Times New Roman"/>
                <w:snapToGrid w:val="0"/>
                <w:color w:val="000000"/>
                <w:spacing w:val="6"/>
                <w:kern w:val="0"/>
                <w:sz w:val="24"/>
                <w:szCs w:val="24"/>
                <w:lang w:val="en-US" w:eastAsia="zh-CN"/>
              </w:rPr>
            </w:pPr>
            <w:r>
              <w:rPr>
                <w:rFonts w:hint="eastAsia" w:cs="Times New Roman"/>
                <w:snapToGrid w:val="0"/>
                <w:color w:val="000000"/>
                <w:spacing w:val="6"/>
                <w:kern w:val="0"/>
                <w:sz w:val="24"/>
                <w:szCs w:val="24"/>
                <w:lang w:val="en-US" w:eastAsia="zh-CN"/>
              </w:rPr>
              <w:t>②</w:t>
            </w:r>
            <w:r>
              <w:rPr>
                <w:rFonts w:hint="default" w:ascii="Times New Roman" w:hAnsi="Times New Roman" w:eastAsia="宋体" w:cs="Times New Roman"/>
                <w:snapToGrid w:val="0"/>
                <w:color w:val="000000"/>
                <w:spacing w:val="6"/>
                <w:kern w:val="0"/>
                <w:sz w:val="24"/>
                <w:szCs w:val="24"/>
                <w:lang w:val="en-US" w:eastAsia="zh-CN"/>
              </w:rPr>
              <w:t>永久基本农田</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输电线路部分塔基涉及</w:t>
            </w:r>
            <w:r>
              <w:rPr>
                <w:rFonts w:hint="eastAsia" w:cs="Times New Roman"/>
                <w:snapToGrid w:val="0"/>
                <w:color w:val="000000"/>
                <w:spacing w:val="6"/>
                <w:kern w:val="0"/>
                <w:sz w:val="24"/>
                <w:szCs w:val="24"/>
                <w:lang w:val="en-US" w:eastAsia="zh-CN"/>
              </w:rPr>
              <w:t>占用</w:t>
            </w:r>
            <w:r>
              <w:rPr>
                <w:rFonts w:hint="default" w:ascii="Times New Roman" w:hAnsi="Times New Roman" w:eastAsia="宋体" w:cs="Times New Roman"/>
                <w:snapToGrid w:val="0"/>
                <w:color w:val="000000"/>
                <w:spacing w:val="6"/>
                <w:kern w:val="0"/>
                <w:sz w:val="24"/>
                <w:szCs w:val="24"/>
                <w:lang w:val="en-US" w:eastAsia="zh-CN"/>
              </w:rPr>
              <w:t>永久基本农田</w:t>
            </w:r>
            <w:r>
              <w:rPr>
                <w:rFonts w:hint="eastAsia" w:cs="Times New Roman"/>
                <w:snapToGrid w:val="0"/>
                <w:color w:val="000000"/>
                <w:spacing w:val="6"/>
                <w:kern w:val="0"/>
                <w:sz w:val="24"/>
                <w:szCs w:val="24"/>
                <w:lang w:val="en-US" w:eastAsia="zh-CN"/>
              </w:rPr>
              <w:t>（净面积0.1790公顷）</w:t>
            </w:r>
            <w:r>
              <w:rPr>
                <w:rFonts w:hint="default" w:ascii="Times New Roman" w:hAnsi="Times New Roman" w:eastAsia="宋体" w:cs="Times New Roman"/>
                <w:snapToGrid w:val="0"/>
                <w:color w:val="000000"/>
                <w:spacing w:val="6"/>
                <w:kern w:val="0"/>
                <w:sz w:val="24"/>
                <w:szCs w:val="24"/>
                <w:lang w:val="en-US" w:eastAsia="zh-CN"/>
              </w:rPr>
              <w:t>，根据《安徽省实施&lt;中华人民共和国电力法&gt;办法》第十四条规定：“架空电力线路走廊（包括杆、塔基础）、地下电缆通道等占地较少工程建设，可以不实行征地，电力建设单位对杆塔基础、地下电缆工井占用的土地应当依法给予补偿”。因此，</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输电线路和塔基无需履行建设用地审批手续，建设单位在施工前依法做好群众</w:t>
            </w:r>
            <w:r>
              <w:rPr>
                <w:rFonts w:hint="eastAsia" w:cs="Times New Roman"/>
                <w:snapToGrid w:val="0"/>
                <w:color w:val="000000"/>
                <w:spacing w:val="6"/>
                <w:kern w:val="0"/>
                <w:sz w:val="24"/>
                <w:szCs w:val="24"/>
                <w:lang w:val="en-US" w:eastAsia="zh-CN"/>
              </w:rPr>
              <w:t>的</w:t>
            </w:r>
            <w:r>
              <w:rPr>
                <w:rFonts w:hint="default" w:ascii="Times New Roman" w:hAnsi="Times New Roman" w:eastAsia="宋体" w:cs="Times New Roman"/>
                <w:snapToGrid w:val="0"/>
                <w:color w:val="000000"/>
                <w:spacing w:val="6"/>
                <w:kern w:val="0"/>
                <w:sz w:val="24"/>
                <w:szCs w:val="24"/>
                <w:lang w:val="en-US" w:eastAsia="zh-CN"/>
              </w:rPr>
              <w:t>土地补偿工作。根据《永久基本农田保护红线管理办法》（2025年10月1日起施行）第二十一条规定，</w:t>
            </w:r>
            <w:r>
              <w:rPr>
                <w:rFonts w:hint="eastAsia" w:cs="Times New Roman"/>
                <w:snapToGrid w:val="0"/>
                <w:color w:val="000000"/>
                <w:spacing w:val="6"/>
                <w:kern w:val="0"/>
                <w:sz w:val="24"/>
                <w:szCs w:val="24"/>
                <w:lang w:val="en-US" w:eastAsia="zh-CN"/>
              </w:rPr>
              <w:t>本项目对永久基本农田的不可避让性以及对耕作的影响已经进行论证，并已报金寨县自然资源和规划局备案（详见附件41）。</w:t>
            </w:r>
            <w:r>
              <w:rPr>
                <w:rFonts w:hint="default" w:ascii="Times New Roman" w:hAnsi="Times New Roman" w:eastAsia="宋体" w:cs="Times New Roman"/>
                <w:snapToGrid w:val="0"/>
                <w:color w:val="000000"/>
                <w:spacing w:val="6"/>
                <w:kern w:val="0"/>
                <w:sz w:val="24"/>
                <w:szCs w:val="24"/>
                <w:lang w:val="en-US" w:eastAsia="zh-CN"/>
              </w:rPr>
              <w:t>在施工阶段采取</w:t>
            </w:r>
            <w:r>
              <w:rPr>
                <w:rFonts w:hint="eastAsia" w:cs="Times New Roman"/>
                <w:snapToGrid w:val="0"/>
                <w:color w:val="000000"/>
                <w:spacing w:val="6"/>
                <w:kern w:val="0"/>
                <w:sz w:val="24"/>
                <w:szCs w:val="24"/>
                <w:lang w:val="en-US" w:eastAsia="zh-CN"/>
              </w:rPr>
              <w:t>减少施工占地面积、优化施工工艺、边施工边修复等</w:t>
            </w:r>
            <w:r>
              <w:rPr>
                <w:rFonts w:hint="default" w:ascii="Times New Roman" w:hAnsi="Times New Roman" w:eastAsia="宋体" w:cs="Times New Roman"/>
                <w:snapToGrid w:val="0"/>
                <w:color w:val="000000"/>
                <w:spacing w:val="6"/>
                <w:kern w:val="0"/>
                <w:sz w:val="24"/>
                <w:szCs w:val="24"/>
                <w:lang w:val="en-US" w:eastAsia="zh-CN"/>
              </w:rPr>
              <w:t>措施，保护耕地和永久基本农田，不得擅自改变土地用途，尽量降低对区域农业生产生活的影响。</w:t>
            </w:r>
          </w:p>
          <w:p w14:paraId="556F8A4B">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default" w:ascii="Times New Roman" w:hAnsi="Times New Roman" w:eastAsia="宋体" w:cs="Times New Roman"/>
                <w:snapToGrid w:val="0"/>
                <w:color w:val="000000"/>
                <w:spacing w:val="6"/>
                <w:kern w:val="0"/>
                <w:sz w:val="24"/>
                <w:szCs w:val="24"/>
                <w:lang w:val="en-US" w:eastAsia="zh-CN"/>
              </w:rPr>
            </w:pPr>
            <w:r>
              <w:rPr>
                <w:rFonts w:hint="eastAsia" w:cs="Times New Roman"/>
                <w:snapToGrid w:val="0"/>
                <w:color w:val="000000"/>
                <w:spacing w:val="6"/>
                <w:kern w:val="0"/>
                <w:sz w:val="24"/>
                <w:szCs w:val="24"/>
                <w:lang w:val="en-US" w:eastAsia="zh-CN"/>
              </w:rPr>
              <w:t>③</w:t>
            </w:r>
            <w:r>
              <w:rPr>
                <w:rFonts w:hint="default" w:ascii="Times New Roman" w:hAnsi="Times New Roman" w:eastAsia="宋体" w:cs="Times New Roman"/>
                <w:snapToGrid w:val="0"/>
                <w:color w:val="000000"/>
                <w:spacing w:val="6"/>
                <w:kern w:val="0"/>
                <w:sz w:val="24"/>
                <w:szCs w:val="24"/>
                <w:lang w:val="en-US" w:eastAsia="zh-CN"/>
              </w:rPr>
              <w:t>城镇开发边界</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整体用地（含输电线路、塔基）不涉及城镇开发边界，符合城镇开发边界管控规则。</w:t>
            </w:r>
          </w:p>
          <w:p w14:paraId="47CE77A5">
            <w:pPr>
              <w:keepNext w:val="0"/>
              <w:keepLines w:val="0"/>
              <w:pageBreakBefore w:val="0"/>
              <w:widowControl/>
              <w:kinsoku/>
              <w:wordWrap/>
              <w:overflowPunct/>
              <w:topLinePunct/>
              <w:autoSpaceDE/>
              <w:autoSpaceDN/>
              <w:bidi w:val="0"/>
              <w:adjustRightInd/>
              <w:snapToGrid/>
              <w:spacing w:line="360" w:lineRule="auto"/>
              <w:ind w:right="0" w:firstLine="504" w:firstLineChars="200"/>
              <w:jc w:val="both"/>
              <w:textAlignment w:val="baseline"/>
              <w:rPr>
                <w:rFonts w:hint="eastAsia" w:ascii="宋体" w:hAnsi="宋体" w:eastAsia="宋体" w:cs="宋体"/>
                <w:snapToGrid w:val="0"/>
                <w:color w:val="000000"/>
                <w:spacing w:val="6"/>
                <w:kern w:val="0"/>
                <w:sz w:val="24"/>
                <w:szCs w:val="24"/>
                <w:lang w:eastAsia="zh-CN"/>
              </w:rPr>
            </w:pPr>
            <w:r>
              <w:rPr>
                <w:rFonts w:hint="eastAsia" w:cs="Times New Roman"/>
                <w:snapToGrid w:val="0"/>
                <w:color w:val="000000"/>
                <w:spacing w:val="6"/>
                <w:kern w:val="0"/>
                <w:sz w:val="24"/>
                <w:szCs w:val="24"/>
                <w:lang w:val="en-US" w:eastAsia="zh-CN"/>
              </w:rPr>
              <w:t>综上所述，本工程符合金寨县“三区三线”相关要求，</w:t>
            </w:r>
            <w:r>
              <w:rPr>
                <w:rFonts w:hint="default" w:ascii="Times New Roman" w:hAnsi="Times New Roman" w:eastAsia="宋体" w:cs="Times New Roman"/>
                <w:snapToGrid w:val="0"/>
                <w:color w:val="000000"/>
                <w:spacing w:val="6"/>
                <w:kern w:val="0"/>
                <w:sz w:val="24"/>
                <w:szCs w:val="24"/>
                <w:lang w:val="en-US" w:eastAsia="zh-CN"/>
              </w:rPr>
              <w:t>变电站及输电线路与周边已划定的“三区三线”套合图见附图4-1和附图4-2。</w:t>
            </w:r>
          </w:p>
          <w:p w14:paraId="1CA458CD">
            <w:pPr>
              <w:keepNext w:val="0"/>
              <w:keepLines w:val="0"/>
              <w:pageBreakBefore w:val="0"/>
              <w:widowControl/>
              <w:kinsoku/>
              <w:wordWrap/>
              <w:overflowPunct/>
              <w:topLinePunct/>
              <w:autoSpaceDE/>
              <w:autoSpaceDN/>
              <w:bidi w:val="0"/>
              <w:adjustRightInd/>
              <w:snapToGrid/>
              <w:spacing w:line="360" w:lineRule="auto"/>
              <w:ind w:right="0" w:firstLine="506" w:firstLineChars="200"/>
              <w:jc w:val="both"/>
              <w:textAlignment w:val="baseline"/>
              <w:rPr>
                <w:rFonts w:hint="default" w:ascii="Times New Roman" w:hAnsi="Times New Roman" w:eastAsia="宋体" w:cs="Times New Roman"/>
                <w:snapToGrid w:val="0"/>
                <w:color w:val="000000"/>
                <w:spacing w:val="6"/>
                <w:kern w:val="0"/>
                <w:sz w:val="24"/>
                <w:szCs w:val="24"/>
                <w:lang w:val="en-US" w:eastAsia="zh-CN"/>
              </w:rPr>
            </w:pPr>
            <w:r>
              <w:rPr>
                <w:rFonts w:hint="eastAsia" w:cs="Times New Roman"/>
                <w:b/>
                <w:bCs/>
                <w:snapToGrid w:val="0"/>
                <w:color w:val="000000"/>
                <w:spacing w:val="6"/>
                <w:kern w:val="0"/>
                <w:sz w:val="24"/>
                <w:szCs w:val="24"/>
                <w:lang w:val="en-US" w:eastAsia="zh-CN"/>
              </w:rPr>
              <w:t>（3）与其他相关政策文件的符合性分析</w:t>
            </w:r>
          </w:p>
          <w:p w14:paraId="085D6319">
            <w:pPr>
              <w:keepNext w:val="0"/>
              <w:keepLines w:val="0"/>
              <w:numPr>
                <w:ilvl w:val="-1"/>
                <w:numId w:val="0"/>
              </w:numPr>
              <w:suppressLineNumbers w:val="0"/>
              <w:spacing w:before="0" w:beforeAutospacing="0" w:after="0" w:afterAutospacing="0" w:line="360" w:lineRule="auto"/>
              <w:ind w:left="0" w:right="0" w:firstLine="480" w:firstLineChars="200"/>
              <w:outlineLvl w:val="9"/>
              <w:rPr>
                <w:rFonts w:hint="default" w:ascii="Times New Roman" w:hAnsi="Times New Roman" w:eastAsia="宋体" w:cs="Times New Roman"/>
                <w:sz w:val="24"/>
                <w:szCs w:val="32"/>
                <w:lang w:val="en-US" w:eastAsia="zh-CN"/>
              </w:rPr>
            </w:pPr>
            <w:r>
              <w:rPr>
                <w:rFonts w:hint="default" w:ascii="Times New Roman" w:hAnsi="Times New Roman" w:eastAsia="宋体" w:cs="Times New Roman"/>
                <w:sz w:val="24"/>
                <w:szCs w:val="32"/>
                <w:lang w:val="en-US" w:eastAsia="zh-CN"/>
              </w:rPr>
              <w:t>对照《</w:t>
            </w:r>
            <w:r>
              <w:rPr>
                <w:rFonts w:hint="eastAsia" w:ascii="Times New Roman" w:hAnsi="Times New Roman" w:eastAsia="宋体" w:cs="Times New Roman"/>
                <w:sz w:val="24"/>
                <w:szCs w:val="32"/>
                <w:lang w:val="en-US" w:eastAsia="zh-CN"/>
              </w:rPr>
              <w:t>建设项目使用林地审核审批管理办法</w:t>
            </w:r>
            <w:r>
              <w:rPr>
                <w:rFonts w:hint="default" w:ascii="Times New Roman" w:hAnsi="Times New Roman" w:eastAsia="宋体" w:cs="Times New Roman"/>
                <w:sz w:val="24"/>
                <w:szCs w:val="32"/>
                <w:lang w:val="en-US" w:eastAsia="zh-CN"/>
              </w:rPr>
              <w:t>》</w:t>
            </w:r>
            <w:r>
              <w:rPr>
                <w:rFonts w:hint="eastAsia" w:ascii="Times New Roman" w:hAnsi="Times New Roman" w:eastAsia="宋体" w:cs="Times New Roman"/>
                <w:sz w:val="24"/>
                <w:szCs w:val="32"/>
                <w:lang w:val="en-US" w:eastAsia="zh-CN"/>
              </w:rPr>
              <w:t>（</w:t>
            </w:r>
            <w:r>
              <w:rPr>
                <w:rFonts w:hint="eastAsia" w:cs="Times New Roman"/>
                <w:sz w:val="24"/>
                <w:szCs w:val="32"/>
                <w:lang w:val="en-US" w:eastAsia="zh-CN"/>
              </w:rPr>
              <w:t>国家林业和草原局</w:t>
            </w:r>
            <w:r>
              <w:rPr>
                <w:rFonts w:hint="eastAsia" w:ascii="Times New Roman" w:hAnsi="Times New Roman" w:eastAsia="宋体" w:cs="Times New Roman"/>
                <w:sz w:val="24"/>
                <w:szCs w:val="32"/>
                <w:lang w:val="en-US" w:eastAsia="zh-CN"/>
              </w:rPr>
              <w:t>令第42号修改）、《六安市“十四五”林业发展规划》《金寨县“十四五”林业发展规划》</w:t>
            </w:r>
            <w:r>
              <w:rPr>
                <w:rFonts w:hint="eastAsia" w:cs="Times New Roman"/>
                <w:sz w:val="24"/>
                <w:szCs w:val="32"/>
                <w:lang w:val="en-US" w:eastAsia="zh-CN"/>
              </w:rPr>
              <w:t>《中华人民共和国水污染防治法（2017年第二次修订）》</w:t>
            </w:r>
            <w:r>
              <w:rPr>
                <w:rFonts w:hint="eastAsia" w:ascii="Times New Roman" w:hAnsi="Times New Roman" w:eastAsia="宋体" w:cs="Times New Roman"/>
                <w:sz w:val="24"/>
                <w:szCs w:val="32"/>
                <w:lang w:val="en-US" w:eastAsia="zh-CN"/>
              </w:rPr>
              <w:t>《安徽省饮用水水源</w:t>
            </w:r>
            <w:r>
              <w:rPr>
                <w:rFonts w:hint="eastAsia" w:cs="Times New Roman"/>
                <w:sz w:val="24"/>
                <w:szCs w:val="32"/>
                <w:lang w:val="en-US" w:eastAsia="zh-CN"/>
              </w:rPr>
              <w:t>环境</w:t>
            </w:r>
            <w:r>
              <w:rPr>
                <w:rFonts w:hint="eastAsia" w:ascii="Times New Roman" w:hAnsi="Times New Roman" w:eastAsia="宋体" w:cs="Times New Roman"/>
                <w:sz w:val="24"/>
                <w:szCs w:val="32"/>
                <w:lang w:val="en-US" w:eastAsia="zh-CN"/>
              </w:rPr>
              <w:t>保护条例》（安徽省人大常委会公告 第49号）、《六安市饮用水水源</w:t>
            </w:r>
            <w:r>
              <w:rPr>
                <w:rFonts w:hint="eastAsia" w:cs="Times New Roman"/>
                <w:sz w:val="24"/>
                <w:szCs w:val="32"/>
                <w:lang w:val="en-US" w:eastAsia="zh-CN"/>
              </w:rPr>
              <w:t>环境</w:t>
            </w:r>
            <w:r>
              <w:rPr>
                <w:rFonts w:hint="eastAsia" w:ascii="Times New Roman" w:hAnsi="Times New Roman" w:eastAsia="宋体" w:cs="Times New Roman"/>
                <w:sz w:val="24"/>
                <w:szCs w:val="32"/>
                <w:lang w:val="en-US" w:eastAsia="zh-CN"/>
              </w:rPr>
              <w:t>保护条例》《关于公布梅山、响洪甸两座水库保护范围划界结果的通知》</w:t>
            </w:r>
            <w:r>
              <w:rPr>
                <w:rFonts w:hint="eastAsia" w:cs="Times New Roman"/>
                <w:sz w:val="24"/>
                <w:szCs w:val="32"/>
                <w:lang w:val="en-US" w:eastAsia="zh-CN"/>
              </w:rPr>
              <w:t>《金寨县“十四五”生态环境保护规划》</w:t>
            </w:r>
            <w:r>
              <w:rPr>
                <w:rFonts w:hint="default" w:ascii="Times New Roman" w:hAnsi="Times New Roman" w:eastAsia="宋体" w:cs="Times New Roman"/>
                <w:sz w:val="24"/>
                <w:szCs w:val="32"/>
                <w:lang w:val="en-US" w:eastAsia="zh-CN"/>
              </w:rPr>
              <w:t>中相关政策要求，</w:t>
            </w:r>
            <w:r>
              <w:rPr>
                <w:rFonts w:hint="eastAsia" w:cs="Times New Roman"/>
                <w:sz w:val="24"/>
                <w:szCs w:val="32"/>
                <w:lang w:val="en-US" w:eastAsia="zh-CN"/>
              </w:rPr>
              <w:t>本工程</w:t>
            </w:r>
            <w:r>
              <w:rPr>
                <w:rFonts w:hint="default" w:ascii="Times New Roman" w:hAnsi="Times New Roman" w:eastAsia="宋体" w:cs="Times New Roman"/>
                <w:sz w:val="24"/>
                <w:szCs w:val="32"/>
                <w:lang w:val="en-US" w:eastAsia="zh-CN"/>
              </w:rPr>
              <w:t>与相关政策的符合性分析汇总见下表。</w:t>
            </w:r>
          </w:p>
          <w:p w14:paraId="0C7A4E29">
            <w:pPr>
              <w:keepNext w:val="0"/>
              <w:keepLines w:val="0"/>
              <w:widowControl/>
              <w:suppressLineNumbers w:val="0"/>
              <w:spacing w:before="0" w:beforeAutospacing="0" w:after="0" w:afterAutospacing="0"/>
              <w:ind w:left="0" w:right="0"/>
              <w:jc w:val="center"/>
              <w:rPr>
                <w:rFonts w:hint="default" w:ascii="Times New Roman" w:hAnsi="Times New Roman" w:cs="Times New Roman"/>
                <w:lang w:val="en-US" w:eastAsia="zh-CN"/>
              </w:rPr>
            </w:pPr>
            <w:r>
              <w:rPr>
                <w:rFonts w:hint="default"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kern w:val="0"/>
                <w:sz w:val="21"/>
                <w:szCs w:val="21"/>
                <w:lang w:val="en-US" w:eastAsia="zh-CN" w:bidi="ar"/>
              </w:rPr>
              <w:t>与</w:t>
            </w:r>
            <w:r>
              <w:rPr>
                <w:rFonts w:hint="eastAsia" w:ascii="Times New Roman" w:hAnsi="Times New Roman" w:eastAsia="宋体" w:cs="Times New Roman"/>
                <w:b/>
                <w:bCs/>
                <w:color w:val="auto"/>
                <w:kern w:val="0"/>
                <w:sz w:val="21"/>
                <w:szCs w:val="21"/>
                <w:lang w:val="en-US" w:eastAsia="zh-CN" w:bidi="ar"/>
              </w:rPr>
              <w:t>其他</w:t>
            </w:r>
            <w:r>
              <w:rPr>
                <w:rFonts w:hint="default" w:ascii="Times New Roman" w:hAnsi="Times New Roman" w:eastAsia="宋体" w:cs="Times New Roman"/>
                <w:b/>
                <w:bCs/>
                <w:color w:val="auto"/>
                <w:kern w:val="0"/>
                <w:sz w:val="21"/>
                <w:szCs w:val="21"/>
                <w:lang w:val="en-US" w:eastAsia="zh-CN" w:bidi="ar"/>
              </w:rPr>
              <w:t>相关政策文件的符合性分析一览表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4360"/>
              <w:gridCol w:w="1842"/>
              <w:gridCol w:w="857"/>
            </w:tblGrid>
            <w:tr w14:paraId="7254C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Align w:val="center"/>
                </w:tcPr>
                <w:p w14:paraId="7633C1D1">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政策名称</w:t>
                  </w:r>
                </w:p>
              </w:tc>
              <w:tc>
                <w:tcPr>
                  <w:tcW w:w="4360" w:type="dxa"/>
                  <w:vAlign w:val="center"/>
                </w:tcPr>
                <w:p w14:paraId="3B05FC98">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文件</w:t>
                  </w:r>
                  <w:r>
                    <w:rPr>
                      <w:rFonts w:hint="eastAsia" w:ascii="Times New Roman" w:hAnsi="Times New Roman" w:eastAsia="宋体" w:cs="Times New Roman"/>
                      <w:b/>
                      <w:bCs/>
                      <w:sz w:val="21"/>
                      <w:szCs w:val="21"/>
                      <w:vertAlign w:val="baseline"/>
                      <w:lang w:val="en-US" w:eastAsia="zh-CN"/>
                    </w:rPr>
                    <w:t>要求</w:t>
                  </w:r>
                </w:p>
              </w:tc>
              <w:tc>
                <w:tcPr>
                  <w:tcW w:w="1842" w:type="dxa"/>
                  <w:vAlign w:val="center"/>
                </w:tcPr>
                <w:p w14:paraId="1FC0A33A">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项目情况</w:t>
                  </w:r>
                </w:p>
              </w:tc>
              <w:tc>
                <w:tcPr>
                  <w:tcW w:w="857" w:type="dxa"/>
                  <w:vAlign w:val="center"/>
                </w:tcPr>
                <w:p w14:paraId="3DFF1C4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符合性</w:t>
                  </w:r>
                </w:p>
              </w:tc>
            </w:tr>
            <w:tr w14:paraId="23CE6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vAlign w:val="center"/>
                </w:tcPr>
                <w:p w14:paraId="3760C97C">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《建设项目使用林地审核审批管理办法》（</w:t>
                  </w:r>
                  <w:r>
                    <w:rPr>
                      <w:rFonts w:hint="eastAsia" w:ascii="Times New Roman" w:hAnsi="Times New Roman" w:eastAsia="宋体" w:cs="Times New Roman"/>
                      <w:b w:val="0"/>
                      <w:bCs w:val="0"/>
                      <w:sz w:val="21"/>
                      <w:szCs w:val="21"/>
                      <w:vertAlign w:val="baseline"/>
                      <w:lang w:val="en-US" w:eastAsia="zh-CN"/>
                    </w:rPr>
                    <w:t>国家林业和草原局</w:t>
                  </w:r>
                  <w:r>
                    <w:rPr>
                      <w:rFonts w:hint="default" w:ascii="Times New Roman" w:hAnsi="Times New Roman" w:eastAsia="宋体" w:cs="Times New Roman"/>
                      <w:b w:val="0"/>
                      <w:bCs w:val="0"/>
                      <w:sz w:val="21"/>
                      <w:szCs w:val="21"/>
                      <w:vertAlign w:val="baseline"/>
                      <w:lang w:val="en-US" w:eastAsia="zh-CN"/>
                    </w:rPr>
                    <w:t>令第42号修改）</w:t>
                  </w:r>
                </w:p>
              </w:tc>
              <w:tc>
                <w:tcPr>
                  <w:tcW w:w="4360" w:type="dxa"/>
                  <w:vAlign w:val="center"/>
                </w:tcPr>
                <w:p w14:paraId="2851F2A6">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建设项目应当不占或者少占林地，必须使用林地的，应当符合林地保护利用规划，合理和节约集约利用林地。</w:t>
                  </w:r>
                </w:p>
              </w:tc>
              <w:tc>
                <w:tcPr>
                  <w:tcW w:w="1842" w:type="dxa"/>
                  <w:vMerge w:val="restart"/>
                  <w:vAlign w:val="center"/>
                </w:tcPr>
                <w:p w14:paraId="05098C8C">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项目</w:t>
                  </w:r>
                  <w:r>
                    <w:rPr>
                      <w:rFonts w:hint="eastAsia" w:ascii="Times New Roman" w:hAnsi="Times New Roman" w:eastAsia="宋体" w:cs="Times New Roman"/>
                      <w:b w:val="0"/>
                      <w:bCs w:val="0"/>
                      <w:sz w:val="21"/>
                      <w:szCs w:val="21"/>
                      <w:vertAlign w:val="baseline"/>
                      <w:lang w:val="en-US" w:eastAsia="zh-CN"/>
                    </w:rPr>
                    <w:t>涉及占用林地，</w:t>
                  </w:r>
                  <w:r>
                    <w:rPr>
                      <w:rFonts w:hint="default" w:ascii="Times New Roman" w:hAnsi="Times New Roman" w:eastAsia="宋体" w:cs="Times New Roman"/>
                      <w:b w:val="0"/>
                      <w:bCs w:val="0"/>
                      <w:sz w:val="21"/>
                      <w:szCs w:val="21"/>
                      <w:vertAlign w:val="baseline"/>
                      <w:lang w:val="en-US" w:eastAsia="zh-CN"/>
                    </w:rPr>
                    <w:t>不涉及</w:t>
                  </w:r>
                  <w:r>
                    <w:rPr>
                      <w:rFonts w:hint="eastAsia" w:ascii="Times New Roman" w:hAnsi="Times New Roman" w:eastAsia="宋体" w:cs="Times New Roman"/>
                      <w:b w:val="0"/>
                      <w:bCs w:val="0"/>
                      <w:sz w:val="21"/>
                      <w:szCs w:val="21"/>
                      <w:vertAlign w:val="baseline"/>
                      <w:lang w:val="en-US" w:eastAsia="zh-CN"/>
                    </w:rPr>
                    <w:t>占用</w:t>
                  </w:r>
                  <w:r>
                    <w:rPr>
                      <w:rFonts w:hint="default" w:ascii="Times New Roman" w:hAnsi="Times New Roman" w:eastAsia="宋体" w:cs="Times New Roman"/>
                      <w:b w:val="0"/>
                      <w:bCs w:val="0"/>
                      <w:sz w:val="21"/>
                      <w:szCs w:val="21"/>
                      <w:vertAlign w:val="baseline"/>
                      <w:lang w:val="en-US" w:eastAsia="zh-CN"/>
                    </w:rPr>
                    <w:t>I级保护林地和一级国家级公益林</w:t>
                  </w:r>
                  <w:r>
                    <w:rPr>
                      <w:rFonts w:hint="eastAsia" w:ascii="Times New Roman" w:hAnsi="Times New Roman" w:eastAsia="宋体" w:cs="Times New Roman"/>
                      <w:b w:val="0"/>
                      <w:bCs w:val="0"/>
                      <w:sz w:val="21"/>
                      <w:szCs w:val="21"/>
                      <w:vertAlign w:val="baseline"/>
                      <w:lang w:val="en-US" w:eastAsia="zh-CN"/>
                    </w:rPr>
                    <w:t>；项目已取得金寨县林业局关于同意该项目建设的回函。</w:t>
                  </w:r>
                </w:p>
              </w:tc>
              <w:tc>
                <w:tcPr>
                  <w:tcW w:w="857" w:type="dxa"/>
                  <w:vAlign w:val="center"/>
                </w:tcPr>
                <w:p w14:paraId="6AF06CA9">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F8D3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750DBB87">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73E752D0">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占用和临时占用林地的建设项目应当遵守林地分级管理的规定：（一）各类建设项目不得使用Ⅰ级保护林地</w:t>
                  </w:r>
                  <w:r>
                    <w:rPr>
                      <w:rFonts w:hint="eastAsia" w:ascii="Times New Roman" w:hAnsi="Times New Roman" w:eastAsia="宋体" w:cs="Times New Roman"/>
                      <w:b w:val="0"/>
                      <w:bCs w:val="0"/>
                      <w:sz w:val="21"/>
                      <w:szCs w:val="21"/>
                      <w:vertAlign w:val="baseline"/>
                      <w:lang w:val="en-US" w:eastAsia="zh-CN"/>
                    </w:rPr>
                    <w:t>。</w:t>
                  </w:r>
                </w:p>
              </w:tc>
              <w:tc>
                <w:tcPr>
                  <w:tcW w:w="1842" w:type="dxa"/>
                  <w:vMerge w:val="continue"/>
                  <w:vAlign w:val="center"/>
                </w:tcPr>
                <w:p w14:paraId="2A631B3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857" w:type="dxa"/>
                  <w:vAlign w:val="center"/>
                </w:tcPr>
                <w:p w14:paraId="7B2E194B">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19FD1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Align w:val="center"/>
                </w:tcPr>
                <w:p w14:paraId="0A1C3688">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《六安市“十四五”林业发展规划》</w:t>
                  </w:r>
                </w:p>
              </w:tc>
              <w:tc>
                <w:tcPr>
                  <w:tcW w:w="4360" w:type="dxa"/>
                  <w:vAlign w:val="center"/>
                </w:tcPr>
                <w:p w14:paraId="19A18A1C">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坚守林业生态保护底线，严格落实森林资源保护发展目标责任制，确保“十四五”期间森林蓄积量逐步提高。组织指导编制新一轮县级《林地保护利用规划》，对接国土空间规划，将国家级和省级自然保护区核心区内林地保护等级划为Ⅰ级，严禁占用。规范建设项目使用林地审核审批程序，引导集约节约使用林地，优先保障基础设施、公共事业和民生、农村产业融合发展用地需要。严格执行限额采伐，落实采伐更新管理制度，着重检查是否按标准恢复植被，确保林木越采越多。积极引导和鼓励森林经营者科学编制森林经营方案，并将其作为开展森林经营活动和采伐管理的重要依据，到2022年前所有县区完成县级森林经营规划编制工作。开展森林督查、即时卫片监测、行政案件复核等常态化执法专项行动，严厉打击各类破坏森林资源违法犯罪行为，对重大破坏生态环境案件，开展生态环境损害赔偿工作。加强重点公益林保护，优先在天马国家级自然保护区、大别山地质公园、五大水库周边水源涵养林、淠河沿岸防护林等重点公益林区域建设林长制改革公益林保护示范区。贯彻落实《天然林保护修复制度方案》，推动天然林保护扩面提标。</w:t>
                  </w:r>
                </w:p>
              </w:tc>
              <w:tc>
                <w:tcPr>
                  <w:tcW w:w="1842" w:type="dxa"/>
                  <w:vAlign w:val="center"/>
                </w:tcPr>
                <w:p w14:paraId="5C1AA50B">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w:t>
                  </w:r>
                  <w:r>
                    <w:rPr>
                      <w:rFonts w:hint="default" w:ascii="Times New Roman" w:hAnsi="Times New Roman" w:eastAsia="宋体" w:cs="Times New Roman"/>
                      <w:b w:val="0"/>
                      <w:bCs w:val="0"/>
                      <w:sz w:val="21"/>
                      <w:szCs w:val="21"/>
                      <w:vertAlign w:val="baseline"/>
                      <w:lang w:val="en-US" w:eastAsia="zh-CN"/>
                    </w:rPr>
                    <w:t>不涉及</w:t>
                  </w:r>
                  <w:r>
                    <w:rPr>
                      <w:rFonts w:hint="eastAsia" w:ascii="Times New Roman" w:hAnsi="Times New Roman" w:eastAsia="宋体" w:cs="Times New Roman"/>
                      <w:b w:val="0"/>
                      <w:bCs w:val="0"/>
                      <w:sz w:val="21"/>
                      <w:szCs w:val="21"/>
                      <w:vertAlign w:val="baseline"/>
                      <w:lang w:val="en-US" w:eastAsia="zh-CN"/>
                    </w:rPr>
                    <w:t>占用</w:t>
                  </w:r>
                  <w:r>
                    <w:rPr>
                      <w:rFonts w:hint="default" w:ascii="Times New Roman" w:hAnsi="Times New Roman" w:eastAsia="宋体" w:cs="Times New Roman"/>
                      <w:b w:val="0"/>
                      <w:bCs w:val="0"/>
                      <w:sz w:val="21"/>
                      <w:szCs w:val="21"/>
                      <w:vertAlign w:val="baseline"/>
                      <w:lang w:val="en-US" w:eastAsia="zh-CN"/>
                    </w:rPr>
                    <w:t>I级保护林地和一级国家级公益林</w:t>
                  </w:r>
                  <w:r>
                    <w:rPr>
                      <w:rFonts w:hint="eastAsia" w:ascii="Times New Roman" w:hAnsi="Times New Roman" w:eastAsia="宋体" w:cs="Times New Roman"/>
                      <w:b w:val="0"/>
                      <w:bCs w:val="0"/>
                      <w:sz w:val="21"/>
                      <w:szCs w:val="21"/>
                      <w:vertAlign w:val="baseline"/>
                      <w:lang w:val="en-US" w:eastAsia="zh-CN"/>
                    </w:rPr>
                    <w:t>；项目已取得金寨县林业局关于同意该项目建设的回函。</w:t>
                  </w:r>
                </w:p>
              </w:tc>
              <w:tc>
                <w:tcPr>
                  <w:tcW w:w="857" w:type="dxa"/>
                  <w:vAlign w:val="center"/>
                </w:tcPr>
                <w:p w14:paraId="79C0EBC7">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701B3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Align w:val="center"/>
                </w:tcPr>
                <w:p w14:paraId="5B8B3641">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r>
                    <w:rPr>
                      <w:rFonts w:hint="eastAsia" w:ascii="Times New Roman" w:hAnsi="Times New Roman" w:eastAsia="宋体" w:cs="Times New Roman"/>
                      <w:b w:val="0"/>
                      <w:bCs w:val="0"/>
                      <w:sz w:val="21"/>
                      <w:szCs w:val="21"/>
                      <w:vertAlign w:val="baseline"/>
                      <w:lang w:val="en-US" w:eastAsia="zh-CN"/>
                    </w:rPr>
                    <w:t>金寨县</w:t>
                  </w:r>
                  <w:r>
                    <w:rPr>
                      <w:rFonts w:hint="default" w:ascii="Times New Roman" w:hAnsi="Times New Roman" w:eastAsia="宋体" w:cs="Times New Roman"/>
                      <w:b w:val="0"/>
                      <w:bCs w:val="0"/>
                      <w:sz w:val="21"/>
                      <w:szCs w:val="21"/>
                      <w:vertAlign w:val="baseline"/>
                      <w:lang w:val="en-US" w:eastAsia="zh-CN"/>
                    </w:rPr>
                    <w:t>“十四五”林业发展规划》</w:t>
                  </w:r>
                </w:p>
              </w:tc>
              <w:tc>
                <w:tcPr>
                  <w:tcW w:w="4360" w:type="dxa"/>
                  <w:vAlign w:val="center"/>
                </w:tcPr>
                <w:p w14:paraId="286B4DF5">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一是加强森林资源保护，巩固造林绿化成果。实行森林资源保护管理制度，设立和严守生态保护红线。重点在库区和高速公路和高速铁路沿线开展封山育林和森林抚育。积极构建生态公益林现代化保护治理体系，完善天然林保护制度。强化林业防灾减灾体系建设，健全林业执法监管机制，筑牢生态安全屏障。</w:t>
                  </w:r>
                </w:p>
              </w:tc>
              <w:tc>
                <w:tcPr>
                  <w:tcW w:w="1842" w:type="dxa"/>
                  <w:vAlign w:val="center"/>
                </w:tcPr>
                <w:p w14:paraId="4A6F8ECA">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w:t>
                  </w:r>
                  <w:r>
                    <w:rPr>
                      <w:rFonts w:hint="default" w:ascii="Times New Roman" w:hAnsi="Times New Roman" w:eastAsia="宋体" w:cs="Times New Roman"/>
                      <w:b w:val="0"/>
                      <w:bCs w:val="0"/>
                      <w:sz w:val="21"/>
                      <w:szCs w:val="21"/>
                      <w:vertAlign w:val="baseline"/>
                      <w:lang w:val="en-US" w:eastAsia="zh-CN"/>
                    </w:rPr>
                    <w:t>线路工程涉及占用生态保护红线，新建塔基占用生态保护红线总面积为</w:t>
                  </w:r>
                  <w:r>
                    <w:rPr>
                      <w:rFonts w:hint="eastAsia" w:ascii="Times New Roman" w:hAnsi="Times New Roman" w:eastAsia="宋体" w:cs="Times New Roman"/>
                      <w:b w:val="0"/>
                      <w:bCs w:val="0"/>
                      <w:sz w:val="21"/>
                      <w:szCs w:val="21"/>
                      <w:vertAlign w:val="baseline"/>
                      <w:lang w:val="en-US" w:eastAsia="zh-CN"/>
                    </w:rPr>
                    <w:t>0.4970</w:t>
                  </w:r>
                  <w:r>
                    <w:rPr>
                      <w:rFonts w:hint="default" w:ascii="Times New Roman" w:hAnsi="Times New Roman" w:eastAsia="宋体" w:cs="Times New Roman"/>
                      <w:b w:val="0"/>
                      <w:bCs w:val="0"/>
                      <w:sz w:val="21"/>
                      <w:szCs w:val="21"/>
                      <w:vertAlign w:val="baseline"/>
                      <w:lang w:val="en-US" w:eastAsia="zh-CN"/>
                    </w:rPr>
                    <w:t>公顷，主要为林地等，输电线路不涉及占用国家一级公益林</w:t>
                  </w:r>
                  <w:r>
                    <w:rPr>
                      <w:rFonts w:hint="eastAsia" w:ascii="Times New Roman" w:hAnsi="Times New Roman" w:eastAsia="宋体" w:cs="Times New Roman"/>
                      <w:b w:val="0"/>
                      <w:bCs w:val="0"/>
                      <w:sz w:val="21"/>
                      <w:szCs w:val="21"/>
                      <w:vertAlign w:val="baseline"/>
                      <w:lang w:val="en-US" w:eastAsia="zh-CN"/>
                    </w:rPr>
                    <w:t>。</w:t>
                  </w:r>
                </w:p>
              </w:tc>
              <w:tc>
                <w:tcPr>
                  <w:tcW w:w="857" w:type="dxa"/>
                  <w:vAlign w:val="center"/>
                </w:tcPr>
                <w:p w14:paraId="78250F41">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E2A2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vAlign w:val="center"/>
                </w:tcPr>
                <w:p w14:paraId="68B90DF4">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《中华人民共和国水污染防治法（2017年第二次修订）》</w:t>
                  </w:r>
                </w:p>
              </w:tc>
              <w:tc>
                <w:tcPr>
                  <w:tcW w:w="4360" w:type="dxa"/>
                  <w:vAlign w:val="center"/>
                </w:tcPr>
                <w:p w14:paraId="2E400790">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第六十四条 在饮用水水源保护区内，禁止设置排污口。</w:t>
                  </w:r>
                </w:p>
                <w:p w14:paraId="0C9D3015">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第六十五条 禁止在饮用水水源一级保护区内新建、改建、扩建与供水设施和保护水源无关的建设项目；已建成的与供水设施和保护水源无关的建设项目，由县级以上人民政府责令拆除或者关闭。禁止在饮用水水源一级保护区内从事网箱养殖、旅游、游泳、垂钓或者其他可能污染饮用水水体的活动。</w:t>
                  </w:r>
                </w:p>
                <w:p w14:paraId="589699E4">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第六十六条 禁止在饮用水水源二级保护区内新建、改建、扩建排放污染物的建设项目；已建成的排放污染物的建设项目，由县级以上人民政府责令拆除或者关闭。在饮用水水源二级保护区内从事网箱养殖、旅游等活动的，应当按照规定采取措施，防止污染饮用水水体。</w:t>
                  </w:r>
                </w:p>
              </w:tc>
              <w:tc>
                <w:tcPr>
                  <w:tcW w:w="1842" w:type="dxa"/>
                  <w:vAlign w:val="center"/>
                </w:tcPr>
                <w:p w14:paraId="62E0A7B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本工程为输变电项目，工程站址及线路路径均未经过金寨县饮用水水源一级和二级保护区，详见附图8-1。</w:t>
                  </w:r>
                </w:p>
              </w:tc>
              <w:tc>
                <w:tcPr>
                  <w:tcW w:w="857" w:type="dxa"/>
                  <w:vAlign w:val="center"/>
                </w:tcPr>
                <w:p w14:paraId="158C05D3">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62E90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5A1C4393">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70D645A6">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第六十七条 禁止在饮用水水源准保护区内新建、扩建对水体污染严重的建设项目；改建建设项目，不得增加排污量。</w:t>
                  </w:r>
                </w:p>
              </w:tc>
              <w:tc>
                <w:tcPr>
                  <w:tcW w:w="1842" w:type="dxa"/>
                  <w:vAlign w:val="center"/>
                </w:tcPr>
                <w:p w14:paraId="221B394D">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部分输电线路位于金寨县饮用水水源准保护区范围内，跨越长度约为1.2km，涉及在饮用水水源准保护区内立塔的塔基编号为A27、A28、A29、A30，详见附图8-2；本工程仅在施工期产生少量污染物，污染物经妥善处理后不会对水体产生严重污染，不涉及增加排污量。</w:t>
                  </w:r>
                </w:p>
              </w:tc>
              <w:tc>
                <w:tcPr>
                  <w:tcW w:w="857" w:type="dxa"/>
                  <w:vAlign w:val="center"/>
                </w:tcPr>
                <w:p w14:paraId="7A775AB2">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2211A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vAlign w:val="center"/>
                </w:tcPr>
                <w:p w14:paraId="60583F02">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《安徽省饮用水水源</w:t>
                  </w:r>
                  <w:r>
                    <w:rPr>
                      <w:rFonts w:hint="eastAsia" w:ascii="Times New Roman" w:hAnsi="Times New Roman" w:eastAsia="宋体" w:cs="Times New Roman"/>
                      <w:b w:val="0"/>
                      <w:bCs w:val="0"/>
                      <w:sz w:val="21"/>
                      <w:szCs w:val="21"/>
                      <w:vertAlign w:val="baseline"/>
                      <w:lang w:val="en-US" w:eastAsia="zh-CN"/>
                    </w:rPr>
                    <w:t>环境</w:t>
                  </w:r>
                  <w:r>
                    <w:rPr>
                      <w:rFonts w:hint="default" w:ascii="Times New Roman" w:hAnsi="Times New Roman" w:eastAsia="宋体" w:cs="Times New Roman"/>
                      <w:b w:val="0"/>
                      <w:bCs w:val="0"/>
                      <w:sz w:val="21"/>
                      <w:szCs w:val="21"/>
                      <w:vertAlign w:val="baseline"/>
                      <w:lang w:val="en-US" w:eastAsia="zh-CN"/>
                    </w:rPr>
                    <w:t>保护条例》（安徽省人大常委会公告 第49号）</w:t>
                  </w:r>
                </w:p>
              </w:tc>
              <w:tc>
                <w:tcPr>
                  <w:tcW w:w="4360" w:type="dxa"/>
                  <w:vAlign w:val="center"/>
                </w:tcPr>
                <w:p w14:paraId="08AC49B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四条在饮用水水源准保护区内，禁止下列行为：（一）新建扩建制药、化工、造纸、制革、印染、染料、炼焦、炼硫、炼砷、炼油、电镀、农药等对水体污染严重的建设项目；（二）改建增加排污量的建设项目；（三）设置易溶性、有毒有害废弃物暂存和转运站；（四）施用高毒、高残留农药；（五）毁林开荒；（六）法律、法规禁止的其他行为。对准保护区内前款第一项规定的已建项目，县级以上人民政府应当制定方案，采取措施，逐步将其搬出。</w:t>
                  </w:r>
                </w:p>
              </w:tc>
              <w:tc>
                <w:tcPr>
                  <w:tcW w:w="1842" w:type="dxa"/>
                  <w:vAlign w:val="center"/>
                </w:tcPr>
                <w:p w14:paraId="07C97022">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本工程为输变电项目，不属于</w:t>
                  </w:r>
                  <w:r>
                    <w:rPr>
                      <w:rFonts w:hint="default" w:ascii="Times New Roman" w:hAnsi="Times New Roman" w:eastAsia="宋体" w:cs="Times New Roman"/>
                      <w:b w:val="0"/>
                      <w:bCs w:val="0"/>
                      <w:sz w:val="21"/>
                      <w:szCs w:val="21"/>
                      <w:vertAlign w:val="baseline"/>
                      <w:lang w:val="en-US" w:eastAsia="zh-CN"/>
                    </w:rPr>
                    <w:t>制药、化工、造纸、制革、印染、染料、炼焦、炼硫、炼砷、炼油、电镀、农药等对水体污染严重的建设项目</w:t>
                  </w:r>
                  <w:r>
                    <w:rPr>
                      <w:rFonts w:hint="eastAsia" w:ascii="Times New Roman" w:hAnsi="Times New Roman" w:eastAsia="宋体" w:cs="Times New Roman"/>
                      <w:b w:val="0"/>
                      <w:bCs w:val="0"/>
                      <w:sz w:val="21"/>
                      <w:szCs w:val="21"/>
                      <w:vertAlign w:val="baseline"/>
                      <w:lang w:val="en-US" w:eastAsia="zh-CN"/>
                    </w:rPr>
                    <w:t>。本工程部分输电线路位于金寨县饮用水水源准保护区范围内，跨越长度约为1.2km，涉及在饮用水水源准保护区内立塔的塔基编号为A27、A28、A29、A30，详见附图8-2；本工程仅在施工期产生少量污染物，污染物经妥善处理后不会对水体产生严重污染，不涉及增加排污量。</w:t>
                  </w:r>
                </w:p>
              </w:tc>
              <w:tc>
                <w:tcPr>
                  <w:tcW w:w="857" w:type="dxa"/>
                  <w:vAlign w:val="center"/>
                </w:tcPr>
                <w:p w14:paraId="356106F8">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FF48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106C4AF9">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45CB7A5D">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第十五条在饮用水水源二级保护区内，除遵守本条例第十四条的规定外，还禁止下列行为：（一）设置排污口；（二）新建、改建、扩建排放污染物的建设项目；（三）堆放化工原料、危险</w:t>
                  </w:r>
                  <w:r>
                    <w:rPr>
                      <w:rFonts w:hint="eastAsia" w:ascii="Times New Roman" w:hAnsi="Times New Roman" w:eastAsia="宋体" w:cs="Times New Roman"/>
                      <w:b w:val="0"/>
                      <w:bCs w:val="0"/>
                      <w:sz w:val="21"/>
                      <w:szCs w:val="21"/>
                      <w:vertAlign w:val="baseline"/>
                      <w:lang w:val="en-US" w:eastAsia="zh-CN"/>
                    </w:rPr>
                    <w:t>符合</w:t>
                  </w:r>
                  <w:r>
                    <w:rPr>
                      <w:rFonts w:hint="default" w:ascii="Times New Roman" w:hAnsi="Times New Roman" w:eastAsia="宋体" w:cs="Times New Roman"/>
                      <w:b w:val="0"/>
                      <w:bCs w:val="0"/>
                      <w:sz w:val="21"/>
                      <w:szCs w:val="21"/>
                      <w:vertAlign w:val="baseline"/>
                      <w:lang w:val="en-US" w:eastAsia="zh-CN"/>
                    </w:rPr>
                    <w:t>化学品、矿物油类以及有毒有害矿产品；（四）从事规模化畜禽养殖；（五）从事经营性取土和采石（砂）等活动。已建成的排放污染物的建设项目，由县级以上人民政府责令拆除或者关闭。在饮用水水源二级保护区内从事网箱养殖、旅游等活动的，应当按照规定采取措施，防止污染饮用水水体。</w:t>
                  </w:r>
                </w:p>
              </w:tc>
              <w:tc>
                <w:tcPr>
                  <w:tcW w:w="1842" w:type="dxa"/>
                  <w:vMerge w:val="restart"/>
                  <w:vAlign w:val="center"/>
                </w:tcPr>
                <w:p w14:paraId="5F1654A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auto"/>
                      <w:sz w:val="21"/>
                      <w:szCs w:val="21"/>
                      <w:lang w:val="en-US" w:eastAsia="zh-CN"/>
                    </w:rPr>
                    <w:t>本工程为输变电项目，不属于</w:t>
                  </w:r>
                  <w:r>
                    <w:rPr>
                      <w:rFonts w:hint="default" w:ascii="Times New Roman" w:hAnsi="Times New Roman" w:eastAsia="宋体" w:cs="Times New Roman"/>
                      <w:b w:val="0"/>
                      <w:bCs w:val="0"/>
                      <w:sz w:val="21"/>
                      <w:szCs w:val="21"/>
                      <w:vertAlign w:val="baseline"/>
                      <w:lang w:val="en-US" w:eastAsia="zh-CN"/>
                    </w:rPr>
                    <w:t>制药、化工、造纸、制革、印染、染料、炼焦、炼硫、炼砷、炼油、电镀、农药等对水体污染严重的建设项目</w:t>
                  </w:r>
                  <w:r>
                    <w:rPr>
                      <w:rFonts w:hint="eastAsia" w:ascii="Times New Roman" w:hAnsi="Times New Roman" w:eastAsia="宋体" w:cs="Times New Roman"/>
                      <w:b w:val="0"/>
                      <w:bCs w:val="0"/>
                      <w:sz w:val="21"/>
                      <w:szCs w:val="21"/>
                      <w:vertAlign w:val="baseline"/>
                      <w:lang w:val="en-US" w:eastAsia="zh-CN"/>
                    </w:rPr>
                    <w:t>；工程站址及线路路径均未经过金寨县饮用水水源一级和二级保护区，详见附图8-1。</w:t>
                  </w:r>
                </w:p>
              </w:tc>
              <w:tc>
                <w:tcPr>
                  <w:tcW w:w="857" w:type="dxa"/>
                  <w:vAlign w:val="center"/>
                </w:tcPr>
                <w:p w14:paraId="51341D29">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79E05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556BC30F">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1FC39894">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六条在饮用水水源一级保护区内，除遵守本条例第十四条、第十五条的规定外，还禁止下列行为：（一）新建、改建、扩建与供水设施和保护水源无关的建设项目；（二）从事网箱养殖、畜禽养殖、施用化肥农药的种植以及旅游、游泳、垂钓等可能污染饮用水水源的行为；（三）停靠与保护水源无关的机动船舶；（四）堆放工业废渣、生活垃圾和其他废弃物。已建成的与供水设施和保护水源无关的建设项目，由县级以上人民政府责令拆除或者关闭。</w:t>
                  </w:r>
                </w:p>
              </w:tc>
              <w:tc>
                <w:tcPr>
                  <w:tcW w:w="1842" w:type="dxa"/>
                  <w:vMerge w:val="continue"/>
                  <w:vAlign w:val="center"/>
                </w:tcPr>
                <w:p w14:paraId="42033CF9">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857" w:type="dxa"/>
                  <w:vAlign w:val="center"/>
                </w:tcPr>
                <w:p w14:paraId="310BD048">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2CEE0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vAlign w:val="center"/>
                </w:tcPr>
                <w:p w14:paraId="327E2094">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w:t>
                  </w:r>
                  <w:r>
                    <w:rPr>
                      <w:rFonts w:hint="eastAsia" w:ascii="Times New Roman" w:hAnsi="Times New Roman" w:eastAsia="宋体" w:cs="Times New Roman"/>
                      <w:b w:val="0"/>
                      <w:bCs w:val="0"/>
                      <w:sz w:val="21"/>
                      <w:szCs w:val="21"/>
                      <w:vertAlign w:val="baseline"/>
                      <w:lang w:val="en-US" w:eastAsia="zh-CN"/>
                    </w:rPr>
                    <w:t>六安市</w:t>
                  </w:r>
                  <w:r>
                    <w:rPr>
                      <w:rFonts w:hint="default" w:ascii="Times New Roman" w:hAnsi="Times New Roman" w:eastAsia="宋体" w:cs="Times New Roman"/>
                      <w:b w:val="0"/>
                      <w:bCs w:val="0"/>
                      <w:sz w:val="21"/>
                      <w:szCs w:val="21"/>
                      <w:vertAlign w:val="baseline"/>
                      <w:lang w:val="en-US" w:eastAsia="zh-CN"/>
                    </w:rPr>
                    <w:t>饮用水水源</w:t>
                  </w:r>
                  <w:r>
                    <w:rPr>
                      <w:rFonts w:hint="eastAsia" w:ascii="Times New Roman" w:hAnsi="Times New Roman" w:eastAsia="宋体" w:cs="Times New Roman"/>
                      <w:b w:val="0"/>
                      <w:bCs w:val="0"/>
                      <w:sz w:val="21"/>
                      <w:szCs w:val="21"/>
                      <w:vertAlign w:val="baseline"/>
                      <w:lang w:val="en-US" w:eastAsia="zh-CN"/>
                    </w:rPr>
                    <w:t>环境</w:t>
                  </w:r>
                  <w:r>
                    <w:rPr>
                      <w:rFonts w:hint="default" w:ascii="Times New Roman" w:hAnsi="Times New Roman" w:eastAsia="宋体" w:cs="Times New Roman"/>
                      <w:b w:val="0"/>
                      <w:bCs w:val="0"/>
                      <w:sz w:val="21"/>
                      <w:szCs w:val="21"/>
                      <w:vertAlign w:val="baseline"/>
                      <w:lang w:val="en-US" w:eastAsia="zh-CN"/>
                    </w:rPr>
                    <w:t>保护条例》</w:t>
                  </w:r>
                </w:p>
              </w:tc>
              <w:tc>
                <w:tcPr>
                  <w:tcW w:w="4360" w:type="dxa"/>
                  <w:vAlign w:val="center"/>
                </w:tcPr>
                <w:p w14:paraId="2CE9DEDD">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条在饮用水水源准保护区内，禁止下列行为：（一）新建扩建制药、化工、造纸、制革、印染、染料、炼焦、炼硫、炼砷、炼油、电镀、农药等对水体污染严重的建设项目；（二）改建增加排污量的建设项目；（三）设置易溶性、有毒有害废弃物暂存和转运站；（四）施用高毒、高残留农药；（五）毁林开荒；（六）擅自筑坝围堤；（七）破坏水源涵养林、水土保持林以及与水源保护相关的植被；（八）可能影响饮用水水源环境的开采矿产资源、规模性取土行为；（九）使用电力、炸药、毒药和其他化学物品捕捞；（十）法律、法规禁止的其他行为。对准保护区内前款第一项规定的已建项目，县级以上人民政府应当制定方案，采取措施，逐步将其搬迁。</w:t>
                  </w:r>
                </w:p>
              </w:tc>
              <w:tc>
                <w:tcPr>
                  <w:tcW w:w="1842" w:type="dxa"/>
                  <w:vAlign w:val="center"/>
                </w:tcPr>
                <w:p w14:paraId="3EAA7AEF">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auto"/>
                      <w:sz w:val="21"/>
                      <w:szCs w:val="21"/>
                      <w:lang w:val="en-US" w:eastAsia="zh-CN"/>
                    </w:rPr>
                    <w:t>本工程为输变电项目，不属于</w:t>
                  </w:r>
                  <w:r>
                    <w:rPr>
                      <w:rFonts w:hint="default" w:ascii="Times New Roman" w:hAnsi="Times New Roman" w:eastAsia="宋体" w:cs="Times New Roman"/>
                      <w:b w:val="0"/>
                      <w:bCs w:val="0"/>
                      <w:sz w:val="21"/>
                      <w:szCs w:val="21"/>
                      <w:vertAlign w:val="baseline"/>
                      <w:lang w:val="en-US" w:eastAsia="zh-CN"/>
                    </w:rPr>
                    <w:t>制药、化工、造纸、制革、印染、染料、炼焦、炼硫、炼砷、炼油、电镀、农药等对水体污染严重的建设项目</w:t>
                  </w:r>
                  <w:r>
                    <w:rPr>
                      <w:rFonts w:hint="eastAsia" w:ascii="Times New Roman" w:hAnsi="Times New Roman" w:eastAsia="宋体" w:cs="Times New Roman"/>
                      <w:b w:val="0"/>
                      <w:bCs w:val="0"/>
                      <w:sz w:val="21"/>
                      <w:szCs w:val="21"/>
                      <w:vertAlign w:val="baseline"/>
                      <w:lang w:val="en-US" w:eastAsia="zh-CN"/>
                    </w:rPr>
                    <w:t>；本工程部分输电线路位于金寨县饮用水水源准保护区范围内，跨越长度约为1.2km，涉及在饮用水水源准保护区内立塔的塔基编号为A27、A28、A29、A30，详见附图8-2；本工程仅在施工期产生少量污染物，污染物经妥善处理后不会对水体产生严重污染，不涉及增加排污量。</w:t>
                  </w:r>
                </w:p>
              </w:tc>
              <w:tc>
                <w:tcPr>
                  <w:tcW w:w="857" w:type="dxa"/>
                  <w:vAlign w:val="center"/>
                </w:tcPr>
                <w:p w14:paraId="6F08AC02">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EAB9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0F8F6B9B">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4C55CD9D">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一条在饮用水水源二级保护区内，除遵守本条例第十条的规定外，还禁止下列行为：（一）设置排污口；（二）新建、改建、扩建排放污染物的建设项目；（三）堆放化工原料、危险化学品、矿物油类以及有毒有害矿产品；（四）从事网箱养殖、规模化畜禽养殖、施用农药；（五）从事经营性取土和采矿（砂）等活动；（六）非因必经航道通航需要，航行、停泊汽柴油等燃料动力船舶；（七）在水体放养畜禽、捕捞、投放饵料垂钓；（八）丢弃或者掩埋动物尸体；（九）洗刷车辆、农药器皿和其他物品。已建成的排放污染物的建设项目，由县级以上人民政府责令拆除或者关闭。在饮用水水源二级保护区内从事旅游等活动的，应当采取措施，防止污染饮用水水体。</w:t>
                  </w:r>
                </w:p>
              </w:tc>
              <w:tc>
                <w:tcPr>
                  <w:tcW w:w="1842" w:type="dxa"/>
                  <w:vMerge w:val="restart"/>
                  <w:vAlign w:val="center"/>
                </w:tcPr>
                <w:p w14:paraId="649385FB">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color w:val="auto"/>
                      <w:sz w:val="21"/>
                      <w:szCs w:val="21"/>
                      <w:lang w:val="en-US" w:eastAsia="zh-CN"/>
                    </w:rPr>
                    <w:t>本工程为输变电项目，不属于</w:t>
                  </w:r>
                  <w:r>
                    <w:rPr>
                      <w:rFonts w:hint="default" w:ascii="Times New Roman" w:hAnsi="Times New Roman" w:eastAsia="宋体" w:cs="Times New Roman"/>
                      <w:b w:val="0"/>
                      <w:bCs w:val="0"/>
                      <w:sz w:val="21"/>
                      <w:szCs w:val="21"/>
                      <w:vertAlign w:val="baseline"/>
                      <w:lang w:val="en-US" w:eastAsia="zh-CN"/>
                    </w:rPr>
                    <w:t>制药、化工、造纸、制革、印染、染料、炼焦、炼硫、炼砷、炼油、电镀、农药等对水体污染严重的建设项目</w:t>
                  </w:r>
                  <w:r>
                    <w:rPr>
                      <w:rFonts w:hint="eastAsia" w:ascii="Times New Roman" w:hAnsi="Times New Roman" w:eastAsia="宋体" w:cs="Times New Roman"/>
                      <w:b w:val="0"/>
                      <w:bCs w:val="0"/>
                      <w:sz w:val="21"/>
                      <w:szCs w:val="21"/>
                      <w:vertAlign w:val="baseline"/>
                      <w:lang w:val="en-US" w:eastAsia="zh-CN"/>
                    </w:rPr>
                    <w:t>；项目建设不涉及饮用水水源保护区；本工程不涉及</w:t>
                  </w:r>
                  <w:r>
                    <w:rPr>
                      <w:rFonts w:hint="default" w:ascii="Times New Roman" w:hAnsi="Times New Roman" w:eastAsia="宋体" w:cs="Times New Roman"/>
                      <w:b w:val="0"/>
                      <w:bCs w:val="0"/>
                      <w:sz w:val="21"/>
                      <w:szCs w:val="21"/>
                      <w:vertAlign w:val="baseline"/>
                      <w:lang w:val="en-US" w:eastAsia="zh-CN"/>
                    </w:rPr>
                    <w:t>破坏水源涵养林、水土保持林以及与水源保护相关的植被</w:t>
                  </w:r>
                  <w:r>
                    <w:rPr>
                      <w:rFonts w:hint="eastAsia" w:ascii="Times New Roman" w:hAnsi="Times New Roman" w:eastAsia="宋体" w:cs="Times New Roman"/>
                      <w:b w:val="0"/>
                      <w:bCs w:val="0"/>
                      <w:sz w:val="21"/>
                      <w:szCs w:val="21"/>
                      <w:vertAlign w:val="baseline"/>
                      <w:lang w:val="en-US" w:eastAsia="zh-CN"/>
                    </w:rPr>
                    <w:t>；工程站址及线路路径均未经过金寨县饮用水水源一级和二级保护区，详见附图8-1。</w:t>
                  </w:r>
                </w:p>
              </w:tc>
              <w:tc>
                <w:tcPr>
                  <w:tcW w:w="857" w:type="dxa"/>
                  <w:vAlign w:val="center"/>
                </w:tcPr>
                <w:p w14:paraId="1CD8E073">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0655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vAlign w:val="center"/>
                </w:tcPr>
                <w:p w14:paraId="52C41BF8">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4360" w:type="dxa"/>
                  <w:vAlign w:val="center"/>
                </w:tcPr>
                <w:p w14:paraId="26EC4DCB">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第十二条在饮用水水源一级保护区内，除遵守本条例第十条、第十一条的规定外，还禁止下列行为：（一）新建、改建、扩建与供水设施和保护水源无关的建设项目；（二）从事畜禽养殖、施用化肥的种植以及旅游、游泳、垂钓、水上训练、露营、野炊等可能污染饮用水水源的行为；（三）停泊与保护水源无关的船舶；（四）堆放工业废渣、生活垃圾和其他废弃物。已建成的与供水设施和保护水源无关的建设项目，由县级以上人民政府责令拆除或者关闭。一级保护区内的居民由县级人民政府逐步组织搬迁。</w:t>
                  </w:r>
                </w:p>
              </w:tc>
              <w:tc>
                <w:tcPr>
                  <w:tcW w:w="1842" w:type="dxa"/>
                  <w:vMerge w:val="continue"/>
                  <w:vAlign w:val="center"/>
                </w:tcPr>
                <w:p w14:paraId="5EB87A95">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p>
              </w:tc>
              <w:tc>
                <w:tcPr>
                  <w:tcW w:w="857" w:type="dxa"/>
                  <w:vAlign w:val="center"/>
                </w:tcPr>
                <w:p w14:paraId="6D8D6EB6">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4B726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Align w:val="center"/>
                </w:tcPr>
                <w:p w14:paraId="63A8FA14">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《关于公布梅山、响洪甸两座水库保护范围划界结果的通知》</w:t>
                  </w:r>
                </w:p>
              </w:tc>
              <w:tc>
                <w:tcPr>
                  <w:tcW w:w="4360" w:type="dxa"/>
                  <w:vAlign w:val="center"/>
                </w:tcPr>
                <w:p w14:paraId="06F2F129">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梅山水库库区保护范围：大坝坝址以上，库区两岸管理范围线外至第一道分水岭脊线之间的陆地；响洪甸水库库区保护范围：大坝坝址以上，库区两岸管理范围线外至第一道分水岭脊线之间的陆地。库区周边各乡镇人民政府、各有关单位要严格按照《中华人民共和国水法》《中华人民共和国防洪法》</w:t>
                  </w:r>
                  <w:r>
                    <w:rPr>
                      <w:rFonts w:hint="eastAsia" w:ascii="Times New Roman" w:hAnsi="Times New Roman" w:eastAsia="宋体" w:cs="Times New Roman"/>
                      <w:b w:val="0"/>
                      <w:bCs w:val="0"/>
                      <w:sz w:val="21"/>
                      <w:szCs w:val="21"/>
                      <w:vertAlign w:val="baseline"/>
                      <w:lang w:val="en-US" w:eastAsia="zh-CN"/>
                    </w:rPr>
                    <w:t>及</w:t>
                  </w:r>
                  <w:r>
                    <w:rPr>
                      <w:rFonts w:hint="default" w:ascii="Times New Roman" w:hAnsi="Times New Roman" w:eastAsia="宋体" w:cs="Times New Roman"/>
                      <w:b w:val="0"/>
                      <w:bCs w:val="0"/>
                      <w:sz w:val="21"/>
                      <w:szCs w:val="21"/>
                      <w:vertAlign w:val="baseline"/>
                      <w:lang w:val="en-US" w:eastAsia="zh-CN"/>
                    </w:rPr>
                    <w:t>安徽省相关实施办法。《安徽省水工程管理和保护条例》《安徽省湖泊管理保护条例》等涉水法律法规规定，强化组织领导，切实做好库区管理和保护工作。</w:t>
                  </w:r>
                </w:p>
              </w:tc>
              <w:tc>
                <w:tcPr>
                  <w:tcW w:w="1842" w:type="dxa"/>
                  <w:vAlign w:val="center"/>
                </w:tcPr>
                <w:p w14:paraId="522434AE">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本工程输电线路涉及跨越梅山水库部分水域，涉及塔基编号为A32和A33，已取得梅山水库管理处的函询意见，详见附件40。</w:t>
                  </w:r>
                </w:p>
              </w:tc>
              <w:tc>
                <w:tcPr>
                  <w:tcW w:w="857" w:type="dxa"/>
                  <w:vAlign w:val="center"/>
                </w:tcPr>
                <w:p w14:paraId="3CEACE11">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r w14:paraId="5CA8E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Align w:val="center"/>
                </w:tcPr>
                <w:p w14:paraId="6247D81D">
                  <w:pPr>
                    <w:pStyle w:val="5"/>
                    <w:keepNext w:val="0"/>
                    <w:keepLines w:val="0"/>
                    <w:numPr>
                      <w:ilvl w:val="-1"/>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《金寨县“十四五”生态环境保护规划》</w:t>
                  </w:r>
                </w:p>
              </w:tc>
              <w:tc>
                <w:tcPr>
                  <w:tcW w:w="4360" w:type="dxa"/>
                  <w:vAlign w:val="center"/>
                </w:tcPr>
                <w:p w14:paraId="2AA9DC1B">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围绕能耗“双控”目标，强化重点用能企业在线监管，落实六安市“十四五”期间下达金寨的能源消费总量及强度“双控”目标，按照省、市工作安排，试行碳排放权交易。加快能源结构调整，严格控制煤炭消费总量，加快提升工业园区集中供热热源点建设，增加天然气供应保障能力，加快清洁能源替代，壮大清洁能源产业，稳步推进可再生能源规模化发展。加大燃煤小热电、燃煤锅炉淘汰力度。加快推进金寨抽水蓄能电站、园区增量配电试点项目、斑竹园110千伏输变电等新能源项目建设，力争新型磁悬浮微风发电、储能示范基地等项目开工建设，积极申报创建全国储能产业示范基地。争取再配置一批光伏发电项目指标。抓好节能减碳工作，全面淘汰城区小煤炉，提高城区居民用能清洁化水平。</w:t>
                  </w:r>
                </w:p>
              </w:tc>
              <w:tc>
                <w:tcPr>
                  <w:tcW w:w="1842" w:type="dxa"/>
                  <w:vAlign w:val="center"/>
                </w:tcPr>
                <w:p w14:paraId="7D953DCA">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eastAsia"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本工程属于输变电类项目，属于沙坪沟钼矿配套电力设施，已列入《金寨县国土空间总体规划（2021-2035年）》-重点项目安排表，项目的建设对于满足沙坪沟钼矿开发、缓解区域电网供应压力具有重要的意义。</w:t>
                  </w:r>
                </w:p>
              </w:tc>
              <w:tc>
                <w:tcPr>
                  <w:tcW w:w="857" w:type="dxa"/>
                  <w:vAlign w:val="center"/>
                </w:tcPr>
                <w:p w14:paraId="1FCCD34A">
                  <w:pPr>
                    <w:pStyle w:val="5"/>
                    <w:keepNext w:val="0"/>
                    <w:keepLines w:val="0"/>
                    <w:numPr>
                      <w:ilvl w:val="3"/>
                      <w:numId w:val="0"/>
                    </w:numPr>
                    <w:suppressLineNumbers w:val="0"/>
                    <w:tabs>
                      <w:tab w:val="clear" w:pos="2976"/>
                    </w:tabs>
                    <w:spacing w:before="0" w:beforeAutospacing="0" w:after="0" w:afterAutospacing="0" w:line="240" w:lineRule="auto"/>
                    <w:ind w:left="0" w:right="0"/>
                    <w:jc w:val="center"/>
                    <w:outlineLvl w:val="9"/>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sz w:val="21"/>
                      <w:szCs w:val="21"/>
                      <w:vertAlign w:val="baseline"/>
                      <w:lang w:val="en-US" w:eastAsia="zh-CN"/>
                    </w:rPr>
                    <w:t>符合</w:t>
                  </w:r>
                </w:p>
              </w:tc>
            </w:tr>
          </w:tbl>
          <w:p w14:paraId="32F0B00E">
            <w:pPr>
              <w:pStyle w:val="57"/>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b/>
                <w:bCs/>
              </w:rPr>
            </w:pPr>
            <w:r>
              <w:rPr>
                <w:rFonts w:hint="eastAsia"/>
                <w:b/>
                <w:bCs/>
                <w:lang w:val="en-US" w:eastAsia="zh-CN"/>
              </w:rPr>
              <w:t>1.4</w:t>
            </w:r>
            <w:r>
              <w:rPr>
                <w:b/>
                <w:bCs/>
              </w:rPr>
              <w:t>与《输变电建设项目环境保护技术要求》</w:t>
            </w:r>
            <w:r>
              <w:rPr>
                <w:rFonts w:hint="eastAsia"/>
                <w:b/>
                <w:bCs/>
                <w:lang w:eastAsia="zh-CN"/>
              </w:rPr>
              <w:t>（</w:t>
            </w:r>
            <w:r>
              <w:rPr>
                <w:rFonts w:hint="default"/>
                <w:b/>
                <w:bCs/>
              </w:rPr>
              <w:t>HJ</w:t>
            </w:r>
            <w:r>
              <w:rPr>
                <w:rFonts w:hint="eastAsia"/>
                <w:b/>
                <w:bCs/>
                <w:lang w:val="en-US" w:eastAsia="zh-CN"/>
              </w:rPr>
              <w:t xml:space="preserve"> 1113-2020</w:t>
            </w:r>
            <w:r>
              <w:rPr>
                <w:rFonts w:hint="eastAsia"/>
                <w:b/>
                <w:bCs/>
                <w:lang w:eastAsia="zh-CN"/>
              </w:rPr>
              <w:t>）</w:t>
            </w:r>
            <w:r>
              <w:rPr>
                <w:b/>
                <w:bCs/>
              </w:rPr>
              <w:t>符合性分析</w:t>
            </w:r>
          </w:p>
          <w:p w14:paraId="1CA3CE15">
            <w:pPr>
              <w:pStyle w:val="57"/>
              <w:keepNext w:val="0"/>
              <w:keepLines w:val="0"/>
              <w:pageBreakBefore w:val="0"/>
              <w:widowControl w:val="0"/>
              <w:kinsoku/>
              <w:wordWrap/>
              <w:overflowPunct/>
              <w:topLinePunct w:val="0"/>
              <w:autoSpaceDE/>
              <w:autoSpaceDN/>
              <w:bidi w:val="0"/>
              <w:adjustRightInd/>
              <w:snapToGrid/>
              <w:ind w:left="0" w:leftChars="0" w:firstLine="472" w:firstLineChars="200"/>
              <w:textAlignment w:val="auto"/>
              <w:rPr>
                <w:b/>
                <w:bCs/>
              </w:rPr>
            </w:pPr>
            <w:r>
              <w:rPr>
                <w:rFonts w:hint="eastAsia" w:cs="Times New Roman"/>
                <w:snapToGrid w:val="0"/>
                <w:color w:val="auto"/>
                <w:spacing w:val="-2"/>
                <w:kern w:val="0"/>
                <w:sz w:val="24"/>
                <w:szCs w:val="24"/>
                <w:highlight w:val="none"/>
                <w:lang w:val="en-US" w:eastAsia="zh-CN"/>
              </w:rPr>
              <w:t>本工程</w:t>
            </w:r>
            <w:r>
              <w:rPr>
                <w:rFonts w:hint="eastAsia" w:ascii="Times New Roman" w:hAnsi="Times New Roman" w:cs="Times New Roman"/>
                <w:snapToGrid w:val="0"/>
                <w:color w:val="auto"/>
                <w:spacing w:val="-2"/>
                <w:kern w:val="0"/>
                <w:sz w:val="24"/>
                <w:szCs w:val="24"/>
                <w:highlight w:val="none"/>
                <w:lang w:val="en-US" w:eastAsia="zh-CN"/>
              </w:rPr>
              <w:t>与《输变电建设项目环境保护技术要求》</w:t>
            </w:r>
            <w:r>
              <w:rPr>
                <w:rFonts w:hint="eastAsia" w:cs="Times New Roman"/>
                <w:snapToGrid w:val="0"/>
                <w:color w:val="auto"/>
                <w:spacing w:val="-2"/>
                <w:kern w:val="0"/>
                <w:sz w:val="24"/>
                <w:szCs w:val="24"/>
                <w:highlight w:val="none"/>
                <w:lang w:val="en-US" w:eastAsia="zh-CN"/>
              </w:rPr>
              <w:t>符合</w:t>
            </w:r>
            <w:r>
              <w:rPr>
                <w:rFonts w:hint="eastAsia" w:ascii="Times New Roman" w:hAnsi="Times New Roman" w:cs="Times New Roman"/>
                <w:snapToGrid w:val="0"/>
                <w:color w:val="auto"/>
                <w:spacing w:val="-2"/>
                <w:kern w:val="0"/>
                <w:sz w:val="24"/>
                <w:szCs w:val="24"/>
                <w:highlight w:val="none"/>
                <w:lang w:val="en-US" w:eastAsia="zh-CN"/>
              </w:rPr>
              <w:t>性分析内容</w:t>
            </w:r>
            <w:r>
              <w:rPr>
                <w:rFonts w:hint="eastAsia" w:cs="Times New Roman"/>
                <w:snapToGrid w:val="0"/>
                <w:color w:val="auto"/>
                <w:spacing w:val="-2"/>
                <w:kern w:val="0"/>
                <w:sz w:val="24"/>
                <w:szCs w:val="24"/>
                <w:highlight w:val="none"/>
                <w:lang w:val="en-US" w:eastAsia="zh-CN"/>
              </w:rPr>
              <w:t>详见下表。</w:t>
            </w:r>
          </w:p>
          <w:p w14:paraId="1DF5535E">
            <w:pPr>
              <w:pStyle w:val="57"/>
              <w:spacing w:line="240" w:lineRule="auto"/>
              <w:ind w:left="0" w:leftChars="0" w:firstLine="0" w:firstLineChars="0"/>
              <w:jc w:val="center"/>
              <w:rPr>
                <w:b/>
                <w:bCs/>
                <w:sz w:val="21"/>
                <w:szCs w:val="21"/>
                <w:vertAlign w:val="baseline"/>
              </w:rPr>
            </w:pPr>
            <w:r>
              <w:rPr>
                <w:b/>
                <w:bCs/>
                <w:sz w:val="21"/>
                <w:szCs w:val="21"/>
              </w:rPr>
              <w:t>表1-</w:t>
            </w:r>
            <w:r>
              <w:rPr>
                <w:rFonts w:hint="eastAsia"/>
                <w:b/>
                <w:bCs/>
                <w:sz w:val="21"/>
                <w:szCs w:val="21"/>
                <w:lang w:val="en-US" w:eastAsia="zh-CN"/>
              </w:rPr>
              <w:t xml:space="preserve">6  </w:t>
            </w:r>
            <w:r>
              <w:rPr>
                <w:b/>
                <w:bCs/>
                <w:sz w:val="21"/>
                <w:szCs w:val="21"/>
              </w:rPr>
              <w:t>与《输变电建设项目环境保护技术要求》符合性</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8"/>
              <w:gridCol w:w="2877"/>
              <w:gridCol w:w="640"/>
            </w:tblGrid>
            <w:tr w14:paraId="61577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01250EC4">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条文要求</w:t>
                  </w:r>
                </w:p>
              </w:tc>
              <w:tc>
                <w:tcPr>
                  <w:tcW w:w="2877" w:type="dxa"/>
                  <w:vAlign w:val="center"/>
                </w:tcPr>
                <w:p w14:paraId="47F436EC">
                  <w:pPr>
                    <w:jc w:val="center"/>
                    <w:rPr>
                      <w:rFonts w:hint="default" w:ascii="Times New Roman" w:hAnsi="Times New Roman" w:eastAsia="宋体" w:cs="Times New Roman"/>
                      <w:b/>
                      <w:bCs/>
                      <w:sz w:val="21"/>
                      <w:szCs w:val="21"/>
                    </w:rPr>
                  </w:pPr>
                  <w:r>
                    <w:rPr>
                      <w:rFonts w:hint="eastAsia" w:cs="Times New Roman"/>
                      <w:b/>
                      <w:bCs/>
                      <w:sz w:val="21"/>
                      <w:szCs w:val="21"/>
                      <w:lang w:eastAsia="zh-CN"/>
                    </w:rPr>
                    <w:t>本工程</w:t>
                  </w:r>
                  <w:r>
                    <w:rPr>
                      <w:rFonts w:hint="default" w:ascii="Times New Roman" w:hAnsi="Times New Roman" w:eastAsia="宋体" w:cs="Times New Roman"/>
                      <w:b/>
                      <w:bCs/>
                      <w:sz w:val="21"/>
                      <w:szCs w:val="21"/>
                    </w:rPr>
                    <w:t>情况</w:t>
                  </w:r>
                </w:p>
              </w:tc>
              <w:tc>
                <w:tcPr>
                  <w:tcW w:w="640" w:type="dxa"/>
                  <w:vAlign w:val="center"/>
                </w:tcPr>
                <w:p w14:paraId="05478001">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符合性</w:t>
                  </w:r>
                </w:p>
              </w:tc>
            </w:tr>
            <w:tr w14:paraId="579D3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0637DB56">
                  <w:pPr>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2877" w:type="dxa"/>
                  <w:vAlign w:val="center"/>
                </w:tcPr>
                <w:p w14:paraId="5E898313">
                  <w:pPr>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项目不涉及自然保护区、饮用水水源保护区等环境敏感区。</w:t>
                  </w:r>
                </w:p>
              </w:tc>
              <w:tc>
                <w:tcPr>
                  <w:tcW w:w="640" w:type="dxa"/>
                  <w:vAlign w:val="center"/>
                </w:tcPr>
                <w:p w14:paraId="793A6C5F">
                  <w:pPr>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符合</w:t>
                  </w:r>
                </w:p>
              </w:tc>
            </w:tr>
            <w:tr w14:paraId="4A222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636535B2">
                  <w:pPr>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2、变电工程在选址时应按终期规模综合考虑进出线走廊规划，避免进出线进入自然保护区、饮用水水源保护区等环境敏感区。</w:t>
                  </w:r>
                </w:p>
              </w:tc>
              <w:tc>
                <w:tcPr>
                  <w:tcW w:w="2877" w:type="dxa"/>
                  <w:vAlign w:val="center"/>
                </w:tcPr>
                <w:p w14:paraId="65BDFD73">
                  <w:pPr>
                    <w:ind w:firstLine="0" w:firstLineChars="0"/>
                    <w:jc w:val="center"/>
                    <w:rPr>
                      <w:rFonts w:hint="default" w:ascii="Times New Roman" w:hAnsi="Times New Roman" w:eastAsia="宋体" w:cs="Times New Roman"/>
                      <w:sz w:val="21"/>
                      <w:szCs w:val="21"/>
                    </w:rPr>
                  </w:pPr>
                  <w:r>
                    <w:rPr>
                      <w:rFonts w:hint="eastAsia" w:cs="Times New Roman"/>
                      <w:color w:val="auto"/>
                      <w:sz w:val="21"/>
                      <w:szCs w:val="21"/>
                      <w:lang w:val="en-US" w:eastAsia="zh-CN"/>
                    </w:rPr>
                    <w:t>本工程</w:t>
                  </w:r>
                  <w:r>
                    <w:rPr>
                      <w:rFonts w:hint="default" w:ascii="Times New Roman" w:hAnsi="Times New Roman" w:eastAsia="宋体" w:cs="Times New Roman"/>
                      <w:color w:val="auto"/>
                      <w:sz w:val="21"/>
                      <w:szCs w:val="21"/>
                    </w:rPr>
                    <w:t>在选址时</w:t>
                  </w:r>
                  <w:r>
                    <w:rPr>
                      <w:rFonts w:hint="eastAsia" w:cs="Times New Roman"/>
                      <w:color w:val="auto"/>
                      <w:sz w:val="21"/>
                      <w:szCs w:val="21"/>
                      <w:lang w:val="en-US" w:eastAsia="zh-CN"/>
                    </w:rPr>
                    <w:t>已</w:t>
                  </w:r>
                  <w:r>
                    <w:rPr>
                      <w:rFonts w:hint="default" w:ascii="Times New Roman" w:hAnsi="Times New Roman" w:eastAsia="宋体" w:cs="Times New Roman"/>
                      <w:color w:val="auto"/>
                      <w:sz w:val="21"/>
                      <w:szCs w:val="21"/>
                    </w:rPr>
                    <w:t>按终期规模综合考虑进出线走廊规划</w:t>
                  </w:r>
                  <w:r>
                    <w:rPr>
                      <w:rFonts w:hint="eastAsia" w:cs="Times New Roman"/>
                      <w:color w:val="auto"/>
                      <w:sz w:val="21"/>
                      <w:szCs w:val="21"/>
                      <w:lang w:eastAsia="zh-CN"/>
                    </w:rPr>
                    <w:t>，</w:t>
                  </w:r>
                  <w:r>
                    <w:rPr>
                      <w:rFonts w:hint="eastAsia" w:cs="Times New Roman"/>
                      <w:color w:val="auto"/>
                      <w:sz w:val="21"/>
                      <w:szCs w:val="21"/>
                      <w:lang w:val="en-US" w:eastAsia="zh-CN"/>
                    </w:rPr>
                    <w:t>规划</w:t>
                  </w:r>
                  <w:r>
                    <w:rPr>
                      <w:rFonts w:hint="default" w:ascii="Times New Roman" w:hAnsi="Times New Roman" w:eastAsia="宋体" w:cs="Times New Roman"/>
                      <w:color w:val="auto"/>
                      <w:sz w:val="21"/>
                      <w:szCs w:val="21"/>
                    </w:rPr>
                    <w:t>进出线</w:t>
                  </w:r>
                  <w:r>
                    <w:rPr>
                      <w:rFonts w:hint="eastAsia" w:cs="Times New Roman"/>
                      <w:color w:val="auto"/>
                      <w:sz w:val="21"/>
                      <w:szCs w:val="21"/>
                      <w:lang w:val="en-US" w:eastAsia="zh-CN"/>
                    </w:rPr>
                    <w:t>线路</w:t>
                  </w:r>
                  <w:r>
                    <w:rPr>
                      <w:rFonts w:hint="default" w:ascii="Times New Roman" w:hAnsi="Times New Roman" w:eastAsia="宋体" w:cs="Times New Roman"/>
                      <w:color w:val="auto"/>
                      <w:sz w:val="21"/>
                      <w:szCs w:val="21"/>
                    </w:rPr>
                    <w:t>不涉及自然保护区、饮用水源水源保护区</w:t>
                  </w:r>
                  <w:r>
                    <w:rPr>
                      <w:rFonts w:hint="default" w:ascii="Times New Roman" w:hAnsi="Times New Roman" w:eastAsia="宋体" w:cs="Times New Roman"/>
                      <w:sz w:val="21"/>
                      <w:szCs w:val="21"/>
                    </w:rPr>
                    <w:t>。</w:t>
                  </w:r>
                </w:p>
              </w:tc>
              <w:tc>
                <w:tcPr>
                  <w:tcW w:w="640" w:type="dxa"/>
                  <w:vAlign w:val="center"/>
                </w:tcPr>
                <w:p w14:paraId="76E4692C">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06C6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1D67170B">
                  <w:pPr>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3、原则上避免在0类声环境功能区建设变电工程。</w:t>
                  </w:r>
                </w:p>
              </w:tc>
              <w:tc>
                <w:tcPr>
                  <w:tcW w:w="2877" w:type="dxa"/>
                  <w:vAlign w:val="center"/>
                </w:tcPr>
                <w:p w14:paraId="56D0803D">
                  <w:pPr>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本工程不涉及0</w:t>
                  </w:r>
                  <w:r>
                    <w:rPr>
                      <w:rFonts w:hint="default" w:ascii="Times New Roman" w:hAnsi="Times New Roman" w:eastAsia="宋体" w:cs="Times New Roman"/>
                      <w:sz w:val="21"/>
                      <w:szCs w:val="21"/>
                    </w:rPr>
                    <w:t>类声功能区</w:t>
                  </w:r>
                  <w:r>
                    <w:rPr>
                      <w:rFonts w:hint="eastAsia" w:cs="Times New Roman"/>
                      <w:sz w:val="21"/>
                      <w:szCs w:val="21"/>
                      <w:lang w:eastAsia="zh-CN"/>
                    </w:rPr>
                    <w:t>。</w:t>
                  </w:r>
                </w:p>
              </w:tc>
              <w:tc>
                <w:tcPr>
                  <w:tcW w:w="640" w:type="dxa"/>
                  <w:vAlign w:val="center"/>
                </w:tcPr>
                <w:p w14:paraId="4426A653">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56A00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065963FB">
                  <w:pPr>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4、同一走廊内的多回输电线路，宜采取同塔多回架设、并行架设等形式，减少新开辟走廊，优化线路走廊间距，降低环境影响。</w:t>
                  </w:r>
                </w:p>
              </w:tc>
              <w:tc>
                <w:tcPr>
                  <w:tcW w:w="2877" w:type="dxa"/>
                  <w:vAlign w:val="center"/>
                </w:tcPr>
                <w:p w14:paraId="0E04C697">
                  <w:pPr>
                    <w:ind w:firstLine="0" w:firstLineChars="0"/>
                    <w:jc w:val="center"/>
                    <w:rPr>
                      <w:rFonts w:hint="default" w:ascii="Times New Roman" w:hAnsi="Times New Roman" w:eastAsia="宋体" w:cs="Times New Roman"/>
                      <w:sz w:val="21"/>
                      <w:szCs w:val="21"/>
                    </w:rPr>
                  </w:pPr>
                  <w:r>
                    <w:rPr>
                      <w:rFonts w:hint="eastAsia" w:cs="Times New Roman"/>
                      <w:sz w:val="21"/>
                      <w:szCs w:val="21"/>
                      <w:lang w:eastAsia="zh-CN"/>
                    </w:rPr>
                    <w:t>本工程</w:t>
                  </w:r>
                  <w:r>
                    <w:rPr>
                      <w:rFonts w:hint="default" w:ascii="Times New Roman" w:hAnsi="Times New Roman" w:eastAsia="宋体" w:cs="Times New Roman"/>
                      <w:sz w:val="21"/>
                      <w:szCs w:val="21"/>
                    </w:rPr>
                    <w:t>新建线路全线采用</w:t>
                  </w:r>
                  <w:r>
                    <w:rPr>
                      <w:rFonts w:hint="default" w:ascii="Times New Roman" w:hAnsi="Times New Roman" w:eastAsia="宋体" w:cs="Times New Roman"/>
                      <w:sz w:val="21"/>
                      <w:szCs w:val="21"/>
                      <w:lang w:val="en-US" w:eastAsia="zh-CN"/>
                    </w:rPr>
                    <w:t>同塔</w:t>
                  </w:r>
                  <w:r>
                    <w:rPr>
                      <w:rFonts w:hint="eastAsia" w:cs="Times New Roman"/>
                      <w:sz w:val="21"/>
                      <w:szCs w:val="21"/>
                      <w:lang w:val="en-US" w:eastAsia="zh-CN"/>
                    </w:rPr>
                    <w:t>单</w:t>
                  </w:r>
                  <w:r>
                    <w:rPr>
                      <w:rFonts w:hint="default" w:ascii="Times New Roman" w:hAnsi="Times New Roman" w:eastAsia="宋体" w:cs="Times New Roman"/>
                      <w:sz w:val="21"/>
                      <w:szCs w:val="21"/>
                      <w:lang w:val="en-US" w:eastAsia="zh-CN"/>
                    </w:rPr>
                    <w:t>回架设</w:t>
                  </w:r>
                  <w:r>
                    <w:rPr>
                      <w:rFonts w:hint="default" w:ascii="Times New Roman" w:hAnsi="Times New Roman" w:eastAsia="宋体" w:cs="Times New Roman"/>
                      <w:sz w:val="21"/>
                      <w:szCs w:val="21"/>
                    </w:rPr>
                    <w:t>，减少了土地占用。</w:t>
                  </w:r>
                </w:p>
              </w:tc>
              <w:tc>
                <w:tcPr>
                  <w:tcW w:w="640" w:type="dxa"/>
                  <w:vAlign w:val="center"/>
                </w:tcPr>
                <w:p w14:paraId="61AE95A4">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1D8BF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482951FA">
                  <w:pPr>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5、户外变电工程及规划架空进出线选址选线时，应关注以居住、医疗卫生、文化教育、科研、行政办公等为主要功能的区域，采取综合措施，减少电磁和声环境影响。</w:t>
                  </w:r>
                </w:p>
              </w:tc>
              <w:tc>
                <w:tcPr>
                  <w:tcW w:w="2877" w:type="dxa"/>
                  <w:vAlign w:val="center"/>
                </w:tcPr>
                <w:p w14:paraId="258D8A96">
                  <w:pPr>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本工程已对变电站及架空线路周围环境敏感保护目标采取优化塔基布局及输电线路路径等综合措施，减少电磁和声环境影响。</w:t>
                  </w:r>
                </w:p>
              </w:tc>
              <w:tc>
                <w:tcPr>
                  <w:tcW w:w="640" w:type="dxa"/>
                  <w:vAlign w:val="center"/>
                </w:tcPr>
                <w:p w14:paraId="0EEC9341">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191EE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4D2DCB0A">
                  <w:pPr>
                    <w:ind w:firstLine="0" w:firstLineChars="0"/>
                    <w:jc w:val="center"/>
                    <w:rPr>
                      <w:rFonts w:hint="default" w:cs="Times New Roman"/>
                      <w:sz w:val="21"/>
                      <w:szCs w:val="21"/>
                      <w:lang w:val="en-US" w:eastAsia="zh-CN"/>
                    </w:rPr>
                  </w:pPr>
                  <w:r>
                    <w:rPr>
                      <w:rFonts w:hint="eastAsia" w:cs="Times New Roman"/>
                      <w:sz w:val="21"/>
                      <w:szCs w:val="21"/>
                      <w:lang w:val="en-US" w:eastAsia="zh-CN"/>
                    </w:rPr>
                    <w:t>6、变电工程选址时，应综合考虑减少土地占用、植被砍伐和弃土弃渣等，以减少对生态环境的不利影响。</w:t>
                  </w:r>
                </w:p>
              </w:tc>
              <w:tc>
                <w:tcPr>
                  <w:tcW w:w="2877" w:type="dxa"/>
                  <w:vAlign w:val="center"/>
                </w:tcPr>
                <w:p w14:paraId="3F818315">
                  <w:pPr>
                    <w:ind w:firstLine="0" w:firstLineChars="0"/>
                    <w:jc w:val="center"/>
                    <w:rPr>
                      <w:rFonts w:hint="eastAsia" w:cs="Times New Roman"/>
                      <w:sz w:val="21"/>
                      <w:szCs w:val="21"/>
                      <w:lang w:val="en-US" w:eastAsia="zh-CN"/>
                    </w:rPr>
                  </w:pPr>
                  <w:r>
                    <w:rPr>
                      <w:rFonts w:hint="eastAsia" w:cs="Times New Roman"/>
                      <w:sz w:val="21"/>
                      <w:szCs w:val="21"/>
                      <w:lang w:val="en-US" w:eastAsia="zh-CN"/>
                    </w:rPr>
                    <w:t>变电站选址时考虑了土石方平衡、减少工程占地等因素，减少了对生态环境的不利影响。</w:t>
                  </w:r>
                </w:p>
              </w:tc>
              <w:tc>
                <w:tcPr>
                  <w:tcW w:w="640" w:type="dxa"/>
                  <w:vAlign w:val="center"/>
                </w:tcPr>
                <w:p w14:paraId="18EFEE2B">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69C18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0482EC86">
                  <w:pPr>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7、输电线路宜避让集中林区，以减少林木砍伐，保护生态环境。</w:t>
                  </w:r>
                </w:p>
              </w:tc>
              <w:tc>
                <w:tcPr>
                  <w:tcW w:w="2877" w:type="dxa"/>
                  <w:vAlign w:val="center"/>
                </w:tcPr>
                <w:p w14:paraId="64B9866C">
                  <w:pPr>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本</w:t>
                  </w:r>
                  <w:r>
                    <w:rPr>
                      <w:rFonts w:hint="default" w:ascii="Times New Roman" w:hAnsi="Times New Roman" w:eastAsia="宋体" w:cs="Times New Roman"/>
                      <w:sz w:val="21"/>
                      <w:szCs w:val="21"/>
                      <w:lang w:val="en-US" w:eastAsia="zh-CN"/>
                    </w:rPr>
                    <w:t>工程线路按照</w:t>
                  </w:r>
                  <w:r>
                    <w:rPr>
                      <w:rFonts w:hint="eastAsia" w:cs="Times New Roman"/>
                      <w:sz w:val="21"/>
                      <w:szCs w:val="21"/>
                      <w:lang w:val="en-US" w:eastAsia="zh-CN"/>
                    </w:rPr>
                    <w:t>同塔单回架空</w:t>
                  </w:r>
                  <w:r>
                    <w:rPr>
                      <w:rFonts w:hint="default" w:ascii="Times New Roman" w:hAnsi="Times New Roman" w:eastAsia="宋体" w:cs="Times New Roman"/>
                      <w:sz w:val="21"/>
                      <w:szCs w:val="21"/>
                      <w:lang w:val="en-US" w:eastAsia="zh-CN"/>
                    </w:rPr>
                    <w:t>线路设计，全线采用</w:t>
                  </w:r>
                  <w:r>
                    <w:rPr>
                      <w:rFonts w:hint="eastAsia" w:cs="Times New Roman"/>
                      <w:sz w:val="21"/>
                      <w:szCs w:val="21"/>
                      <w:lang w:val="en-US" w:eastAsia="zh-CN"/>
                    </w:rPr>
                    <w:t>架空线路</w:t>
                  </w:r>
                  <w:r>
                    <w:rPr>
                      <w:rFonts w:hint="default" w:ascii="Times New Roman" w:hAnsi="Times New Roman" w:eastAsia="宋体" w:cs="Times New Roman"/>
                      <w:sz w:val="21"/>
                      <w:szCs w:val="21"/>
                      <w:lang w:val="en-US" w:eastAsia="zh-CN"/>
                    </w:rPr>
                    <w:t>的方式，</w:t>
                  </w:r>
                  <w:r>
                    <w:rPr>
                      <w:rFonts w:hint="eastAsia" w:cs="Times New Roman"/>
                      <w:sz w:val="21"/>
                      <w:szCs w:val="21"/>
                      <w:lang w:val="en-US" w:eastAsia="zh-CN"/>
                    </w:rPr>
                    <w:t>项目线路路径跨越I级保护林地和一级国家级公益林，线路塔基不涉及占用I级保护林地和一级国家级公益林，不涉及采伐1级保护林地和一级国家级公益林中的林木；该线路路径不涉及已划定的自然保护地。本工程与一级公益林地位置关系详见附图11。</w:t>
                  </w:r>
                </w:p>
              </w:tc>
              <w:tc>
                <w:tcPr>
                  <w:tcW w:w="640" w:type="dxa"/>
                  <w:vAlign w:val="center"/>
                </w:tcPr>
                <w:p w14:paraId="13086E30">
                  <w:pPr>
                    <w:jc w:val="center"/>
                    <w:rPr>
                      <w:rFonts w:hint="default" w:ascii="Times New Roman" w:hAnsi="Times New Roman" w:eastAsia="宋体" w:cs="Times New Roman"/>
                      <w:sz w:val="21"/>
                      <w:szCs w:val="21"/>
                    </w:rPr>
                  </w:pPr>
                  <w:r>
                    <w:rPr>
                      <w:rFonts w:hint="eastAsia" w:cs="Times New Roman"/>
                      <w:sz w:val="21"/>
                      <w:szCs w:val="21"/>
                      <w:lang w:val="en-US" w:eastAsia="zh-CN"/>
                    </w:rPr>
                    <w:t>符合</w:t>
                  </w:r>
                </w:p>
              </w:tc>
            </w:tr>
            <w:tr w14:paraId="30942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58" w:type="dxa"/>
                  <w:vAlign w:val="center"/>
                </w:tcPr>
                <w:p w14:paraId="5F51D21C">
                  <w:pPr>
                    <w:ind w:firstLine="0" w:firstLineChars="0"/>
                    <w:jc w:val="center"/>
                    <w:rPr>
                      <w:rFonts w:hint="default" w:cs="Times New Roman"/>
                      <w:sz w:val="21"/>
                      <w:szCs w:val="21"/>
                      <w:lang w:val="en-US" w:eastAsia="zh-CN"/>
                    </w:rPr>
                  </w:pPr>
                  <w:r>
                    <w:rPr>
                      <w:rFonts w:hint="eastAsia" w:cs="Times New Roman"/>
                      <w:sz w:val="21"/>
                      <w:szCs w:val="21"/>
                      <w:lang w:val="en-US" w:eastAsia="zh-CN"/>
                    </w:rPr>
                    <w:t>8、</w:t>
                  </w:r>
                  <w:r>
                    <w:rPr>
                      <w:rFonts w:hint="default" w:cs="Times New Roman"/>
                      <w:sz w:val="21"/>
                      <w:szCs w:val="21"/>
                      <w:lang w:val="en-US" w:eastAsia="zh-CN"/>
                    </w:rPr>
                    <w:t>进入自然保护区的输电线路，应按照HJ19的要求开展生态现状调查，避让保护对象的集中分布区。</w:t>
                  </w:r>
                </w:p>
              </w:tc>
              <w:tc>
                <w:tcPr>
                  <w:tcW w:w="2877" w:type="dxa"/>
                  <w:vAlign w:val="center"/>
                </w:tcPr>
                <w:p w14:paraId="0C04C71B">
                  <w:pPr>
                    <w:ind w:firstLine="0" w:firstLineChars="0"/>
                    <w:jc w:val="center"/>
                    <w:rPr>
                      <w:rFonts w:hint="default" w:cs="Times New Roman"/>
                      <w:sz w:val="21"/>
                      <w:szCs w:val="21"/>
                      <w:lang w:val="en-US" w:eastAsia="zh-CN"/>
                    </w:rPr>
                  </w:pPr>
                  <w:r>
                    <w:rPr>
                      <w:rFonts w:hint="eastAsia" w:cs="Times New Roman"/>
                      <w:sz w:val="21"/>
                      <w:szCs w:val="21"/>
                      <w:lang w:val="en-US" w:eastAsia="zh-CN"/>
                    </w:rPr>
                    <w:t>本工程不涉及自然保护区。</w:t>
                  </w:r>
                </w:p>
              </w:tc>
              <w:tc>
                <w:tcPr>
                  <w:tcW w:w="640" w:type="dxa"/>
                  <w:vAlign w:val="center"/>
                </w:tcPr>
                <w:p w14:paraId="45DB3B32">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符合</w:t>
                  </w:r>
                </w:p>
              </w:tc>
            </w:tr>
          </w:tbl>
          <w:p w14:paraId="7CAC9E86">
            <w:pPr>
              <w:keepNext w:val="0"/>
              <w:keepLines w:val="0"/>
              <w:pageBreakBefore w:val="0"/>
              <w:widowControl/>
              <w:kinsoku/>
              <w:wordWrap/>
              <w:overflowPunct/>
              <w:topLinePunct w:val="0"/>
              <w:autoSpaceDE w:val="0"/>
              <w:autoSpaceDN w:val="0"/>
              <w:bidi w:val="0"/>
              <w:adjustRightInd/>
              <w:snapToGrid/>
              <w:spacing w:line="360" w:lineRule="auto"/>
              <w:ind w:left="0" w:firstLine="504" w:firstLineChars="200"/>
              <w:jc w:val="left"/>
              <w:textAlignment w:val="baseline"/>
              <w:rPr>
                <w:rFonts w:hint="default" w:ascii="Times New Roman" w:hAnsi="Times New Roman" w:cs="Times New Roman"/>
                <w:b/>
                <w:bCs/>
                <w:sz w:val="24"/>
                <w:szCs w:val="24"/>
              </w:rPr>
            </w:pPr>
            <w:r>
              <w:rPr>
                <w:rFonts w:hint="eastAsia" w:ascii="宋体" w:hAnsi="宋体" w:cs="宋体"/>
                <w:snapToGrid w:val="0"/>
                <w:color w:val="000000"/>
                <w:spacing w:val="6"/>
                <w:kern w:val="0"/>
                <w:sz w:val="24"/>
                <w:szCs w:val="24"/>
                <w:lang w:val="en-US" w:eastAsia="zh-CN"/>
              </w:rPr>
              <w:t>本工程</w:t>
            </w:r>
            <w:r>
              <w:rPr>
                <w:rFonts w:hint="eastAsia" w:ascii="宋体" w:hAnsi="宋体" w:eastAsia="宋体" w:cs="宋体"/>
                <w:snapToGrid w:val="0"/>
                <w:color w:val="000000"/>
                <w:spacing w:val="6"/>
                <w:kern w:val="0"/>
                <w:sz w:val="24"/>
                <w:szCs w:val="24"/>
                <w:lang w:val="en-US" w:eastAsia="zh-CN"/>
              </w:rPr>
              <w:t>变电站和线路路径在选址、选线和设计中严格遵守相关的法律法规，未进入各类自然保护区、风景名胜区等需要特别保护的生态敏感区域。</w:t>
            </w:r>
            <w:r>
              <w:rPr>
                <w:rFonts w:hint="default" w:ascii="Times New Roman" w:hAnsi="Times New Roman" w:eastAsia="宋体" w:cs="Times New Roman"/>
                <w:snapToGrid w:val="0"/>
                <w:color w:val="000000"/>
                <w:spacing w:val="27"/>
                <w:kern w:val="0"/>
                <w:sz w:val="24"/>
                <w:szCs w:val="24"/>
                <w:lang w:eastAsia="zh-CN"/>
              </w:rPr>
              <w:t>综上，</w:t>
            </w:r>
            <w:r>
              <w:rPr>
                <w:rFonts w:hint="eastAsia" w:cs="Times New Roman"/>
                <w:snapToGrid w:val="0"/>
                <w:color w:val="000000"/>
                <w:spacing w:val="27"/>
                <w:kern w:val="0"/>
                <w:sz w:val="24"/>
                <w:szCs w:val="24"/>
                <w:lang w:val="en-US" w:eastAsia="zh-CN"/>
              </w:rPr>
              <w:t>本工程</w:t>
            </w:r>
            <w:r>
              <w:rPr>
                <w:rFonts w:hint="eastAsia" w:cs="Times New Roman"/>
                <w:snapToGrid w:val="0"/>
                <w:color w:val="000000"/>
                <w:spacing w:val="27"/>
                <w:kern w:val="0"/>
                <w:sz w:val="24"/>
                <w:szCs w:val="24"/>
                <w:lang w:eastAsia="zh-CN"/>
              </w:rPr>
              <w:t>的建设</w:t>
            </w:r>
            <w:r>
              <w:rPr>
                <w:rFonts w:hint="default" w:ascii="Times New Roman" w:hAnsi="Times New Roman" w:eastAsia="宋体" w:cs="Times New Roman"/>
                <w:snapToGrid w:val="0"/>
                <w:color w:val="000000"/>
                <w:spacing w:val="39"/>
                <w:kern w:val="0"/>
                <w:sz w:val="24"/>
                <w:szCs w:val="24"/>
              </w:rPr>
              <w:t>符</w:t>
            </w:r>
            <w:r>
              <w:rPr>
                <w:rFonts w:hint="default" w:ascii="Times New Roman" w:hAnsi="Times New Roman" w:eastAsia="宋体" w:cs="Times New Roman"/>
                <w:snapToGrid w:val="0"/>
                <w:color w:val="000000"/>
                <w:spacing w:val="32"/>
                <w:kern w:val="0"/>
                <w:sz w:val="24"/>
                <w:szCs w:val="24"/>
              </w:rPr>
              <w:t>合《输变电建设项目环境保护技术要求》</w:t>
            </w:r>
            <w:r>
              <w:rPr>
                <w:rFonts w:hint="eastAsia" w:ascii="Times New Roman" w:hAnsi="Times New Roman" w:eastAsia="宋体" w:cs="Times New Roman"/>
                <w:snapToGrid w:val="0"/>
                <w:color w:val="000000"/>
                <w:spacing w:val="32"/>
                <w:kern w:val="0"/>
                <w:sz w:val="24"/>
                <w:szCs w:val="24"/>
                <w:lang w:eastAsia="zh-CN"/>
              </w:rPr>
              <w:t>（</w:t>
            </w:r>
            <w:r>
              <w:rPr>
                <w:rFonts w:hint="default" w:ascii="Times New Roman" w:hAnsi="Times New Roman" w:eastAsia="宋体" w:cs="Times New Roman"/>
                <w:snapToGrid w:val="0"/>
                <w:color w:val="000000"/>
                <w:kern w:val="0"/>
                <w:sz w:val="24"/>
                <w:szCs w:val="24"/>
              </w:rPr>
              <w:t>HJ</w:t>
            </w:r>
            <w:r>
              <w:rPr>
                <w:rFonts w:hint="eastAsia" w:cs="Times New Roman"/>
                <w:snapToGrid w:val="0"/>
                <w:color w:val="000000"/>
                <w:kern w:val="0"/>
                <w:sz w:val="24"/>
                <w:szCs w:val="24"/>
                <w:lang w:val="en-US" w:eastAsia="zh-CN"/>
              </w:rPr>
              <w:t xml:space="preserve"> 1113-2020</w:t>
            </w:r>
            <w:r>
              <w:rPr>
                <w:rFonts w:hint="eastAsia" w:ascii="Times New Roman" w:hAnsi="Times New Roman" w:eastAsia="宋体" w:cs="Times New Roman"/>
                <w:snapToGrid w:val="0"/>
                <w:color w:val="000000"/>
                <w:spacing w:val="32"/>
                <w:kern w:val="0"/>
                <w:sz w:val="24"/>
                <w:szCs w:val="24"/>
                <w:lang w:eastAsia="zh-CN"/>
              </w:rPr>
              <w:t>）</w:t>
            </w:r>
            <w:r>
              <w:rPr>
                <w:rFonts w:hint="default" w:ascii="Times New Roman" w:hAnsi="Times New Roman" w:eastAsia="宋体" w:cs="Times New Roman"/>
                <w:snapToGrid w:val="0"/>
                <w:color w:val="000000"/>
                <w:spacing w:val="32"/>
                <w:kern w:val="0"/>
                <w:sz w:val="24"/>
                <w:szCs w:val="24"/>
              </w:rPr>
              <w:t>中的相</w:t>
            </w:r>
            <w:r>
              <w:rPr>
                <w:rFonts w:hint="default" w:ascii="Times New Roman" w:hAnsi="Times New Roman" w:eastAsia="宋体" w:cs="Times New Roman"/>
                <w:snapToGrid w:val="0"/>
                <w:color w:val="000000"/>
                <w:spacing w:val="16"/>
                <w:kern w:val="0"/>
                <w:sz w:val="24"/>
                <w:szCs w:val="24"/>
              </w:rPr>
              <w:t>关</w:t>
            </w:r>
            <w:r>
              <w:rPr>
                <w:rFonts w:hint="default" w:ascii="Times New Roman" w:hAnsi="Times New Roman" w:eastAsia="宋体" w:cs="Times New Roman"/>
                <w:snapToGrid w:val="0"/>
                <w:color w:val="000000"/>
                <w:spacing w:val="12"/>
                <w:kern w:val="0"/>
                <w:sz w:val="24"/>
                <w:szCs w:val="24"/>
              </w:rPr>
              <w:t>要求。</w:t>
            </w:r>
          </w:p>
          <w:p w14:paraId="0BF409D7">
            <w:pPr>
              <w:pStyle w:val="56"/>
              <w:rPr>
                <w:rFonts w:hint="default" w:ascii="Times New Roman" w:hAnsi="Times New Roman" w:eastAsia="宋体" w:cs="Times New Roman"/>
                <w:color w:val="000000" w:themeColor="text1"/>
                <w:sz w:val="24"/>
                <w:szCs w:val="24"/>
                <w14:textFill>
                  <w14:solidFill>
                    <w14:schemeClr w14:val="tx1"/>
                  </w14:solidFill>
                </w14:textFill>
              </w:rPr>
            </w:pPr>
          </w:p>
        </w:tc>
      </w:tr>
    </w:tbl>
    <w:p w14:paraId="6FB7BD99">
      <w:pPr>
        <w:pStyle w:val="107"/>
        <w:jc w:val="center"/>
        <w:outlineLvl w:val="9"/>
        <w:rPr>
          <w:rFonts w:eastAsia="宋体"/>
        </w:rPr>
        <w:sectPr>
          <w:footerReference r:id="rId7" w:type="default"/>
          <w:pgSz w:w="11906" w:h="16838"/>
          <w:pgMar w:top="1440" w:right="1134" w:bottom="1440" w:left="1134" w:header="851" w:footer="992" w:gutter="0"/>
          <w:pgNumType w:fmt="decimal" w:start="1"/>
          <w:cols w:space="720" w:num="1"/>
          <w:docGrid w:linePitch="312" w:charSpace="0"/>
        </w:sectPr>
      </w:pPr>
      <w:bookmarkStart w:id="13" w:name="_Hlt291087067"/>
      <w:bookmarkEnd w:id="13"/>
      <w:bookmarkStart w:id="14" w:name="_Toc77769256"/>
      <w:bookmarkStart w:id="15" w:name="_Toc79511873"/>
      <w:bookmarkStart w:id="16" w:name="_Toc291067358"/>
      <w:bookmarkStart w:id="17" w:name="_Toc68622115"/>
      <w:bookmarkStart w:id="18" w:name="_Toc73547121"/>
    </w:p>
    <w:p w14:paraId="7272E997">
      <w:pPr>
        <w:pStyle w:val="107"/>
        <w:jc w:val="center"/>
        <w:rPr>
          <w:rFonts w:eastAsia="宋体"/>
        </w:rPr>
      </w:pPr>
      <w:bookmarkStart w:id="19" w:name="_Toc25162"/>
      <w:bookmarkStart w:id="20" w:name="_Toc4606"/>
      <w:bookmarkStart w:id="21" w:name="_Toc85013636"/>
      <w:bookmarkStart w:id="22" w:name="_Toc73547122"/>
      <w:bookmarkStart w:id="23" w:name="_Toc77769257"/>
      <w:bookmarkStart w:id="24" w:name="_Toc108987309"/>
      <w:bookmarkStart w:id="25" w:name="_Toc79511874"/>
      <w:bookmarkStart w:id="26" w:name="_Toc68622116"/>
      <w:bookmarkStart w:id="27" w:name="_Toc1300"/>
      <w:bookmarkStart w:id="28" w:name="_Toc101454269"/>
      <w:bookmarkStart w:id="29" w:name="_Toc6089"/>
      <w:bookmarkStart w:id="30" w:name="_Toc27225"/>
      <w:bookmarkStart w:id="31" w:name="_Toc101454268"/>
      <w:bookmarkStart w:id="32" w:name="_Toc85013635"/>
      <w:bookmarkStart w:id="33" w:name="_Toc9416"/>
      <w:bookmarkStart w:id="34" w:name="_Toc3747"/>
      <w:bookmarkStart w:id="35" w:name="_Toc9138"/>
      <w:bookmarkStart w:id="36" w:name="_Toc108987308"/>
      <w:r>
        <w:rPr>
          <w:rFonts w:eastAsia="宋体"/>
        </w:rPr>
        <w:t>二、建设内容</w:t>
      </w:r>
    </w:p>
    <w:tbl>
      <w:tblPr>
        <w:tblStyle w:val="37"/>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9"/>
        <w:gridCol w:w="9284"/>
      </w:tblGrid>
      <w:tr w14:paraId="1AE7F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5" w:type="pct"/>
            <w:vAlign w:val="center"/>
          </w:tcPr>
          <w:p w14:paraId="2D8A6034">
            <w:pPr>
              <w:adjustRightInd w:val="0"/>
              <w:snapToGrid w:val="0"/>
              <w:rPr>
                <w:b/>
                <w:bCs/>
                <w:sz w:val="24"/>
                <w:szCs w:val="24"/>
              </w:rPr>
            </w:pPr>
            <w:r>
              <w:rPr>
                <w:b/>
                <w:bCs/>
                <w:sz w:val="24"/>
                <w:szCs w:val="24"/>
              </w:rPr>
              <w:t>地理位置</w:t>
            </w:r>
          </w:p>
        </w:tc>
        <w:tc>
          <w:tcPr>
            <w:tcW w:w="4754" w:type="pct"/>
            <w:vAlign w:val="center"/>
          </w:tcPr>
          <w:p w14:paraId="0E9985E5">
            <w:pPr>
              <w:pStyle w:val="21"/>
              <w:keepNext w:val="0"/>
              <w:keepLines w:val="0"/>
              <w:pageBreakBefore w:val="0"/>
              <w:widowControl/>
              <w:kinsoku/>
              <w:wordWrap/>
              <w:overflowPunct/>
              <w:topLinePunct w:val="0"/>
              <w:autoSpaceDE/>
              <w:autoSpaceDN/>
              <w:bidi w:val="0"/>
              <w:adjustRightInd/>
              <w:snapToGrid/>
              <w:ind w:firstLine="496" w:firstLineChars="200"/>
              <w:jc w:val="both"/>
              <w:textAlignment w:val="auto"/>
              <w:rPr>
                <w:spacing w:val="4"/>
                <w:sz w:val="24"/>
                <w:szCs w:val="24"/>
              </w:rPr>
            </w:pPr>
            <w:r>
              <w:rPr>
                <w:rFonts w:hint="eastAsia"/>
                <w:spacing w:val="4"/>
                <w:sz w:val="24"/>
                <w:szCs w:val="24"/>
                <w:lang w:eastAsia="zh-CN"/>
              </w:rPr>
              <w:t>本工程</w:t>
            </w:r>
            <w:r>
              <w:rPr>
                <w:rFonts w:hint="default" w:ascii="Times New Roman" w:hAnsi="Times New Roman" w:cs="Times New Roman"/>
                <w:color w:val="000000"/>
                <w:sz w:val="24"/>
                <w:szCs w:val="24"/>
                <w:highlight w:val="none"/>
                <w:lang w:val="en-US" w:eastAsia="zh-CN"/>
              </w:rPr>
              <w:t>拟建110KV</w:t>
            </w:r>
            <w:r>
              <w:rPr>
                <w:rFonts w:hint="eastAsia" w:ascii="Times New Roman" w:hAnsi="Times New Roman" w:cs="Times New Roman"/>
                <w:color w:val="000000"/>
                <w:sz w:val="24"/>
                <w:szCs w:val="24"/>
                <w:highlight w:val="none"/>
                <w:lang w:val="en-US" w:eastAsia="zh-CN"/>
              </w:rPr>
              <w:t>变电站站址位于</w:t>
            </w:r>
            <w:r>
              <w:rPr>
                <w:rFonts w:hint="eastAsia"/>
                <w:sz w:val="24"/>
                <w:szCs w:val="24"/>
                <w:lang w:val="en-US" w:eastAsia="zh-CN"/>
              </w:rPr>
              <w:t>安徽省六安市</w:t>
            </w:r>
            <w:r>
              <w:rPr>
                <w:rFonts w:hint="default"/>
                <w:sz w:val="24"/>
                <w:szCs w:val="24"/>
                <w:lang w:val="en-US" w:eastAsia="zh-CN"/>
              </w:rPr>
              <w:t>金寨县关庙乡银山村</w:t>
            </w:r>
            <w:r>
              <w:rPr>
                <w:rFonts w:hint="eastAsia"/>
                <w:sz w:val="24"/>
                <w:szCs w:val="24"/>
                <w:lang w:val="en-US" w:eastAsia="zh-CN"/>
              </w:rPr>
              <w:t>沙坪沟道路一侧；拟建</w:t>
            </w:r>
            <w:r>
              <w:rPr>
                <w:rFonts w:hint="default"/>
                <w:sz w:val="24"/>
                <w:szCs w:val="24"/>
                <w:lang w:val="en-US" w:eastAsia="zh-CN"/>
              </w:rPr>
              <w:t>线路工程位于金寨县</w:t>
            </w:r>
            <w:r>
              <w:rPr>
                <w:rFonts w:hint="eastAsia"/>
                <w:sz w:val="24"/>
                <w:szCs w:val="24"/>
                <w:lang w:val="en-US" w:eastAsia="zh-CN"/>
              </w:rPr>
              <w:t>双河镇、古碑镇、槐树湾乡、南溪镇、汤家汇镇、关庙乡境内</w:t>
            </w:r>
            <w:r>
              <w:rPr>
                <w:spacing w:val="4"/>
                <w:sz w:val="24"/>
                <w:szCs w:val="24"/>
              </w:rPr>
              <w:t>。</w:t>
            </w:r>
            <w:r>
              <w:rPr>
                <w:rFonts w:hint="eastAsia" w:cs="Times New Roman"/>
                <w:color w:val="000000"/>
                <w:sz w:val="24"/>
                <w:szCs w:val="24"/>
                <w:highlight w:val="none"/>
                <w:lang w:val="en-US" w:eastAsia="zh-CN"/>
              </w:rPr>
              <w:t>变电站中心坐标：</w:t>
            </w:r>
            <w:r>
              <w:rPr>
                <w:rFonts w:hint="default" w:ascii="Times New Roman" w:hAnsi="Times New Roman" w:cs="Times New Roman"/>
                <w:color w:val="000000"/>
                <w:sz w:val="24"/>
                <w:szCs w:val="24"/>
                <w:highlight w:val="none"/>
                <w:lang w:val="en-US" w:eastAsia="zh-CN"/>
              </w:rPr>
              <w:t>东经115°29′48.093″，北纬31°33′15.353″</w:t>
            </w:r>
            <w:r>
              <w:rPr>
                <w:rFonts w:hint="eastAsia" w:cs="Times New Roman"/>
                <w:color w:val="000000"/>
                <w:sz w:val="24"/>
                <w:szCs w:val="24"/>
                <w:highlight w:val="none"/>
                <w:lang w:val="en-US" w:eastAsia="zh-CN"/>
              </w:rPr>
              <w:t>；古碑-钼矿线路工程起点坐标：</w:t>
            </w:r>
            <w:r>
              <w:rPr>
                <w:rFonts w:hint="default" w:ascii="Times New Roman" w:hAnsi="Times New Roman" w:cs="Times New Roman"/>
                <w:color w:val="000000"/>
                <w:sz w:val="24"/>
                <w:szCs w:val="24"/>
                <w:highlight w:val="none"/>
                <w:lang w:val="en-US" w:eastAsia="zh-CN"/>
              </w:rPr>
              <w:t>东经115°45′49.811″，北纬31°27′46.148″</w:t>
            </w:r>
            <w:r>
              <w:rPr>
                <w:rFonts w:hint="eastAsia" w:cs="Times New Roman"/>
                <w:color w:val="000000"/>
                <w:sz w:val="24"/>
                <w:szCs w:val="24"/>
                <w:highlight w:val="none"/>
                <w:lang w:val="en-US" w:eastAsia="zh-CN"/>
              </w:rPr>
              <w:t>；古碑-钼矿线路工程终点坐标：</w:t>
            </w:r>
            <w:r>
              <w:rPr>
                <w:rFonts w:hint="default" w:ascii="Times New Roman" w:hAnsi="Times New Roman" w:cs="Times New Roman"/>
                <w:color w:val="000000"/>
                <w:sz w:val="24"/>
                <w:szCs w:val="24"/>
                <w:highlight w:val="none"/>
                <w:lang w:val="en-US" w:eastAsia="zh-CN"/>
              </w:rPr>
              <w:t>东经115°29′48.503″，北纬31°33′15.604″</w:t>
            </w:r>
            <w:r>
              <w:rPr>
                <w:rFonts w:hint="eastAsia" w:cs="Times New Roman"/>
                <w:color w:val="000000"/>
                <w:sz w:val="24"/>
                <w:szCs w:val="24"/>
                <w:highlight w:val="none"/>
                <w:lang w:val="en-US" w:eastAsia="zh-CN"/>
              </w:rPr>
              <w:t>；双河-钼矿线路工程起点坐标</w:t>
            </w:r>
            <w:r>
              <w:rPr>
                <w:rFonts w:hint="default" w:ascii="Times New Roman" w:hAnsi="Times New Roman" w:cs="Times New Roman"/>
                <w:color w:val="000000"/>
                <w:sz w:val="24"/>
                <w:szCs w:val="24"/>
                <w:highlight w:val="none"/>
                <w:lang w:val="en-US" w:eastAsia="zh-CN"/>
              </w:rPr>
              <w:t>：东经115°41′52.164″，北纬31°36′19.677″；双</w:t>
            </w:r>
            <w:r>
              <w:rPr>
                <w:rFonts w:hint="eastAsia" w:cs="Times New Roman"/>
                <w:color w:val="000000"/>
                <w:sz w:val="24"/>
                <w:szCs w:val="24"/>
                <w:highlight w:val="none"/>
                <w:lang w:val="en-US" w:eastAsia="zh-CN"/>
              </w:rPr>
              <w:t>河-钼矿线路工程终点坐标：</w:t>
            </w:r>
            <w:r>
              <w:rPr>
                <w:rFonts w:hint="default" w:ascii="Times New Roman" w:hAnsi="Times New Roman" w:cs="Times New Roman"/>
                <w:color w:val="000000"/>
                <w:sz w:val="24"/>
                <w:szCs w:val="24"/>
                <w:highlight w:val="none"/>
                <w:lang w:val="en-US" w:eastAsia="zh-CN"/>
              </w:rPr>
              <w:t>东经115°29′47.707″，北纬31°33′15.619″</w:t>
            </w:r>
            <w:r>
              <w:rPr>
                <w:rFonts w:hint="eastAsia" w:cs="Times New Roman"/>
                <w:color w:val="000000"/>
                <w:sz w:val="24"/>
                <w:szCs w:val="24"/>
                <w:highlight w:val="none"/>
                <w:lang w:val="en-US" w:eastAsia="zh-CN"/>
              </w:rPr>
              <w:t>。</w:t>
            </w:r>
            <w:r>
              <w:rPr>
                <w:rFonts w:hint="eastAsia"/>
                <w:spacing w:val="4"/>
                <w:sz w:val="24"/>
                <w:szCs w:val="24"/>
                <w:lang w:eastAsia="zh-CN"/>
              </w:rPr>
              <w:t>本工程</w:t>
            </w:r>
            <w:r>
              <w:rPr>
                <w:spacing w:val="4"/>
                <w:sz w:val="24"/>
                <w:szCs w:val="24"/>
              </w:rPr>
              <w:t>地理位置</w:t>
            </w:r>
            <w:r>
              <w:rPr>
                <w:rFonts w:hint="default" w:ascii="Times New Roman" w:hAnsi="Times New Roman" w:cs="Times New Roman"/>
                <w:spacing w:val="4"/>
                <w:sz w:val="24"/>
                <w:szCs w:val="24"/>
              </w:rPr>
              <w:t>见附图</w:t>
            </w:r>
            <w:r>
              <w:rPr>
                <w:rFonts w:hint="default" w:ascii="Times New Roman" w:hAnsi="Times New Roman" w:cs="Times New Roman"/>
                <w:spacing w:val="4"/>
                <w:sz w:val="24"/>
                <w:szCs w:val="24"/>
                <w:lang w:val="en-US" w:eastAsia="zh-CN"/>
              </w:rPr>
              <w:t>1和附图2</w:t>
            </w:r>
            <w:r>
              <w:rPr>
                <w:spacing w:val="4"/>
                <w:sz w:val="24"/>
                <w:szCs w:val="24"/>
              </w:rPr>
              <w:t>。</w:t>
            </w:r>
          </w:p>
          <w:p w14:paraId="2EBDC3B1">
            <w:pPr>
              <w:pStyle w:val="21"/>
              <w:keepNext w:val="0"/>
              <w:keepLines w:val="0"/>
              <w:pageBreakBefore w:val="0"/>
              <w:widowControl/>
              <w:kinsoku/>
              <w:wordWrap/>
              <w:overflowPunct/>
              <w:topLinePunct w:val="0"/>
              <w:autoSpaceDE/>
              <w:autoSpaceDN/>
              <w:bidi w:val="0"/>
              <w:adjustRightInd/>
              <w:snapToGrid/>
              <w:ind w:firstLine="472" w:firstLineChars="200"/>
              <w:jc w:val="both"/>
              <w:textAlignment w:val="auto"/>
              <w:rPr>
                <w:rFonts w:hint="eastAsia"/>
                <w:spacing w:val="4"/>
                <w:sz w:val="24"/>
                <w:szCs w:val="24"/>
                <w:lang w:eastAsia="zh-CN"/>
              </w:rPr>
            </w:pPr>
            <w:r>
              <w:rPr>
                <w:rFonts w:hint="eastAsia" w:ascii="Times New Roman" w:hAnsi="Times New Roman" w:cs="Times New Roman"/>
                <w:snapToGrid w:val="0"/>
                <w:color w:val="auto"/>
                <w:spacing w:val="-2"/>
                <w:kern w:val="0"/>
                <w:sz w:val="24"/>
                <w:szCs w:val="24"/>
                <w:highlight w:val="none"/>
                <w:lang w:val="en-US" w:eastAsia="zh-CN"/>
              </w:rPr>
              <w:t>本工程属于安徽金沙钼业有限公司金寨县沙坪沟钼矿采选项目的配套项目，为满足沙坪沟钼矿矿场用电需求，根据本地区的电网情况，同时结合实际用电需求，本工程拟在矿区内建设一座110/10kV总降压变电站，变电站位于矿体东北侧的采选工业场地内，作为全矿的电力供应中心。安徽金沙钼业有限公司于2024年委托</w:t>
            </w:r>
            <w:r>
              <w:rPr>
                <w:color w:val="auto"/>
                <w:highlight w:val="none"/>
              </w:rPr>
              <w:t>安徽睿晟环境科技有限公司</w:t>
            </w:r>
            <w:r>
              <w:rPr>
                <w:rFonts w:hint="eastAsia" w:ascii="Times New Roman" w:hAnsi="Times New Roman" w:cs="Times New Roman"/>
                <w:snapToGrid w:val="0"/>
                <w:color w:val="auto"/>
                <w:spacing w:val="-2"/>
                <w:kern w:val="0"/>
                <w:sz w:val="24"/>
                <w:szCs w:val="24"/>
                <w:highlight w:val="none"/>
                <w:lang w:val="en-US" w:eastAsia="zh-CN"/>
              </w:rPr>
              <w:t>对“金寨县沙坪沟钼矿采选项目”开展环境影响评价工作，并于2025年7月10日取得了《安徽省生态环境厅关于安徽金沙钼业有限公司金寨县沙坪沟钼矿采选项目环境影响报告书审批意见的函》（详见附件36）。</w:t>
            </w:r>
          </w:p>
        </w:tc>
      </w:tr>
      <w:tr w14:paraId="2D0C2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3" w:hRule="atLeast"/>
          <w:jc w:val="center"/>
        </w:trPr>
        <w:tc>
          <w:tcPr>
            <w:tcW w:w="245" w:type="pct"/>
            <w:vAlign w:val="center"/>
          </w:tcPr>
          <w:p w14:paraId="6E99EB73">
            <w:pPr>
              <w:adjustRightInd w:val="0"/>
              <w:snapToGrid w:val="0"/>
              <w:rPr>
                <w:b/>
                <w:bCs/>
                <w:sz w:val="24"/>
                <w:szCs w:val="24"/>
              </w:rPr>
            </w:pPr>
            <w:r>
              <w:rPr>
                <w:b/>
                <w:bCs/>
                <w:sz w:val="24"/>
                <w:szCs w:val="24"/>
              </w:rPr>
              <w:t>项目组成及规模</w:t>
            </w:r>
          </w:p>
        </w:tc>
        <w:tc>
          <w:tcPr>
            <w:tcW w:w="4754" w:type="pct"/>
          </w:tcPr>
          <w:p w14:paraId="4B12B894">
            <w:pPr>
              <w:pStyle w:val="21"/>
              <w:spacing w:beforeLines="50" w:line="360" w:lineRule="auto"/>
              <w:ind w:left="0" w:leftChars="0" w:firstLine="0" w:firstLineChars="0"/>
              <w:rPr>
                <w:rFonts w:hint="default" w:ascii="Times New Roman" w:hAnsi="Times New Roman" w:eastAsia="宋体" w:cs="Times New Roman"/>
                <w:snapToGrid w:val="0"/>
                <w:color w:val="0000FF"/>
                <w:kern w:val="0"/>
                <w:sz w:val="24"/>
                <w:szCs w:val="24"/>
              </w:rPr>
            </w:pPr>
            <w:r>
              <w:rPr>
                <w:rFonts w:hint="eastAsia" w:ascii="Times New Roman" w:hAnsi="Times New Roman" w:cs="Times New Roman"/>
                <w:b/>
                <w:bCs/>
                <w:szCs w:val="24"/>
                <w:lang w:val="en-US" w:eastAsia="zh-CN"/>
              </w:rPr>
              <w:t>2、</w:t>
            </w:r>
            <w:r>
              <w:rPr>
                <w:rFonts w:hint="default" w:ascii="Times New Roman" w:hAnsi="Times New Roman" w:eastAsia="宋体" w:cs="Times New Roman"/>
                <w:b/>
                <w:bCs/>
                <w:szCs w:val="24"/>
              </w:rPr>
              <w:t>建设内容</w:t>
            </w:r>
          </w:p>
          <w:p w14:paraId="2CE6CE84">
            <w:pPr>
              <w:keepNext w:val="0"/>
              <w:keepLines w:val="0"/>
              <w:pageBreakBefore w:val="0"/>
              <w:widowControl/>
              <w:kinsoku/>
              <w:wordWrap/>
              <w:overflowPunct/>
              <w:topLinePunct w:val="0"/>
              <w:autoSpaceDE w:val="0"/>
              <w:autoSpaceDN w:val="0"/>
              <w:bidi w:val="0"/>
              <w:adjustRightInd/>
              <w:snapToGrid/>
              <w:spacing w:line="360" w:lineRule="auto"/>
              <w:ind w:firstLine="0" w:firstLineChars="0"/>
              <w:jc w:val="both"/>
              <w:textAlignment w:val="baseline"/>
              <w:rPr>
                <w:rFonts w:hint="default"/>
                <w:b/>
                <w:bCs/>
                <w:sz w:val="24"/>
                <w:szCs w:val="24"/>
                <w:lang w:val="en-US" w:eastAsia="zh-CN"/>
              </w:rPr>
            </w:pPr>
            <w:r>
              <w:rPr>
                <w:rFonts w:hint="eastAsia"/>
                <w:b/>
                <w:bCs/>
                <w:sz w:val="24"/>
                <w:szCs w:val="24"/>
                <w:lang w:val="en-US" w:eastAsia="zh-CN"/>
              </w:rPr>
              <w:t>2.1、工程建设内容</w:t>
            </w:r>
          </w:p>
          <w:p w14:paraId="6A190496">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baseline"/>
              <w:rPr>
                <w:rFonts w:hint="default" w:ascii="Times New Roman" w:hAnsi="Times New Roman" w:eastAsia="宋体" w:cs="Times New Roman"/>
                <w:snapToGrid w:val="0"/>
                <w:color w:val="000000"/>
                <w:spacing w:val="10"/>
                <w:kern w:val="0"/>
                <w:sz w:val="24"/>
                <w:szCs w:val="24"/>
              </w:rPr>
            </w:pPr>
            <w:r>
              <w:rPr>
                <w:rFonts w:hint="default"/>
                <w:sz w:val="24"/>
                <w:szCs w:val="24"/>
                <w:lang w:val="en-US" w:eastAsia="zh-CN"/>
              </w:rPr>
              <w:t>安徽金沙钼业有限公司110</w:t>
            </w:r>
            <w:r>
              <w:rPr>
                <w:rFonts w:hint="default" w:ascii="Times New Roman" w:hAnsi="Times New Roman" w:eastAsia="宋体" w:cs="Times New Roman"/>
                <w:snapToGrid w:val="0"/>
                <w:color w:val="000000"/>
                <w:spacing w:val="10"/>
                <w:kern w:val="0"/>
                <w:sz w:val="24"/>
                <w:szCs w:val="24"/>
              </w:rPr>
              <w:t>kV</w:t>
            </w:r>
            <w:r>
              <w:rPr>
                <w:rFonts w:hint="default"/>
                <w:sz w:val="24"/>
                <w:szCs w:val="24"/>
                <w:lang w:val="en-US" w:eastAsia="zh-CN"/>
              </w:rPr>
              <w:t>输变电工程</w:t>
            </w:r>
            <w:r>
              <w:rPr>
                <w:rFonts w:hint="default" w:ascii="Times New Roman" w:hAnsi="Times New Roman" w:eastAsia="宋体" w:cs="Times New Roman"/>
                <w:snapToGrid w:val="0"/>
                <w:color w:val="000000"/>
                <w:spacing w:val="10"/>
                <w:kern w:val="0"/>
                <w:sz w:val="24"/>
                <w:szCs w:val="24"/>
              </w:rPr>
              <w:t>主要包含以下</w:t>
            </w:r>
            <w:r>
              <w:rPr>
                <w:rFonts w:hint="eastAsia" w:cs="Times New Roman"/>
                <w:snapToGrid w:val="0"/>
                <w:color w:val="000000"/>
                <w:spacing w:val="10"/>
                <w:kern w:val="0"/>
                <w:sz w:val="24"/>
                <w:szCs w:val="24"/>
                <w:lang w:val="en-US" w:eastAsia="zh-CN"/>
              </w:rPr>
              <w:t>4</w:t>
            </w:r>
            <w:r>
              <w:rPr>
                <w:rFonts w:hint="default" w:ascii="Times New Roman" w:hAnsi="Times New Roman" w:eastAsia="宋体" w:cs="Times New Roman"/>
                <w:snapToGrid w:val="0"/>
                <w:color w:val="000000"/>
                <w:spacing w:val="10"/>
                <w:kern w:val="0"/>
                <w:sz w:val="24"/>
                <w:szCs w:val="24"/>
              </w:rPr>
              <w:t>个</w:t>
            </w:r>
            <w:r>
              <w:rPr>
                <w:rFonts w:hint="eastAsia" w:cs="Times New Roman"/>
                <w:snapToGrid w:val="0"/>
                <w:color w:val="000000"/>
                <w:spacing w:val="10"/>
                <w:kern w:val="0"/>
                <w:sz w:val="24"/>
                <w:szCs w:val="24"/>
                <w:lang w:val="en-US" w:eastAsia="zh-CN"/>
              </w:rPr>
              <w:t>单项工程</w:t>
            </w:r>
            <w:r>
              <w:rPr>
                <w:rFonts w:hint="default" w:ascii="Times New Roman" w:hAnsi="Times New Roman" w:eastAsia="宋体" w:cs="Times New Roman"/>
                <w:snapToGrid w:val="0"/>
                <w:color w:val="000000"/>
                <w:spacing w:val="10"/>
                <w:kern w:val="0"/>
                <w:sz w:val="24"/>
                <w:szCs w:val="24"/>
              </w:rPr>
              <w:t>：</w:t>
            </w:r>
          </w:p>
          <w:p w14:paraId="0AD34AE4">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ascii="Times New Roman" w:hAnsi="Times New Roman" w:eastAsia="宋体" w:cs="Times New Roman"/>
                <w:snapToGrid w:val="0"/>
                <w:color w:val="000000"/>
                <w:spacing w:val="10"/>
                <w:kern w:val="0"/>
                <w:sz w:val="24"/>
                <w:szCs w:val="24"/>
                <w:lang w:val="en-US" w:eastAsia="zh-CN"/>
              </w:rPr>
            </w:pPr>
            <w:r>
              <w:rPr>
                <w:rFonts w:hint="default" w:ascii="Times New Roman" w:hAnsi="Times New Roman" w:eastAsia="宋体" w:cs="Times New Roman"/>
                <w:snapToGrid w:val="0"/>
                <w:color w:val="000000"/>
                <w:spacing w:val="10"/>
                <w:kern w:val="0"/>
                <w:sz w:val="24"/>
                <w:szCs w:val="24"/>
                <w:lang w:val="en-US" w:eastAsia="zh-CN" w:bidi="ar-SA"/>
              </w:rPr>
              <w:t>（1）</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变电站新建工程</w:t>
            </w:r>
          </w:p>
          <w:p w14:paraId="0E9BE91C">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ascii="Times New Roman" w:hAnsi="Times New Roman" w:eastAsia="宋体"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本工程</w:t>
            </w:r>
            <w:r>
              <w:rPr>
                <w:rFonts w:hint="default" w:ascii="Times New Roman" w:hAnsi="Times New Roman" w:eastAsia="宋体" w:cs="Times New Roman"/>
                <w:snapToGrid w:val="0"/>
                <w:color w:val="000000"/>
                <w:spacing w:val="10"/>
                <w:kern w:val="0"/>
                <w:sz w:val="24"/>
                <w:szCs w:val="24"/>
                <w:lang w:val="en-US" w:eastAsia="zh-CN"/>
              </w:rPr>
              <w:t>安装</w:t>
            </w:r>
            <w:r>
              <w:rPr>
                <w:rFonts w:hint="eastAsia" w:cs="Times New Roman"/>
                <w:snapToGrid w:val="0"/>
                <w:color w:val="000000"/>
                <w:spacing w:val="10"/>
                <w:kern w:val="0"/>
                <w:sz w:val="24"/>
                <w:szCs w:val="24"/>
                <w:lang w:val="en-US" w:eastAsia="zh-CN"/>
              </w:rPr>
              <w:t>3</w:t>
            </w:r>
            <w:r>
              <w:rPr>
                <w:rFonts w:hint="default" w:ascii="Times New Roman" w:hAnsi="Times New Roman" w:eastAsia="宋体" w:cs="Times New Roman"/>
                <w:snapToGrid w:val="0"/>
                <w:color w:val="000000"/>
                <w:spacing w:val="10"/>
                <w:kern w:val="0"/>
                <w:sz w:val="24"/>
                <w:szCs w:val="24"/>
                <w:lang w:val="en-US" w:eastAsia="zh-CN"/>
              </w:rPr>
              <w:t>台</w:t>
            </w:r>
            <w:r>
              <w:rPr>
                <w:rFonts w:hint="eastAsia" w:cs="Times New Roman"/>
                <w:snapToGrid w:val="0"/>
                <w:color w:val="000000"/>
                <w:spacing w:val="10"/>
                <w:kern w:val="0"/>
                <w:sz w:val="24"/>
                <w:szCs w:val="24"/>
                <w:lang w:val="en-US" w:eastAsia="zh-CN"/>
              </w:rPr>
              <w:t>63</w:t>
            </w:r>
            <w:r>
              <w:rPr>
                <w:rFonts w:hint="default" w:ascii="Times New Roman" w:hAnsi="Times New Roman" w:eastAsia="宋体" w:cs="Times New Roman"/>
                <w:snapToGrid w:val="0"/>
                <w:color w:val="000000"/>
                <w:spacing w:val="10"/>
                <w:kern w:val="0"/>
                <w:sz w:val="24"/>
                <w:szCs w:val="24"/>
                <w:lang w:val="en-US" w:eastAsia="zh-CN"/>
              </w:rPr>
              <w:t>MVA三相双绕组自冷</w:t>
            </w:r>
            <w:r>
              <w:rPr>
                <w:rFonts w:hint="eastAsia" w:ascii="Times New Roman" w:hAnsi="Times New Roman" w:eastAsia="宋体" w:cs="Times New Roman"/>
                <w:snapToGrid w:val="0"/>
                <w:color w:val="000000"/>
                <w:spacing w:val="10"/>
                <w:kern w:val="0"/>
                <w:sz w:val="24"/>
                <w:szCs w:val="24"/>
                <w:lang w:val="en-US" w:eastAsia="zh-CN"/>
              </w:rPr>
              <w:t>式</w:t>
            </w:r>
            <w:r>
              <w:rPr>
                <w:rFonts w:hint="default" w:ascii="Times New Roman" w:hAnsi="Times New Roman" w:eastAsia="宋体" w:cs="Times New Roman"/>
                <w:snapToGrid w:val="0"/>
                <w:color w:val="000000"/>
                <w:spacing w:val="10"/>
                <w:kern w:val="0"/>
                <w:sz w:val="24"/>
                <w:szCs w:val="24"/>
                <w:lang w:val="en-US" w:eastAsia="zh-CN"/>
              </w:rPr>
              <w:t>有载调压</w:t>
            </w:r>
            <w:r>
              <w:rPr>
                <w:rFonts w:hint="eastAsia" w:ascii="Times New Roman" w:hAnsi="Times New Roman" w:eastAsia="宋体" w:cs="Times New Roman"/>
                <w:snapToGrid w:val="0"/>
                <w:color w:val="000000"/>
                <w:spacing w:val="10"/>
                <w:kern w:val="0"/>
                <w:sz w:val="24"/>
                <w:szCs w:val="24"/>
                <w:lang w:val="en-US" w:eastAsia="zh-CN"/>
              </w:rPr>
              <w:t>电力</w:t>
            </w:r>
            <w:r>
              <w:rPr>
                <w:rFonts w:hint="default" w:ascii="Times New Roman" w:hAnsi="Times New Roman" w:eastAsia="宋体" w:cs="Times New Roman"/>
                <w:snapToGrid w:val="0"/>
                <w:color w:val="000000"/>
                <w:spacing w:val="10"/>
                <w:kern w:val="0"/>
                <w:sz w:val="24"/>
                <w:szCs w:val="24"/>
                <w:lang w:val="en-US" w:eastAsia="zh-CN"/>
              </w:rPr>
              <w:t>变压器，电压等级110/10kV</w:t>
            </w:r>
            <w:r>
              <w:rPr>
                <w:rFonts w:hint="eastAsia" w:cs="Times New Roman"/>
                <w:snapToGrid w:val="0"/>
                <w:color w:val="000000"/>
                <w:spacing w:val="10"/>
                <w:kern w:val="0"/>
                <w:sz w:val="24"/>
                <w:szCs w:val="24"/>
                <w:lang w:val="en-US" w:eastAsia="zh-CN"/>
              </w:rPr>
              <w:t>，主变为单侧敞开式户外布置（带雨棚的敞开式布置），正常运行时，两台63MVA主变同时工作，另1台63MVA主变备用，即1#、2#主变同时使用，3#主变为1#和2#主变的备用变压器，母联断开。1#检修时，3#主变启动，1段母线和3段母线母联闭合。2#检修时，3#主变启动，2段母线和3段母线母联闭合。110kV、10kV系统为单母线三分段接线，110kV架空进线两回，架空出线两回，10kV系统进线3回，出线41回。设置10kV无功补偿装置10Mvar两套，110kV侧系统功率因数达到0.95及以上。I段、II段母线分别安装一台接地变，每台容量为800/200kVA，10kV±2×2.5%/0.4kV。</w:t>
            </w:r>
            <w:r>
              <w:rPr>
                <w:rFonts w:hint="default" w:ascii="Times New Roman" w:hAnsi="Times New Roman" w:eastAsia="宋体" w:cs="Times New Roman"/>
                <w:snapToGrid w:val="0"/>
                <w:color w:val="000000"/>
                <w:spacing w:val="10"/>
                <w:kern w:val="0"/>
                <w:sz w:val="24"/>
                <w:szCs w:val="24"/>
                <w:lang w:val="en-US" w:eastAsia="zh-CN"/>
              </w:rPr>
              <w:t>110kV配电装置采用户内GIS设备，电缆进出线。</w:t>
            </w:r>
          </w:p>
          <w:p w14:paraId="718142AF">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ascii="Times New Roman" w:hAnsi="Times New Roman" w:eastAsia="宋体" w:cs="Times New Roman"/>
                <w:snapToGrid w:val="0"/>
                <w:color w:val="000000"/>
                <w:spacing w:val="10"/>
                <w:kern w:val="0"/>
                <w:sz w:val="24"/>
                <w:szCs w:val="24"/>
                <w:lang w:val="en-US" w:eastAsia="zh-CN"/>
              </w:rPr>
            </w:pPr>
            <w:r>
              <w:rPr>
                <w:rFonts w:hint="eastAsia" w:ascii="Times New Roman" w:hAnsi="Times New Roman" w:eastAsia="宋体" w:cs="Times New Roman"/>
                <w:snapToGrid w:val="0"/>
                <w:color w:val="000000"/>
                <w:spacing w:val="10"/>
                <w:kern w:val="0"/>
                <w:sz w:val="24"/>
                <w:szCs w:val="24"/>
                <w:lang w:val="en-US" w:eastAsia="zh-CN"/>
              </w:rPr>
              <w:t>（2）</w:t>
            </w:r>
            <w:r>
              <w:rPr>
                <w:rFonts w:hint="eastAsia" w:cs="Times New Roman"/>
                <w:snapToGrid w:val="0"/>
                <w:color w:val="000000"/>
                <w:spacing w:val="10"/>
                <w:kern w:val="0"/>
                <w:sz w:val="24"/>
                <w:szCs w:val="24"/>
                <w:lang w:val="en-US" w:eastAsia="zh-CN"/>
              </w:rPr>
              <w:t>古碑-钼矿变电站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w:t>
            </w:r>
          </w:p>
          <w:p w14:paraId="3AD18920">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本工程架空线路自220kV古碑变110kV构架（110kV西起第三线路间隔）起，至110kV钼矿变构架（110kV西起第二线路间隔）止，新建单回线路路径长约35km。导线采用AF(SZ)+S4A-315/50应力转移型特强钢芯（软）铝型绞线。本工程利用古碑变一个待用间隔。</w:t>
            </w:r>
          </w:p>
          <w:p w14:paraId="27F65C8D">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根据系统通信方案，本期随线路常规段架设2根48芯OPGW-90光缆，路由长度约2×35km，形成古碑-钼矿的2条48芯光缆通道（其中1根预留）。</w:t>
            </w:r>
          </w:p>
          <w:p w14:paraId="7EBF765D">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（3）双河-钼矿变电站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w:t>
            </w:r>
          </w:p>
          <w:p w14:paraId="1D248C95">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本工程新建1回双河-金沙钼业110kV线路，新建线路约1×22km。导线采用AF(SZ)+S4A-315+50应力转移型特强钢芯软铝型线绞线。本工程在双河变电站扩建一个出线间隔。</w:t>
            </w:r>
          </w:p>
          <w:p w14:paraId="2C071520">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根据系统通信方案，随新建线路架设2根48芯OPGW光缆，光缆路由长约22km。</w:t>
            </w:r>
          </w:p>
          <w:p w14:paraId="7F1F6C8E">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（4）</w:t>
            </w:r>
            <w:r>
              <w:rPr>
                <w:rFonts w:hint="eastAsia" w:cs="Times New Roman"/>
                <w:sz w:val="24"/>
                <w:szCs w:val="24"/>
                <w:lang w:val="en-US" w:eastAsia="zh-CN"/>
              </w:rPr>
              <w:t>双河110kV变电站110kV钼矿间隔扩建工程</w:t>
            </w:r>
          </w:p>
          <w:p w14:paraId="32974A9E">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z w:val="24"/>
                <w:szCs w:val="24"/>
                <w:lang w:val="en-US" w:eastAsia="zh-CN"/>
              </w:rPr>
            </w:pPr>
            <w:r>
              <w:rPr>
                <w:rFonts w:hint="eastAsia" w:cs="Times New Roman"/>
                <w:sz w:val="24"/>
                <w:szCs w:val="24"/>
                <w:lang w:val="en-US" w:eastAsia="zh-CN"/>
              </w:rPr>
              <w:t>双河110kV变电站为已投运常规变电站，双河110kV变电站主变为户外型布置，已建设2台主变，主变区位于站区中部，南北向排列。110kV配电装置布置在站区东侧，向东架空出线4回（</w:t>
            </w:r>
            <w:r>
              <w:rPr>
                <w:rFonts w:hint="eastAsia" w:ascii="Times New Roman" w:hAnsi="Times New Roman" w:eastAsia="宋体" w:cs="Times New Roman"/>
                <w:snapToGrid w:val="0"/>
                <w:color w:val="000000"/>
                <w:spacing w:val="10"/>
                <w:szCs w:val="24"/>
                <w:lang w:val="en-US" w:eastAsia="zh-CN"/>
              </w:rPr>
              <w:t>红石</w:t>
            </w:r>
            <w:r>
              <w:rPr>
                <w:rFonts w:hint="eastAsia" w:cs="Times New Roman"/>
                <w:snapToGrid w:val="0"/>
                <w:color w:val="000000"/>
                <w:spacing w:val="10"/>
                <w:szCs w:val="24"/>
                <w:lang w:val="en-US" w:eastAsia="zh-CN"/>
              </w:rPr>
              <w:t>1</w:t>
            </w:r>
            <w:r>
              <w:rPr>
                <w:rFonts w:hint="eastAsia" w:cs="Times New Roman"/>
                <w:sz w:val="24"/>
                <w:szCs w:val="24"/>
                <w:lang w:val="en-US" w:eastAsia="zh-CN"/>
              </w:rPr>
              <w:t>回，</w:t>
            </w:r>
            <w:r>
              <w:rPr>
                <w:rFonts w:hint="eastAsia" w:ascii="Times New Roman" w:hAnsi="Times New Roman" w:eastAsia="宋体" w:cs="Times New Roman"/>
                <w:snapToGrid w:val="0"/>
                <w:color w:val="000000"/>
                <w:spacing w:val="10"/>
                <w:szCs w:val="24"/>
                <w:lang w:val="en-US" w:eastAsia="zh-CN"/>
              </w:rPr>
              <w:t>南溪</w:t>
            </w:r>
            <w:r>
              <w:rPr>
                <w:rFonts w:hint="eastAsia" w:cs="Times New Roman"/>
                <w:snapToGrid w:val="0"/>
                <w:color w:val="000000"/>
                <w:spacing w:val="10"/>
                <w:szCs w:val="24"/>
                <w:lang w:val="en-US" w:eastAsia="zh-CN"/>
              </w:rPr>
              <w:t>1</w:t>
            </w:r>
            <w:r>
              <w:rPr>
                <w:rFonts w:hint="eastAsia" w:cs="Times New Roman"/>
                <w:sz w:val="24"/>
                <w:szCs w:val="24"/>
                <w:lang w:val="en-US" w:eastAsia="zh-CN"/>
              </w:rPr>
              <w:t>回，备用2回）。</w:t>
            </w:r>
          </w:p>
          <w:p w14:paraId="3055E0ED">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480" w:firstLineChars="200"/>
              <w:jc w:val="both"/>
              <w:textAlignment w:val="baseline"/>
              <w:rPr>
                <w:rFonts w:hint="eastAsia" w:cs="Times New Roman"/>
                <w:snapToGrid w:val="0"/>
                <w:color w:val="000000"/>
                <w:spacing w:val="10"/>
                <w:kern w:val="0"/>
                <w:sz w:val="24"/>
                <w:szCs w:val="24"/>
                <w:lang w:val="en-US" w:eastAsia="zh-CN"/>
              </w:rPr>
            </w:pPr>
            <w:r>
              <w:rPr>
                <w:rFonts w:hint="eastAsia" w:cs="Times New Roman"/>
                <w:sz w:val="24"/>
                <w:szCs w:val="24"/>
                <w:lang w:val="en-US" w:eastAsia="zh-CN"/>
              </w:rPr>
              <w:t>本期扩建1个110kV出线间隔（钼矿），利用北起第一出线间隔，接线型式不变。本期间隔扩建工程在双河110kV变电站110kV配电装置区预留位置进行，不新征用地。</w:t>
            </w:r>
          </w:p>
          <w:p w14:paraId="62FB9691">
            <w:pPr>
              <w:pStyle w:val="21"/>
              <w:keepNext w:val="0"/>
              <w:keepLines w:val="0"/>
              <w:pageBreakBefore w:val="0"/>
              <w:wordWrap/>
              <w:overflowPunct/>
              <w:topLinePunct w:val="0"/>
              <w:bidi w:val="0"/>
              <w:adjustRightInd/>
              <w:snapToGrid/>
              <w:spacing w:before="0" w:line="360" w:lineRule="auto"/>
              <w:ind w:firstLine="484" w:firstLineChars="200"/>
              <w:jc w:val="both"/>
              <w:rPr>
                <w:rFonts w:hint="eastAsia" w:ascii="Times New Roman" w:hAnsi="Times New Roman"/>
                <w:b/>
                <w:bCs/>
                <w:szCs w:val="24"/>
              </w:rPr>
            </w:pPr>
            <w:r>
              <w:rPr>
                <w:rFonts w:hint="eastAsia" w:ascii="宋体" w:hAnsi="宋体" w:eastAsia="宋体" w:cs="宋体"/>
                <w:snapToGrid w:val="0"/>
                <w:color w:val="000000"/>
                <w:spacing w:val="1"/>
                <w:kern w:val="0"/>
                <w:sz w:val="24"/>
                <w:szCs w:val="24"/>
              </w:rPr>
              <w:t>项目主要工</w:t>
            </w:r>
            <w:r>
              <w:rPr>
                <w:rFonts w:hint="eastAsia" w:ascii="宋体" w:hAnsi="宋体" w:eastAsia="宋体" w:cs="宋体"/>
                <w:snapToGrid w:val="0"/>
                <w:color w:val="000000"/>
                <w:kern w:val="0"/>
                <w:sz w:val="24"/>
                <w:szCs w:val="24"/>
              </w:rPr>
              <w:t>程内容如下。</w:t>
            </w:r>
          </w:p>
          <w:p w14:paraId="32CD4D12">
            <w:pPr>
              <w:pStyle w:val="21"/>
              <w:spacing w:before="0" w:line="240" w:lineRule="auto"/>
              <w:ind w:firstLine="0" w:firstLineChars="0"/>
              <w:jc w:val="center"/>
              <w:rPr>
                <w:rFonts w:ascii="Times New Roman" w:hAnsi="Times New Roman"/>
                <w:b/>
                <w:bCs/>
                <w:sz w:val="21"/>
                <w:szCs w:val="21"/>
              </w:rPr>
            </w:pPr>
            <w:r>
              <w:rPr>
                <w:rFonts w:hint="eastAsia" w:ascii="Times New Roman" w:hAnsi="Times New Roman"/>
                <w:b/>
                <w:bCs/>
                <w:sz w:val="21"/>
                <w:szCs w:val="21"/>
              </w:rPr>
              <w:t>表2-</w:t>
            </w:r>
            <w:r>
              <w:rPr>
                <w:rFonts w:hint="eastAsia" w:ascii="Times New Roman" w:hAnsi="Times New Roman"/>
                <w:b/>
                <w:bCs/>
                <w:sz w:val="21"/>
                <w:szCs w:val="21"/>
                <w:lang w:val="en-US" w:eastAsia="zh-CN"/>
              </w:rPr>
              <w:t>1</w:t>
            </w:r>
            <w:r>
              <w:rPr>
                <w:rFonts w:hint="eastAsia" w:ascii="Times New Roman" w:hAnsi="Times New Roman"/>
                <w:b/>
                <w:bCs/>
                <w:sz w:val="21"/>
                <w:szCs w:val="21"/>
              </w:rPr>
              <w:t xml:space="preserve">  </w:t>
            </w:r>
            <w:r>
              <w:rPr>
                <w:rFonts w:ascii="Times New Roman" w:hAnsi="Times New Roman"/>
                <w:b/>
                <w:bCs/>
                <w:sz w:val="21"/>
                <w:szCs w:val="21"/>
              </w:rPr>
              <w:t xml:space="preserve"> </w:t>
            </w:r>
            <w:r>
              <w:rPr>
                <w:rFonts w:hint="eastAsia" w:ascii="Times New Roman" w:hAnsi="Times New Roman" w:eastAsia="宋体"/>
                <w:b/>
                <w:bCs/>
                <w:kern w:val="2"/>
                <w:sz w:val="21"/>
                <w:szCs w:val="21"/>
              </w:rPr>
              <w:t>建设项目组成一览表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
              <w:gridCol w:w="698"/>
              <w:gridCol w:w="506"/>
              <w:gridCol w:w="7384"/>
            </w:tblGrid>
            <w:tr w14:paraId="562BC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24" w:type="pct"/>
                  <w:gridSpan w:val="3"/>
                  <w:vAlign w:val="center"/>
                </w:tcPr>
                <w:p w14:paraId="250CAE9B">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工程名称</w:t>
                  </w:r>
                </w:p>
              </w:tc>
              <w:tc>
                <w:tcPr>
                  <w:tcW w:w="4075" w:type="pct"/>
                  <w:vAlign w:val="center"/>
                </w:tcPr>
                <w:p w14:paraId="3A85534E">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建设内容</w:t>
                  </w:r>
                </w:p>
              </w:tc>
            </w:tr>
            <w:tr w14:paraId="4CD18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restart"/>
                  <w:vAlign w:val="center"/>
                </w:tcPr>
                <w:p w14:paraId="378A3B18">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主体工程</w:t>
                  </w:r>
                </w:p>
              </w:tc>
              <w:tc>
                <w:tcPr>
                  <w:tcW w:w="664" w:type="pct"/>
                  <w:gridSpan w:val="2"/>
                  <w:vAlign w:val="center"/>
                </w:tcPr>
                <w:p w14:paraId="550972C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110</w:t>
                  </w:r>
                  <w:r>
                    <w:rPr>
                      <w:rFonts w:hint="default" w:ascii="Times New Roman" w:hAnsi="Times New Roman" w:eastAsia="宋体" w:cs="Times New Roman"/>
                      <w:sz w:val="21"/>
                      <w:szCs w:val="21"/>
                    </w:rPr>
                    <w:t>kV</w:t>
                  </w:r>
                  <w:r>
                    <w:rPr>
                      <w:rFonts w:hint="default" w:ascii="Times New Roman" w:hAnsi="Times New Roman" w:eastAsia="宋体" w:cs="Times New Roman"/>
                      <w:sz w:val="21"/>
                      <w:szCs w:val="21"/>
                      <w:lang w:val="en-US" w:eastAsia="zh-CN"/>
                    </w:rPr>
                    <w:t>变电站新建工程</w:t>
                  </w:r>
                </w:p>
              </w:tc>
              <w:tc>
                <w:tcPr>
                  <w:tcW w:w="4075" w:type="pct"/>
                  <w:vAlign w:val="center"/>
                </w:tcPr>
                <w:p w14:paraId="1D8E2370">
                  <w:pPr>
                    <w:jc w:val="center"/>
                    <w:rPr>
                      <w:rFonts w:hint="default" w:ascii="Times New Roman" w:hAnsi="Times New Roman" w:eastAsia="宋体" w:cs="Times New Roman"/>
                      <w:sz w:val="21"/>
                      <w:szCs w:val="21"/>
                    </w:rPr>
                  </w:pPr>
                  <w:r>
                    <w:rPr>
                      <w:rFonts w:hint="eastAsia" w:cs="Times New Roman"/>
                      <w:sz w:val="21"/>
                      <w:szCs w:val="21"/>
                      <w:lang w:val="en-US" w:eastAsia="zh-CN"/>
                    </w:rPr>
                    <w:t>本工程</w:t>
                  </w:r>
                  <w:r>
                    <w:rPr>
                      <w:rFonts w:hint="default" w:ascii="Times New Roman" w:hAnsi="Times New Roman" w:eastAsia="宋体" w:cs="Times New Roman"/>
                      <w:sz w:val="21"/>
                      <w:szCs w:val="21"/>
                      <w:lang w:val="en-US" w:eastAsia="zh-CN"/>
                    </w:rPr>
                    <w:t>安装3台63MVA三相双绕组自冷有载调压变压器，电压等级110/10kV，正常运行时，两台63MVA主变同时工作，另1台63MVA主变备用，即1#、2#主变同时使用，3#主变为1#和2#主变的备用变压器，母联断开。1#检修时，3#主变启动，1段母线和3段母线母联闭合。2#检修时，3#主变启动，2段母线和3段母线母联闭合。110kV、10kV系统为单母线三分段接线，110kV架空进线两回，架空出线两回，10kV系统进线3回，出线41回。设置10kV无功补偿装置10Mvar两套，110kV侧系统功率因数达到0.95及以上。I段、II段母线分别安装一台接地变，每台容量为800/200kVA，10kV±2×2.5%/0.4kV。110kV配电装置采用户内GIS设备，电缆进出线。</w:t>
                  </w:r>
                </w:p>
              </w:tc>
            </w:tr>
            <w:tr w14:paraId="32FC2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1DF97934">
                  <w:pPr>
                    <w:jc w:val="center"/>
                  </w:pPr>
                </w:p>
              </w:tc>
              <w:tc>
                <w:tcPr>
                  <w:tcW w:w="664" w:type="pct"/>
                  <w:gridSpan w:val="2"/>
                  <w:vAlign w:val="center"/>
                </w:tcPr>
                <w:p w14:paraId="7F375A92">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古碑-钼矿变电站110</w:t>
                  </w:r>
                  <w:r>
                    <w:rPr>
                      <w:rFonts w:hint="default" w:ascii="Times New Roman" w:hAnsi="Times New Roman" w:eastAsia="宋体" w:cs="Times New Roman"/>
                      <w:sz w:val="21"/>
                      <w:szCs w:val="21"/>
                    </w:rPr>
                    <w:t>kV</w:t>
                  </w:r>
                  <w:r>
                    <w:rPr>
                      <w:rFonts w:hint="default" w:ascii="Times New Roman" w:hAnsi="Times New Roman" w:eastAsia="宋体" w:cs="Times New Roman"/>
                      <w:sz w:val="21"/>
                      <w:szCs w:val="21"/>
                      <w:lang w:val="en-US" w:eastAsia="zh-CN"/>
                    </w:rPr>
                    <w:t>线路工程</w:t>
                  </w:r>
                </w:p>
              </w:tc>
              <w:tc>
                <w:tcPr>
                  <w:tcW w:w="4075" w:type="pct"/>
                  <w:vAlign w:val="center"/>
                </w:tcPr>
                <w:p w14:paraId="39E31A9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本工程架空线路自220kV古碑变110kV构架（110kV西起第三线路间隔）起，至110kV钼矿变构架（110kV西起第二线路间隔）止，新建单回线路路径长约35km。导线采用AF(SZ)+S4A-315/50应力转移型特强钢芯（软）铝型绞线。</w:t>
                  </w:r>
                  <w:r>
                    <w:rPr>
                      <w:rFonts w:hint="eastAsia" w:cs="Times New Roman"/>
                      <w:sz w:val="21"/>
                      <w:szCs w:val="21"/>
                      <w:lang w:val="en-US" w:eastAsia="zh-CN"/>
                    </w:rPr>
                    <w:t>本工程</w:t>
                  </w:r>
                  <w:r>
                    <w:rPr>
                      <w:rFonts w:hint="default" w:ascii="Times New Roman" w:hAnsi="Times New Roman" w:eastAsia="宋体" w:cs="Times New Roman"/>
                      <w:sz w:val="21"/>
                      <w:szCs w:val="21"/>
                      <w:lang w:val="en-US" w:eastAsia="zh-CN"/>
                    </w:rPr>
                    <w:t>利用古碑变一个待用间隔。根据系统通信方案，本期随线路常规段架设2根48芯OPGW-90光缆，路由长度约2×35km，形成古碑-钼矿的</w:t>
                  </w:r>
                  <w:r>
                    <w:rPr>
                      <w:rFonts w:hint="eastAsia" w:cs="Times New Roman"/>
                      <w:sz w:val="21"/>
                      <w:szCs w:val="21"/>
                      <w:lang w:val="en-US" w:eastAsia="zh-CN"/>
                    </w:rPr>
                    <w:t>2</w:t>
                  </w:r>
                  <w:r>
                    <w:rPr>
                      <w:rFonts w:hint="default" w:ascii="Times New Roman" w:hAnsi="Times New Roman" w:eastAsia="宋体" w:cs="Times New Roman"/>
                      <w:sz w:val="21"/>
                      <w:szCs w:val="21"/>
                      <w:lang w:val="en-US" w:eastAsia="zh-CN"/>
                    </w:rPr>
                    <w:t>条48芯光缆通道（其中1根预留）。</w:t>
                  </w:r>
                </w:p>
              </w:tc>
            </w:tr>
            <w:tr w14:paraId="0C8B8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1008E18D">
                  <w:pPr>
                    <w:jc w:val="center"/>
                    <w:rPr>
                      <w:rFonts w:hint="default" w:ascii="Times New Roman" w:hAnsi="Times New Roman" w:eastAsia="宋体" w:cs="Times New Roman"/>
                      <w:sz w:val="21"/>
                      <w:szCs w:val="21"/>
                    </w:rPr>
                  </w:pPr>
                </w:p>
              </w:tc>
              <w:tc>
                <w:tcPr>
                  <w:tcW w:w="664" w:type="pct"/>
                  <w:gridSpan w:val="2"/>
                  <w:vAlign w:val="center"/>
                </w:tcPr>
                <w:p w14:paraId="2D9FB429">
                  <w:pPr>
                    <w:jc w:val="center"/>
                    <w:rPr>
                      <w:rFonts w:hint="eastAsia" w:ascii="Times New Roman" w:hAnsi="Times New Roman" w:eastAsia="宋体" w:cs="Times New Roman"/>
                      <w:sz w:val="21"/>
                      <w:szCs w:val="21"/>
                      <w:highlight w:val="none"/>
                      <w:lang w:val="en-US" w:eastAsia="zh-CN" w:bidi="ar-SA"/>
                    </w:rPr>
                  </w:pPr>
                  <w:r>
                    <w:rPr>
                      <w:rFonts w:hint="eastAsia" w:cs="Times New Roman"/>
                      <w:sz w:val="21"/>
                      <w:szCs w:val="21"/>
                      <w:highlight w:val="none"/>
                      <w:lang w:val="en-US" w:eastAsia="zh-CN" w:bidi="ar-SA"/>
                    </w:rPr>
                    <w:t>双河</w:t>
                  </w:r>
                  <w:r>
                    <w:rPr>
                      <w:rFonts w:hint="eastAsia" w:ascii="Times New Roman" w:hAnsi="Times New Roman" w:eastAsia="宋体" w:cs="Times New Roman"/>
                      <w:sz w:val="21"/>
                      <w:szCs w:val="21"/>
                      <w:highlight w:val="none"/>
                      <w:lang w:val="en-US" w:eastAsia="zh-CN" w:bidi="ar-SA"/>
                    </w:rPr>
                    <w:t>-钼矿变电站110kV线路工程</w:t>
                  </w:r>
                </w:p>
              </w:tc>
              <w:tc>
                <w:tcPr>
                  <w:tcW w:w="4075" w:type="pct"/>
                  <w:vAlign w:val="center"/>
                </w:tcPr>
                <w:p w14:paraId="4DE18EE2">
                  <w:pPr>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bidi="ar-SA"/>
                    </w:rPr>
                    <w:t>本工程新建1回双河-金沙钼业110kV线路，新建线路约1×22km。导线采用AF(SZ)+S4A-315+50应力转移型特强钢芯软铝型线绞线。</w:t>
                  </w:r>
                  <w:r>
                    <w:rPr>
                      <w:rFonts w:hint="eastAsia" w:cs="Times New Roman"/>
                      <w:sz w:val="21"/>
                      <w:szCs w:val="21"/>
                      <w:highlight w:val="none"/>
                      <w:lang w:val="en-US" w:eastAsia="zh-CN" w:bidi="ar-SA"/>
                    </w:rPr>
                    <w:t>本工程</w:t>
                  </w:r>
                  <w:r>
                    <w:rPr>
                      <w:rFonts w:hint="default" w:ascii="Times New Roman" w:hAnsi="Times New Roman" w:eastAsia="宋体" w:cs="Times New Roman"/>
                      <w:sz w:val="21"/>
                      <w:szCs w:val="21"/>
                      <w:highlight w:val="none"/>
                      <w:lang w:val="en-US" w:eastAsia="zh-CN" w:bidi="ar-SA"/>
                    </w:rPr>
                    <w:t>在双河变电站扩建一个出线间隔。根据系统通信方案，随新建线路架设</w:t>
                  </w:r>
                  <w:r>
                    <w:rPr>
                      <w:rFonts w:hint="eastAsia" w:cs="Times New Roman"/>
                      <w:sz w:val="21"/>
                      <w:szCs w:val="21"/>
                      <w:highlight w:val="none"/>
                      <w:lang w:val="en-US" w:eastAsia="zh-CN" w:bidi="ar-SA"/>
                    </w:rPr>
                    <w:t>2</w:t>
                  </w:r>
                  <w:r>
                    <w:rPr>
                      <w:rFonts w:hint="default" w:ascii="Times New Roman" w:hAnsi="Times New Roman" w:eastAsia="宋体" w:cs="Times New Roman"/>
                      <w:sz w:val="21"/>
                      <w:szCs w:val="21"/>
                      <w:highlight w:val="none"/>
                      <w:lang w:val="en-US" w:eastAsia="zh-CN" w:bidi="ar-SA"/>
                    </w:rPr>
                    <w:t>根48芯OPGW光缆，光缆路由长约22km。</w:t>
                  </w:r>
                </w:p>
              </w:tc>
            </w:tr>
            <w:tr w14:paraId="03E8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4F1E9C90">
                  <w:pPr>
                    <w:jc w:val="center"/>
                    <w:rPr>
                      <w:rFonts w:hint="default" w:ascii="Times New Roman" w:hAnsi="Times New Roman" w:eastAsia="宋体" w:cs="Times New Roman"/>
                      <w:sz w:val="21"/>
                      <w:szCs w:val="21"/>
                    </w:rPr>
                  </w:pPr>
                </w:p>
              </w:tc>
              <w:tc>
                <w:tcPr>
                  <w:tcW w:w="664" w:type="pct"/>
                  <w:gridSpan w:val="2"/>
                  <w:vAlign w:val="center"/>
                </w:tcPr>
                <w:p w14:paraId="2EEF782E">
                  <w:pPr>
                    <w:jc w:val="center"/>
                    <w:rPr>
                      <w:rFonts w:hint="eastAsia" w:cs="Times New Roman"/>
                      <w:sz w:val="21"/>
                      <w:szCs w:val="21"/>
                      <w:highlight w:val="none"/>
                      <w:lang w:val="en-US" w:eastAsia="zh-CN" w:bidi="ar-SA"/>
                    </w:rPr>
                  </w:pPr>
                  <w:r>
                    <w:rPr>
                      <w:rFonts w:hint="eastAsia" w:cs="Times New Roman"/>
                      <w:sz w:val="21"/>
                      <w:szCs w:val="21"/>
                      <w:highlight w:val="none"/>
                      <w:lang w:val="en-US" w:eastAsia="zh-CN" w:bidi="ar-SA"/>
                    </w:rPr>
                    <w:t>双河110kV变电站110kV钼矿间隔扩建工程</w:t>
                  </w:r>
                </w:p>
              </w:tc>
              <w:tc>
                <w:tcPr>
                  <w:tcW w:w="4075" w:type="pct"/>
                  <w:vAlign w:val="center"/>
                </w:tcPr>
                <w:p w14:paraId="13166CA7">
                  <w:pPr>
                    <w:jc w:val="center"/>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bidi="ar-SA"/>
                    </w:rPr>
                    <w:t>双河110kV变电站为已投运常规变电站，双河110kV变电站主变为户外型布置，已建设2台主变，主变区位于站区中部，南北向排列。110kV配电装置布置在站区东侧，向东架空出线4回（红石1回，南溪1回，备用2回）。本期扩建1个110kV出线间隔（钼矿），利用北起第一出线间隔，接线型式不变。本期间隔扩建工程在双河110kV变电站110kV配电装置区预留位置进行，不新征用地。</w:t>
                  </w:r>
                </w:p>
              </w:tc>
            </w:tr>
            <w:tr w14:paraId="6979C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restart"/>
                  <w:vAlign w:val="center"/>
                </w:tcPr>
                <w:p w14:paraId="60A70E0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eastAsia="zh-CN"/>
                    </w:rPr>
                    <w:t>辅助工程</w:t>
                  </w:r>
                </w:p>
              </w:tc>
              <w:tc>
                <w:tcPr>
                  <w:tcW w:w="664" w:type="pct"/>
                  <w:gridSpan w:val="2"/>
                  <w:vAlign w:val="center"/>
                </w:tcPr>
                <w:p w14:paraId="2E43A26F">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站内建筑物</w:t>
                  </w:r>
                </w:p>
              </w:tc>
              <w:tc>
                <w:tcPr>
                  <w:tcW w:w="4075" w:type="pct"/>
                  <w:vAlign w:val="center"/>
                </w:tcPr>
                <w:p w14:paraId="2D3FBA73">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变电站一楼主要为3个主变压器室、无功补偿室、接地变压器室、高压配电室、消防水泵房；二楼主要为GIS室、电力集控室、二次设备控制室；三楼主要为工程师技术室、维修休息室、巡检休息室。总建筑面积为1809m</w:t>
                  </w:r>
                  <w:r>
                    <w:rPr>
                      <w:rFonts w:hint="eastAsia" w:ascii="Times New Roman" w:hAnsi="Times New Roman" w:eastAsia="宋体" w:cs="Times New Roman"/>
                      <w:sz w:val="21"/>
                      <w:szCs w:val="21"/>
                      <w:vertAlign w:val="superscript"/>
                      <w:lang w:val="en-US" w:eastAsia="zh-CN"/>
                    </w:rPr>
                    <w:t>2</w:t>
                  </w:r>
                  <w:r>
                    <w:rPr>
                      <w:rFonts w:hint="eastAsia" w:ascii="Times New Roman" w:hAnsi="Times New Roman" w:eastAsia="宋体" w:cs="Times New Roman"/>
                      <w:sz w:val="21"/>
                      <w:szCs w:val="21"/>
                      <w:lang w:val="en-US" w:eastAsia="zh-CN"/>
                    </w:rPr>
                    <w:t>，建筑高度14.1m</w:t>
                  </w:r>
                  <w:r>
                    <w:rPr>
                      <w:rFonts w:hint="eastAsia" w:cs="Times New Roman"/>
                      <w:sz w:val="21"/>
                      <w:szCs w:val="21"/>
                      <w:lang w:val="en-US" w:eastAsia="zh-CN"/>
                    </w:rPr>
                    <w:t>，共三层</w:t>
                  </w:r>
                  <w:r>
                    <w:rPr>
                      <w:rFonts w:hint="eastAsia" w:ascii="Times New Roman" w:hAnsi="Times New Roman" w:eastAsia="宋体" w:cs="Times New Roman"/>
                      <w:sz w:val="21"/>
                      <w:szCs w:val="21"/>
                      <w:lang w:val="en-US" w:eastAsia="zh-CN"/>
                    </w:rPr>
                    <w:t>。</w:t>
                  </w:r>
                </w:p>
              </w:tc>
            </w:tr>
            <w:tr w14:paraId="47996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10DA6ED6">
                  <w:pPr>
                    <w:jc w:val="center"/>
                    <w:rPr>
                      <w:rFonts w:hint="default" w:ascii="Times New Roman" w:hAnsi="Times New Roman" w:eastAsia="宋体" w:cs="Times New Roman"/>
                      <w:sz w:val="21"/>
                      <w:szCs w:val="21"/>
                      <w:lang w:eastAsia="zh-CN"/>
                    </w:rPr>
                  </w:pPr>
                </w:p>
              </w:tc>
              <w:tc>
                <w:tcPr>
                  <w:tcW w:w="664" w:type="pct"/>
                  <w:gridSpan w:val="2"/>
                  <w:vAlign w:val="center"/>
                </w:tcPr>
                <w:p w14:paraId="1674E492">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进站道路</w:t>
                  </w:r>
                </w:p>
              </w:tc>
              <w:tc>
                <w:tcPr>
                  <w:tcW w:w="4075" w:type="pct"/>
                  <w:vAlign w:val="center"/>
                </w:tcPr>
                <w:p w14:paraId="13CF49E4">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变电站进站道路由农村道路引接，进站道路长度约为20m，站址处交通便利，属负荷中心、进出线方便。</w:t>
                  </w:r>
                </w:p>
              </w:tc>
            </w:tr>
            <w:tr w14:paraId="477C9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7CE1BA77">
                  <w:pPr>
                    <w:jc w:val="center"/>
                    <w:rPr>
                      <w:rFonts w:hint="default" w:ascii="Times New Roman" w:hAnsi="Times New Roman" w:eastAsia="宋体" w:cs="Times New Roman"/>
                      <w:sz w:val="21"/>
                      <w:szCs w:val="21"/>
                      <w:lang w:eastAsia="zh-CN"/>
                    </w:rPr>
                  </w:pPr>
                </w:p>
              </w:tc>
              <w:tc>
                <w:tcPr>
                  <w:tcW w:w="664" w:type="pct"/>
                  <w:gridSpan w:val="2"/>
                  <w:vAlign w:val="center"/>
                </w:tcPr>
                <w:p w14:paraId="759F2484">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站区围墙</w:t>
                  </w:r>
                </w:p>
              </w:tc>
              <w:tc>
                <w:tcPr>
                  <w:tcW w:w="4075" w:type="pct"/>
                  <w:vAlign w:val="center"/>
                </w:tcPr>
                <w:p w14:paraId="4DBB27DA">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站区围墙长270m，围墙内占地0.3752hm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，围墙高度为2.5m。围墙基础采用现浇钢筋混凝土基础。</w:t>
                  </w:r>
                </w:p>
              </w:tc>
            </w:tr>
            <w:tr w14:paraId="4A95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7CA982AD">
                  <w:pPr>
                    <w:jc w:val="center"/>
                    <w:rPr>
                      <w:rFonts w:hint="default" w:ascii="Times New Roman" w:hAnsi="Times New Roman" w:eastAsia="宋体" w:cs="Times New Roman"/>
                      <w:sz w:val="21"/>
                      <w:szCs w:val="21"/>
                      <w:lang w:eastAsia="zh-CN"/>
                    </w:rPr>
                  </w:pPr>
                </w:p>
              </w:tc>
              <w:tc>
                <w:tcPr>
                  <w:tcW w:w="664" w:type="pct"/>
                  <w:gridSpan w:val="2"/>
                  <w:vAlign w:val="center"/>
                </w:tcPr>
                <w:p w14:paraId="10A47DAF">
                  <w:pPr>
                    <w:jc w:val="center"/>
                    <w:rPr>
                      <w:rFonts w:hint="default" w:cs="Times New Roman"/>
                      <w:sz w:val="21"/>
                      <w:szCs w:val="21"/>
                      <w:lang w:val="en-US" w:eastAsia="zh-CN"/>
                    </w:rPr>
                  </w:pPr>
                  <w:r>
                    <w:rPr>
                      <w:rFonts w:hint="eastAsia" w:cs="Times New Roman"/>
                      <w:sz w:val="21"/>
                      <w:szCs w:val="21"/>
                      <w:lang w:val="en-US" w:eastAsia="zh-CN"/>
                    </w:rPr>
                    <w:t>消防系统</w:t>
                  </w:r>
                </w:p>
              </w:tc>
              <w:tc>
                <w:tcPr>
                  <w:tcW w:w="4075" w:type="pct"/>
                  <w:vAlign w:val="center"/>
                </w:tcPr>
                <w:p w14:paraId="0D24E6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cs="Times New Roman"/>
                      <w:sz w:val="21"/>
                      <w:szCs w:val="21"/>
                      <w:lang w:val="en-US" w:eastAsia="zh-CN"/>
                    </w:rPr>
                    <w:t>细水雾灭火系统：</w:t>
                  </w:r>
                  <w:r>
                    <w:rPr>
                      <w:rFonts w:hint="default" w:ascii="Times New Roman" w:hAnsi="Times New Roman" w:eastAsia="宋体" w:cs="Times New Roman"/>
                      <w:sz w:val="21"/>
                      <w:szCs w:val="21"/>
                      <w:lang w:val="en-US" w:eastAsia="zh-CN"/>
                    </w:rPr>
                    <w:t>根据规范要求，对变电站内补偿室、高压配电室、二次设备及控制室、电力集控室、接地变室、GIS室采用细水雾全淹没应用方式的开式灭火系统进行保护，保护区域划分为4个保护分区，总保护面积1102.2m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；变压器室采用细水雾局部应用方式的开式灭火系统进行保护，保护区域划分为3个保护分区，总保护面积360m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。细水雾灭火系统设V=12m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不锈钢水箱</w:t>
                  </w:r>
                  <w:r>
                    <w:rPr>
                      <w:rFonts w:hint="eastAsia" w:cs="Times New Roman"/>
                      <w:sz w:val="21"/>
                      <w:szCs w:val="21"/>
                      <w:lang w:val="en-US" w:eastAsia="zh-CN"/>
                    </w:rPr>
                    <w:t>（</w:t>
                  </w:r>
                  <w:r>
                    <w:rPr>
                      <w:rFonts w:hint="default" w:ascii="Times New Roman" w:hAnsi="Times New Roman" w:eastAsia="宋体" w:cs="Times New Roman"/>
                      <w:sz w:val="21"/>
                      <w:szCs w:val="21"/>
                      <w:lang w:val="en-US" w:eastAsia="zh-CN"/>
                    </w:rPr>
                    <w:t>L</w:t>
                  </w:r>
                  <w:r>
                    <w:rPr>
                      <w:rFonts w:hint="default" w:cs="Times New Roman"/>
                      <w:sz w:val="21"/>
                      <w:szCs w:val="21"/>
                      <w:lang w:val="en-US" w:eastAsia="zh-CN"/>
                    </w:rPr>
                    <w:t>×</w:t>
                  </w:r>
                  <w:r>
                    <w:rPr>
                      <w:rFonts w:hint="default" w:ascii="Times New Roman" w:hAnsi="Times New Roman" w:eastAsia="宋体" w:cs="Times New Roman"/>
                      <w:sz w:val="21"/>
                      <w:szCs w:val="21"/>
                      <w:lang w:val="en-US" w:eastAsia="zh-CN"/>
                    </w:rPr>
                    <w:t>B</w:t>
                  </w:r>
                  <w:r>
                    <w:rPr>
                      <w:rFonts w:hint="default" w:cs="Times New Roman"/>
                      <w:sz w:val="21"/>
                      <w:szCs w:val="21"/>
                      <w:lang w:val="en-US" w:eastAsia="zh-CN"/>
                    </w:rPr>
                    <w:t>×</w:t>
                  </w:r>
                  <w:r>
                    <w:rPr>
                      <w:rFonts w:hint="default" w:ascii="Times New Roman" w:hAnsi="Times New Roman" w:eastAsia="宋体" w:cs="Times New Roman"/>
                      <w:sz w:val="21"/>
                      <w:szCs w:val="21"/>
                      <w:lang w:val="en-US" w:eastAsia="zh-CN"/>
                    </w:rPr>
                    <w:t>H=3000x2000x200mm）一套，含有高低位报警、自动补水、放空装置，水箱补水由厂区生活给水管网直接供给，由液位变送器控制补水电磁阀的启闭实现对水箱自动补水。</w:t>
                  </w:r>
                </w:p>
                <w:p w14:paraId="09B4D0EA">
                  <w:pPr>
                    <w:jc w:val="center"/>
                    <w:rPr>
                      <w:rFonts w:hint="default" w:ascii="Times New Roman" w:hAnsi="Times New Roman" w:eastAsia="宋体" w:cs="Times New Roman"/>
                      <w:sz w:val="21"/>
                      <w:szCs w:val="21"/>
                      <w:lang w:val="en-US" w:eastAsia="zh-CN"/>
                    </w:rPr>
                  </w:pPr>
                  <w:r>
                    <w:rPr>
                      <w:rFonts w:hint="default" w:cs="Times New Roman"/>
                      <w:sz w:val="21"/>
                      <w:szCs w:val="21"/>
                      <w:lang w:val="en-US" w:eastAsia="zh-CN"/>
                    </w:rPr>
                    <w:t>室外消火栓系统：</w:t>
                  </w:r>
                  <w:r>
                    <w:rPr>
                      <w:rFonts w:hint="default" w:ascii="Times New Roman" w:hAnsi="Times New Roman" w:eastAsia="宋体" w:cs="Times New Roman"/>
                      <w:sz w:val="21"/>
                      <w:szCs w:val="21"/>
                      <w:lang w:val="en-US" w:eastAsia="zh-CN"/>
                    </w:rPr>
                    <w:t>变电所室外消防水量20L/s，火灾延续时间2h，一次消防水量144m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。变电所室外消火栓系统为常高压消防系统。消防用水储存在选矿工业场地2座容积4000m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生产消防高位水池中。管道采用焊接钢管，沿道路环状铺设，水压0.5MPa。</w:t>
                  </w:r>
                </w:p>
              </w:tc>
            </w:tr>
            <w:tr w14:paraId="3E894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restart"/>
                  <w:vAlign w:val="center"/>
                </w:tcPr>
                <w:p w14:paraId="569B57FD">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公用工程</w:t>
                  </w:r>
                </w:p>
              </w:tc>
              <w:tc>
                <w:tcPr>
                  <w:tcW w:w="664" w:type="pct"/>
                  <w:gridSpan w:val="2"/>
                  <w:vAlign w:val="center"/>
                </w:tcPr>
                <w:p w14:paraId="7CCEEE24">
                  <w:pPr>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给水</w:t>
                  </w:r>
                  <w:r>
                    <w:rPr>
                      <w:rFonts w:hint="eastAsia" w:cs="Times New Roman"/>
                      <w:sz w:val="21"/>
                      <w:szCs w:val="21"/>
                      <w:lang w:eastAsia="zh-CN"/>
                    </w:rPr>
                    <w:t>系统</w:t>
                  </w:r>
                </w:p>
              </w:tc>
              <w:tc>
                <w:tcPr>
                  <w:tcW w:w="4075" w:type="pct"/>
                  <w:vAlign w:val="center"/>
                </w:tcPr>
                <w:p w14:paraId="3AFB00A0">
                  <w:pPr>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项目供水由</w:t>
                  </w:r>
                  <w:r>
                    <w:rPr>
                      <w:rFonts w:hint="eastAsia" w:cs="Times New Roman"/>
                      <w:sz w:val="21"/>
                      <w:szCs w:val="21"/>
                      <w:lang w:val="en-US" w:eastAsia="zh-CN"/>
                    </w:rPr>
                    <w:t>矿区生活高位水池通过生活给水管网供给</w:t>
                  </w:r>
                  <w:r>
                    <w:rPr>
                      <w:rFonts w:hint="eastAsia" w:ascii="Times New Roman" w:hAnsi="Times New Roman" w:eastAsia="宋体" w:cs="Times New Roman"/>
                      <w:sz w:val="21"/>
                      <w:szCs w:val="21"/>
                      <w:lang w:eastAsia="zh-CN"/>
                    </w:rPr>
                    <w:t>，</w:t>
                  </w:r>
                  <w:r>
                    <w:rPr>
                      <w:rFonts w:hint="eastAsia" w:cs="Times New Roman"/>
                      <w:sz w:val="21"/>
                      <w:szCs w:val="21"/>
                      <w:lang w:val="en-US" w:eastAsia="zh-CN"/>
                    </w:rPr>
                    <w:t>生活高位水池的水由市政供水管网供给，</w:t>
                  </w:r>
                  <w:r>
                    <w:rPr>
                      <w:rFonts w:hint="default" w:ascii="Times New Roman" w:hAnsi="Times New Roman" w:eastAsia="宋体" w:cs="Times New Roman"/>
                      <w:sz w:val="21"/>
                      <w:szCs w:val="21"/>
                    </w:rPr>
                    <w:t>主要为员工生活用</w:t>
                  </w:r>
                  <w:r>
                    <w:rPr>
                      <w:rFonts w:hint="default" w:ascii="Times New Roman" w:hAnsi="Times New Roman" w:eastAsia="宋体" w:cs="Times New Roman"/>
                      <w:color w:val="000000" w:themeColor="text1"/>
                      <w:sz w:val="21"/>
                      <w:szCs w:val="21"/>
                      <w14:textFill>
                        <w14:solidFill>
                          <w14:schemeClr w14:val="tx1"/>
                        </w14:solidFill>
                      </w14:textFill>
                    </w:rPr>
                    <w:t>水</w:t>
                  </w:r>
                  <w:r>
                    <w:rPr>
                      <w:rFonts w:hint="eastAsia" w:ascii="Times New Roman" w:hAnsi="Times New Roman" w:eastAsia="宋体" w:cs="Times New Roman"/>
                      <w:color w:val="000000" w:themeColor="text1"/>
                      <w:sz w:val="21"/>
                      <w:szCs w:val="21"/>
                      <w:lang w:eastAsia="zh-CN"/>
                      <w14:textFill>
                        <w14:solidFill>
                          <w14:schemeClr w14:val="tx1"/>
                        </w14:solidFill>
                      </w14:textFill>
                    </w:rPr>
                    <w:t>。</w:t>
                  </w:r>
                </w:p>
              </w:tc>
            </w:tr>
            <w:tr w14:paraId="1DE42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155DA5C5">
                  <w:pPr>
                    <w:jc w:val="center"/>
                    <w:rPr>
                      <w:rFonts w:hint="default" w:ascii="Times New Roman" w:hAnsi="Times New Roman" w:eastAsia="宋体" w:cs="Times New Roman"/>
                      <w:sz w:val="21"/>
                      <w:szCs w:val="21"/>
                    </w:rPr>
                  </w:pPr>
                </w:p>
              </w:tc>
              <w:tc>
                <w:tcPr>
                  <w:tcW w:w="385" w:type="pct"/>
                  <w:vMerge w:val="restart"/>
                  <w:vAlign w:val="center"/>
                </w:tcPr>
                <w:p w14:paraId="30DB0BFF">
                  <w:pPr>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排水</w:t>
                  </w:r>
                  <w:r>
                    <w:rPr>
                      <w:rFonts w:hint="eastAsia" w:cs="Times New Roman"/>
                      <w:sz w:val="21"/>
                      <w:szCs w:val="21"/>
                      <w:lang w:eastAsia="zh-CN"/>
                    </w:rPr>
                    <w:t>系统</w:t>
                  </w:r>
                </w:p>
              </w:tc>
              <w:tc>
                <w:tcPr>
                  <w:tcW w:w="279" w:type="pct"/>
                  <w:vAlign w:val="center"/>
                </w:tcPr>
                <w:p w14:paraId="23B9C15A">
                  <w:pPr>
                    <w:jc w:val="center"/>
                    <w:rPr>
                      <w:rFonts w:hint="eastAsia" w:ascii="Times New Roman" w:hAnsi="Times New Roman" w:eastAsia="宋体" w:cs="Times New Roman"/>
                      <w:sz w:val="21"/>
                      <w:szCs w:val="21"/>
                      <w:lang w:eastAsia="zh-CN"/>
                    </w:rPr>
                  </w:pPr>
                  <w:r>
                    <w:rPr>
                      <w:rFonts w:hint="eastAsia" w:cs="Times New Roman"/>
                      <w:sz w:val="21"/>
                      <w:szCs w:val="21"/>
                      <w:lang w:eastAsia="zh-CN"/>
                    </w:rPr>
                    <w:t>雨水</w:t>
                  </w:r>
                </w:p>
              </w:tc>
              <w:tc>
                <w:tcPr>
                  <w:tcW w:w="4075" w:type="pct"/>
                  <w:vAlign w:val="center"/>
                </w:tcPr>
                <w:p w14:paraId="56FB5855">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变电站场地雨水通过场地坡度排至场地周边混凝土矩形排水沟，最终汇入采选工业场地南侧初期雨水收集池进行沉淀处理</w:t>
                  </w:r>
                  <w:r>
                    <w:rPr>
                      <w:rFonts w:hint="eastAsia" w:cs="Times New Roman"/>
                      <w:color w:val="auto"/>
                      <w:sz w:val="21"/>
                      <w:szCs w:val="21"/>
                      <w:lang w:eastAsia="zh-CN"/>
                    </w:rPr>
                    <w:t>。</w:t>
                  </w:r>
                </w:p>
              </w:tc>
            </w:tr>
            <w:tr w14:paraId="1D554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5E2B7BC5">
                  <w:pPr>
                    <w:jc w:val="center"/>
                  </w:pPr>
                </w:p>
              </w:tc>
              <w:tc>
                <w:tcPr>
                  <w:tcW w:w="385" w:type="pct"/>
                  <w:vMerge w:val="continue"/>
                  <w:vAlign w:val="center"/>
                </w:tcPr>
                <w:p w14:paraId="399D81C8">
                  <w:pPr>
                    <w:jc w:val="center"/>
                  </w:pPr>
                </w:p>
              </w:tc>
              <w:tc>
                <w:tcPr>
                  <w:tcW w:w="279" w:type="pct"/>
                  <w:vAlign w:val="center"/>
                </w:tcPr>
                <w:p w14:paraId="3AADCBD6">
                  <w:pPr>
                    <w:jc w:val="center"/>
                    <w:rPr>
                      <w:rFonts w:hint="eastAsia" w:ascii="Times New Roman" w:hAnsi="Times New Roman" w:eastAsia="宋体" w:cs="Times New Roman"/>
                      <w:sz w:val="21"/>
                      <w:szCs w:val="21"/>
                      <w:lang w:eastAsia="zh-CN"/>
                    </w:rPr>
                  </w:pPr>
                  <w:r>
                    <w:rPr>
                      <w:rFonts w:hint="eastAsia" w:cs="Times New Roman"/>
                      <w:sz w:val="21"/>
                      <w:szCs w:val="21"/>
                      <w:lang w:eastAsia="zh-CN"/>
                    </w:rPr>
                    <w:t>污水</w:t>
                  </w:r>
                </w:p>
              </w:tc>
              <w:tc>
                <w:tcPr>
                  <w:tcW w:w="4075" w:type="pct"/>
                  <w:vAlign w:val="center"/>
                </w:tcPr>
                <w:p w14:paraId="45A40BF8">
                  <w:pPr>
                    <w:jc w:val="center"/>
                    <w:rPr>
                      <w:rFonts w:hint="eastAsia" w:ascii="Times New Roman" w:hAnsi="Times New Roman" w:eastAsia="宋体" w:cs="Times New Roman"/>
                      <w:color w:val="auto"/>
                      <w:sz w:val="21"/>
                      <w:szCs w:val="21"/>
                      <w:lang w:eastAsia="zh-CN"/>
                    </w:rPr>
                  </w:pPr>
                  <w:r>
                    <w:rPr>
                      <w:rFonts w:hint="eastAsia" w:cs="Times New Roman"/>
                      <w:sz w:val="21"/>
                      <w:szCs w:val="21"/>
                      <w:lang w:val="en-US" w:eastAsia="zh-CN"/>
                    </w:rPr>
                    <w:t>生活污水经化粪池收集后排入厂区生活排水管道，最终排入矿区内地埋式生活污水处理装置（生物接触氧化+砂滤+消毒工艺）收集处理后泵至选矿生产。</w:t>
                  </w:r>
                </w:p>
              </w:tc>
            </w:tr>
            <w:tr w14:paraId="62310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73198400">
                  <w:pPr>
                    <w:jc w:val="center"/>
                    <w:rPr>
                      <w:rFonts w:hint="default" w:ascii="Times New Roman" w:hAnsi="Times New Roman" w:eastAsia="宋体" w:cs="Times New Roman"/>
                      <w:sz w:val="21"/>
                      <w:szCs w:val="21"/>
                    </w:rPr>
                  </w:pPr>
                </w:p>
              </w:tc>
              <w:tc>
                <w:tcPr>
                  <w:tcW w:w="664" w:type="pct"/>
                  <w:gridSpan w:val="2"/>
                  <w:vAlign w:val="center"/>
                </w:tcPr>
                <w:p w14:paraId="0EC2E2FA">
                  <w:pPr>
                    <w:jc w:val="center"/>
                    <w:rPr>
                      <w:rFonts w:hint="eastAsia" w:ascii="Times New Roman" w:hAnsi="Times New Roman" w:eastAsia="宋体" w:cs="Times New Roman"/>
                      <w:sz w:val="21"/>
                      <w:szCs w:val="21"/>
                      <w:lang w:eastAsia="zh-CN"/>
                    </w:rPr>
                  </w:pPr>
                  <w:r>
                    <w:rPr>
                      <w:rFonts w:hint="eastAsia" w:cs="Times New Roman"/>
                      <w:sz w:val="21"/>
                      <w:szCs w:val="21"/>
                      <w:lang w:eastAsia="zh-CN"/>
                    </w:rPr>
                    <w:t>事故油池</w:t>
                  </w:r>
                </w:p>
              </w:tc>
              <w:tc>
                <w:tcPr>
                  <w:tcW w:w="4075" w:type="pct"/>
                  <w:vAlign w:val="center"/>
                </w:tcPr>
                <w:p w14:paraId="267C09C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根据设计规程要求，在站区内设置总事故油池（34m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）。事故油池具有油水分离功能，分离出的油由厂家回收处理。其余带油的</w:t>
                  </w:r>
                  <w:r>
                    <w:rPr>
                      <w:rFonts w:hint="eastAsia" w:cs="Times New Roman"/>
                      <w:color w:val="auto"/>
                      <w:sz w:val="21"/>
                      <w:szCs w:val="21"/>
                      <w:lang w:val="en-US" w:eastAsia="zh-CN"/>
                    </w:rPr>
                    <w:t>电气设备</w:t>
                  </w:r>
                  <w:r>
                    <w:rPr>
                      <w:rFonts w:hint="default" w:ascii="Times New Roman" w:hAnsi="Times New Roman" w:eastAsia="宋体" w:cs="Times New Roman"/>
                      <w:color w:val="auto"/>
                      <w:sz w:val="21"/>
                      <w:szCs w:val="21"/>
                      <w:lang w:val="en-US" w:eastAsia="zh-CN"/>
                    </w:rPr>
                    <w:t>，如</w:t>
                  </w:r>
                  <w:r>
                    <w:rPr>
                      <w:rFonts w:hint="eastAsia" w:cs="Times New Roman"/>
                      <w:color w:val="auto"/>
                      <w:sz w:val="21"/>
                      <w:szCs w:val="21"/>
                      <w:lang w:val="en-US" w:eastAsia="zh-CN"/>
                    </w:rPr>
                    <w:t>无功补偿室</w:t>
                  </w:r>
                  <w:r>
                    <w:rPr>
                      <w:rFonts w:hint="default" w:ascii="Times New Roman" w:hAnsi="Times New Roman" w:eastAsia="宋体" w:cs="Times New Roman"/>
                      <w:color w:val="auto"/>
                      <w:sz w:val="21"/>
                      <w:szCs w:val="21"/>
                      <w:lang w:val="en-US" w:eastAsia="zh-CN"/>
                    </w:rPr>
                    <w:t>均设有排油坑，该排油坑与总事故油池</w:t>
                  </w:r>
                  <w:r>
                    <w:rPr>
                      <w:rFonts w:hint="eastAsia" w:cs="Times New Roman"/>
                      <w:color w:val="auto"/>
                      <w:sz w:val="21"/>
                      <w:szCs w:val="21"/>
                      <w:lang w:val="en-US" w:eastAsia="zh-CN"/>
                    </w:rPr>
                    <w:t>连通</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废变压器油经有效收集后</w:t>
                  </w:r>
                  <w:r>
                    <w:rPr>
                      <w:rFonts w:hint="default" w:ascii="Times New Roman" w:hAnsi="Times New Roman" w:eastAsia="宋体" w:cs="Times New Roman"/>
                      <w:color w:val="auto"/>
                      <w:sz w:val="21"/>
                      <w:szCs w:val="21"/>
                      <w:lang w:val="en-US" w:eastAsia="zh-CN"/>
                    </w:rPr>
                    <w:t>不会污染环境。</w:t>
                  </w:r>
                </w:p>
              </w:tc>
            </w:tr>
            <w:tr w14:paraId="6678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restart"/>
                  <w:vAlign w:val="center"/>
                </w:tcPr>
                <w:p w14:paraId="626D38C1">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环保工程</w:t>
                  </w:r>
                </w:p>
              </w:tc>
              <w:tc>
                <w:tcPr>
                  <w:tcW w:w="664" w:type="pct"/>
                  <w:gridSpan w:val="2"/>
                  <w:vAlign w:val="center"/>
                </w:tcPr>
                <w:p w14:paraId="54FB6D84">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废水处理</w:t>
                  </w:r>
                </w:p>
              </w:tc>
              <w:tc>
                <w:tcPr>
                  <w:tcW w:w="4075" w:type="pct"/>
                  <w:vAlign w:val="center"/>
                </w:tcPr>
                <w:p w14:paraId="6709ACE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sz w:val="21"/>
                      <w:szCs w:val="21"/>
                      <w:lang w:eastAsia="zh-CN"/>
                    </w:rPr>
                    <w:t>施工期：</w:t>
                  </w:r>
                  <w:r>
                    <w:rPr>
                      <w:rFonts w:hint="eastAsia" w:cs="Times New Roman"/>
                      <w:sz w:val="21"/>
                      <w:szCs w:val="21"/>
                      <w:lang w:eastAsia="zh-CN"/>
                    </w:rPr>
                    <w:t>施工废水经临时沉淀池沉淀后，</w:t>
                  </w:r>
                  <w:r>
                    <w:rPr>
                      <w:rFonts w:hint="default" w:cs="Times New Roman"/>
                      <w:sz w:val="21"/>
                      <w:szCs w:val="21"/>
                      <w:lang w:eastAsia="zh-CN"/>
                    </w:rPr>
                    <w:t>回用于施工场地，不外排。</w:t>
                  </w:r>
                  <w:r>
                    <w:rPr>
                      <w:rFonts w:hint="eastAsia" w:cs="Times New Roman"/>
                      <w:sz w:val="21"/>
                      <w:szCs w:val="21"/>
                      <w:lang w:eastAsia="zh-CN"/>
                    </w:rPr>
                    <w:t>施工人员产生的生活污水经临时旱厕收集，定期清理，不外排。</w:t>
                  </w:r>
                </w:p>
                <w:p w14:paraId="3473D356">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营运期：采用雨污分流，变电站场地雨水通过场地坡度排至场地周边混凝土矩形排水沟，最终汇入采选工业场地南侧初期雨水收集池进行沉淀处理；</w:t>
                  </w:r>
                  <w:r>
                    <w:rPr>
                      <w:rFonts w:hint="eastAsia" w:cs="Times New Roman"/>
                      <w:sz w:val="21"/>
                      <w:szCs w:val="21"/>
                      <w:lang w:val="en-US" w:eastAsia="zh-CN"/>
                    </w:rPr>
                    <w:t>生活污水经化粪池收集后排入厂区生活排水管道，最终排入矿区内地埋式生活污水处理装置（生物接触氧化+砂滤+消毒工艺）收集处理后泵至选矿生产，</w:t>
                  </w:r>
                  <w:r>
                    <w:rPr>
                      <w:rFonts w:hint="eastAsia" w:ascii="Times New Roman" w:hAnsi="Times New Roman" w:cs="Times New Roman"/>
                      <w:szCs w:val="24"/>
                      <w:lang w:val="en-US" w:eastAsia="zh-CN"/>
                    </w:rPr>
                    <w:t>地埋式生活污水处理装置位于变电站西侧，依托具有可行性</w:t>
                  </w:r>
                  <w:r>
                    <w:rPr>
                      <w:rFonts w:hint="eastAsia" w:cs="Times New Roman"/>
                      <w:sz w:val="21"/>
                      <w:szCs w:val="21"/>
                      <w:lang w:val="en-US" w:eastAsia="zh-CN"/>
                    </w:rPr>
                    <w:t>。</w:t>
                  </w:r>
                </w:p>
              </w:tc>
            </w:tr>
            <w:tr w14:paraId="05666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48EE5B46">
                  <w:pPr>
                    <w:jc w:val="center"/>
                    <w:rPr>
                      <w:rFonts w:hint="default" w:ascii="Times New Roman" w:hAnsi="Times New Roman" w:eastAsia="宋体" w:cs="Times New Roman"/>
                      <w:sz w:val="21"/>
                      <w:szCs w:val="21"/>
                      <w:lang w:eastAsia="zh-CN"/>
                    </w:rPr>
                  </w:pPr>
                </w:p>
              </w:tc>
              <w:tc>
                <w:tcPr>
                  <w:tcW w:w="664" w:type="pct"/>
                  <w:gridSpan w:val="2"/>
                  <w:vAlign w:val="center"/>
                </w:tcPr>
                <w:p w14:paraId="252CDB78">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废气处理</w:t>
                  </w:r>
                </w:p>
              </w:tc>
              <w:tc>
                <w:tcPr>
                  <w:tcW w:w="4075" w:type="pct"/>
                  <w:vAlign w:val="center"/>
                </w:tcPr>
                <w:p w14:paraId="27FF0E01">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施工期：采取限制车辆行驶速度、保持路面的清洁、洒水等措施降低施工期扬尘产生量。</w:t>
                  </w:r>
                </w:p>
              </w:tc>
            </w:tr>
            <w:tr w14:paraId="62CAF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26A9CC6F">
                  <w:pPr>
                    <w:jc w:val="center"/>
                    <w:rPr>
                      <w:rFonts w:hint="default" w:ascii="Times New Roman" w:hAnsi="Times New Roman" w:eastAsia="宋体" w:cs="Times New Roman"/>
                      <w:sz w:val="21"/>
                      <w:szCs w:val="21"/>
                    </w:rPr>
                  </w:pPr>
                </w:p>
              </w:tc>
              <w:tc>
                <w:tcPr>
                  <w:tcW w:w="664" w:type="pct"/>
                  <w:gridSpan w:val="2"/>
                  <w:vAlign w:val="center"/>
                </w:tcPr>
                <w:p w14:paraId="4B693511">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固废处理</w:t>
                  </w:r>
                </w:p>
              </w:tc>
              <w:tc>
                <w:tcPr>
                  <w:tcW w:w="4075" w:type="pct"/>
                  <w:vAlign w:val="center"/>
                </w:tcPr>
                <w:p w14:paraId="4C973E9B">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施工期：生活垃圾</w:t>
                  </w:r>
                  <w:r>
                    <w:rPr>
                      <w:rFonts w:hint="eastAsia" w:cs="Times New Roman"/>
                      <w:sz w:val="21"/>
                      <w:szCs w:val="21"/>
                      <w:lang w:eastAsia="zh-CN"/>
                    </w:rPr>
                    <w:t>交由</w:t>
                  </w:r>
                  <w:r>
                    <w:rPr>
                      <w:rFonts w:hint="default" w:ascii="Times New Roman" w:hAnsi="Times New Roman" w:eastAsia="宋体" w:cs="Times New Roman"/>
                      <w:sz w:val="21"/>
                      <w:szCs w:val="21"/>
                      <w:lang w:eastAsia="zh-CN"/>
                    </w:rPr>
                    <w:t>环卫部门处理；建筑垃圾委托环卫部门清运。</w:t>
                  </w:r>
                </w:p>
                <w:p w14:paraId="324531D9">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营运期：生活垃圾集中收集后统一由环卫部门清运处理；</w:t>
                  </w:r>
                  <w:r>
                    <w:rPr>
                      <w:rFonts w:hint="default" w:ascii="Times New Roman" w:hAnsi="Times New Roman" w:eastAsia="宋体" w:cs="Times New Roman"/>
                      <w:sz w:val="21"/>
                      <w:szCs w:val="21"/>
                      <w:lang w:val="en-US" w:eastAsia="zh-CN"/>
                    </w:rPr>
                    <w:t>废铅酸蓄电池由电池厂家更换后带走，废变压器油、维护检修废物等危险废物由维修厂家带走，厂内不暂存和处置危险废物</w:t>
                  </w:r>
                  <w:r>
                    <w:rPr>
                      <w:rFonts w:hint="default" w:ascii="Times New Roman" w:hAnsi="Times New Roman" w:eastAsia="宋体" w:cs="Times New Roman"/>
                      <w:sz w:val="21"/>
                      <w:szCs w:val="21"/>
                      <w:lang w:eastAsia="zh-CN"/>
                    </w:rPr>
                    <w:t>。</w:t>
                  </w:r>
                </w:p>
              </w:tc>
            </w:tr>
            <w:tr w14:paraId="22B8D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007B0478">
                  <w:pPr>
                    <w:jc w:val="center"/>
                    <w:rPr>
                      <w:rFonts w:hint="default" w:ascii="Times New Roman" w:hAnsi="Times New Roman" w:eastAsia="宋体" w:cs="Times New Roman"/>
                      <w:sz w:val="21"/>
                      <w:szCs w:val="21"/>
                    </w:rPr>
                  </w:pPr>
                </w:p>
              </w:tc>
              <w:tc>
                <w:tcPr>
                  <w:tcW w:w="664" w:type="pct"/>
                  <w:gridSpan w:val="2"/>
                  <w:vAlign w:val="center"/>
                </w:tcPr>
                <w:p w14:paraId="002FBAE4">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电磁防治</w:t>
                  </w:r>
                </w:p>
              </w:tc>
              <w:tc>
                <w:tcPr>
                  <w:tcW w:w="4075" w:type="pct"/>
                  <w:vAlign w:val="center"/>
                </w:tcPr>
                <w:p w14:paraId="561AF3D4">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对</w:t>
                  </w:r>
                  <w:r>
                    <w:rPr>
                      <w:rFonts w:hint="eastAsia" w:cs="Times New Roman"/>
                      <w:sz w:val="21"/>
                      <w:szCs w:val="21"/>
                      <w:lang w:val="en-US" w:eastAsia="zh-CN"/>
                    </w:rPr>
                    <w:t>变电站</w:t>
                  </w:r>
                  <w:r>
                    <w:rPr>
                      <w:rFonts w:hint="default" w:ascii="Times New Roman" w:hAnsi="Times New Roman" w:eastAsia="宋体" w:cs="Times New Roman"/>
                      <w:sz w:val="21"/>
                      <w:szCs w:val="21"/>
                      <w:lang w:eastAsia="zh-CN"/>
                    </w:rPr>
                    <w:t>的电气设备进行合理布局，保证导体和电气设</w:t>
                  </w:r>
                  <w:r>
                    <w:rPr>
                      <w:rFonts w:hint="eastAsia" w:cs="Times New Roman"/>
                      <w:sz w:val="21"/>
                      <w:szCs w:val="21"/>
                      <w:lang w:eastAsia="zh-CN"/>
                    </w:rPr>
                    <w:t>备的</w:t>
                  </w:r>
                  <w:r>
                    <w:rPr>
                      <w:rFonts w:hint="default" w:ascii="Times New Roman" w:hAnsi="Times New Roman" w:eastAsia="宋体" w:cs="Times New Roman"/>
                      <w:sz w:val="21"/>
                      <w:szCs w:val="21"/>
                      <w:lang w:eastAsia="zh-CN"/>
                    </w:rPr>
                    <w:t>安全距离，选用具有抗干扰能力的设备，设置防雷接地保护装置。</w:t>
                  </w:r>
                </w:p>
              </w:tc>
            </w:tr>
            <w:tr w14:paraId="394B2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33C1AE03">
                  <w:pPr>
                    <w:jc w:val="center"/>
                    <w:rPr>
                      <w:rFonts w:hint="default" w:ascii="Times New Roman" w:hAnsi="Times New Roman" w:eastAsia="宋体" w:cs="Times New Roman"/>
                      <w:sz w:val="21"/>
                      <w:szCs w:val="21"/>
                    </w:rPr>
                  </w:pPr>
                </w:p>
              </w:tc>
              <w:tc>
                <w:tcPr>
                  <w:tcW w:w="664" w:type="pct"/>
                  <w:gridSpan w:val="2"/>
                  <w:vAlign w:val="center"/>
                </w:tcPr>
                <w:p w14:paraId="7948F2DD">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风险事故</w:t>
                  </w:r>
                </w:p>
              </w:tc>
              <w:tc>
                <w:tcPr>
                  <w:tcW w:w="4075" w:type="pct"/>
                  <w:vAlign w:val="center"/>
                </w:tcPr>
                <w:p w14:paraId="29C9DA43">
                  <w:pPr>
                    <w:jc w:val="center"/>
                    <w:rPr>
                      <w:rFonts w:hint="default" w:ascii="Times New Roman" w:hAnsi="Times New Roman" w:eastAsia="宋体" w:cs="Times New Roman"/>
                      <w:color w:val="auto"/>
                      <w:sz w:val="21"/>
                      <w:szCs w:val="21"/>
                      <w:lang w:eastAsia="zh-CN"/>
                    </w:rPr>
                  </w:pPr>
                  <w:r>
                    <w:rPr>
                      <w:rFonts w:ascii="Times New Roman" w:hAnsi="Times New Roman" w:eastAsia="宋体" w:cs="Times New Roman"/>
                      <w:color w:val="auto"/>
                      <w:spacing w:val="1"/>
                      <w:sz w:val="21"/>
                      <w:szCs w:val="21"/>
                    </w:rPr>
                    <w:t>变压器事故废油进入事故</w:t>
                  </w:r>
                  <w:r>
                    <w:rPr>
                      <w:rFonts w:ascii="Times New Roman" w:hAnsi="Times New Roman" w:eastAsia="宋体" w:cs="Times New Roman"/>
                      <w:color w:val="auto"/>
                      <w:sz w:val="21"/>
                      <w:szCs w:val="21"/>
                    </w:rPr>
                    <w:t>油池，事故油池容积</w:t>
                  </w:r>
                  <w:r>
                    <w:rPr>
                      <w:rFonts w:hint="eastAsia" w:cs="Times New Roman"/>
                      <w:color w:val="auto"/>
                      <w:sz w:val="21"/>
                      <w:szCs w:val="21"/>
                      <w:lang w:val="en-US" w:eastAsia="zh-CN"/>
                    </w:rPr>
                    <w:t>34</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tc>
            </w:tr>
            <w:tr w14:paraId="7ABB3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 w:type="pct"/>
                  <w:vMerge w:val="continue"/>
                  <w:vAlign w:val="center"/>
                </w:tcPr>
                <w:p w14:paraId="55AA9750">
                  <w:pPr>
                    <w:jc w:val="center"/>
                    <w:rPr>
                      <w:rFonts w:hint="default" w:ascii="Times New Roman" w:hAnsi="Times New Roman" w:eastAsia="宋体" w:cs="Times New Roman"/>
                      <w:sz w:val="21"/>
                      <w:szCs w:val="21"/>
                    </w:rPr>
                  </w:pPr>
                </w:p>
              </w:tc>
              <w:tc>
                <w:tcPr>
                  <w:tcW w:w="664" w:type="pct"/>
                  <w:gridSpan w:val="2"/>
                  <w:vAlign w:val="center"/>
                </w:tcPr>
                <w:p w14:paraId="4BD0D41B">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eastAsia="zh-CN"/>
                    </w:rPr>
                    <w:t>噪声防治</w:t>
                  </w:r>
                </w:p>
              </w:tc>
              <w:tc>
                <w:tcPr>
                  <w:tcW w:w="4075" w:type="pct"/>
                  <w:vAlign w:val="center"/>
                </w:tcPr>
                <w:p w14:paraId="2DA8BBD4">
                  <w:pPr>
                    <w:jc w:val="center"/>
                    <w:rPr>
                      <w:rFonts w:hint="eastAsia" w:cs="Times New Roman"/>
                      <w:sz w:val="21"/>
                      <w:szCs w:val="21"/>
                      <w:lang w:eastAsia="zh-CN"/>
                    </w:rPr>
                  </w:pPr>
                  <w:r>
                    <w:rPr>
                      <w:rFonts w:hint="eastAsia" w:cs="Times New Roman"/>
                      <w:sz w:val="21"/>
                      <w:szCs w:val="21"/>
                      <w:lang w:eastAsia="zh-CN"/>
                    </w:rPr>
                    <w:t>施工期：合理安排施工计划和施工机械设备组合，合理选择运输路线，远离居民聚集区域等；</w:t>
                  </w:r>
                </w:p>
                <w:p w14:paraId="02BE66CE">
                  <w:pPr>
                    <w:jc w:val="center"/>
                    <w:rPr>
                      <w:rFonts w:ascii="宋体" w:hAnsi="宋体" w:eastAsia="宋体" w:cs="宋体"/>
                      <w:color w:val="auto"/>
                      <w:spacing w:val="1"/>
                      <w:sz w:val="21"/>
                      <w:szCs w:val="21"/>
                    </w:rPr>
                  </w:pPr>
                  <w:r>
                    <w:rPr>
                      <w:rFonts w:hint="eastAsia" w:cs="Times New Roman"/>
                      <w:sz w:val="21"/>
                      <w:szCs w:val="21"/>
                      <w:lang w:eastAsia="zh-CN"/>
                    </w:rPr>
                    <w:t>营运期：选择低噪声设备，</w:t>
                  </w:r>
                  <w:r>
                    <w:rPr>
                      <w:rFonts w:hint="eastAsia" w:cs="Times New Roman"/>
                      <w:sz w:val="21"/>
                      <w:szCs w:val="21"/>
                      <w:lang w:val="en-US" w:eastAsia="zh-CN"/>
                    </w:rPr>
                    <w:t>对主变压器等配电装置</w:t>
                  </w:r>
                  <w:r>
                    <w:rPr>
                      <w:rFonts w:hint="eastAsia" w:cs="Times New Roman"/>
                      <w:sz w:val="21"/>
                      <w:szCs w:val="21"/>
                      <w:lang w:eastAsia="zh-CN"/>
                    </w:rPr>
                    <w:t>采取减振、围墙隔声降噪，加强管理等措施。</w:t>
                  </w:r>
                </w:p>
              </w:tc>
            </w:tr>
          </w:tbl>
          <w:p w14:paraId="107E6B2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ascii="Times New Roman" w:hAnsi="Times New Roman" w:eastAsia="宋体" w:cs="Times New Roman"/>
                <w:b/>
                <w:bCs/>
                <w:sz w:val="24"/>
                <w:szCs w:val="24"/>
                <w:lang w:val="en-US" w:eastAsia="zh-CN"/>
              </w:rPr>
            </w:pPr>
            <w:r>
              <w:rPr>
                <w:rFonts w:hint="eastAsia" w:cs="Times New Roman"/>
                <w:b/>
                <w:bCs/>
                <w:sz w:val="24"/>
                <w:szCs w:val="24"/>
                <w:lang w:val="en-US" w:eastAsia="zh-CN"/>
              </w:rPr>
              <w:t>2</w:t>
            </w:r>
            <w:r>
              <w:rPr>
                <w:rFonts w:hint="eastAsia" w:ascii="Times New Roman" w:hAnsi="Times New Roman" w:eastAsia="宋体" w:cs="Times New Roman"/>
                <w:b/>
                <w:bCs/>
                <w:sz w:val="24"/>
                <w:szCs w:val="24"/>
                <w:lang w:val="en-US" w:eastAsia="zh-CN"/>
              </w:rPr>
              <w:t>.2、建设规模及主要工程参数</w:t>
            </w:r>
          </w:p>
          <w:p w14:paraId="25AAC4EE">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default" w:ascii="Times New Roman" w:hAnsi="Times New Roman" w:eastAsia="宋体" w:cs="Times New Roman"/>
                <w:snapToGrid w:val="0"/>
                <w:color w:val="000000"/>
                <w:spacing w:val="10"/>
                <w:kern w:val="0"/>
                <w:sz w:val="24"/>
                <w:szCs w:val="24"/>
                <w:lang w:val="en-US" w:eastAsia="zh-CN"/>
              </w:rPr>
            </w:pPr>
            <w:r>
              <w:rPr>
                <w:rFonts w:hint="default" w:ascii="Times New Roman" w:hAnsi="Times New Roman" w:eastAsia="宋体" w:cs="Times New Roman"/>
                <w:snapToGrid w:val="0"/>
                <w:color w:val="000000"/>
                <w:spacing w:val="10"/>
                <w:kern w:val="0"/>
                <w:sz w:val="24"/>
                <w:szCs w:val="24"/>
                <w:lang w:val="en-US" w:eastAsia="zh-CN" w:bidi="ar-SA"/>
              </w:rPr>
              <w:t>（1）</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变电站新建工程</w:t>
            </w:r>
          </w:p>
          <w:p w14:paraId="654F1962">
            <w:pPr>
              <w:keepNext w:val="0"/>
              <w:keepLines w:val="0"/>
              <w:pageBreakBefore w:val="0"/>
              <w:widowControl w:val="0"/>
              <w:kinsoku/>
              <w:wordWrap/>
              <w:overflowPunct/>
              <w:topLinePunct w:val="0"/>
              <w:autoSpaceDE/>
              <w:autoSpaceDN/>
              <w:bidi w:val="0"/>
              <w:adjustRightInd/>
              <w:snapToGrid/>
              <w:spacing w:line="360" w:lineRule="auto"/>
              <w:ind w:firstLine="520" w:firstLineChars="200"/>
              <w:textAlignment w:val="auto"/>
              <w:rPr>
                <w:rFonts w:hint="default" w:ascii="Times New Roman" w:hAnsi="Times New Roman" w:eastAsia="宋体" w:cs="Times New Roman"/>
                <w:snapToGrid w:val="0"/>
                <w:color w:val="000000"/>
                <w:spacing w:val="10"/>
                <w:kern w:val="0"/>
                <w:sz w:val="24"/>
                <w:szCs w:val="24"/>
                <w:lang w:val="en-US" w:eastAsia="zh-CN"/>
              </w:rPr>
            </w:pPr>
            <w:r>
              <w:rPr>
                <w:rFonts w:hint="eastAsia" w:ascii="Times New Roman" w:hAnsi="Times New Roman" w:eastAsia="宋体" w:cs="Times New Roman"/>
                <w:snapToGrid w:val="0"/>
                <w:color w:val="000000"/>
                <w:spacing w:val="10"/>
                <w:kern w:val="0"/>
                <w:sz w:val="24"/>
                <w:szCs w:val="24"/>
                <w:lang w:val="en-US" w:eastAsia="zh-CN"/>
              </w:rPr>
              <w:t>本</w:t>
            </w:r>
            <w:r>
              <w:rPr>
                <w:rFonts w:hint="eastAsia" w:cs="Times New Roman"/>
                <w:snapToGrid w:val="0"/>
                <w:color w:val="000000"/>
                <w:spacing w:val="10"/>
                <w:kern w:val="0"/>
                <w:sz w:val="24"/>
                <w:szCs w:val="24"/>
                <w:lang w:val="en-US" w:eastAsia="zh-CN"/>
              </w:rPr>
              <w:t>工程</w:t>
            </w:r>
            <w:r>
              <w:rPr>
                <w:rFonts w:hint="default" w:ascii="Times New Roman" w:hAnsi="Times New Roman" w:eastAsia="宋体" w:cs="Times New Roman"/>
                <w:snapToGrid w:val="0"/>
                <w:color w:val="000000"/>
                <w:spacing w:val="10"/>
                <w:kern w:val="0"/>
                <w:sz w:val="24"/>
                <w:szCs w:val="24"/>
                <w:lang w:val="en-US" w:eastAsia="zh-CN"/>
              </w:rPr>
              <w:t>110kV变电站</w:t>
            </w:r>
            <w:r>
              <w:rPr>
                <w:rFonts w:hint="eastAsia" w:ascii="Times New Roman" w:hAnsi="Times New Roman" w:eastAsia="宋体" w:cs="Times New Roman"/>
                <w:snapToGrid w:val="0"/>
                <w:color w:val="000000"/>
                <w:spacing w:val="10"/>
                <w:kern w:val="0"/>
                <w:sz w:val="24"/>
                <w:szCs w:val="24"/>
                <w:lang w:val="en-US" w:eastAsia="zh-CN"/>
              </w:rPr>
              <w:t>内主变压器</w:t>
            </w:r>
            <w:r>
              <w:rPr>
                <w:rFonts w:hint="default" w:ascii="Times New Roman" w:hAnsi="Times New Roman" w:eastAsia="宋体" w:cs="Times New Roman"/>
                <w:snapToGrid w:val="0"/>
                <w:color w:val="000000"/>
                <w:spacing w:val="10"/>
                <w:kern w:val="0"/>
                <w:sz w:val="24"/>
                <w:szCs w:val="24"/>
                <w:lang w:val="en-US" w:eastAsia="zh-CN"/>
              </w:rPr>
              <w:t>采用</w:t>
            </w:r>
            <w:r>
              <w:rPr>
                <w:rFonts w:hint="eastAsia" w:cs="Times New Roman"/>
                <w:snapToGrid w:val="0"/>
                <w:color w:val="000000"/>
                <w:spacing w:val="10"/>
                <w:kern w:val="0"/>
                <w:sz w:val="24"/>
                <w:szCs w:val="24"/>
                <w:lang w:val="en-US" w:eastAsia="zh-CN"/>
              </w:rPr>
              <w:t>单侧敞开式户外布置（带雨棚的敞开式布置）</w:t>
            </w:r>
            <w:r>
              <w:rPr>
                <w:rFonts w:hint="default" w:ascii="Times New Roman" w:hAnsi="Times New Roman" w:eastAsia="宋体" w:cs="Times New Roman"/>
                <w:snapToGrid w:val="0"/>
                <w:color w:val="000000"/>
                <w:spacing w:val="10"/>
                <w:kern w:val="0"/>
                <w:sz w:val="24"/>
                <w:szCs w:val="24"/>
                <w:lang w:val="en-US" w:eastAsia="zh-CN"/>
              </w:rPr>
              <w:t>，本</w:t>
            </w:r>
            <w:r>
              <w:rPr>
                <w:rFonts w:hint="eastAsia" w:cs="Times New Roman"/>
                <w:snapToGrid w:val="0"/>
                <w:color w:val="000000"/>
                <w:spacing w:val="10"/>
                <w:kern w:val="0"/>
                <w:sz w:val="24"/>
                <w:szCs w:val="24"/>
                <w:lang w:val="en-US" w:eastAsia="zh-CN"/>
              </w:rPr>
              <w:t>工程</w:t>
            </w:r>
            <w:r>
              <w:rPr>
                <w:rFonts w:hint="default" w:ascii="Times New Roman" w:hAnsi="Times New Roman" w:eastAsia="宋体" w:cs="Times New Roman"/>
                <w:snapToGrid w:val="0"/>
                <w:color w:val="000000"/>
                <w:spacing w:val="10"/>
                <w:kern w:val="0"/>
                <w:sz w:val="24"/>
                <w:szCs w:val="24"/>
                <w:lang w:val="en-US" w:eastAsia="zh-CN"/>
              </w:rPr>
              <w:t>按终期规模征地，变电站征地红线内用地面积0.</w:t>
            </w:r>
            <w:r>
              <w:rPr>
                <w:rFonts w:hint="eastAsia" w:ascii="Times New Roman" w:hAnsi="Times New Roman" w:eastAsia="宋体" w:cs="Times New Roman"/>
                <w:snapToGrid w:val="0"/>
                <w:color w:val="000000"/>
                <w:spacing w:val="10"/>
                <w:kern w:val="0"/>
                <w:sz w:val="24"/>
                <w:szCs w:val="24"/>
                <w:lang w:val="en-US" w:eastAsia="zh-CN"/>
              </w:rPr>
              <w:t>4352</w:t>
            </w:r>
            <w:r>
              <w:rPr>
                <w:rFonts w:hint="default" w:ascii="Times New Roman" w:hAnsi="Times New Roman" w:eastAsia="宋体" w:cs="Times New Roman"/>
                <w:snapToGrid w:val="0"/>
                <w:color w:val="000000"/>
                <w:spacing w:val="10"/>
                <w:kern w:val="0"/>
                <w:sz w:val="24"/>
                <w:szCs w:val="24"/>
                <w:lang w:val="en-US" w:eastAsia="zh-CN"/>
              </w:rPr>
              <w:t>hm</w:t>
            </w:r>
            <w:r>
              <w:rPr>
                <w:rFonts w:hint="default" w:ascii="Times New Roman" w:hAnsi="Times New Roman" w:eastAsia="宋体" w:cs="Times New Roman"/>
                <w:snapToGrid w:val="0"/>
                <w:color w:val="000000"/>
                <w:spacing w:val="10"/>
                <w:kern w:val="0"/>
                <w:sz w:val="24"/>
                <w:szCs w:val="24"/>
                <w:vertAlign w:val="superscript"/>
                <w:lang w:val="en-US" w:eastAsia="zh-CN"/>
              </w:rPr>
              <w:t>2</w:t>
            </w:r>
            <w:r>
              <w:rPr>
                <w:rFonts w:hint="default" w:ascii="Times New Roman" w:hAnsi="Times New Roman" w:eastAsia="宋体" w:cs="Times New Roman"/>
                <w:snapToGrid w:val="0"/>
                <w:color w:val="000000"/>
                <w:spacing w:val="10"/>
                <w:kern w:val="0"/>
                <w:sz w:val="24"/>
                <w:szCs w:val="24"/>
                <w:lang w:val="en-US" w:eastAsia="zh-CN"/>
              </w:rPr>
              <w:t>，其中围墙内占地面积0.</w:t>
            </w:r>
            <w:r>
              <w:rPr>
                <w:rFonts w:hint="eastAsia" w:ascii="Times New Roman" w:hAnsi="Times New Roman" w:eastAsia="宋体" w:cs="Times New Roman"/>
                <w:snapToGrid w:val="0"/>
                <w:color w:val="000000"/>
                <w:spacing w:val="10"/>
                <w:kern w:val="0"/>
                <w:sz w:val="24"/>
                <w:szCs w:val="24"/>
                <w:lang w:val="en-US" w:eastAsia="zh-CN"/>
              </w:rPr>
              <w:t>3752</w:t>
            </w:r>
            <w:r>
              <w:rPr>
                <w:rFonts w:hint="default" w:ascii="Times New Roman" w:hAnsi="Times New Roman" w:eastAsia="宋体" w:cs="Times New Roman"/>
                <w:snapToGrid w:val="0"/>
                <w:color w:val="000000"/>
                <w:spacing w:val="10"/>
                <w:kern w:val="0"/>
                <w:sz w:val="24"/>
                <w:szCs w:val="24"/>
                <w:lang w:val="en-US" w:eastAsia="zh-CN"/>
              </w:rPr>
              <w:t>hm</w:t>
            </w:r>
            <w:r>
              <w:rPr>
                <w:rFonts w:hint="default" w:ascii="Times New Roman" w:hAnsi="Times New Roman" w:eastAsia="宋体" w:cs="Times New Roman"/>
                <w:snapToGrid w:val="0"/>
                <w:color w:val="000000"/>
                <w:spacing w:val="10"/>
                <w:kern w:val="0"/>
                <w:sz w:val="24"/>
                <w:szCs w:val="24"/>
                <w:vertAlign w:val="superscript"/>
                <w:lang w:val="en-US" w:eastAsia="zh-CN"/>
              </w:rPr>
              <w:t>2</w:t>
            </w:r>
            <w:r>
              <w:rPr>
                <w:rFonts w:hint="default" w:ascii="Times New Roman" w:hAnsi="Times New Roman" w:eastAsia="宋体" w:cs="Times New Roman"/>
                <w:snapToGrid w:val="0"/>
                <w:color w:val="000000"/>
                <w:spacing w:val="10"/>
                <w:kern w:val="0"/>
                <w:sz w:val="24"/>
                <w:szCs w:val="24"/>
                <w:lang w:val="en-US" w:eastAsia="zh-CN"/>
              </w:rPr>
              <w:t>，</w:t>
            </w:r>
            <w:r>
              <w:rPr>
                <w:rFonts w:hint="eastAsia" w:cs="Times New Roman"/>
                <w:snapToGrid w:val="0"/>
                <w:color w:val="000000"/>
                <w:spacing w:val="10"/>
                <w:kern w:val="0"/>
                <w:sz w:val="24"/>
                <w:szCs w:val="24"/>
                <w:lang w:val="en-US" w:eastAsia="zh-CN"/>
              </w:rPr>
              <w:t>临时占地（位于</w:t>
            </w:r>
            <w:r>
              <w:rPr>
                <w:rFonts w:hint="default" w:ascii="Times New Roman" w:hAnsi="Times New Roman" w:eastAsia="宋体" w:cs="Times New Roman"/>
                <w:snapToGrid w:val="0"/>
                <w:color w:val="000000"/>
                <w:spacing w:val="10"/>
                <w:kern w:val="0"/>
                <w:sz w:val="24"/>
                <w:szCs w:val="24"/>
                <w:lang w:val="en-US" w:eastAsia="zh-CN"/>
              </w:rPr>
              <w:t>变电站征地红线</w:t>
            </w:r>
            <w:r>
              <w:rPr>
                <w:rFonts w:hint="eastAsia" w:cs="Times New Roman"/>
                <w:snapToGrid w:val="0"/>
                <w:color w:val="000000"/>
                <w:spacing w:val="10"/>
                <w:kern w:val="0"/>
                <w:sz w:val="24"/>
                <w:szCs w:val="24"/>
                <w:lang w:val="en-US" w:eastAsia="zh-CN"/>
              </w:rPr>
              <w:t>范围外）面积为0.03</w:t>
            </w:r>
            <w:r>
              <w:rPr>
                <w:rFonts w:hint="default" w:ascii="Times New Roman" w:hAnsi="Times New Roman" w:eastAsia="宋体" w:cs="Times New Roman"/>
                <w:snapToGrid w:val="0"/>
                <w:color w:val="000000"/>
                <w:spacing w:val="10"/>
                <w:kern w:val="0"/>
                <w:sz w:val="24"/>
                <w:szCs w:val="24"/>
                <w:lang w:val="en-US" w:eastAsia="zh-CN"/>
              </w:rPr>
              <w:t>hm</w:t>
            </w:r>
            <w:r>
              <w:rPr>
                <w:rFonts w:hint="default" w:ascii="Times New Roman" w:hAnsi="Times New Roman" w:eastAsia="宋体" w:cs="Times New Roman"/>
                <w:snapToGrid w:val="0"/>
                <w:color w:val="000000"/>
                <w:spacing w:val="10"/>
                <w:kern w:val="0"/>
                <w:sz w:val="24"/>
                <w:szCs w:val="24"/>
                <w:vertAlign w:val="superscript"/>
                <w:lang w:val="en-US" w:eastAsia="zh-CN"/>
              </w:rPr>
              <w:t>2</w:t>
            </w:r>
            <w:r>
              <w:rPr>
                <w:rFonts w:hint="default" w:ascii="Times New Roman" w:hAnsi="Times New Roman" w:eastAsia="宋体" w:cs="Times New Roman"/>
                <w:snapToGrid w:val="0"/>
                <w:color w:val="000000"/>
                <w:spacing w:val="10"/>
                <w:kern w:val="0"/>
                <w:sz w:val="24"/>
                <w:szCs w:val="24"/>
                <w:lang w:val="en-US" w:eastAsia="zh-CN"/>
              </w:rPr>
              <w:t>，</w:t>
            </w:r>
            <w:r>
              <w:rPr>
                <w:rFonts w:hint="eastAsia" w:cs="Times New Roman"/>
                <w:snapToGrid w:val="0"/>
                <w:color w:val="000000"/>
                <w:spacing w:val="10"/>
                <w:kern w:val="0"/>
                <w:sz w:val="24"/>
                <w:szCs w:val="24"/>
                <w:lang w:val="en-US" w:eastAsia="zh-CN"/>
              </w:rPr>
              <w:t>本工程</w:t>
            </w:r>
            <w:r>
              <w:rPr>
                <w:rFonts w:hint="default" w:ascii="Times New Roman" w:hAnsi="Times New Roman" w:eastAsia="宋体" w:cs="Times New Roman"/>
                <w:snapToGrid w:val="0"/>
                <w:color w:val="000000"/>
                <w:spacing w:val="10"/>
                <w:kern w:val="0"/>
                <w:sz w:val="24"/>
                <w:szCs w:val="24"/>
                <w:lang w:val="en-US" w:eastAsia="zh-CN"/>
              </w:rPr>
              <w:t>安装</w:t>
            </w:r>
            <w:r>
              <w:rPr>
                <w:rFonts w:hint="eastAsia" w:cs="Times New Roman"/>
                <w:snapToGrid w:val="0"/>
                <w:color w:val="000000"/>
                <w:spacing w:val="10"/>
                <w:kern w:val="0"/>
                <w:sz w:val="24"/>
                <w:szCs w:val="24"/>
                <w:lang w:val="en-US" w:eastAsia="zh-CN"/>
              </w:rPr>
              <w:t>3</w:t>
            </w:r>
            <w:r>
              <w:rPr>
                <w:rFonts w:hint="default" w:ascii="Times New Roman" w:hAnsi="Times New Roman" w:eastAsia="宋体" w:cs="Times New Roman"/>
                <w:snapToGrid w:val="0"/>
                <w:color w:val="000000"/>
                <w:spacing w:val="10"/>
                <w:kern w:val="0"/>
                <w:sz w:val="24"/>
                <w:szCs w:val="24"/>
                <w:lang w:val="en-US" w:eastAsia="zh-CN"/>
              </w:rPr>
              <w:t>台</w:t>
            </w:r>
            <w:r>
              <w:rPr>
                <w:rFonts w:hint="eastAsia" w:cs="Times New Roman"/>
                <w:snapToGrid w:val="0"/>
                <w:color w:val="000000"/>
                <w:spacing w:val="10"/>
                <w:kern w:val="0"/>
                <w:sz w:val="24"/>
                <w:szCs w:val="24"/>
                <w:lang w:val="en-US" w:eastAsia="zh-CN"/>
              </w:rPr>
              <w:t>63</w:t>
            </w:r>
            <w:r>
              <w:rPr>
                <w:rFonts w:hint="default" w:ascii="Times New Roman" w:hAnsi="Times New Roman" w:eastAsia="宋体" w:cs="Times New Roman"/>
                <w:snapToGrid w:val="0"/>
                <w:color w:val="000000"/>
                <w:spacing w:val="10"/>
                <w:kern w:val="0"/>
                <w:sz w:val="24"/>
                <w:szCs w:val="24"/>
                <w:lang w:val="en-US" w:eastAsia="zh-CN"/>
              </w:rPr>
              <w:t>MVA三相双绕组自冷</w:t>
            </w:r>
            <w:r>
              <w:rPr>
                <w:rFonts w:hint="eastAsia" w:ascii="Times New Roman" w:hAnsi="Times New Roman" w:eastAsia="宋体" w:cs="Times New Roman"/>
                <w:snapToGrid w:val="0"/>
                <w:color w:val="000000"/>
                <w:spacing w:val="10"/>
                <w:kern w:val="0"/>
                <w:sz w:val="24"/>
                <w:szCs w:val="24"/>
                <w:lang w:val="en-US" w:eastAsia="zh-CN"/>
              </w:rPr>
              <w:t>式</w:t>
            </w:r>
            <w:r>
              <w:rPr>
                <w:rFonts w:hint="default" w:ascii="Times New Roman" w:hAnsi="Times New Roman" w:eastAsia="宋体" w:cs="Times New Roman"/>
                <w:snapToGrid w:val="0"/>
                <w:color w:val="000000"/>
                <w:spacing w:val="10"/>
                <w:kern w:val="0"/>
                <w:sz w:val="24"/>
                <w:szCs w:val="24"/>
                <w:lang w:val="en-US" w:eastAsia="zh-CN"/>
              </w:rPr>
              <w:t>有载调压</w:t>
            </w:r>
            <w:r>
              <w:rPr>
                <w:rFonts w:hint="eastAsia" w:ascii="Times New Roman" w:hAnsi="Times New Roman" w:eastAsia="宋体" w:cs="Times New Roman"/>
                <w:snapToGrid w:val="0"/>
                <w:color w:val="000000"/>
                <w:spacing w:val="10"/>
                <w:kern w:val="0"/>
                <w:sz w:val="24"/>
                <w:szCs w:val="24"/>
                <w:lang w:val="en-US" w:eastAsia="zh-CN"/>
              </w:rPr>
              <w:t>电力</w:t>
            </w:r>
            <w:r>
              <w:rPr>
                <w:rFonts w:hint="default" w:ascii="Times New Roman" w:hAnsi="Times New Roman" w:eastAsia="宋体" w:cs="Times New Roman"/>
                <w:snapToGrid w:val="0"/>
                <w:color w:val="000000"/>
                <w:spacing w:val="10"/>
                <w:kern w:val="0"/>
                <w:sz w:val="24"/>
                <w:szCs w:val="24"/>
                <w:lang w:val="en-US" w:eastAsia="zh-CN"/>
              </w:rPr>
              <w:t>变压器，电压等级110/10kV</w:t>
            </w:r>
            <w:r>
              <w:rPr>
                <w:rFonts w:hint="eastAsia" w:cs="Times New Roman"/>
                <w:snapToGrid w:val="0"/>
                <w:color w:val="000000"/>
                <w:spacing w:val="10"/>
                <w:kern w:val="0"/>
                <w:sz w:val="24"/>
                <w:szCs w:val="24"/>
                <w:lang w:val="en-US" w:eastAsia="zh-CN"/>
              </w:rPr>
              <w:t>，正常运行时，两台63MVA主变同时工作，另1台63MVA主变备用，即1#、2#主变同时使用，3#主变为1#和2#主变的备用变压器，母联断开。1#检修时，3#主变启动，1段母线和3段母线母联闭合。2#检修时，3#主变启动，2段母线和3段母线母联闭合。110kV、10kV系统为单母线三分段接线，110kV架空进线两回，架空出线两回，10kV系统进线3回，出线41回。设置10kV无功补偿装置10Mvar两套，110kV侧系统功率因数达到0.95及以上。I段、II段母线分别安装一台接地变，每台容量为800/200kVA，10kV±2×2.5%/0.4kV。</w:t>
            </w:r>
            <w:r>
              <w:rPr>
                <w:rFonts w:hint="default" w:ascii="Times New Roman" w:hAnsi="Times New Roman" w:eastAsia="宋体" w:cs="Times New Roman"/>
                <w:snapToGrid w:val="0"/>
                <w:color w:val="000000"/>
                <w:spacing w:val="10"/>
                <w:kern w:val="0"/>
                <w:sz w:val="24"/>
                <w:szCs w:val="24"/>
                <w:lang w:val="en-US" w:eastAsia="zh-CN"/>
              </w:rPr>
              <w:t>110kV配电装置采用户内GIS设备，电缆进出线。站内建筑物、110kV出线构架以及站内电缆沟本期一次建成。</w:t>
            </w:r>
          </w:p>
          <w:p w14:paraId="25D9E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表2-2  金沙钼</w:t>
            </w:r>
            <w:r>
              <w:rPr>
                <w:rFonts w:hint="eastAsia" w:cs="Times New Roman"/>
                <w:b/>
                <w:bCs/>
                <w:sz w:val="21"/>
                <w:szCs w:val="21"/>
                <w:lang w:val="en-US" w:eastAsia="zh-CN"/>
              </w:rPr>
              <w:t>矿</w:t>
            </w:r>
            <w:r>
              <w:rPr>
                <w:rFonts w:hint="eastAsia" w:ascii="Times New Roman" w:hAnsi="Times New Roman" w:eastAsia="宋体" w:cs="Times New Roman"/>
                <w:b/>
                <w:bCs/>
                <w:sz w:val="21"/>
                <w:szCs w:val="21"/>
                <w:lang w:val="en-US" w:eastAsia="zh-CN"/>
              </w:rPr>
              <w:t>110kV变电站工程内容一览表</w:t>
            </w:r>
          </w:p>
          <w:tbl>
            <w:tblPr>
              <w:tblStyle w:val="38"/>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5"/>
              <w:gridCol w:w="6323"/>
            </w:tblGrid>
            <w:tr w14:paraId="0040E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B8832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工程名称</w:t>
                  </w:r>
                </w:p>
              </w:tc>
              <w:tc>
                <w:tcPr>
                  <w:tcW w:w="6323" w:type="dxa"/>
                  <w:vAlign w:val="center"/>
                </w:tcPr>
                <w:p w14:paraId="329983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ascii="Times New Roman" w:hAnsi="Times New Roman" w:eastAsia="宋体" w:cs="Times New Roman"/>
                      <w:b w:val="0"/>
                      <w:bCs w:val="0"/>
                      <w:sz w:val="21"/>
                      <w:szCs w:val="21"/>
                      <w:lang w:val="en-US" w:eastAsia="zh-CN"/>
                    </w:rPr>
                    <w:t>金沙钼</w:t>
                  </w:r>
                  <w:r>
                    <w:rPr>
                      <w:rFonts w:hint="eastAsia" w:cs="Times New Roman"/>
                      <w:b w:val="0"/>
                      <w:bCs w:val="0"/>
                      <w:sz w:val="21"/>
                      <w:szCs w:val="21"/>
                      <w:lang w:val="en-US" w:eastAsia="zh-CN"/>
                    </w:rPr>
                    <w:t>矿</w:t>
                  </w:r>
                  <w:r>
                    <w:rPr>
                      <w:rFonts w:hint="eastAsia" w:ascii="Times New Roman" w:hAnsi="Times New Roman" w:eastAsia="宋体" w:cs="Times New Roman"/>
                      <w:b w:val="0"/>
                      <w:bCs w:val="0"/>
                      <w:sz w:val="21"/>
                      <w:szCs w:val="21"/>
                      <w:lang w:val="en-US" w:eastAsia="zh-CN"/>
                    </w:rPr>
                    <w:t>110kV变电站</w:t>
                  </w:r>
                </w:p>
              </w:tc>
            </w:tr>
            <w:tr w14:paraId="3E141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718581F">
                  <w:pPr>
                    <w:pStyle w:val="217"/>
                    <w:spacing w:before="0" w:line="240" w:lineRule="auto"/>
                    <w:ind w:left="0" w:leftChars="0"/>
                    <w:jc w:val="center"/>
                    <w:rPr>
                      <w:rFonts w:hint="default" w:ascii="Times New Roman" w:hAnsi="Times New Roman" w:eastAsia="宋体" w:cs="Times New Roman"/>
                      <w:sz w:val="21"/>
                      <w:szCs w:val="21"/>
                      <w:vertAlign w:val="baseline"/>
                    </w:rPr>
                  </w:pPr>
                  <w:r>
                    <w:rPr>
                      <w:spacing w:val="-5"/>
                      <w:sz w:val="21"/>
                      <w:szCs w:val="21"/>
                    </w:rPr>
                    <w:t>性质</w:t>
                  </w:r>
                </w:p>
              </w:tc>
              <w:tc>
                <w:tcPr>
                  <w:tcW w:w="6323" w:type="dxa"/>
                  <w:vAlign w:val="center"/>
                </w:tcPr>
                <w:p w14:paraId="666FCD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新建</w:t>
                  </w:r>
                </w:p>
              </w:tc>
            </w:tr>
            <w:tr w14:paraId="6B0F0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524E22D">
                  <w:pPr>
                    <w:pStyle w:val="217"/>
                    <w:spacing w:before="0" w:line="240" w:lineRule="auto"/>
                    <w:ind w:left="0" w:leftChars="0"/>
                    <w:jc w:val="center"/>
                    <w:rPr>
                      <w:rFonts w:hint="default" w:ascii="Times New Roman" w:hAnsi="Times New Roman" w:eastAsia="宋体" w:cs="Times New Roman"/>
                      <w:sz w:val="21"/>
                      <w:szCs w:val="21"/>
                      <w:vertAlign w:val="baseline"/>
                    </w:rPr>
                  </w:pPr>
                  <w:r>
                    <w:rPr>
                      <w:spacing w:val="-8"/>
                      <w:sz w:val="21"/>
                      <w:szCs w:val="21"/>
                    </w:rPr>
                    <w:t>电压等级</w:t>
                  </w:r>
                </w:p>
              </w:tc>
              <w:tc>
                <w:tcPr>
                  <w:tcW w:w="6323" w:type="dxa"/>
                  <w:vAlign w:val="center"/>
                </w:tcPr>
                <w:p w14:paraId="45F49A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110kV</w:t>
                  </w:r>
                </w:p>
              </w:tc>
            </w:tr>
            <w:tr w14:paraId="56D7E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52C767E5">
                  <w:pPr>
                    <w:pStyle w:val="217"/>
                    <w:spacing w:before="0" w:line="240" w:lineRule="auto"/>
                    <w:ind w:left="0" w:leftChars="0"/>
                    <w:jc w:val="center"/>
                    <w:rPr>
                      <w:rFonts w:hint="default" w:ascii="Times New Roman" w:hAnsi="Times New Roman" w:eastAsia="宋体" w:cs="Times New Roman"/>
                      <w:sz w:val="21"/>
                      <w:szCs w:val="21"/>
                      <w:vertAlign w:val="baseline"/>
                    </w:rPr>
                  </w:pPr>
                  <w:r>
                    <w:rPr>
                      <w:spacing w:val="-10"/>
                      <w:sz w:val="21"/>
                      <w:szCs w:val="21"/>
                    </w:rPr>
                    <w:t>占地面积</w:t>
                  </w:r>
                </w:p>
              </w:tc>
              <w:tc>
                <w:tcPr>
                  <w:tcW w:w="6323" w:type="dxa"/>
                  <w:vAlign w:val="center"/>
                </w:tcPr>
                <w:p w14:paraId="3C4946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napToGrid w:val="0"/>
                      <w:color w:val="000000"/>
                      <w:spacing w:val="10"/>
                      <w:kern w:val="0"/>
                      <w:sz w:val="21"/>
                      <w:szCs w:val="21"/>
                      <w:lang w:val="en-US" w:eastAsia="zh-CN"/>
                    </w:rPr>
                    <w:t>变电站征地红线内用地面积0.</w:t>
                  </w:r>
                  <w:r>
                    <w:rPr>
                      <w:rFonts w:hint="eastAsia" w:ascii="Times New Roman" w:hAnsi="Times New Roman" w:eastAsia="宋体" w:cs="Times New Roman"/>
                      <w:snapToGrid w:val="0"/>
                      <w:color w:val="000000"/>
                      <w:spacing w:val="10"/>
                      <w:kern w:val="0"/>
                      <w:sz w:val="21"/>
                      <w:szCs w:val="21"/>
                      <w:lang w:val="en-US" w:eastAsia="zh-CN"/>
                    </w:rPr>
                    <w:t>4352</w:t>
                  </w:r>
                  <w:r>
                    <w:rPr>
                      <w:rFonts w:hint="default" w:ascii="Times New Roman" w:hAnsi="Times New Roman" w:eastAsia="宋体" w:cs="Times New Roman"/>
                      <w:snapToGrid w:val="0"/>
                      <w:color w:val="000000"/>
                      <w:spacing w:val="10"/>
                      <w:kern w:val="0"/>
                      <w:sz w:val="21"/>
                      <w:szCs w:val="21"/>
                      <w:lang w:val="en-US" w:eastAsia="zh-CN"/>
                    </w:rPr>
                    <w:t>hm</w:t>
                  </w:r>
                  <w:r>
                    <w:rPr>
                      <w:rFonts w:hint="default" w:ascii="Times New Roman" w:hAnsi="Times New Roman" w:eastAsia="宋体" w:cs="Times New Roman"/>
                      <w:snapToGrid w:val="0"/>
                      <w:color w:val="000000"/>
                      <w:spacing w:val="10"/>
                      <w:kern w:val="0"/>
                      <w:sz w:val="21"/>
                      <w:szCs w:val="21"/>
                      <w:vertAlign w:val="superscript"/>
                      <w:lang w:val="en-US" w:eastAsia="zh-CN"/>
                    </w:rPr>
                    <w:t>2</w:t>
                  </w:r>
                  <w:r>
                    <w:rPr>
                      <w:rFonts w:hint="default" w:ascii="Times New Roman" w:hAnsi="Times New Roman" w:eastAsia="宋体" w:cs="Times New Roman"/>
                      <w:snapToGrid w:val="0"/>
                      <w:color w:val="000000"/>
                      <w:spacing w:val="10"/>
                      <w:kern w:val="0"/>
                      <w:sz w:val="21"/>
                      <w:szCs w:val="21"/>
                      <w:lang w:val="en-US" w:eastAsia="zh-CN"/>
                    </w:rPr>
                    <w:t>，其中围墙内占地面积0.</w:t>
                  </w:r>
                  <w:r>
                    <w:rPr>
                      <w:rFonts w:hint="eastAsia" w:ascii="Times New Roman" w:hAnsi="Times New Roman" w:eastAsia="宋体" w:cs="Times New Roman"/>
                      <w:snapToGrid w:val="0"/>
                      <w:color w:val="000000"/>
                      <w:spacing w:val="10"/>
                      <w:kern w:val="0"/>
                      <w:sz w:val="21"/>
                      <w:szCs w:val="21"/>
                      <w:lang w:val="en-US" w:eastAsia="zh-CN"/>
                    </w:rPr>
                    <w:t>3752</w:t>
                  </w:r>
                  <w:r>
                    <w:rPr>
                      <w:rFonts w:hint="default" w:ascii="Times New Roman" w:hAnsi="Times New Roman" w:eastAsia="宋体" w:cs="Times New Roman"/>
                      <w:snapToGrid w:val="0"/>
                      <w:color w:val="000000"/>
                      <w:spacing w:val="10"/>
                      <w:kern w:val="0"/>
                      <w:sz w:val="21"/>
                      <w:szCs w:val="21"/>
                      <w:lang w:val="en-US" w:eastAsia="zh-CN"/>
                    </w:rPr>
                    <w:t>hm</w:t>
                  </w:r>
                  <w:r>
                    <w:rPr>
                      <w:rFonts w:hint="default" w:ascii="Times New Roman" w:hAnsi="Times New Roman" w:eastAsia="宋体" w:cs="Times New Roman"/>
                      <w:snapToGrid w:val="0"/>
                      <w:color w:val="000000"/>
                      <w:spacing w:val="10"/>
                      <w:kern w:val="0"/>
                      <w:sz w:val="21"/>
                      <w:szCs w:val="21"/>
                      <w:vertAlign w:val="superscript"/>
                      <w:lang w:val="en-US" w:eastAsia="zh-CN"/>
                    </w:rPr>
                    <w:t>2</w:t>
                  </w:r>
                </w:p>
              </w:tc>
            </w:tr>
            <w:tr w14:paraId="1B2C8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74900CE">
                  <w:pPr>
                    <w:pStyle w:val="217"/>
                    <w:spacing w:before="0" w:line="240" w:lineRule="auto"/>
                    <w:ind w:left="0" w:leftChars="0"/>
                    <w:jc w:val="center"/>
                    <w:rPr>
                      <w:rFonts w:hint="default" w:ascii="Times New Roman" w:hAnsi="Times New Roman" w:eastAsia="宋体" w:cs="Times New Roman"/>
                      <w:sz w:val="21"/>
                      <w:szCs w:val="21"/>
                      <w:vertAlign w:val="baseline"/>
                    </w:rPr>
                  </w:pPr>
                  <w:r>
                    <w:rPr>
                      <w:spacing w:val="-3"/>
                      <w:sz w:val="21"/>
                      <w:szCs w:val="21"/>
                    </w:rPr>
                    <w:t>建设规模</w:t>
                  </w:r>
                </w:p>
              </w:tc>
              <w:tc>
                <w:tcPr>
                  <w:tcW w:w="6323" w:type="dxa"/>
                  <w:vAlign w:val="center"/>
                </w:tcPr>
                <w:p w14:paraId="131A2F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rPr>
                  </w:pPr>
                  <w:r>
                    <w:rPr>
                      <w:rFonts w:hint="default" w:ascii="Times New Roman" w:hAnsi="Times New Roman" w:eastAsia="宋体" w:cs="Times New Roman"/>
                      <w:sz w:val="21"/>
                      <w:szCs w:val="21"/>
                      <w:vertAlign w:val="baseline"/>
                      <w:lang w:val="en-US" w:eastAsia="zh-CN"/>
                    </w:rPr>
                    <w:t>3</w:t>
                  </w:r>
                  <w:r>
                    <w:rPr>
                      <w:rFonts w:hint="eastAsia" w:ascii="Times New Roman" w:hAnsi="Times New Roman" w:eastAsia="宋体" w:cs="Times New Roman"/>
                      <w:sz w:val="21"/>
                      <w:szCs w:val="21"/>
                      <w:vertAlign w:val="baseline"/>
                      <w:lang w:val="en-US" w:eastAsia="zh-CN"/>
                    </w:rPr>
                    <w:t>×</w:t>
                  </w:r>
                  <w:r>
                    <w:rPr>
                      <w:rFonts w:hint="default" w:ascii="Times New Roman" w:hAnsi="Times New Roman" w:eastAsia="宋体" w:cs="Times New Roman"/>
                      <w:sz w:val="21"/>
                      <w:szCs w:val="21"/>
                      <w:vertAlign w:val="baseline"/>
                      <w:lang w:val="en-US" w:eastAsia="zh-CN"/>
                    </w:rPr>
                    <w:t>63MVA</w:t>
                  </w:r>
                  <w:r>
                    <w:rPr>
                      <w:rFonts w:hint="eastAsia" w:ascii="Times New Roman" w:hAnsi="Times New Roman" w:eastAsia="宋体" w:cs="Times New Roman"/>
                      <w:sz w:val="21"/>
                      <w:szCs w:val="21"/>
                      <w:vertAlign w:val="baseline"/>
                      <w:lang w:val="en-US" w:eastAsia="zh-CN"/>
                    </w:rPr>
                    <w:t>主变压器</w:t>
                  </w:r>
                </w:p>
              </w:tc>
            </w:tr>
            <w:tr w14:paraId="7D076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033B4E3">
                  <w:pPr>
                    <w:pStyle w:val="217"/>
                    <w:spacing w:before="0" w:line="240" w:lineRule="auto"/>
                    <w:ind w:left="0" w:leftChars="0"/>
                    <w:jc w:val="center"/>
                    <w:rPr>
                      <w:rFonts w:hint="default" w:ascii="Times New Roman" w:hAnsi="Times New Roman" w:eastAsia="宋体" w:cs="Times New Roman"/>
                      <w:sz w:val="21"/>
                      <w:szCs w:val="21"/>
                      <w:vertAlign w:val="baseline"/>
                    </w:rPr>
                  </w:pPr>
                  <w:r>
                    <w:rPr>
                      <w:spacing w:val="-2"/>
                      <w:sz w:val="21"/>
                      <w:szCs w:val="21"/>
                    </w:rPr>
                    <w:t>布置方式</w:t>
                  </w:r>
                </w:p>
              </w:tc>
              <w:tc>
                <w:tcPr>
                  <w:tcW w:w="6323" w:type="dxa"/>
                  <w:vAlign w:val="center"/>
                </w:tcPr>
                <w:p w14:paraId="2E2EB0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单侧敞开式</w:t>
                  </w:r>
                  <w:r>
                    <w:rPr>
                      <w:rFonts w:hint="eastAsia" w:cs="Times New Roman"/>
                      <w:sz w:val="21"/>
                      <w:szCs w:val="21"/>
                      <w:vertAlign w:val="baseline"/>
                      <w:lang w:val="en-US" w:eastAsia="zh-CN"/>
                    </w:rPr>
                    <w:t>户</w:t>
                  </w:r>
                  <w:r>
                    <w:rPr>
                      <w:rFonts w:hint="default" w:ascii="Times New Roman" w:hAnsi="Times New Roman" w:eastAsia="宋体" w:cs="Times New Roman"/>
                      <w:sz w:val="21"/>
                      <w:szCs w:val="21"/>
                      <w:vertAlign w:val="baseline"/>
                      <w:lang w:val="en-US" w:eastAsia="zh-CN"/>
                    </w:rPr>
                    <w:t>外布置</w:t>
                  </w:r>
                </w:p>
              </w:tc>
            </w:tr>
            <w:tr w14:paraId="60ECE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272157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建设地点</w:t>
                  </w:r>
                </w:p>
              </w:tc>
              <w:tc>
                <w:tcPr>
                  <w:tcW w:w="6323" w:type="dxa"/>
                  <w:vAlign w:val="center"/>
                </w:tcPr>
                <w:p w14:paraId="51CD6D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安徽省六安市金寨县关庙乡银山村沙坪沟道路一侧</w:t>
                  </w:r>
                </w:p>
              </w:tc>
            </w:tr>
          </w:tbl>
          <w:p w14:paraId="226FE3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eastAsia" w:cs="Times New Roman"/>
                <w:snapToGrid w:val="0"/>
                <w:color w:val="000000"/>
                <w:spacing w:val="10"/>
                <w:kern w:val="0"/>
                <w:sz w:val="24"/>
                <w:szCs w:val="24"/>
                <w:lang w:val="en-US" w:eastAsia="zh-CN"/>
              </w:rPr>
              <w:t>古碑-钼矿变电站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w:t>
            </w:r>
          </w:p>
          <w:p w14:paraId="11F38D8A">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textAlignment w:val="baseline"/>
              <w:rPr>
                <w:rFonts w:hint="default" w:ascii="Times New Roman" w:hAnsi="Times New Roman" w:eastAsia="宋体" w:cs="Times New Roman"/>
                <w:sz w:val="24"/>
                <w:szCs w:val="24"/>
                <w:lang w:val="en-US"/>
              </w:rPr>
            </w:pPr>
            <w:r>
              <w:rPr>
                <w:rFonts w:hint="eastAsia" w:cs="Times New Roman"/>
                <w:snapToGrid w:val="0"/>
                <w:color w:val="000000"/>
                <w:spacing w:val="10"/>
                <w:kern w:val="0"/>
                <w:sz w:val="24"/>
                <w:szCs w:val="24"/>
                <w:lang w:val="en-US" w:eastAsia="zh-CN"/>
              </w:rPr>
              <w:t>本工程架空线路自220kV古碑变110kV构架（110kV西起第三线路间隔）起，至110kV钼矿变构架（110kV西起第二线路间隔）止，新建单回线路路径长约35km。导线采用AF(SZ)+S4A-315/50应力转移型特强钢芯（软）铝型绞线。本工程利用古碑变一个待用间隔。根据系统通信方案，本期随线路常规段架设2根48芯OPGW-90光缆，路由长度约2×35km，形成古碑-钼矿的2条48芯光缆通道（其中1根预留）。古碑-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线路工程内容见下表。</w:t>
            </w:r>
          </w:p>
          <w:p w14:paraId="554A3A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表2-3  古碑-钼矿变电站110kV线路工程内容一览表</w:t>
            </w:r>
          </w:p>
          <w:tbl>
            <w:tblPr>
              <w:tblStyle w:val="37"/>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5"/>
              <w:gridCol w:w="6323"/>
            </w:tblGrid>
            <w:tr w14:paraId="73C12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4CE95F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线路名称</w:t>
                  </w:r>
                </w:p>
              </w:tc>
              <w:tc>
                <w:tcPr>
                  <w:tcW w:w="6323" w:type="dxa"/>
                  <w:vAlign w:val="center"/>
                </w:tcPr>
                <w:p w14:paraId="377C18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古碑-钼矿变电站110kV线路工程</w:t>
                  </w:r>
                </w:p>
              </w:tc>
            </w:tr>
            <w:tr w14:paraId="5A0D1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550D81E0">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敷设方式</w:t>
                  </w:r>
                </w:p>
              </w:tc>
              <w:tc>
                <w:tcPr>
                  <w:tcW w:w="6323" w:type="dxa"/>
                  <w:vAlign w:val="center"/>
                </w:tcPr>
                <w:p w14:paraId="009936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架空</w:t>
                  </w:r>
                </w:p>
              </w:tc>
            </w:tr>
            <w:tr w14:paraId="59750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561B1484">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性质</w:t>
                  </w:r>
                </w:p>
              </w:tc>
              <w:tc>
                <w:tcPr>
                  <w:tcW w:w="6323" w:type="dxa"/>
                  <w:vAlign w:val="center"/>
                </w:tcPr>
                <w:p w14:paraId="40C44E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新建</w:t>
                  </w:r>
                </w:p>
              </w:tc>
            </w:tr>
            <w:tr w14:paraId="47BFB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A2CA02C">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电压等级</w:t>
                  </w:r>
                </w:p>
              </w:tc>
              <w:tc>
                <w:tcPr>
                  <w:tcW w:w="6323" w:type="dxa"/>
                  <w:vAlign w:val="center"/>
                </w:tcPr>
                <w:p w14:paraId="61F969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110kV</w:t>
                  </w:r>
                </w:p>
              </w:tc>
            </w:tr>
            <w:tr w14:paraId="18A17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024E5C2">
                  <w:pPr>
                    <w:pStyle w:val="217"/>
                    <w:spacing w:before="0" w:line="240" w:lineRule="auto"/>
                    <w:ind w:left="0" w:leftChars="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回路数</w:t>
                  </w:r>
                </w:p>
              </w:tc>
              <w:tc>
                <w:tcPr>
                  <w:tcW w:w="6323" w:type="dxa"/>
                  <w:vAlign w:val="center"/>
                </w:tcPr>
                <w:p w14:paraId="26CFEA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单回</w:t>
                  </w:r>
                </w:p>
              </w:tc>
            </w:tr>
            <w:tr w14:paraId="7057D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3E037191">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架线方式</w:t>
                  </w:r>
                </w:p>
              </w:tc>
              <w:tc>
                <w:tcPr>
                  <w:tcW w:w="6323" w:type="dxa"/>
                  <w:vAlign w:val="center"/>
                </w:tcPr>
                <w:p w14:paraId="1DC97F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架空</w:t>
                  </w:r>
                </w:p>
              </w:tc>
            </w:tr>
            <w:tr w14:paraId="67DF9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2BB696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线路路径长度</w:t>
                  </w:r>
                </w:p>
              </w:tc>
              <w:tc>
                <w:tcPr>
                  <w:tcW w:w="6323" w:type="dxa"/>
                  <w:vAlign w:val="center"/>
                </w:tcPr>
                <w:p w14:paraId="57C753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35km</w:t>
                  </w:r>
                </w:p>
              </w:tc>
            </w:tr>
            <w:tr w14:paraId="63282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87C51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导线型号</w:t>
                  </w:r>
                </w:p>
              </w:tc>
              <w:tc>
                <w:tcPr>
                  <w:tcW w:w="6323" w:type="dxa"/>
                  <w:vAlign w:val="center"/>
                </w:tcPr>
                <w:p w14:paraId="4F7302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color w:val="auto"/>
                      <w:sz w:val="21"/>
                      <w:szCs w:val="21"/>
                      <w:highlight w:val="none"/>
                    </w:rPr>
                    <w:t>AF(SZ)+S4A-315+50应力转移型特强钢芯软铝型线绞线</w:t>
                  </w:r>
                </w:p>
              </w:tc>
            </w:tr>
            <w:tr w14:paraId="20659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40F4E4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地线型号</w:t>
                  </w:r>
                </w:p>
              </w:tc>
              <w:tc>
                <w:tcPr>
                  <w:tcW w:w="6323" w:type="dxa"/>
                  <w:vAlign w:val="center"/>
                </w:tcPr>
                <w:p w14:paraId="6BE32D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w:t>
                  </w:r>
                  <w:r>
                    <w:rPr>
                      <w:rFonts w:hint="default" w:ascii="Times New Roman" w:hAnsi="Times New Roman" w:eastAsia="宋体" w:cs="Times New Roman"/>
                      <w:sz w:val="21"/>
                      <w:szCs w:val="21"/>
                      <w:vertAlign w:val="baseline"/>
                    </w:rPr>
                    <w:t>根48芯OPGW</w:t>
                  </w:r>
                  <w:r>
                    <w:rPr>
                      <w:rFonts w:hint="eastAsia" w:ascii="Times New Roman" w:hAnsi="Times New Roman" w:eastAsia="宋体" w:cs="Times New Roman"/>
                      <w:sz w:val="21"/>
                      <w:szCs w:val="21"/>
                      <w:vertAlign w:val="baseline"/>
                      <w:lang w:val="en-US" w:eastAsia="zh-CN"/>
                    </w:rPr>
                    <w:t>-48</w:t>
                  </w:r>
                </w:p>
              </w:tc>
            </w:tr>
            <w:tr w14:paraId="62890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76BA4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杆塔类型</w:t>
                  </w:r>
                </w:p>
              </w:tc>
              <w:tc>
                <w:tcPr>
                  <w:tcW w:w="6323" w:type="dxa"/>
                  <w:vAlign w:val="center"/>
                </w:tcPr>
                <w:p w14:paraId="578469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角钢塔</w:t>
                  </w:r>
                </w:p>
              </w:tc>
            </w:tr>
            <w:tr w14:paraId="345FD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69F4F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基础</w:t>
                  </w:r>
                </w:p>
              </w:tc>
              <w:tc>
                <w:tcPr>
                  <w:tcW w:w="6323" w:type="dxa"/>
                  <w:vAlign w:val="center"/>
                </w:tcPr>
                <w:p w14:paraId="386B1F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ascii="Times New Roman"/>
                      <w:color w:val="auto"/>
                      <w:szCs w:val="24"/>
                      <w:highlight w:val="none"/>
                      <w:lang w:val="en-US" w:eastAsia="zh-CN"/>
                    </w:rPr>
                    <w:t>钢筋混凝土板式基础、掏挖基础和挖孔桩基础</w:t>
                  </w:r>
                </w:p>
              </w:tc>
            </w:tr>
            <w:tr w14:paraId="0A19D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39470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途经</w:t>
                  </w:r>
                  <w:r>
                    <w:rPr>
                      <w:rFonts w:hint="eastAsia" w:ascii="Times New Roman" w:hAnsi="Times New Roman" w:eastAsia="宋体" w:cs="Times New Roman"/>
                      <w:sz w:val="21"/>
                      <w:szCs w:val="21"/>
                      <w:vertAlign w:val="baseline"/>
                      <w:lang w:val="en-US" w:eastAsia="zh-CN"/>
                    </w:rPr>
                    <w:t>区域</w:t>
                  </w:r>
                </w:p>
              </w:tc>
              <w:tc>
                <w:tcPr>
                  <w:tcW w:w="6323" w:type="dxa"/>
                  <w:vAlign w:val="center"/>
                </w:tcPr>
                <w:p w14:paraId="63D1B8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输电线路起点至终点依次经过金寨县境内的古碑镇、槐树湾乡、南溪镇、汤家汇镇、关庙乡</w:t>
                  </w:r>
                </w:p>
              </w:tc>
            </w:tr>
          </w:tbl>
          <w:p w14:paraId="1FEA54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双河</w:t>
            </w:r>
            <w:r>
              <w:rPr>
                <w:rFonts w:hint="eastAsia" w:cs="Times New Roman"/>
                <w:snapToGrid w:val="0"/>
                <w:color w:val="000000"/>
                <w:spacing w:val="10"/>
                <w:kern w:val="0"/>
                <w:sz w:val="24"/>
                <w:szCs w:val="24"/>
                <w:lang w:val="en-US" w:eastAsia="zh-CN"/>
              </w:rPr>
              <w:t>-钼矿变电站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w:t>
            </w:r>
          </w:p>
          <w:p w14:paraId="08D70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rPr>
            </w:pPr>
            <w:r>
              <w:rPr>
                <w:rFonts w:hint="default" w:ascii="Times New Roman" w:hAnsi="Times New Roman" w:eastAsia="宋体" w:cs="Times New Roman"/>
                <w:sz w:val="24"/>
                <w:szCs w:val="24"/>
                <w:lang w:val="en-US" w:eastAsia="zh-CN"/>
              </w:rPr>
              <w:t>本工程新建1回双河-金沙钼业110kV线路，新建线路约1×22km。导线采用AF(SZ)+S4A-315+50应力转移型特强钢芯软铝型线绞线。</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在双河变电站扩建一个出线间隔。根据系统通信方案，随新建线路架设</w:t>
            </w:r>
            <w:r>
              <w:rPr>
                <w:rFonts w:hint="eastAsia" w:cs="Times New Roman"/>
                <w:sz w:val="24"/>
                <w:szCs w:val="24"/>
                <w:lang w:val="en-US" w:eastAsia="zh-CN"/>
              </w:rPr>
              <w:t>2</w:t>
            </w:r>
            <w:r>
              <w:rPr>
                <w:rFonts w:hint="default" w:ascii="Times New Roman" w:hAnsi="Times New Roman" w:eastAsia="宋体" w:cs="Times New Roman"/>
                <w:sz w:val="24"/>
                <w:szCs w:val="24"/>
                <w:lang w:val="en-US" w:eastAsia="zh-CN"/>
              </w:rPr>
              <w:t>根48芯OPGW光缆，光缆路由长约22km。</w:t>
            </w:r>
            <w:r>
              <w:rPr>
                <w:rFonts w:hint="eastAsia" w:ascii="Times New Roman" w:hAnsi="Times New Roman" w:eastAsia="宋体" w:cs="Times New Roman"/>
                <w:sz w:val="24"/>
                <w:szCs w:val="24"/>
                <w:lang w:val="en-US" w:eastAsia="zh-CN"/>
              </w:rPr>
              <w:t>双河</w:t>
            </w:r>
            <w:r>
              <w:rPr>
                <w:rFonts w:hint="eastAsia" w:cs="Times New Roman"/>
                <w:snapToGrid w:val="0"/>
                <w:color w:val="000000"/>
                <w:spacing w:val="10"/>
                <w:kern w:val="0"/>
                <w:sz w:val="24"/>
                <w:szCs w:val="24"/>
                <w:lang w:val="en-US" w:eastAsia="zh-CN"/>
              </w:rPr>
              <w:t>-钼矿变电站</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线路工程内容见下表。</w:t>
            </w:r>
          </w:p>
          <w:p w14:paraId="6E76A4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表2-4  双河-钼矿变电站110kV线路工程内容一览表</w:t>
            </w:r>
          </w:p>
          <w:tbl>
            <w:tblPr>
              <w:tblStyle w:val="37"/>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45"/>
              <w:gridCol w:w="6323"/>
            </w:tblGrid>
            <w:tr w14:paraId="113BF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EB366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线路名称</w:t>
                  </w:r>
                </w:p>
              </w:tc>
              <w:tc>
                <w:tcPr>
                  <w:tcW w:w="6323" w:type="dxa"/>
                  <w:vAlign w:val="center"/>
                </w:tcPr>
                <w:p w14:paraId="0527CB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ascii="Times New Roman" w:hAnsi="Times New Roman" w:eastAsia="宋体" w:cs="Times New Roman"/>
                      <w:sz w:val="21"/>
                      <w:szCs w:val="21"/>
                      <w:vertAlign w:val="baseline"/>
                      <w:lang w:val="en-US" w:eastAsia="zh-CN"/>
                    </w:rPr>
                    <w:t>双河</w:t>
                  </w:r>
                  <w:r>
                    <w:rPr>
                      <w:rFonts w:hint="default" w:ascii="Times New Roman" w:hAnsi="Times New Roman" w:eastAsia="宋体" w:cs="Times New Roman"/>
                      <w:sz w:val="21"/>
                      <w:szCs w:val="21"/>
                      <w:vertAlign w:val="baseline"/>
                      <w:lang w:val="en-US" w:eastAsia="zh-CN"/>
                    </w:rPr>
                    <w:t>-钼矿变电站110kV线路工程</w:t>
                  </w:r>
                </w:p>
              </w:tc>
            </w:tr>
            <w:tr w14:paraId="7BB9F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564149C7">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敷设方式</w:t>
                  </w:r>
                </w:p>
              </w:tc>
              <w:tc>
                <w:tcPr>
                  <w:tcW w:w="6323" w:type="dxa"/>
                  <w:vAlign w:val="center"/>
                </w:tcPr>
                <w:p w14:paraId="50C012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架空</w:t>
                  </w:r>
                </w:p>
              </w:tc>
            </w:tr>
            <w:tr w14:paraId="76771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29052B9">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性质</w:t>
                  </w:r>
                </w:p>
              </w:tc>
              <w:tc>
                <w:tcPr>
                  <w:tcW w:w="6323" w:type="dxa"/>
                  <w:vAlign w:val="center"/>
                </w:tcPr>
                <w:p w14:paraId="0145D9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新建</w:t>
                  </w:r>
                </w:p>
              </w:tc>
            </w:tr>
            <w:tr w14:paraId="2B130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463ADB54">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电压等级</w:t>
                  </w:r>
                </w:p>
              </w:tc>
              <w:tc>
                <w:tcPr>
                  <w:tcW w:w="6323" w:type="dxa"/>
                  <w:vAlign w:val="center"/>
                </w:tcPr>
                <w:p w14:paraId="020D94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lang w:val="en-US" w:eastAsia="zh-CN"/>
                    </w:rPr>
                    <w:t>110kV</w:t>
                  </w:r>
                </w:p>
              </w:tc>
            </w:tr>
            <w:tr w14:paraId="3441D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88F8B66">
                  <w:pPr>
                    <w:pStyle w:val="217"/>
                    <w:spacing w:before="0" w:line="240" w:lineRule="auto"/>
                    <w:ind w:left="0" w:leftChars="0"/>
                    <w:jc w:val="center"/>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回路数</w:t>
                  </w:r>
                </w:p>
              </w:tc>
              <w:tc>
                <w:tcPr>
                  <w:tcW w:w="6323" w:type="dxa"/>
                  <w:vAlign w:val="center"/>
                </w:tcPr>
                <w:p w14:paraId="5DC7E1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单回</w:t>
                  </w:r>
                </w:p>
              </w:tc>
            </w:tr>
            <w:tr w14:paraId="068D3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3A4EC535">
                  <w:pPr>
                    <w:pStyle w:val="217"/>
                    <w:spacing w:before="0" w:line="240" w:lineRule="auto"/>
                    <w:ind w:left="0" w:leftChars="0"/>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架线方式</w:t>
                  </w:r>
                </w:p>
              </w:tc>
              <w:tc>
                <w:tcPr>
                  <w:tcW w:w="6323" w:type="dxa"/>
                  <w:vAlign w:val="center"/>
                </w:tcPr>
                <w:p w14:paraId="765E3A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架空</w:t>
                  </w:r>
                </w:p>
              </w:tc>
            </w:tr>
            <w:tr w14:paraId="33499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CED62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线路路径长度</w:t>
                  </w:r>
                </w:p>
              </w:tc>
              <w:tc>
                <w:tcPr>
                  <w:tcW w:w="6323" w:type="dxa"/>
                  <w:vAlign w:val="center"/>
                </w:tcPr>
                <w:p w14:paraId="6FCAF7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22km</w:t>
                  </w:r>
                </w:p>
              </w:tc>
            </w:tr>
            <w:tr w14:paraId="2C947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39A273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导线型号</w:t>
                  </w:r>
                </w:p>
              </w:tc>
              <w:tc>
                <w:tcPr>
                  <w:tcW w:w="6323" w:type="dxa"/>
                  <w:vAlign w:val="center"/>
                </w:tcPr>
                <w:p w14:paraId="0D786B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default" w:ascii="Times New Roman" w:hAnsi="Times New Roman"/>
                      <w:color w:val="auto"/>
                      <w:sz w:val="21"/>
                      <w:szCs w:val="21"/>
                      <w:highlight w:val="none"/>
                    </w:rPr>
                    <w:t>AF(SZ)+S4A-315+50应力转移型特强钢芯软铝型线绞线</w:t>
                  </w:r>
                </w:p>
              </w:tc>
            </w:tr>
            <w:tr w14:paraId="683DB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1E564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地线型号</w:t>
                  </w:r>
                </w:p>
              </w:tc>
              <w:tc>
                <w:tcPr>
                  <w:tcW w:w="6323" w:type="dxa"/>
                  <w:vAlign w:val="center"/>
                </w:tcPr>
                <w:p w14:paraId="1E24A7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2</w:t>
                  </w:r>
                  <w:r>
                    <w:rPr>
                      <w:rFonts w:hint="default" w:ascii="Times New Roman" w:hAnsi="Times New Roman" w:eastAsia="宋体" w:cs="Times New Roman"/>
                      <w:sz w:val="21"/>
                      <w:szCs w:val="21"/>
                      <w:vertAlign w:val="baseline"/>
                    </w:rPr>
                    <w:t>根48芯OPGW</w:t>
                  </w:r>
                  <w:r>
                    <w:rPr>
                      <w:rFonts w:hint="eastAsia" w:ascii="Times New Roman" w:hAnsi="Times New Roman" w:eastAsia="宋体" w:cs="Times New Roman"/>
                      <w:sz w:val="21"/>
                      <w:szCs w:val="21"/>
                      <w:vertAlign w:val="baseline"/>
                      <w:lang w:val="en-US" w:eastAsia="zh-CN"/>
                    </w:rPr>
                    <w:t>-48</w:t>
                  </w:r>
                </w:p>
              </w:tc>
            </w:tr>
            <w:tr w14:paraId="1E425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46EF23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杆塔类型</w:t>
                  </w:r>
                </w:p>
              </w:tc>
              <w:tc>
                <w:tcPr>
                  <w:tcW w:w="6323" w:type="dxa"/>
                  <w:vAlign w:val="center"/>
                </w:tcPr>
                <w:p w14:paraId="083DCC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角钢塔</w:t>
                  </w:r>
                </w:p>
              </w:tc>
            </w:tr>
            <w:tr w14:paraId="54D0F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4122E9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基础</w:t>
                  </w:r>
                </w:p>
              </w:tc>
              <w:tc>
                <w:tcPr>
                  <w:tcW w:w="6323" w:type="dxa"/>
                  <w:vAlign w:val="center"/>
                </w:tcPr>
                <w:p w14:paraId="170163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ascii="Times New Roman"/>
                      <w:color w:val="auto"/>
                      <w:szCs w:val="24"/>
                      <w:highlight w:val="none"/>
                      <w:lang w:val="en-US" w:eastAsia="zh-CN"/>
                    </w:rPr>
                    <w:t>钢筋混凝土板式基础、灌注桩基础、掏挖基础和挖孔桩基础</w:t>
                  </w:r>
                </w:p>
              </w:tc>
            </w:tr>
            <w:tr w14:paraId="263FB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83884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途经</w:t>
                  </w:r>
                  <w:r>
                    <w:rPr>
                      <w:rFonts w:hint="eastAsia" w:ascii="Times New Roman" w:hAnsi="Times New Roman" w:eastAsia="宋体" w:cs="Times New Roman"/>
                      <w:sz w:val="21"/>
                      <w:szCs w:val="21"/>
                      <w:vertAlign w:val="baseline"/>
                      <w:lang w:val="en-US" w:eastAsia="zh-CN"/>
                    </w:rPr>
                    <w:t>区域</w:t>
                  </w:r>
                </w:p>
              </w:tc>
              <w:tc>
                <w:tcPr>
                  <w:tcW w:w="6323" w:type="dxa"/>
                  <w:vAlign w:val="center"/>
                </w:tcPr>
                <w:p w14:paraId="2A1BBB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sz w:val="21"/>
                      <w:szCs w:val="21"/>
                      <w:vertAlign w:val="baseline"/>
                      <w:lang w:val="en-US" w:eastAsia="zh-CN"/>
                    </w:rPr>
                    <w:t>输电线路起点至终点依次经过金寨县境内的双河镇、南溪镇、汤家汇镇、关庙乡</w:t>
                  </w:r>
                </w:p>
              </w:tc>
            </w:tr>
          </w:tbl>
          <w:p w14:paraId="7DEEB939">
            <w:pPr>
              <w:keepNext w:val="0"/>
              <w:keepLines w:val="0"/>
              <w:pageBreakBefore w:val="0"/>
              <w:widowControl/>
              <w:numPr>
                <w:ilvl w:val="0"/>
                <w:numId w:val="0"/>
              </w:numPr>
              <w:kinsoku/>
              <w:wordWrap/>
              <w:overflowPunct/>
              <w:topLinePunct w:val="0"/>
              <w:autoSpaceDE w:val="0"/>
              <w:autoSpaceDN w:val="0"/>
              <w:bidi w:val="0"/>
              <w:adjustRightInd/>
              <w:snapToGrid/>
              <w:spacing w:line="360" w:lineRule="auto"/>
              <w:ind w:firstLine="520" w:firstLineChars="200"/>
              <w:jc w:val="both"/>
              <w:textAlignment w:val="baseline"/>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（4）</w:t>
            </w:r>
            <w:r>
              <w:rPr>
                <w:rFonts w:hint="eastAsia" w:cs="Times New Roman"/>
                <w:sz w:val="24"/>
                <w:szCs w:val="24"/>
                <w:lang w:val="en-US" w:eastAsia="zh-CN"/>
              </w:rPr>
              <w:t>双河110kV变电站110kV钼矿间隔扩建工程</w:t>
            </w:r>
          </w:p>
          <w:p w14:paraId="1163D417">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z w:val="24"/>
                <w:szCs w:val="24"/>
                <w:lang w:val="en-US" w:eastAsia="zh-CN"/>
              </w:rPr>
            </w:pPr>
            <w:r>
              <w:rPr>
                <w:rFonts w:hint="eastAsia" w:cs="Times New Roman"/>
                <w:sz w:val="24"/>
                <w:szCs w:val="24"/>
                <w:lang w:val="en-US" w:eastAsia="zh-CN"/>
              </w:rPr>
              <w:t>双河110kV变电站为已投运常规变电站，双河110kV变电站主变为户外型布置，已建设2台主变，主变区位于站区中部，南北向排列。110kV配电装置布置在站区东侧，向东架空出线4回（</w:t>
            </w:r>
            <w:r>
              <w:rPr>
                <w:rFonts w:hint="eastAsia" w:ascii="Times New Roman" w:hAnsi="Times New Roman" w:eastAsia="宋体" w:cs="Times New Roman"/>
                <w:snapToGrid w:val="0"/>
                <w:color w:val="000000"/>
                <w:spacing w:val="10"/>
                <w:szCs w:val="24"/>
                <w:lang w:val="en-US" w:eastAsia="zh-CN"/>
              </w:rPr>
              <w:t>红石</w:t>
            </w:r>
            <w:r>
              <w:rPr>
                <w:rFonts w:hint="eastAsia" w:cs="Times New Roman"/>
                <w:snapToGrid w:val="0"/>
                <w:color w:val="000000"/>
                <w:spacing w:val="10"/>
                <w:szCs w:val="24"/>
                <w:lang w:val="en-US" w:eastAsia="zh-CN"/>
              </w:rPr>
              <w:t>1</w:t>
            </w:r>
            <w:r>
              <w:rPr>
                <w:rFonts w:hint="eastAsia" w:cs="Times New Roman"/>
                <w:sz w:val="24"/>
                <w:szCs w:val="24"/>
                <w:lang w:val="en-US" w:eastAsia="zh-CN"/>
              </w:rPr>
              <w:t>回，</w:t>
            </w:r>
            <w:r>
              <w:rPr>
                <w:rFonts w:hint="eastAsia" w:ascii="Times New Roman" w:hAnsi="Times New Roman" w:eastAsia="宋体" w:cs="Times New Roman"/>
                <w:snapToGrid w:val="0"/>
                <w:color w:val="000000"/>
                <w:spacing w:val="10"/>
                <w:szCs w:val="24"/>
                <w:lang w:val="en-US" w:eastAsia="zh-CN"/>
              </w:rPr>
              <w:t>南溪</w:t>
            </w:r>
            <w:r>
              <w:rPr>
                <w:rFonts w:hint="eastAsia" w:cs="Times New Roman"/>
                <w:snapToGrid w:val="0"/>
                <w:color w:val="000000"/>
                <w:spacing w:val="10"/>
                <w:szCs w:val="24"/>
                <w:lang w:val="en-US" w:eastAsia="zh-CN"/>
              </w:rPr>
              <w:t>1</w:t>
            </w:r>
            <w:r>
              <w:rPr>
                <w:rFonts w:hint="eastAsia" w:cs="Times New Roman"/>
                <w:sz w:val="24"/>
                <w:szCs w:val="24"/>
                <w:lang w:val="en-US" w:eastAsia="zh-CN"/>
              </w:rPr>
              <w:t>回，备用2回）。</w:t>
            </w:r>
          </w:p>
          <w:p w14:paraId="73D5C6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本期扩建1个110kV出线间隔（钼矿），利用北起第一出线间隔，接线型式不变。本期间隔扩建工程在双河110kV变电站110kV配电装置区预留位置进行，不新征用地。</w:t>
            </w:r>
          </w:p>
          <w:p w14:paraId="08EC10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cs="Times New Roman"/>
                <w:sz w:val="24"/>
                <w:szCs w:val="24"/>
                <w:lang w:val="en-US" w:eastAsia="zh-CN"/>
              </w:rPr>
              <w:t>5</w:t>
            </w:r>
            <w:r>
              <w:rPr>
                <w:rFonts w:hint="eastAsia" w:ascii="Times New Roman" w:hAnsi="Times New Roman" w:eastAsia="宋体" w:cs="Times New Roman"/>
                <w:sz w:val="24"/>
                <w:szCs w:val="24"/>
                <w:lang w:val="en-US" w:eastAsia="zh-CN"/>
              </w:rPr>
              <w:t>）塔型及导线型号</w:t>
            </w:r>
          </w:p>
          <w:p w14:paraId="289278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根据</w:t>
            </w:r>
            <w:r>
              <w:rPr>
                <w:rFonts w:hint="eastAsia" w:ascii="Times New Roman" w:hAnsi="Times New Roman" w:eastAsia="宋体" w:cs="Times New Roman"/>
                <w:sz w:val="24"/>
                <w:szCs w:val="24"/>
                <w:lang w:val="en-US" w:eastAsia="zh-CN"/>
              </w:rPr>
              <w:t>项目初步设计方案</w:t>
            </w:r>
            <w:r>
              <w:rPr>
                <w:rFonts w:hint="default" w:ascii="Times New Roman" w:hAnsi="Times New Roman" w:eastAsia="宋体" w:cs="Times New Roman"/>
                <w:sz w:val="24"/>
                <w:szCs w:val="24"/>
                <w:lang w:val="en-US" w:eastAsia="zh-CN"/>
              </w:rPr>
              <w:t>，本工程架空线路采用AF(SZ)+S4A-315+50应力转移型特强钢芯软铝型线绞线，</w:t>
            </w:r>
            <w:r>
              <w:rPr>
                <w:rFonts w:hint="eastAsia" w:ascii="Times New Roman" w:hAnsi="Times New Roman" w:eastAsia="宋体" w:cs="Times New Roman"/>
                <w:sz w:val="24"/>
                <w:szCs w:val="24"/>
                <w:lang w:val="en-US" w:eastAsia="zh-CN"/>
              </w:rPr>
              <w:t>地线</w:t>
            </w:r>
            <w:r>
              <w:rPr>
                <w:rFonts w:hint="default" w:ascii="Times New Roman" w:hAnsi="Times New Roman" w:eastAsia="宋体" w:cs="Times New Roman"/>
                <w:sz w:val="24"/>
                <w:szCs w:val="24"/>
                <w:lang w:val="en-US" w:eastAsia="zh-CN"/>
              </w:rPr>
              <w:t>线路</w:t>
            </w:r>
            <w:r>
              <w:rPr>
                <w:rFonts w:hint="eastAsia" w:ascii="Times New Roman" w:hAnsi="Times New Roman" w:eastAsia="宋体" w:cs="Times New Roman"/>
                <w:sz w:val="24"/>
                <w:szCs w:val="24"/>
                <w:lang w:val="en-US" w:eastAsia="zh-CN"/>
              </w:rPr>
              <w:t>采用48芯OPGW-48</w:t>
            </w:r>
            <w:r>
              <w:rPr>
                <w:rFonts w:hint="default" w:ascii="Times New Roman" w:hAnsi="Times New Roman" w:eastAsia="宋体" w:cs="Times New Roman"/>
                <w:sz w:val="24"/>
                <w:szCs w:val="24"/>
                <w:lang w:val="en-US" w:eastAsia="zh-CN"/>
              </w:rPr>
              <w:t>电力电缆，本工程共架设杆塔</w:t>
            </w:r>
            <w:r>
              <w:rPr>
                <w:rFonts w:hint="eastAsia" w:ascii="Times New Roman" w:hAnsi="Times New Roman" w:eastAsia="宋体" w:cs="Times New Roman"/>
                <w:sz w:val="24"/>
                <w:szCs w:val="24"/>
                <w:lang w:val="en-US" w:eastAsia="zh-CN"/>
              </w:rPr>
              <w:t>16</w:t>
            </w:r>
            <w:r>
              <w:rPr>
                <w:rFonts w:hint="eastAsia" w:cs="Times New Roman"/>
                <w:sz w:val="24"/>
                <w:szCs w:val="24"/>
                <w:lang w:val="en-US" w:eastAsia="zh-CN"/>
              </w:rPr>
              <w:t>4</w:t>
            </w:r>
            <w:r>
              <w:rPr>
                <w:rFonts w:hint="default" w:ascii="Times New Roman" w:hAnsi="Times New Roman" w:eastAsia="宋体" w:cs="Times New Roman"/>
                <w:sz w:val="24"/>
                <w:szCs w:val="24"/>
                <w:lang w:val="en-US" w:eastAsia="zh-CN"/>
              </w:rPr>
              <w:t>基，</w:t>
            </w:r>
            <w:r>
              <w:rPr>
                <w:rFonts w:hint="eastAsia" w:ascii="Times New Roman" w:hAnsi="Times New Roman" w:eastAsia="宋体" w:cs="Times New Roman"/>
                <w:sz w:val="24"/>
                <w:szCs w:val="24"/>
                <w:lang w:val="en-US" w:eastAsia="zh-CN"/>
              </w:rPr>
              <w:t>均为</w:t>
            </w:r>
            <w:r>
              <w:rPr>
                <w:rFonts w:hint="default" w:ascii="Times New Roman" w:hAnsi="Times New Roman" w:eastAsia="宋体" w:cs="Times New Roman"/>
                <w:sz w:val="24"/>
                <w:szCs w:val="24"/>
                <w:lang w:val="en-US" w:eastAsia="zh-CN"/>
              </w:rPr>
              <w:t>角钢塔。</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杆塔型号见</w:t>
            </w:r>
            <w:r>
              <w:rPr>
                <w:rFonts w:hint="eastAsia" w:ascii="Times New Roman" w:hAnsi="Times New Roman" w:eastAsia="宋体" w:cs="Times New Roman"/>
                <w:sz w:val="24"/>
                <w:szCs w:val="24"/>
                <w:lang w:val="en-US" w:eastAsia="zh-CN"/>
              </w:rPr>
              <w:t>下表</w:t>
            </w:r>
            <w:r>
              <w:rPr>
                <w:rFonts w:hint="eastAsia" w:cs="Times New Roman"/>
                <w:sz w:val="24"/>
                <w:szCs w:val="24"/>
                <w:lang w:val="en-US" w:eastAsia="zh-CN"/>
              </w:rPr>
              <w:t>及附图13</w:t>
            </w:r>
            <w:r>
              <w:rPr>
                <w:rFonts w:hint="default" w:ascii="Times New Roman" w:hAnsi="Times New Roman" w:eastAsia="宋体" w:cs="Times New Roman"/>
                <w:sz w:val="24"/>
                <w:szCs w:val="24"/>
                <w:lang w:val="en-US" w:eastAsia="zh-CN"/>
              </w:rPr>
              <w:t>。</w:t>
            </w:r>
          </w:p>
          <w:p w14:paraId="56111F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rPr>
                <w:rFonts w:hint="eastAsia" w:ascii="Times New Roman" w:hAnsi="Times New Roman" w:eastAsia="宋体" w:cs="Times New Roman"/>
                <w:b/>
                <w:bCs/>
                <w:sz w:val="21"/>
                <w:szCs w:val="21"/>
                <w:lang w:val="en-US" w:eastAsia="zh-CN"/>
              </w:rPr>
              <w:t xml:space="preserve">表2-5  </w:t>
            </w:r>
            <w:r>
              <w:rPr>
                <w:rFonts w:hint="eastAsia" w:cs="Times New Roman"/>
                <w:b/>
                <w:bCs/>
                <w:sz w:val="21"/>
                <w:szCs w:val="21"/>
                <w:lang w:val="en-US" w:eastAsia="zh-CN"/>
              </w:rPr>
              <w:t>本工程</w:t>
            </w:r>
            <w:r>
              <w:rPr>
                <w:rFonts w:hint="eastAsia" w:ascii="Times New Roman" w:hAnsi="Times New Roman" w:eastAsia="宋体" w:cs="Times New Roman"/>
                <w:b/>
                <w:bCs/>
                <w:sz w:val="21"/>
                <w:szCs w:val="21"/>
                <w:lang w:val="en-US" w:eastAsia="zh-CN"/>
              </w:rPr>
              <w:t>塔杆使用情况一览表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2203"/>
              <w:gridCol w:w="917"/>
              <w:gridCol w:w="892"/>
              <w:gridCol w:w="2361"/>
              <w:gridCol w:w="1825"/>
            </w:tblGrid>
            <w:tr w14:paraId="63E5C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vMerge w:val="restart"/>
                  <w:noWrap/>
                  <w:vAlign w:val="center"/>
                </w:tcPr>
                <w:p w14:paraId="0910BF69">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塔号</w:t>
                  </w:r>
                </w:p>
              </w:tc>
              <w:tc>
                <w:tcPr>
                  <w:tcW w:w="2203" w:type="dxa"/>
                  <w:vMerge w:val="restart"/>
                  <w:noWrap/>
                  <w:vAlign w:val="center"/>
                </w:tcPr>
                <w:p w14:paraId="1D0A2FC6">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杆塔型式</w:t>
                  </w:r>
                </w:p>
              </w:tc>
              <w:tc>
                <w:tcPr>
                  <w:tcW w:w="917" w:type="dxa"/>
                  <w:vMerge w:val="restart"/>
                  <w:noWrap w:val="0"/>
                  <w:vAlign w:val="center"/>
                </w:tcPr>
                <w:p w14:paraId="3332C710">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呼高</w:t>
                  </w:r>
                  <w:r>
                    <w:rPr>
                      <w:rFonts w:hint="default" w:ascii="Times New Roman" w:hAnsi="Times New Roman" w:eastAsia="方正仿宋_GB2312" w:cs="Times New Roman"/>
                      <w:b/>
                      <w:bCs/>
                      <w:color w:val="auto"/>
                      <w:sz w:val="21"/>
                      <w:szCs w:val="21"/>
                      <w:vertAlign w:val="baseline"/>
                      <w:lang w:val="en-US" w:eastAsia="zh-CN"/>
                    </w:rPr>
                    <w:br w:type="textWrapping"/>
                  </w:r>
                  <w:r>
                    <w:rPr>
                      <w:rFonts w:hint="default" w:ascii="Times New Roman" w:hAnsi="Times New Roman" w:eastAsia="方正仿宋_GB2312" w:cs="Times New Roman"/>
                      <w:b/>
                      <w:bCs/>
                      <w:color w:val="auto"/>
                      <w:sz w:val="21"/>
                      <w:szCs w:val="21"/>
                      <w:vertAlign w:val="baseline"/>
                      <w:lang w:val="en-US" w:eastAsia="zh-CN"/>
                    </w:rPr>
                    <w:t>（m）</w:t>
                  </w:r>
                </w:p>
              </w:tc>
              <w:tc>
                <w:tcPr>
                  <w:tcW w:w="892" w:type="dxa"/>
                  <w:vMerge w:val="restart"/>
                  <w:noWrap/>
                  <w:vAlign w:val="center"/>
                </w:tcPr>
                <w:p w14:paraId="1D856F6B">
                  <w:pPr>
                    <w:pStyle w:val="19"/>
                    <w:shd w:val="clear"/>
                    <w:spacing w:line="240" w:lineRule="auto"/>
                    <w:ind w:firstLine="0" w:firstLineChars="0"/>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基数（座）</w:t>
                  </w:r>
                </w:p>
              </w:tc>
              <w:tc>
                <w:tcPr>
                  <w:tcW w:w="2361" w:type="dxa"/>
                  <w:vMerge w:val="restart"/>
                  <w:noWrap w:val="0"/>
                  <w:vAlign w:val="center"/>
                </w:tcPr>
                <w:p w14:paraId="22A3FC2F">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基础类型</w:t>
                  </w:r>
                </w:p>
              </w:tc>
              <w:tc>
                <w:tcPr>
                  <w:tcW w:w="1825" w:type="dxa"/>
                  <w:vMerge w:val="restart"/>
                  <w:noWrap w:val="0"/>
                  <w:vAlign w:val="center"/>
                </w:tcPr>
                <w:p w14:paraId="5D409BE6">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r>
                    <w:rPr>
                      <w:rFonts w:hint="default" w:ascii="Times New Roman" w:hAnsi="Times New Roman" w:eastAsia="方正仿宋_GB2312" w:cs="Times New Roman"/>
                      <w:b/>
                      <w:bCs/>
                      <w:color w:val="auto"/>
                      <w:sz w:val="21"/>
                      <w:szCs w:val="21"/>
                      <w:vertAlign w:val="baseline"/>
                      <w:lang w:val="en-US" w:eastAsia="zh-CN"/>
                    </w:rPr>
                    <w:t>备注</w:t>
                  </w:r>
                </w:p>
              </w:tc>
            </w:tr>
            <w:tr w14:paraId="004C0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vMerge w:val="continue"/>
                  <w:noWrap/>
                  <w:vAlign w:val="center"/>
                </w:tcPr>
                <w:p w14:paraId="3DBF2549">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p>
              </w:tc>
              <w:tc>
                <w:tcPr>
                  <w:tcW w:w="2203" w:type="dxa"/>
                  <w:vMerge w:val="continue"/>
                  <w:noWrap/>
                  <w:vAlign w:val="center"/>
                </w:tcPr>
                <w:p w14:paraId="1EB4C6C7">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p>
              </w:tc>
              <w:tc>
                <w:tcPr>
                  <w:tcW w:w="917" w:type="dxa"/>
                  <w:vMerge w:val="continue"/>
                  <w:noWrap w:val="0"/>
                  <w:vAlign w:val="center"/>
                </w:tcPr>
                <w:p w14:paraId="4A2F0DF7">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p>
              </w:tc>
              <w:tc>
                <w:tcPr>
                  <w:tcW w:w="892" w:type="dxa"/>
                  <w:vMerge w:val="continue"/>
                  <w:noWrap/>
                  <w:vAlign w:val="center"/>
                </w:tcPr>
                <w:p w14:paraId="0FC9773E">
                  <w:pPr>
                    <w:pStyle w:val="19"/>
                    <w:shd w:val="clear"/>
                    <w:spacing w:line="240" w:lineRule="auto"/>
                    <w:ind w:firstLine="0" w:firstLineChars="0"/>
                    <w:jc w:val="center"/>
                    <w:rPr>
                      <w:rFonts w:hint="default" w:ascii="Times New Roman" w:hAnsi="Times New Roman" w:eastAsia="方正仿宋_GB2312" w:cs="Times New Roman"/>
                      <w:b/>
                      <w:bCs/>
                      <w:color w:val="auto"/>
                      <w:sz w:val="21"/>
                      <w:szCs w:val="21"/>
                      <w:vertAlign w:val="baseline"/>
                      <w:lang w:val="en-US" w:eastAsia="zh-CN"/>
                    </w:rPr>
                  </w:pPr>
                </w:p>
              </w:tc>
              <w:tc>
                <w:tcPr>
                  <w:tcW w:w="2361" w:type="dxa"/>
                  <w:vMerge w:val="continue"/>
                  <w:noWrap w:val="0"/>
                  <w:vAlign w:val="center"/>
                </w:tcPr>
                <w:p w14:paraId="6AE2DDB4">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p>
              </w:tc>
              <w:tc>
                <w:tcPr>
                  <w:tcW w:w="1825" w:type="dxa"/>
                  <w:vMerge w:val="continue"/>
                  <w:noWrap w:val="0"/>
                  <w:vAlign w:val="center"/>
                </w:tcPr>
                <w:p w14:paraId="61FA2BD6">
                  <w:pPr>
                    <w:pStyle w:val="19"/>
                    <w:shd w:val="clear"/>
                    <w:spacing w:line="240" w:lineRule="auto"/>
                    <w:jc w:val="center"/>
                    <w:rPr>
                      <w:rFonts w:hint="default" w:ascii="Times New Roman" w:hAnsi="Times New Roman" w:eastAsia="方正仿宋_GB2312" w:cs="Times New Roman"/>
                      <w:b/>
                      <w:bCs/>
                      <w:color w:val="auto"/>
                      <w:sz w:val="21"/>
                      <w:szCs w:val="21"/>
                      <w:vertAlign w:val="baseline"/>
                      <w:lang w:val="en-US" w:eastAsia="zh-CN"/>
                    </w:rPr>
                  </w:pPr>
                </w:p>
              </w:tc>
            </w:tr>
            <w:tr w14:paraId="1173C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58" w:type="dxa"/>
                  <w:gridSpan w:val="6"/>
                  <w:noWrap/>
                  <w:vAlign w:val="center"/>
                </w:tcPr>
                <w:p w14:paraId="7C936A28">
                  <w:pPr>
                    <w:pStyle w:val="19"/>
                    <w:shd w:val="clear"/>
                    <w:spacing w:before="0"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古碑-钼矿变电站110kV线路工程</w:t>
                  </w:r>
                </w:p>
              </w:tc>
            </w:tr>
            <w:tr w14:paraId="574DA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832053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w:t>
                  </w:r>
                </w:p>
              </w:tc>
              <w:tc>
                <w:tcPr>
                  <w:tcW w:w="2203" w:type="dxa"/>
                  <w:noWrap/>
                  <w:vAlign w:val="center"/>
                </w:tcPr>
                <w:p w14:paraId="026D870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110-DD31S-DJC</w:t>
                  </w:r>
                </w:p>
              </w:tc>
              <w:tc>
                <w:tcPr>
                  <w:tcW w:w="917" w:type="dxa"/>
                  <w:noWrap/>
                  <w:vAlign w:val="center"/>
                </w:tcPr>
                <w:p w14:paraId="4338E0F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18</w:t>
                  </w:r>
                </w:p>
              </w:tc>
              <w:tc>
                <w:tcPr>
                  <w:tcW w:w="892" w:type="dxa"/>
                  <w:noWrap/>
                  <w:vAlign w:val="center"/>
                </w:tcPr>
                <w:p w14:paraId="6D1EF8A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198F00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C75A54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双回终端塔</w:t>
                  </w:r>
                </w:p>
              </w:tc>
            </w:tr>
            <w:tr w14:paraId="503DB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7151B0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w:t>
                  </w:r>
                </w:p>
              </w:tc>
              <w:tc>
                <w:tcPr>
                  <w:tcW w:w="2203" w:type="dxa"/>
                  <w:noWrap/>
                  <w:vAlign w:val="center"/>
                </w:tcPr>
                <w:p w14:paraId="519732D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110-DD31D-JC4</w:t>
                  </w:r>
                </w:p>
              </w:tc>
              <w:tc>
                <w:tcPr>
                  <w:tcW w:w="917" w:type="dxa"/>
                  <w:noWrap/>
                  <w:vAlign w:val="center"/>
                </w:tcPr>
                <w:p w14:paraId="51AF7F3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24BCD23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D3A3F8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FF296C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单回转角塔</w:t>
                  </w:r>
                </w:p>
              </w:tc>
            </w:tr>
            <w:tr w14:paraId="26CBC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911C4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w:t>
                  </w:r>
                </w:p>
              </w:tc>
              <w:tc>
                <w:tcPr>
                  <w:tcW w:w="2203" w:type="dxa"/>
                  <w:noWrap/>
                  <w:vAlign w:val="center"/>
                </w:tcPr>
                <w:p w14:paraId="6A8BE30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EDAE79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24</w:t>
                  </w:r>
                </w:p>
              </w:tc>
              <w:tc>
                <w:tcPr>
                  <w:tcW w:w="892" w:type="dxa"/>
                  <w:noWrap/>
                  <w:vAlign w:val="center"/>
                </w:tcPr>
                <w:p w14:paraId="0F35EFC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0F8B09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0CE810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9550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E631F2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w:t>
                  </w:r>
                </w:p>
              </w:tc>
              <w:tc>
                <w:tcPr>
                  <w:tcW w:w="2203" w:type="dxa"/>
                  <w:noWrap/>
                  <w:vAlign w:val="center"/>
                </w:tcPr>
                <w:p w14:paraId="1178F83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0DBD655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3399330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10B571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912018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232C7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AE94ED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w:t>
                  </w:r>
                </w:p>
              </w:tc>
              <w:tc>
                <w:tcPr>
                  <w:tcW w:w="2203" w:type="dxa"/>
                  <w:noWrap/>
                  <w:vAlign w:val="center"/>
                </w:tcPr>
                <w:p w14:paraId="73A9577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357E9CD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0F7EA72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C0556E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338EEE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7E28E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7BFC99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w:t>
                  </w:r>
                </w:p>
              </w:tc>
              <w:tc>
                <w:tcPr>
                  <w:tcW w:w="2203" w:type="dxa"/>
                  <w:noWrap/>
                  <w:vAlign w:val="center"/>
                </w:tcPr>
                <w:p w14:paraId="3369297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37C0F12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5DBAAE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659D72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C203EE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CDDD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98879C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w:t>
                  </w:r>
                </w:p>
              </w:tc>
              <w:tc>
                <w:tcPr>
                  <w:tcW w:w="2203" w:type="dxa"/>
                  <w:noWrap/>
                  <w:vAlign w:val="center"/>
                </w:tcPr>
                <w:p w14:paraId="12428B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6C5A33E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65D8839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3CE30F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0ADA59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AAC4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76F19B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w:t>
                  </w:r>
                </w:p>
              </w:tc>
              <w:tc>
                <w:tcPr>
                  <w:tcW w:w="2203" w:type="dxa"/>
                  <w:noWrap/>
                  <w:vAlign w:val="center"/>
                </w:tcPr>
                <w:p w14:paraId="65E5776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642F816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5B3173B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56CFA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1C3549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4DA0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163A44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w:t>
                  </w:r>
                </w:p>
              </w:tc>
              <w:tc>
                <w:tcPr>
                  <w:tcW w:w="2203" w:type="dxa"/>
                  <w:noWrap/>
                  <w:vAlign w:val="center"/>
                </w:tcPr>
                <w:p w14:paraId="27A4921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0C7E720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6580147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2E4FFA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2C0FD86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4461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6DFC5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#A10</w:t>
                  </w:r>
                </w:p>
              </w:tc>
              <w:tc>
                <w:tcPr>
                  <w:tcW w:w="2203" w:type="dxa"/>
                  <w:noWrap/>
                  <w:vAlign w:val="center"/>
                </w:tcPr>
                <w:p w14:paraId="2E4ACF1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110-DD31D-ZYT</w:t>
                  </w:r>
                </w:p>
              </w:tc>
              <w:tc>
                <w:tcPr>
                  <w:tcW w:w="917" w:type="dxa"/>
                  <w:noWrap/>
                  <w:vAlign w:val="center"/>
                </w:tcPr>
                <w:p w14:paraId="094B674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15</w:t>
                  </w:r>
                </w:p>
              </w:tc>
              <w:tc>
                <w:tcPr>
                  <w:tcW w:w="892" w:type="dxa"/>
                  <w:noWrap/>
                  <w:vAlign w:val="center"/>
                </w:tcPr>
                <w:p w14:paraId="04E7EF5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vMerge w:val="restart"/>
                  <w:noWrap/>
                  <w:vAlign w:val="center"/>
                </w:tcPr>
                <w:p w14:paraId="1127A58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挖孔桩基础/板式基础</w:t>
                  </w:r>
                </w:p>
              </w:tc>
              <w:tc>
                <w:tcPr>
                  <w:tcW w:w="1825" w:type="dxa"/>
                  <w:vMerge w:val="restart"/>
                  <w:noWrap/>
                  <w:vAlign w:val="center"/>
                </w:tcPr>
                <w:p w14:paraId="78E4A23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单回钻越塔</w:t>
                  </w:r>
                </w:p>
              </w:tc>
            </w:tr>
            <w:tr w14:paraId="0EA00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C4E740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#A11</w:t>
                  </w:r>
                </w:p>
              </w:tc>
              <w:tc>
                <w:tcPr>
                  <w:tcW w:w="2203" w:type="dxa"/>
                  <w:noWrap/>
                  <w:vAlign w:val="center"/>
                </w:tcPr>
                <w:p w14:paraId="4A71D81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110-DD31D-ZYT</w:t>
                  </w:r>
                </w:p>
              </w:tc>
              <w:tc>
                <w:tcPr>
                  <w:tcW w:w="917" w:type="dxa"/>
                  <w:noWrap/>
                  <w:vAlign w:val="center"/>
                </w:tcPr>
                <w:p w14:paraId="1901F41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15</w:t>
                  </w:r>
                </w:p>
              </w:tc>
              <w:tc>
                <w:tcPr>
                  <w:tcW w:w="892" w:type="dxa"/>
                  <w:noWrap/>
                  <w:vAlign w:val="center"/>
                </w:tcPr>
                <w:p w14:paraId="480F3A2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vMerge w:val="continue"/>
                  <w:noWrap/>
                  <w:vAlign w:val="center"/>
                </w:tcPr>
                <w:p w14:paraId="2AA1888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p>
              </w:tc>
              <w:tc>
                <w:tcPr>
                  <w:tcW w:w="1825" w:type="dxa"/>
                  <w:vMerge w:val="continue"/>
                  <w:noWrap/>
                  <w:vAlign w:val="center"/>
                </w:tcPr>
                <w:p w14:paraId="753D652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p>
              </w:tc>
            </w:tr>
            <w:tr w14:paraId="29760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026E97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#A12</w:t>
                  </w:r>
                </w:p>
              </w:tc>
              <w:tc>
                <w:tcPr>
                  <w:tcW w:w="2203" w:type="dxa"/>
                  <w:noWrap/>
                  <w:vAlign w:val="center"/>
                </w:tcPr>
                <w:p w14:paraId="6B1542B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394E6EF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0A3494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2F276B7">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33440C1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7630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DEFC9A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#A13</w:t>
                  </w:r>
                </w:p>
              </w:tc>
              <w:tc>
                <w:tcPr>
                  <w:tcW w:w="2203" w:type="dxa"/>
                  <w:noWrap/>
                  <w:vAlign w:val="center"/>
                </w:tcPr>
                <w:p w14:paraId="01FE704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33F131A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DAE46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635109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20335A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8E85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DE1760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#A14</w:t>
                  </w:r>
                </w:p>
              </w:tc>
              <w:tc>
                <w:tcPr>
                  <w:tcW w:w="2203" w:type="dxa"/>
                  <w:noWrap/>
                  <w:vAlign w:val="center"/>
                </w:tcPr>
                <w:p w14:paraId="70E5285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EA1EFC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7F581D1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9D41D7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CB2103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EC80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541FB5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#A15</w:t>
                  </w:r>
                </w:p>
              </w:tc>
              <w:tc>
                <w:tcPr>
                  <w:tcW w:w="2203" w:type="dxa"/>
                  <w:noWrap/>
                  <w:vAlign w:val="center"/>
                </w:tcPr>
                <w:p w14:paraId="49F639B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64B3C72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780BEB3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6A6254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AAC87F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18503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D6EA19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#A16</w:t>
                  </w:r>
                </w:p>
              </w:tc>
              <w:tc>
                <w:tcPr>
                  <w:tcW w:w="2203" w:type="dxa"/>
                  <w:noWrap/>
                  <w:vAlign w:val="center"/>
                </w:tcPr>
                <w:p w14:paraId="260B5F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0A8E9F6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D3119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7747BE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34B01BD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6FED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A45A8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#A17</w:t>
                  </w:r>
                </w:p>
              </w:tc>
              <w:tc>
                <w:tcPr>
                  <w:tcW w:w="2203" w:type="dxa"/>
                  <w:noWrap/>
                  <w:vAlign w:val="center"/>
                </w:tcPr>
                <w:p w14:paraId="464AE03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211F75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51</w:t>
                  </w:r>
                </w:p>
              </w:tc>
              <w:tc>
                <w:tcPr>
                  <w:tcW w:w="892" w:type="dxa"/>
                  <w:noWrap/>
                  <w:vAlign w:val="center"/>
                </w:tcPr>
                <w:p w14:paraId="37D37BC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52ADEE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3E1038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9487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C0F05B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#A18</w:t>
                  </w:r>
                </w:p>
              </w:tc>
              <w:tc>
                <w:tcPr>
                  <w:tcW w:w="2203" w:type="dxa"/>
                  <w:noWrap/>
                  <w:vAlign w:val="center"/>
                </w:tcPr>
                <w:p w14:paraId="1D081CD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172C727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7AEF415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F9861F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C04AF3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78964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92C2B0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#A19</w:t>
                  </w:r>
                </w:p>
              </w:tc>
              <w:tc>
                <w:tcPr>
                  <w:tcW w:w="2203" w:type="dxa"/>
                  <w:noWrap/>
                  <w:vAlign w:val="center"/>
                </w:tcPr>
                <w:p w14:paraId="6B0E16D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0E8A37C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7CC731E9">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4BD0B8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6D18015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35C7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9BDFC8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#A20</w:t>
                  </w:r>
                </w:p>
              </w:tc>
              <w:tc>
                <w:tcPr>
                  <w:tcW w:w="2203" w:type="dxa"/>
                  <w:noWrap/>
                  <w:vAlign w:val="center"/>
                </w:tcPr>
                <w:p w14:paraId="0507C18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608068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76F14D5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4C3C6A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20A0106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5983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E8BD9A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#A21</w:t>
                  </w:r>
                </w:p>
              </w:tc>
              <w:tc>
                <w:tcPr>
                  <w:tcW w:w="2203" w:type="dxa"/>
                  <w:noWrap/>
                  <w:vAlign w:val="center"/>
                </w:tcPr>
                <w:p w14:paraId="13B1709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43A2417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3764E9A9">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4FCF2A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1E3884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F2D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A0A4DD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#A22</w:t>
                  </w:r>
                </w:p>
              </w:tc>
              <w:tc>
                <w:tcPr>
                  <w:tcW w:w="2203" w:type="dxa"/>
                  <w:noWrap/>
                  <w:vAlign w:val="center"/>
                </w:tcPr>
                <w:p w14:paraId="7D02B00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4D8D547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778B9F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00314F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89242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3E92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C2FB4C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#A23</w:t>
                  </w:r>
                </w:p>
              </w:tc>
              <w:tc>
                <w:tcPr>
                  <w:tcW w:w="2203" w:type="dxa"/>
                  <w:noWrap/>
                  <w:vAlign w:val="center"/>
                </w:tcPr>
                <w:p w14:paraId="3AA13E3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6F5AF46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2F3D616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ED67F2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587C7D2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A588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6FE3B3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#A24</w:t>
                  </w:r>
                </w:p>
              </w:tc>
              <w:tc>
                <w:tcPr>
                  <w:tcW w:w="2203" w:type="dxa"/>
                  <w:noWrap/>
                  <w:vAlign w:val="center"/>
                </w:tcPr>
                <w:p w14:paraId="5AA448E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4E47491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6C71D9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83495B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CFEB79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1C6A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98E43E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#A25</w:t>
                  </w:r>
                </w:p>
              </w:tc>
              <w:tc>
                <w:tcPr>
                  <w:tcW w:w="2203" w:type="dxa"/>
                  <w:noWrap/>
                  <w:vAlign w:val="center"/>
                </w:tcPr>
                <w:p w14:paraId="5A04096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3985A31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045FF05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AD0C28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2555C91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D5C9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B266F3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#A26</w:t>
                  </w:r>
                </w:p>
              </w:tc>
              <w:tc>
                <w:tcPr>
                  <w:tcW w:w="2203" w:type="dxa"/>
                  <w:noWrap/>
                  <w:vAlign w:val="center"/>
                </w:tcPr>
                <w:p w14:paraId="10C9413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64FA93D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9C64C6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0F9B16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C5C199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7C161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9DDA39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#A27</w:t>
                  </w:r>
                </w:p>
              </w:tc>
              <w:tc>
                <w:tcPr>
                  <w:tcW w:w="2203" w:type="dxa"/>
                  <w:noWrap/>
                  <w:vAlign w:val="center"/>
                </w:tcPr>
                <w:p w14:paraId="207F000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30D1904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757CE1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A25389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B74428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单回转角塔</w:t>
                  </w:r>
                </w:p>
              </w:tc>
            </w:tr>
            <w:tr w14:paraId="11652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B35050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#A28</w:t>
                  </w:r>
                </w:p>
              </w:tc>
              <w:tc>
                <w:tcPr>
                  <w:tcW w:w="2203" w:type="dxa"/>
                  <w:noWrap/>
                  <w:vAlign w:val="center"/>
                </w:tcPr>
                <w:p w14:paraId="628059D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5473C77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2F18BBC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F7550D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7386858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4058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C6FA62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#A29</w:t>
                  </w:r>
                </w:p>
              </w:tc>
              <w:tc>
                <w:tcPr>
                  <w:tcW w:w="2203" w:type="dxa"/>
                  <w:noWrap/>
                  <w:vAlign w:val="center"/>
                </w:tcPr>
                <w:p w14:paraId="7DC352A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709C1CE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87BDC8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BD19C7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7D43C9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36FF8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656DCA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#A30</w:t>
                  </w:r>
                </w:p>
              </w:tc>
              <w:tc>
                <w:tcPr>
                  <w:tcW w:w="2203" w:type="dxa"/>
                  <w:noWrap/>
                  <w:vAlign w:val="center"/>
                </w:tcPr>
                <w:p w14:paraId="6363545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E9FA7E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51</w:t>
                  </w:r>
                </w:p>
              </w:tc>
              <w:tc>
                <w:tcPr>
                  <w:tcW w:w="892" w:type="dxa"/>
                  <w:noWrap/>
                  <w:vAlign w:val="center"/>
                </w:tcPr>
                <w:p w14:paraId="589857E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CC0E66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4B288B1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2F6A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F890F1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#A31</w:t>
                  </w:r>
                </w:p>
              </w:tc>
              <w:tc>
                <w:tcPr>
                  <w:tcW w:w="2203" w:type="dxa"/>
                  <w:noWrap/>
                  <w:vAlign w:val="center"/>
                </w:tcPr>
                <w:p w14:paraId="2863B4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780C62E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48</w:t>
                  </w:r>
                </w:p>
              </w:tc>
              <w:tc>
                <w:tcPr>
                  <w:tcW w:w="892" w:type="dxa"/>
                  <w:noWrap/>
                  <w:vAlign w:val="center"/>
                </w:tcPr>
                <w:p w14:paraId="79F40B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78530F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88ABD3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5A7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6BB717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#A32</w:t>
                  </w:r>
                </w:p>
              </w:tc>
              <w:tc>
                <w:tcPr>
                  <w:tcW w:w="2203" w:type="dxa"/>
                  <w:noWrap/>
                  <w:vAlign w:val="center"/>
                </w:tcPr>
                <w:p w14:paraId="698A0E2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75473A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37013EB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0B4637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C30F4A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47D25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69894C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#A33</w:t>
                  </w:r>
                </w:p>
              </w:tc>
              <w:tc>
                <w:tcPr>
                  <w:tcW w:w="2203" w:type="dxa"/>
                  <w:noWrap/>
                  <w:vAlign w:val="center"/>
                </w:tcPr>
                <w:p w14:paraId="2EFB604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23FEA6C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19CFF77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25F91E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62694E5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119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1FC8D4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#A34</w:t>
                  </w:r>
                </w:p>
              </w:tc>
              <w:tc>
                <w:tcPr>
                  <w:tcW w:w="2203" w:type="dxa"/>
                  <w:noWrap/>
                  <w:vAlign w:val="center"/>
                </w:tcPr>
                <w:p w14:paraId="338F82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68EE50F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5710C4A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5ADB24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板式基础</w:t>
                  </w:r>
                </w:p>
              </w:tc>
              <w:tc>
                <w:tcPr>
                  <w:tcW w:w="1825" w:type="dxa"/>
                  <w:noWrap/>
                  <w:vAlign w:val="center"/>
                </w:tcPr>
                <w:p w14:paraId="16F92E8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06E37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473CE5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#A35</w:t>
                  </w:r>
                </w:p>
              </w:tc>
              <w:tc>
                <w:tcPr>
                  <w:tcW w:w="2203" w:type="dxa"/>
                  <w:noWrap/>
                  <w:vAlign w:val="center"/>
                </w:tcPr>
                <w:p w14:paraId="0AA7F51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3502844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B76647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4CB7F9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68424A8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488F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3BCE76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#A36</w:t>
                  </w:r>
                </w:p>
              </w:tc>
              <w:tc>
                <w:tcPr>
                  <w:tcW w:w="2203" w:type="dxa"/>
                  <w:noWrap/>
                  <w:vAlign w:val="center"/>
                </w:tcPr>
                <w:p w14:paraId="047B179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957310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ACD477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15D4B2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FF48C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D26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F0F943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#A37</w:t>
                  </w:r>
                </w:p>
              </w:tc>
              <w:tc>
                <w:tcPr>
                  <w:tcW w:w="2203" w:type="dxa"/>
                  <w:noWrap/>
                  <w:vAlign w:val="center"/>
                </w:tcPr>
                <w:p w14:paraId="3CB122D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3BEA768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33943267">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E9C777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2E2A76E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2EC6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581F93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#A38</w:t>
                  </w:r>
                </w:p>
              </w:tc>
              <w:tc>
                <w:tcPr>
                  <w:tcW w:w="2203" w:type="dxa"/>
                  <w:noWrap/>
                  <w:vAlign w:val="center"/>
                </w:tcPr>
                <w:p w14:paraId="06AF433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110-DD31D-ZBCK</w:t>
                  </w:r>
                </w:p>
              </w:tc>
              <w:tc>
                <w:tcPr>
                  <w:tcW w:w="917" w:type="dxa"/>
                  <w:noWrap/>
                  <w:vAlign w:val="center"/>
                </w:tcPr>
                <w:p w14:paraId="61FF86D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01AC088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6E9962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2A873F8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3B39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D18C8D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#A39</w:t>
                  </w:r>
                </w:p>
              </w:tc>
              <w:tc>
                <w:tcPr>
                  <w:tcW w:w="2203" w:type="dxa"/>
                  <w:noWrap/>
                  <w:vAlign w:val="center"/>
                </w:tcPr>
                <w:p w14:paraId="5353CAE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3079E97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3C1BB9A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E62C6F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B90747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24C8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3191C2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#A40</w:t>
                  </w:r>
                </w:p>
              </w:tc>
              <w:tc>
                <w:tcPr>
                  <w:tcW w:w="2203" w:type="dxa"/>
                  <w:noWrap/>
                  <w:vAlign w:val="center"/>
                </w:tcPr>
                <w:p w14:paraId="665CB2E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3573F6B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59937DF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1C80FC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D485FF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0C34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5CF980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#A41</w:t>
                  </w:r>
                </w:p>
              </w:tc>
              <w:tc>
                <w:tcPr>
                  <w:tcW w:w="2203" w:type="dxa"/>
                  <w:noWrap/>
                  <w:vAlign w:val="center"/>
                </w:tcPr>
                <w:p w14:paraId="0B09FAC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547E8F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5E9971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5CD25FE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098383A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E765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691EF2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#A42</w:t>
                  </w:r>
                </w:p>
              </w:tc>
              <w:tc>
                <w:tcPr>
                  <w:tcW w:w="2203" w:type="dxa"/>
                  <w:noWrap/>
                  <w:vAlign w:val="center"/>
                </w:tcPr>
                <w:p w14:paraId="2F8119D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7A9132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558C091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7EC9DB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1FFB18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8112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F1EA45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#A43</w:t>
                  </w:r>
                </w:p>
              </w:tc>
              <w:tc>
                <w:tcPr>
                  <w:tcW w:w="2203" w:type="dxa"/>
                  <w:noWrap/>
                  <w:vAlign w:val="center"/>
                </w:tcPr>
                <w:p w14:paraId="1B77F11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586A45E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5DEA457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2F3DFC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0D0E60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77EB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7856F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#A44</w:t>
                  </w:r>
                </w:p>
              </w:tc>
              <w:tc>
                <w:tcPr>
                  <w:tcW w:w="2203" w:type="dxa"/>
                  <w:noWrap/>
                  <w:vAlign w:val="center"/>
                </w:tcPr>
                <w:p w14:paraId="6250BC1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110-DD31D-ZBCK</w:t>
                  </w:r>
                </w:p>
              </w:tc>
              <w:tc>
                <w:tcPr>
                  <w:tcW w:w="917" w:type="dxa"/>
                  <w:noWrap/>
                  <w:vAlign w:val="center"/>
                </w:tcPr>
                <w:p w14:paraId="1F57CEA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42570A1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B7694B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4B0B643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9DBA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D6D347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#A45</w:t>
                  </w:r>
                </w:p>
              </w:tc>
              <w:tc>
                <w:tcPr>
                  <w:tcW w:w="2203" w:type="dxa"/>
                  <w:noWrap/>
                  <w:vAlign w:val="center"/>
                </w:tcPr>
                <w:p w14:paraId="4281BB5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53046C7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8AE8F8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3D4B69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558830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92C2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EC0959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#A46</w:t>
                  </w:r>
                </w:p>
              </w:tc>
              <w:tc>
                <w:tcPr>
                  <w:tcW w:w="2203" w:type="dxa"/>
                  <w:noWrap/>
                  <w:vAlign w:val="center"/>
                </w:tcPr>
                <w:p w14:paraId="1E8B2A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30621C7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511017F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47FD6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C3BB1D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923D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A06E05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#A47</w:t>
                  </w:r>
                </w:p>
              </w:tc>
              <w:tc>
                <w:tcPr>
                  <w:tcW w:w="2203" w:type="dxa"/>
                  <w:noWrap/>
                  <w:vAlign w:val="center"/>
                </w:tcPr>
                <w:p w14:paraId="55A9DA9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4313AD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1B96989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0D5846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9A7931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3EF53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9565A9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#A48</w:t>
                  </w:r>
                </w:p>
              </w:tc>
              <w:tc>
                <w:tcPr>
                  <w:tcW w:w="2203" w:type="dxa"/>
                  <w:noWrap/>
                  <w:vAlign w:val="center"/>
                </w:tcPr>
                <w:p w14:paraId="3FA5DBE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788F240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21</w:t>
                  </w:r>
                </w:p>
              </w:tc>
              <w:tc>
                <w:tcPr>
                  <w:tcW w:w="892" w:type="dxa"/>
                  <w:noWrap/>
                  <w:vAlign w:val="center"/>
                </w:tcPr>
                <w:p w14:paraId="704935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7D567E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8E7A0E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55BB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CE3755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#A49</w:t>
                  </w:r>
                </w:p>
              </w:tc>
              <w:tc>
                <w:tcPr>
                  <w:tcW w:w="2203" w:type="dxa"/>
                  <w:noWrap/>
                  <w:vAlign w:val="center"/>
                </w:tcPr>
                <w:p w14:paraId="554390F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110-DD31D-ZYT</w:t>
                  </w:r>
                </w:p>
              </w:tc>
              <w:tc>
                <w:tcPr>
                  <w:tcW w:w="917" w:type="dxa"/>
                  <w:noWrap/>
                  <w:vAlign w:val="center"/>
                </w:tcPr>
                <w:p w14:paraId="0B390D8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15</w:t>
                  </w:r>
                </w:p>
              </w:tc>
              <w:tc>
                <w:tcPr>
                  <w:tcW w:w="892" w:type="dxa"/>
                  <w:noWrap/>
                  <w:vAlign w:val="center"/>
                </w:tcPr>
                <w:p w14:paraId="3271CCA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38EA8E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挖孔桩基础/板式基础</w:t>
                  </w:r>
                </w:p>
              </w:tc>
              <w:tc>
                <w:tcPr>
                  <w:tcW w:w="1825" w:type="dxa"/>
                  <w:noWrap/>
                  <w:vAlign w:val="center"/>
                </w:tcPr>
                <w:p w14:paraId="4ED14B5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单回钻越塔</w:t>
                  </w:r>
                </w:p>
              </w:tc>
            </w:tr>
            <w:tr w14:paraId="4C64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EBBE58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#A50</w:t>
                  </w:r>
                </w:p>
              </w:tc>
              <w:tc>
                <w:tcPr>
                  <w:tcW w:w="2203" w:type="dxa"/>
                  <w:noWrap/>
                  <w:vAlign w:val="center"/>
                </w:tcPr>
                <w:p w14:paraId="2359EC9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7F75462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33AE91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A5E9A3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84C87A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3F49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26A5BA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#A51</w:t>
                  </w:r>
                </w:p>
              </w:tc>
              <w:tc>
                <w:tcPr>
                  <w:tcW w:w="2203" w:type="dxa"/>
                  <w:noWrap/>
                  <w:vAlign w:val="center"/>
                </w:tcPr>
                <w:p w14:paraId="6CD9170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043280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5B71A39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4496C9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7F2AF7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42BD2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CC8651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#A52</w:t>
                  </w:r>
                </w:p>
              </w:tc>
              <w:tc>
                <w:tcPr>
                  <w:tcW w:w="2203" w:type="dxa"/>
                  <w:noWrap/>
                  <w:vAlign w:val="center"/>
                </w:tcPr>
                <w:p w14:paraId="2A83032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270710F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19224B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FEFC8F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2366C4D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866C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6E3F56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#A53</w:t>
                  </w:r>
                </w:p>
              </w:tc>
              <w:tc>
                <w:tcPr>
                  <w:tcW w:w="2203" w:type="dxa"/>
                  <w:noWrap/>
                  <w:vAlign w:val="center"/>
                </w:tcPr>
                <w:p w14:paraId="301D793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203926E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EE0E50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F36A1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CAD640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B451272">
              <w:tblPrEx>
                <w:tblCellMar>
                  <w:top w:w="0" w:type="dxa"/>
                  <w:left w:w="108" w:type="dxa"/>
                  <w:bottom w:w="0" w:type="dxa"/>
                  <w:right w:w="108" w:type="dxa"/>
                </w:tblCellMar>
              </w:tblPrEx>
              <w:trPr>
                <w:trHeight w:val="454" w:hRule="atLeast"/>
                <w:jc w:val="center"/>
              </w:trPr>
              <w:tc>
                <w:tcPr>
                  <w:tcW w:w="860" w:type="dxa"/>
                  <w:noWrap/>
                  <w:vAlign w:val="center"/>
                </w:tcPr>
                <w:p w14:paraId="14CA2E5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#A54</w:t>
                  </w:r>
                </w:p>
              </w:tc>
              <w:tc>
                <w:tcPr>
                  <w:tcW w:w="2203" w:type="dxa"/>
                  <w:noWrap/>
                  <w:vAlign w:val="center"/>
                </w:tcPr>
                <w:p w14:paraId="425F08D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2D04337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7D306A5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252129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0AA0C25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5D0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8394B7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#A55</w:t>
                  </w:r>
                </w:p>
              </w:tc>
              <w:tc>
                <w:tcPr>
                  <w:tcW w:w="2203" w:type="dxa"/>
                  <w:noWrap/>
                  <w:vAlign w:val="center"/>
                </w:tcPr>
                <w:p w14:paraId="6559036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5F50C6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7AE656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2748E3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34F113D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2B90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E63A71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#A56</w:t>
                  </w:r>
                </w:p>
              </w:tc>
              <w:tc>
                <w:tcPr>
                  <w:tcW w:w="2203" w:type="dxa"/>
                  <w:noWrap/>
                  <w:vAlign w:val="center"/>
                </w:tcPr>
                <w:p w14:paraId="3272232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75BDB07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DE2046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695310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板式基础</w:t>
                  </w:r>
                </w:p>
              </w:tc>
              <w:tc>
                <w:tcPr>
                  <w:tcW w:w="1825" w:type="dxa"/>
                  <w:noWrap/>
                  <w:vAlign w:val="center"/>
                </w:tcPr>
                <w:p w14:paraId="545B538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77EA5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6F6003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#A57</w:t>
                  </w:r>
                </w:p>
              </w:tc>
              <w:tc>
                <w:tcPr>
                  <w:tcW w:w="2203" w:type="dxa"/>
                  <w:noWrap/>
                  <w:vAlign w:val="center"/>
                </w:tcPr>
                <w:p w14:paraId="6F79F28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2ACDADA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56DDF05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ED750B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3E97FA1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5F20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FF3745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#A58</w:t>
                  </w:r>
                </w:p>
              </w:tc>
              <w:tc>
                <w:tcPr>
                  <w:tcW w:w="2203" w:type="dxa"/>
                  <w:noWrap/>
                  <w:vAlign w:val="center"/>
                </w:tcPr>
                <w:p w14:paraId="616A978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7271C39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3D520AA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878CFA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2BD52E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296D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A7C08E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#A59</w:t>
                  </w:r>
                </w:p>
              </w:tc>
              <w:tc>
                <w:tcPr>
                  <w:tcW w:w="2203" w:type="dxa"/>
                  <w:noWrap/>
                  <w:vAlign w:val="center"/>
                </w:tcPr>
                <w:p w14:paraId="3A6B1B6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09EA18E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2EBD054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8C5AB1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C50E62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9257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0F77BF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#A60</w:t>
                  </w:r>
                </w:p>
              </w:tc>
              <w:tc>
                <w:tcPr>
                  <w:tcW w:w="2203" w:type="dxa"/>
                  <w:noWrap/>
                  <w:vAlign w:val="center"/>
                </w:tcPr>
                <w:p w14:paraId="5A7F86F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347F6DA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9075A8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562AE1D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F58529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4EFD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41DBC5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#A61</w:t>
                  </w:r>
                </w:p>
              </w:tc>
              <w:tc>
                <w:tcPr>
                  <w:tcW w:w="2203" w:type="dxa"/>
                  <w:noWrap/>
                  <w:vAlign w:val="center"/>
                </w:tcPr>
                <w:p w14:paraId="2703DD7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110-DD31D-ZBCK</w:t>
                  </w:r>
                </w:p>
              </w:tc>
              <w:tc>
                <w:tcPr>
                  <w:tcW w:w="917" w:type="dxa"/>
                  <w:noWrap/>
                  <w:vAlign w:val="center"/>
                </w:tcPr>
                <w:p w14:paraId="28A1BD2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58C743F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B65694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1CD8A8D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C26D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3E019B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#A62</w:t>
                  </w:r>
                </w:p>
              </w:tc>
              <w:tc>
                <w:tcPr>
                  <w:tcW w:w="2203" w:type="dxa"/>
                  <w:noWrap/>
                  <w:vAlign w:val="center"/>
                </w:tcPr>
                <w:p w14:paraId="77613C2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DB814F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2D78BB9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F536BB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04D1BB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D07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D40C33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#A63</w:t>
                  </w:r>
                </w:p>
              </w:tc>
              <w:tc>
                <w:tcPr>
                  <w:tcW w:w="2203" w:type="dxa"/>
                  <w:noWrap/>
                  <w:vAlign w:val="center"/>
                </w:tcPr>
                <w:p w14:paraId="6F7B10B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106474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3D2292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807D44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833806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6FED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FBD78F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#A64</w:t>
                  </w:r>
                </w:p>
              </w:tc>
              <w:tc>
                <w:tcPr>
                  <w:tcW w:w="2203" w:type="dxa"/>
                  <w:noWrap/>
                  <w:vAlign w:val="center"/>
                </w:tcPr>
                <w:p w14:paraId="4A32ACF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4A7D516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5B9BA9A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B041F6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6F9902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DCA9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B5D745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#A65</w:t>
                  </w:r>
                </w:p>
              </w:tc>
              <w:tc>
                <w:tcPr>
                  <w:tcW w:w="2203" w:type="dxa"/>
                  <w:noWrap/>
                  <w:vAlign w:val="center"/>
                </w:tcPr>
                <w:p w14:paraId="4D24169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0E81C0C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689E3E7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B0B906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153387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74D4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8A6439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#A66</w:t>
                  </w:r>
                </w:p>
              </w:tc>
              <w:tc>
                <w:tcPr>
                  <w:tcW w:w="2203" w:type="dxa"/>
                  <w:noWrap/>
                  <w:vAlign w:val="center"/>
                </w:tcPr>
                <w:p w14:paraId="7EAFB2D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6D55F94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E027F5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632697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64009F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8716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81FD02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#A67</w:t>
                  </w:r>
                </w:p>
              </w:tc>
              <w:tc>
                <w:tcPr>
                  <w:tcW w:w="2203" w:type="dxa"/>
                  <w:noWrap/>
                  <w:vAlign w:val="center"/>
                </w:tcPr>
                <w:p w14:paraId="68A649B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2D0780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0B0390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3F010F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32A36FE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F49E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C91D10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#A68</w:t>
                  </w:r>
                </w:p>
              </w:tc>
              <w:tc>
                <w:tcPr>
                  <w:tcW w:w="2203" w:type="dxa"/>
                  <w:noWrap/>
                  <w:vAlign w:val="center"/>
                </w:tcPr>
                <w:p w14:paraId="61B497A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110-DD31D-JC2R</w:t>
                  </w:r>
                </w:p>
              </w:tc>
              <w:tc>
                <w:tcPr>
                  <w:tcW w:w="917" w:type="dxa"/>
                  <w:noWrap/>
                  <w:vAlign w:val="center"/>
                </w:tcPr>
                <w:p w14:paraId="5803257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45116FD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E4EAFE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51FFB0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9D06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F9896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#A69</w:t>
                  </w:r>
                </w:p>
              </w:tc>
              <w:tc>
                <w:tcPr>
                  <w:tcW w:w="2203" w:type="dxa"/>
                  <w:noWrap/>
                  <w:vAlign w:val="center"/>
                </w:tcPr>
                <w:p w14:paraId="16E15EA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110-DD31D-JC2R</w:t>
                  </w:r>
                </w:p>
              </w:tc>
              <w:tc>
                <w:tcPr>
                  <w:tcW w:w="917" w:type="dxa"/>
                  <w:noWrap/>
                  <w:vAlign w:val="center"/>
                </w:tcPr>
                <w:p w14:paraId="131E753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0CB87A9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C9CEEF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7688B3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6C85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F53FC8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#A70</w:t>
                  </w:r>
                </w:p>
              </w:tc>
              <w:tc>
                <w:tcPr>
                  <w:tcW w:w="2203" w:type="dxa"/>
                  <w:noWrap/>
                  <w:vAlign w:val="center"/>
                </w:tcPr>
                <w:p w14:paraId="797D56A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55AF7A5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A9975B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1F2589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17CF4C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E1DF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5D9FFC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#A71</w:t>
                  </w:r>
                </w:p>
              </w:tc>
              <w:tc>
                <w:tcPr>
                  <w:tcW w:w="2203" w:type="dxa"/>
                  <w:noWrap/>
                  <w:vAlign w:val="center"/>
                </w:tcPr>
                <w:p w14:paraId="0460860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3F7D2D0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24FD659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CEEDDE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67796D7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1B03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EF9A6E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#A72</w:t>
                  </w:r>
                </w:p>
              </w:tc>
              <w:tc>
                <w:tcPr>
                  <w:tcW w:w="2203" w:type="dxa"/>
                  <w:noWrap/>
                  <w:vAlign w:val="center"/>
                </w:tcPr>
                <w:p w14:paraId="561F490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12E62B5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5EE09BE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73B83F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21E88EE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A80C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E8D0B2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#A73</w:t>
                  </w:r>
                </w:p>
              </w:tc>
              <w:tc>
                <w:tcPr>
                  <w:tcW w:w="2203" w:type="dxa"/>
                  <w:noWrap/>
                  <w:vAlign w:val="center"/>
                </w:tcPr>
                <w:p w14:paraId="1743F2E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3F23394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4BBD0919">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076A08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B8E08D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3648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9C80BF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#A74</w:t>
                  </w:r>
                </w:p>
              </w:tc>
              <w:tc>
                <w:tcPr>
                  <w:tcW w:w="2203" w:type="dxa"/>
                  <w:noWrap/>
                  <w:vAlign w:val="center"/>
                </w:tcPr>
                <w:p w14:paraId="19CC7CF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06911A8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277EC1E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4EDCC0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1EDFB02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7070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DB1F16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#A75</w:t>
                  </w:r>
                </w:p>
              </w:tc>
              <w:tc>
                <w:tcPr>
                  <w:tcW w:w="2203" w:type="dxa"/>
                  <w:noWrap/>
                  <w:vAlign w:val="center"/>
                </w:tcPr>
                <w:p w14:paraId="242091E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057D7A1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48</w:t>
                  </w:r>
                </w:p>
              </w:tc>
              <w:tc>
                <w:tcPr>
                  <w:tcW w:w="892" w:type="dxa"/>
                  <w:noWrap/>
                  <w:vAlign w:val="center"/>
                </w:tcPr>
                <w:p w14:paraId="1B077BD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A7D17F7">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21E2D326">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3E09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78368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#A76</w:t>
                  </w:r>
                </w:p>
              </w:tc>
              <w:tc>
                <w:tcPr>
                  <w:tcW w:w="2203" w:type="dxa"/>
                  <w:noWrap/>
                  <w:vAlign w:val="center"/>
                </w:tcPr>
                <w:p w14:paraId="773C2C3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0A8D139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76A9D29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FCDAD7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45CC62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304B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EADDFB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#A77</w:t>
                  </w:r>
                </w:p>
              </w:tc>
              <w:tc>
                <w:tcPr>
                  <w:tcW w:w="2203" w:type="dxa"/>
                  <w:noWrap/>
                  <w:vAlign w:val="center"/>
                </w:tcPr>
                <w:p w14:paraId="7E1BFB9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082D40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75E95FE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DC2B8C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8C2BBD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303B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798241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#A78</w:t>
                  </w:r>
                </w:p>
              </w:tc>
              <w:tc>
                <w:tcPr>
                  <w:tcW w:w="2203" w:type="dxa"/>
                  <w:noWrap/>
                  <w:vAlign w:val="center"/>
                </w:tcPr>
                <w:p w14:paraId="3C76802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0310514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95E37B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430454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5020258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F77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8795E2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#A79</w:t>
                  </w:r>
                </w:p>
              </w:tc>
              <w:tc>
                <w:tcPr>
                  <w:tcW w:w="2203" w:type="dxa"/>
                  <w:noWrap/>
                  <w:vAlign w:val="center"/>
                </w:tcPr>
                <w:p w14:paraId="59C9375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A0A3B5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48</w:t>
                  </w:r>
                </w:p>
              </w:tc>
              <w:tc>
                <w:tcPr>
                  <w:tcW w:w="892" w:type="dxa"/>
                  <w:noWrap/>
                  <w:vAlign w:val="center"/>
                </w:tcPr>
                <w:p w14:paraId="3FAC3E69">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499DB2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0AB3C98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1EDE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9D6AB0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#A80</w:t>
                  </w:r>
                </w:p>
              </w:tc>
              <w:tc>
                <w:tcPr>
                  <w:tcW w:w="2203" w:type="dxa"/>
                  <w:noWrap/>
                  <w:vAlign w:val="center"/>
                </w:tcPr>
                <w:p w14:paraId="75A640D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21FC94B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029A82A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7182AB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3F1452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E760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C4B884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#A81</w:t>
                  </w:r>
                </w:p>
              </w:tc>
              <w:tc>
                <w:tcPr>
                  <w:tcW w:w="2203" w:type="dxa"/>
                  <w:noWrap/>
                  <w:vAlign w:val="center"/>
                </w:tcPr>
                <w:p w14:paraId="2CBA3F3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6C43779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F279AE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310327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2EBBBAE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1ADF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94A70F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#A82</w:t>
                  </w:r>
                </w:p>
              </w:tc>
              <w:tc>
                <w:tcPr>
                  <w:tcW w:w="2203" w:type="dxa"/>
                  <w:noWrap/>
                  <w:vAlign w:val="center"/>
                </w:tcPr>
                <w:p w14:paraId="5410E9E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B2F72D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7D9C975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789F3A7">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掏挖基础/板式基础</w:t>
                  </w:r>
                </w:p>
              </w:tc>
              <w:tc>
                <w:tcPr>
                  <w:tcW w:w="1825" w:type="dxa"/>
                  <w:noWrap/>
                  <w:vAlign w:val="center"/>
                </w:tcPr>
                <w:p w14:paraId="3832DCF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265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C129F5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#A83</w:t>
                  </w:r>
                </w:p>
              </w:tc>
              <w:tc>
                <w:tcPr>
                  <w:tcW w:w="2203" w:type="dxa"/>
                  <w:noWrap/>
                  <w:vAlign w:val="center"/>
                </w:tcPr>
                <w:p w14:paraId="0CEAC99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110-DD41D-DJC1</w:t>
                  </w:r>
                </w:p>
              </w:tc>
              <w:tc>
                <w:tcPr>
                  <w:tcW w:w="917" w:type="dxa"/>
                  <w:noWrap/>
                  <w:vAlign w:val="center"/>
                </w:tcPr>
                <w:p w14:paraId="7A87AEB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3D5E49A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55E237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08BEDB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单回路终端塔</w:t>
                  </w:r>
                </w:p>
              </w:tc>
            </w:tr>
            <w:tr w14:paraId="3A8B5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D077E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#A84</w:t>
                  </w:r>
                </w:p>
              </w:tc>
              <w:tc>
                <w:tcPr>
                  <w:tcW w:w="2203" w:type="dxa"/>
                  <w:noWrap/>
                  <w:vAlign w:val="center"/>
                </w:tcPr>
                <w:p w14:paraId="4F5C152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110-DD41D-ZBC3</w:t>
                  </w:r>
                </w:p>
              </w:tc>
              <w:tc>
                <w:tcPr>
                  <w:tcW w:w="917" w:type="dxa"/>
                  <w:noWrap/>
                  <w:vAlign w:val="center"/>
                </w:tcPr>
                <w:p w14:paraId="45B9FAB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5E1E54D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051FF9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F34688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FDC6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A0D1C3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#A85</w:t>
                  </w:r>
                </w:p>
              </w:tc>
              <w:tc>
                <w:tcPr>
                  <w:tcW w:w="2203" w:type="dxa"/>
                  <w:noWrap/>
                  <w:vAlign w:val="center"/>
                </w:tcPr>
                <w:p w14:paraId="3781523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110-DD41D-DJC1</w:t>
                  </w:r>
                </w:p>
              </w:tc>
              <w:tc>
                <w:tcPr>
                  <w:tcW w:w="917" w:type="dxa"/>
                  <w:noWrap/>
                  <w:vAlign w:val="center"/>
                </w:tcPr>
                <w:p w14:paraId="4A50757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700C84A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AC08DE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AD06CE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单回路终端塔</w:t>
                  </w:r>
                </w:p>
              </w:tc>
            </w:tr>
            <w:tr w14:paraId="7CE81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E523AE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#A86</w:t>
                  </w:r>
                </w:p>
              </w:tc>
              <w:tc>
                <w:tcPr>
                  <w:tcW w:w="2203" w:type="dxa"/>
                  <w:noWrap/>
                  <w:vAlign w:val="center"/>
                </w:tcPr>
                <w:p w14:paraId="1FDC69F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1F2B1E4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6165ADF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DAAAB2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69C204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875F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FE7C44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#A87</w:t>
                  </w:r>
                </w:p>
              </w:tc>
              <w:tc>
                <w:tcPr>
                  <w:tcW w:w="2203" w:type="dxa"/>
                  <w:noWrap/>
                  <w:vAlign w:val="center"/>
                </w:tcPr>
                <w:p w14:paraId="277DE1A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110-DD41D-ZBC1</w:t>
                  </w:r>
                </w:p>
              </w:tc>
              <w:tc>
                <w:tcPr>
                  <w:tcW w:w="917" w:type="dxa"/>
                  <w:noWrap/>
                  <w:vAlign w:val="center"/>
                </w:tcPr>
                <w:p w14:paraId="402F2C4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5FAB2B5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A5A3DE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3D7AC6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AB0D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53CE46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#A88</w:t>
                  </w:r>
                </w:p>
              </w:tc>
              <w:tc>
                <w:tcPr>
                  <w:tcW w:w="2203" w:type="dxa"/>
                  <w:noWrap/>
                  <w:vAlign w:val="center"/>
                </w:tcPr>
                <w:p w14:paraId="0F1F137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3A32E00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78605D0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37A7869">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C4D891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84D8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068DDE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#A89</w:t>
                  </w:r>
                </w:p>
              </w:tc>
              <w:tc>
                <w:tcPr>
                  <w:tcW w:w="2203" w:type="dxa"/>
                  <w:noWrap/>
                  <w:vAlign w:val="center"/>
                </w:tcPr>
                <w:p w14:paraId="345F350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4C0E4FC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54B13C1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5C9054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6F451AC">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4857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C0E210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#A90</w:t>
                  </w:r>
                </w:p>
              </w:tc>
              <w:tc>
                <w:tcPr>
                  <w:tcW w:w="2203" w:type="dxa"/>
                  <w:noWrap/>
                  <w:vAlign w:val="center"/>
                </w:tcPr>
                <w:p w14:paraId="2F518B9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30473D1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2C66F2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DEA2C7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A2C1FB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5E92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571C30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#A91</w:t>
                  </w:r>
                </w:p>
              </w:tc>
              <w:tc>
                <w:tcPr>
                  <w:tcW w:w="2203" w:type="dxa"/>
                  <w:noWrap/>
                  <w:vAlign w:val="center"/>
                </w:tcPr>
                <w:p w14:paraId="5EF1A59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2F10623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23756DD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2B9034D">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DE9A2A1">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FB8B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55FC55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#A92</w:t>
                  </w:r>
                </w:p>
              </w:tc>
              <w:tc>
                <w:tcPr>
                  <w:tcW w:w="2203" w:type="dxa"/>
                  <w:noWrap/>
                  <w:vAlign w:val="center"/>
                </w:tcPr>
                <w:p w14:paraId="3F37162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110-DD41D-JC2</w:t>
                  </w:r>
                </w:p>
              </w:tc>
              <w:tc>
                <w:tcPr>
                  <w:tcW w:w="917" w:type="dxa"/>
                  <w:noWrap/>
                  <w:vAlign w:val="center"/>
                </w:tcPr>
                <w:p w14:paraId="698FB66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567809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3B3A575">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B3DC567">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B08A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67AC13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#A93</w:t>
                  </w:r>
                </w:p>
              </w:tc>
              <w:tc>
                <w:tcPr>
                  <w:tcW w:w="2203" w:type="dxa"/>
                  <w:noWrap/>
                  <w:vAlign w:val="center"/>
                </w:tcPr>
                <w:p w14:paraId="6570D7F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5E126E5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6F26CE64">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34E5C9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7B5972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FF5B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066813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#A94</w:t>
                  </w:r>
                </w:p>
              </w:tc>
              <w:tc>
                <w:tcPr>
                  <w:tcW w:w="2203" w:type="dxa"/>
                  <w:noWrap/>
                  <w:vAlign w:val="center"/>
                </w:tcPr>
                <w:p w14:paraId="3A772E4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01AC0DA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51</w:t>
                  </w:r>
                </w:p>
              </w:tc>
              <w:tc>
                <w:tcPr>
                  <w:tcW w:w="892" w:type="dxa"/>
                  <w:noWrap/>
                  <w:vAlign w:val="center"/>
                </w:tcPr>
                <w:p w14:paraId="6C10EF4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C706A1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0B9AA2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52F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26EE12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#A95</w:t>
                  </w:r>
                </w:p>
              </w:tc>
              <w:tc>
                <w:tcPr>
                  <w:tcW w:w="2203" w:type="dxa"/>
                  <w:noWrap/>
                  <w:vAlign w:val="center"/>
                </w:tcPr>
                <w:p w14:paraId="25B1C34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624FBE1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330397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B6B4442">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92C4813">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6F32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DD9523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#A96</w:t>
                  </w:r>
                </w:p>
              </w:tc>
              <w:tc>
                <w:tcPr>
                  <w:tcW w:w="2203" w:type="dxa"/>
                  <w:noWrap/>
                  <w:vAlign w:val="center"/>
                </w:tcPr>
                <w:p w14:paraId="29B66C2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4915C23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9DD4FBE">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BF5354F">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3BAD700">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B952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2EF52E4">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#A97</w:t>
                  </w:r>
                </w:p>
              </w:tc>
              <w:tc>
                <w:tcPr>
                  <w:tcW w:w="2203" w:type="dxa"/>
                  <w:noWrap/>
                  <w:vAlign w:val="center"/>
                </w:tcPr>
                <w:p w14:paraId="217515D8">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4895A92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31C8101B">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E3A8ACA">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307DF78">
                  <w:pPr>
                    <w:pStyle w:val="19"/>
                    <w:shd w:val="clear"/>
                    <w:spacing w:line="240" w:lineRule="auto"/>
                    <w:ind w:firstLine="0" w:firstLineChars="0"/>
                    <w:jc w:val="center"/>
                    <w:rPr>
                      <w:rFonts w:hint="default" w:ascii="Times New Roman" w:hAnsi="Times New Roman" w:eastAsia="方正仿宋_GB2312" w:cs="Times New Roman"/>
                      <w:color w:val="auto"/>
                      <w:kern w:val="0"/>
                      <w:sz w:val="21"/>
                      <w:szCs w:val="21"/>
                      <w:vertAlign w:val="baseline"/>
                      <w:lang w:val="en-US" w:eastAsia="zh-CN" w:bidi="ar-SA"/>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46F8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4AAC65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#A98</w:t>
                  </w:r>
                </w:p>
              </w:tc>
              <w:tc>
                <w:tcPr>
                  <w:tcW w:w="2203" w:type="dxa"/>
                  <w:noWrap/>
                  <w:vAlign w:val="center"/>
                </w:tcPr>
                <w:p w14:paraId="157D669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110-DD41D-DJC2</w:t>
                  </w:r>
                </w:p>
              </w:tc>
              <w:tc>
                <w:tcPr>
                  <w:tcW w:w="917" w:type="dxa"/>
                  <w:noWrap/>
                  <w:vAlign w:val="center"/>
                </w:tcPr>
                <w:p w14:paraId="0CE7DCA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18</w:t>
                  </w:r>
                </w:p>
              </w:tc>
              <w:tc>
                <w:tcPr>
                  <w:tcW w:w="892" w:type="dxa"/>
                  <w:noWrap/>
                  <w:vAlign w:val="center"/>
                </w:tcPr>
                <w:p w14:paraId="315EF7C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3784D9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B2DE5B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单回路终端塔</w:t>
                  </w:r>
                </w:p>
              </w:tc>
            </w:tr>
            <w:tr w14:paraId="399C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58" w:type="dxa"/>
                  <w:gridSpan w:val="6"/>
                  <w:noWrap/>
                  <w:vAlign w:val="center"/>
                </w:tcPr>
                <w:p w14:paraId="23393370">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双河</w:t>
                  </w:r>
                  <w:r>
                    <w:rPr>
                      <w:rFonts w:hint="default" w:ascii="Times New Roman" w:hAnsi="Times New Roman" w:eastAsia="宋体" w:cs="Times New Roman"/>
                      <w:sz w:val="21"/>
                      <w:szCs w:val="21"/>
                      <w:vertAlign w:val="baseline"/>
                      <w:lang w:val="en-US" w:eastAsia="zh-CN"/>
                    </w:rPr>
                    <w:t>-钼矿变电站110kV线路工程</w:t>
                  </w:r>
                </w:p>
              </w:tc>
            </w:tr>
            <w:tr w14:paraId="2D565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B57F0D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w:t>
                  </w:r>
                </w:p>
              </w:tc>
              <w:tc>
                <w:tcPr>
                  <w:tcW w:w="2203" w:type="dxa"/>
                  <w:noWrap/>
                  <w:vAlign w:val="center"/>
                </w:tcPr>
                <w:p w14:paraId="7990CDD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110-DD31D-JC4</w:t>
                  </w:r>
                </w:p>
              </w:tc>
              <w:tc>
                <w:tcPr>
                  <w:tcW w:w="917" w:type="dxa"/>
                  <w:noWrap/>
                  <w:vAlign w:val="center"/>
                </w:tcPr>
                <w:p w14:paraId="37EB439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24</w:t>
                  </w:r>
                </w:p>
              </w:tc>
              <w:tc>
                <w:tcPr>
                  <w:tcW w:w="892" w:type="dxa"/>
                  <w:noWrap/>
                  <w:vAlign w:val="center"/>
                </w:tcPr>
                <w:p w14:paraId="14F5884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EF465A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B74888F">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单回转角塔</w:t>
                  </w:r>
                </w:p>
              </w:tc>
            </w:tr>
            <w:tr w14:paraId="013F0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02403A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w:t>
                  </w:r>
                </w:p>
              </w:tc>
              <w:tc>
                <w:tcPr>
                  <w:tcW w:w="2203" w:type="dxa"/>
                  <w:noWrap/>
                  <w:vAlign w:val="center"/>
                </w:tcPr>
                <w:p w14:paraId="316E6F6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09AD586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 xml:space="preserve">27 </w:t>
                  </w:r>
                </w:p>
              </w:tc>
              <w:tc>
                <w:tcPr>
                  <w:tcW w:w="892" w:type="dxa"/>
                  <w:noWrap/>
                  <w:vAlign w:val="center"/>
                </w:tcPr>
                <w:p w14:paraId="2FBCA10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675658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E88435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ACF8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207697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w:t>
                  </w:r>
                </w:p>
              </w:tc>
              <w:tc>
                <w:tcPr>
                  <w:tcW w:w="2203" w:type="dxa"/>
                  <w:noWrap/>
                  <w:vAlign w:val="center"/>
                </w:tcPr>
                <w:p w14:paraId="6661668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110-DD31D-ZYT</w:t>
                  </w:r>
                </w:p>
              </w:tc>
              <w:tc>
                <w:tcPr>
                  <w:tcW w:w="917" w:type="dxa"/>
                  <w:noWrap/>
                  <w:vAlign w:val="center"/>
                </w:tcPr>
                <w:p w14:paraId="699FC55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14</w:t>
                  </w:r>
                </w:p>
              </w:tc>
              <w:tc>
                <w:tcPr>
                  <w:tcW w:w="892" w:type="dxa"/>
                  <w:noWrap/>
                  <w:vAlign w:val="center"/>
                </w:tcPr>
                <w:p w14:paraId="732E9D7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CF3F38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灌注桩基础</w:t>
                  </w:r>
                </w:p>
              </w:tc>
              <w:tc>
                <w:tcPr>
                  <w:tcW w:w="1825" w:type="dxa"/>
                  <w:noWrap/>
                  <w:vAlign w:val="center"/>
                </w:tcPr>
                <w:p w14:paraId="5D3E4BAF">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单回钻越塔</w:t>
                  </w:r>
                </w:p>
              </w:tc>
            </w:tr>
            <w:tr w14:paraId="08DE6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B35BEB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w:t>
                  </w:r>
                </w:p>
              </w:tc>
              <w:tc>
                <w:tcPr>
                  <w:tcW w:w="2203" w:type="dxa"/>
                  <w:noWrap/>
                  <w:vAlign w:val="center"/>
                </w:tcPr>
                <w:p w14:paraId="688E4B9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110-DD31D-ZYT</w:t>
                  </w:r>
                </w:p>
              </w:tc>
              <w:tc>
                <w:tcPr>
                  <w:tcW w:w="917" w:type="dxa"/>
                  <w:noWrap/>
                  <w:vAlign w:val="center"/>
                </w:tcPr>
                <w:p w14:paraId="286EA87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14</w:t>
                  </w:r>
                </w:p>
              </w:tc>
              <w:tc>
                <w:tcPr>
                  <w:tcW w:w="892" w:type="dxa"/>
                  <w:noWrap/>
                  <w:vAlign w:val="center"/>
                </w:tcPr>
                <w:p w14:paraId="77A11518">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3CD15B3">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灌注桩基础</w:t>
                  </w:r>
                </w:p>
              </w:tc>
              <w:tc>
                <w:tcPr>
                  <w:tcW w:w="1825" w:type="dxa"/>
                  <w:noWrap/>
                  <w:vAlign w:val="center"/>
                </w:tcPr>
                <w:p w14:paraId="57DA9C64">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单回钻越塔</w:t>
                  </w:r>
                </w:p>
              </w:tc>
            </w:tr>
            <w:tr w14:paraId="7CA2B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3922B1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w:t>
                  </w:r>
                </w:p>
              </w:tc>
              <w:tc>
                <w:tcPr>
                  <w:tcW w:w="2203" w:type="dxa"/>
                  <w:noWrap/>
                  <w:vAlign w:val="center"/>
                </w:tcPr>
                <w:p w14:paraId="2F99EF9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5822A7F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4D936396">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C3476F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4B39601">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D296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4B8968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w:t>
                  </w:r>
                </w:p>
              </w:tc>
              <w:tc>
                <w:tcPr>
                  <w:tcW w:w="2203" w:type="dxa"/>
                  <w:noWrap/>
                  <w:vAlign w:val="center"/>
                </w:tcPr>
                <w:p w14:paraId="0584748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48F890C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50D968CA">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A4DEFF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78F1D34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18FF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5E5F44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7</w:t>
                  </w:r>
                </w:p>
              </w:tc>
              <w:tc>
                <w:tcPr>
                  <w:tcW w:w="2203" w:type="dxa"/>
                  <w:noWrap/>
                  <w:vAlign w:val="center"/>
                </w:tcPr>
                <w:p w14:paraId="4B408D4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150E81D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469006AB">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F19865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45B3644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7ADE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DDE3A0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8</w:t>
                  </w:r>
                </w:p>
              </w:tc>
              <w:tc>
                <w:tcPr>
                  <w:tcW w:w="2203" w:type="dxa"/>
                  <w:noWrap/>
                  <w:vAlign w:val="center"/>
                </w:tcPr>
                <w:p w14:paraId="52D2AB9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46A78EC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CE1AD69">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AF02E8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07BC16E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D90D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8E126E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9</w:t>
                  </w:r>
                </w:p>
              </w:tc>
              <w:tc>
                <w:tcPr>
                  <w:tcW w:w="2203" w:type="dxa"/>
                  <w:noWrap/>
                  <w:vAlign w:val="center"/>
                </w:tcPr>
                <w:p w14:paraId="269EA11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51E079A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2159DFB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C655FDC">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5202732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06D7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BAECEF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10</w:t>
                  </w:r>
                </w:p>
              </w:tc>
              <w:tc>
                <w:tcPr>
                  <w:tcW w:w="2203" w:type="dxa"/>
                  <w:noWrap/>
                  <w:vAlign w:val="center"/>
                </w:tcPr>
                <w:p w14:paraId="6553386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59DD5D5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52F59885">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D487E0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8DB601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1AFA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6772CF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11</w:t>
                  </w:r>
                </w:p>
              </w:tc>
              <w:tc>
                <w:tcPr>
                  <w:tcW w:w="2203" w:type="dxa"/>
                  <w:noWrap/>
                  <w:vAlign w:val="center"/>
                </w:tcPr>
                <w:p w14:paraId="6FEC142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69F4A1E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6654844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38A698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44C351B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C282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618BEA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12</w:t>
                  </w:r>
                </w:p>
              </w:tc>
              <w:tc>
                <w:tcPr>
                  <w:tcW w:w="2203" w:type="dxa"/>
                  <w:noWrap/>
                  <w:vAlign w:val="center"/>
                </w:tcPr>
                <w:p w14:paraId="027E6B3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5775A88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1C2F17AA">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FB5E1E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1FA298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0B50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FAB00A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13</w:t>
                  </w:r>
                </w:p>
              </w:tc>
              <w:tc>
                <w:tcPr>
                  <w:tcW w:w="2203" w:type="dxa"/>
                  <w:noWrap/>
                  <w:vAlign w:val="center"/>
                </w:tcPr>
                <w:p w14:paraId="174B745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7E82C0B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206BB08C">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388D5E8">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3854BC3">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F0BC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0FA0F2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14</w:t>
                  </w:r>
                </w:p>
              </w:tc>
              <w:tc>
                <w:tcPr>
                  <w:tcW w:w="2203" w:type="dxa"/>
                  <w:noWrap/>
                  <w:vAlign w:val="center"/>
                </w:tcPr>
                <w:p w14:paraId="12E1854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14226BB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27DE3CE">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024FDA2">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C59A29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04B60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CDB06C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15</w:t>
                  </w:r>
                </w:p>
              </w:tc>
              <w:tc>
                <w:tcPr>
                  <w:tcW w:w="2203" w:type="dxa"/>
                  <w:noWrap/>
                  <w:vAlign w:val="center"/>
                </w:tcPr>
                <w:p w14:paraId="0F60B01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188CEB2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1D6DD0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39EF6F3">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363BA42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BA24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5C11EB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16</w:t>
                  </w:r>
                </w:p>
              </w:tc>
              <w:tc>
                <w:tcPr>
                  <w:tcW w:w="2203" w:type="dxa"/>
                  <w:noWrap/>
                  <w:vAlign w:val="center"/>
                </w:tcPr>
                <w:p w14:paraId="1B098F1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4F17695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6D8E13B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589BD76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3FADCC3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00CD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61984C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17</w:t>
                  </w:r>
                </w:p>
              </w:tc>
              <w:tc>
                <w:tcPr>
                  <w:tcW w:w="2203" w:type="dxa"/>
                  <w:noWrap/>
                  <w:vAlign w:val="center"/>
                </w:tcPr>
                <w:p w14:paraId="2D16753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110-DD31D-JC3</w:t>
                  </w:r>
                </w:p>
              </w:tc>
              <w:tc>
                <w:tcPr>
                  <w:tcW w:w="917" w:type="dxa"/>
                  <w:noWrap/>
                  <w:vAlign w:val="center"/>
                </w:tcPr>
                <w:p w14:paraId="092A4F7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6AA33E57">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5D8684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532CD7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0AF2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487EF3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18</w:t>
                  </w:r>
                </w:p>
              </w:tc>
              <w:tc>
                <w:tcPr>
                  <w:tcW w:w="2203" w:type="dxa"/>
                  <w:noWrap/>
                  <w:vAlign w:val="center"/>
                </w:tcPr>
                <w:p w14:paraId="50F7DED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69BC8B4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19687AFD">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56FE62F1">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44E9C86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E4FA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A49B25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19</w:t>
                  </w:r>
                </w:p>
              </w:tc>
              <w:tc>
                <w:tcPr>
                  <w:tcW w:w="2203" w:type="dxa"/>
                  <w:noWrap/>
                  <w:vAlign w:val="center"/>
                </w:tcPr>
                <w:p w14:paraId="25E7BBC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1B1C4AF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340AA3B1">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28B3C2E">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1E8E6DE2">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3F61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5827C7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20</w:t>
                  </w:r>
                </w:p>
              </w:tc>
              <w:tc>
                <w:tcPr>
                  <w:tcW w:w="2203" w:type="dxa"/>
                  <w:noWrap/>
                  <w:vAlign w:val="center"/>
                </w:tcPr>
                <w:p w14:paraId="63002AF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3FA458A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2C8505B1">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3927F19">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14031E3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6820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AA37C6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21</w:t>
                  </w:r>
                </w:p>
              </w:tc>
              <w:tc>
                <w:tcPr>
                  <w:tcW w:w="2203" w:type="dxa"/>
                  <w:noWrap/>
                  <w:vAlign w:val="center"/>
                </w:tcPr>
                <w:p w14:paraId="4F35059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2BC4D6C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2FD1657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A8420C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554703BF">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ECAA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294906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22</w:t>
                  </w:r>
                </w:p>
              </w:tc>
              <w:tc>
                <w:tcPr>
                  <w:tcW w:w="2203" w:type="dxa"/>
                  <w:noWrap/>
                  <w:vAlign w:val="center"/>
                </w:tcPr>
                <w:p w14:paraId="08D14FD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0148177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6A516D97">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6E1D6D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9610F1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49ADA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568299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23</w:t>
                  </w:r>
                </w:p>
              </w:tc>
              <w:tc>
                <w:tcPr>
                  <w:tcW w:w="2203" w:type="dxa"/>
                  <w:noWrap/>
                  <w:vAlign w:val="center"/>
                </w:tcPr>
                <w:p w14:paraId="05E0E41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450AB3A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48</w:t>
                  </w:r>
                </w:p>
              </w:tc>
              <w:tc>
                <w:tcPr>
                  <w:tcW w:w="892" w:type="dxa"/>
                  <w:noWrap/>
                  <w:vAlign w:val="center"/>
                </w:tcPr>
                <w:p w14:paraId="06D151E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7048F7A">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76012C78">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0C67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A2DE34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24</w:t>
                  </w:r>
                </w:p>
              </w:tc>
              <w:tc>
                <w:tcPr>
                  <w:tcW w:w="2203" w:type="dxa"/>
                  <w:noWrap/>
                  <w:vAlign w:val="center"/>
                </w:tcPr>
                <w:p w14:paraId="21006CF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349DA93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755F76E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62C889E">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38E5B8F4">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9C03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965CBE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25</w:t>
                  </w:r>
                </w:p>
              </w:tc>
              <w:tc>
                <w:tcPr>
                  <w:tcW w:w="2203" w:type="dxa"/>
                  <w:noWrap/>
                  <w:vAlign w:val="center"/>
                </w:tcPr>
                <w:p w14:paraId="5FD594D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3E4301B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2EE2F57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3CBD56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999AF2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E1C3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5CBC8E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26</w:t>
                  </w:r>
                </w:p>
              </w:tc>
              <w:tc>
                <w:tcPr>
                  <w:tcW w:w="2203" w:type="dxa"/>
                  <w:noWrap/>
                  <w:vAlign w:val="center"/>
                </w:tcPr>
                <w:p w14:paraId="0507E1B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13884F7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1EC0B90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3928F6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423B87D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7F4C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F2C142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27</w:t>
                  </w:r>
                </w:p>
              </w:tc>
              <w:tc>
                <w:tcPr>
                  <w:tcW w:w="2203" w:type="dxa"/>
                  <w:noWrap/>
                  <w:vAlign w:val="center"/>
                </w:tcPr>
                <w:p w14:paraId="50ABAD3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773EC52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5323DFC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4F4159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C5BE28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BFFB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97F8AE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28</w:t>
                  </w:r>
                </w:p>
              </w:tc>
              <w:tc>
                <w:tcPr>
                  <w:tcW w:w="2203" w:type="dxa"/>
                  <w:noWrap/>
                  <w:vAlign w:val="center"/>
                </w:tcPr>
                <w:p w14:paraId="78BB934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3DFDB07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54DE73DD">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B82E40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1350CF1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8CD0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CE628C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29</w:t>
                  </w:r>
                </w:p>
              </w:tc>
              <w:tc>
                <w:tcPr>
                  <w:tcW w:w="2203" w:type="dxa"/>
                  <w:noWrap/>
                  <w:vAlign w:val="center"/>
                </w:tcPr>
                <w:p w14:paraId="6540446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2614485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521CA1FF">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2FCEFC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DBB7D1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72B62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D32B98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30</w:t>
                  </w:r>
                </w:p>
              </w:tc>
              <w:tc>
                <w:tcPr>
                  <w:tcW w:w="2203" w:type="dxa"/>
                  <w:noWrap/>
                  <w:vAlign w:val="center"/>
                </w:tcPr>
                <w:p w14:paraId="63D329C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6EFE630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5B856E74">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4265A08">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792560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11F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35B494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31</w:t>
                  </w:r>
                </w:p>
              </w:tc>
              <w:tc>
                <w:tcPr>
                  <w:tcW w:w="2203" w:type="dxa"/>
                  <w:noWrap/>
                  <w:vAlign w:val="center"/>
                </w:tcPr>
                <w:p w14:paraId="605F33B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110-DD31D-JC1K</w:t>
                  </w:r>
                </w:p>
              </w:tc>
              <w:tc>
                <w:tcPr>
                  <w:tcW w:w="917" w:type="dxa"/>
                  <w:noWrap/>
                  <w:vAlign w:val="center"/>
                </w:tcPr>
                <w:p w14:paraId="7935E6D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2859E54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A945134">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F2CE579">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2F92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96CEBD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32</w:t>
                  </w:r>
                </w:p>
              </w:tc>
              <w:tc>
                <w:tcPr>
                  <w:tcW w:w="2203" w:type="dxa"/>
                  <w:noWrap/>
                  <w:vAlign w:val="center"/>
                </w:tcPr>
                <w:p w14:paraId="13B043A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01886BD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00FE4A27">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342F4C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B669575">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6BE3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76F475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33</w:t>
                  </w:r>
                </w:p>
              </w:tc>
              <w:tc>
                <w:tcPr>
                  <w:tcW w:w="2203" w:type="dxa"/>
                  <w:noWrap/>
                  <w:vAlign w:val="center"/>
                </w:tcPr>
                <w:p w14:paraId="06593C4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BCD053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7CB2CBA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E59D09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662EA0F9">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375C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5C8D89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34</w:t>
                  </w:r>
                </w:p>
              </w:tc>
              <w:tc>
                <w:tcPr>
                  <w:tcW w:w="2203" w:type="dxa"/>
                  <w:noWrap/>
                  <w:vAlign w:val="center"/>
                </w:tcPr>
                <w:p w14:paraId="1C85E5B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350E3D1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755DD7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82A596A">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2E0BB4F1">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B8C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671DC1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35</w:t>
                  </w:r>
                </w:p>
              </w:tc>
              <w:tc>
                <w:tcPr>
                  <w:tcW w:w="2203" w:type="dxa"/>
                  <w:noWrap/>
                  <w:vAlign w:val="center"/>
                </w:tcPr>
                <w:p w14:paraId="573F842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4D15EE9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4DD128E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9A23DD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E93B0C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4DD6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17EBF7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36</w:t>
                  </w:r>
                </w:p>
              </w:tc>
              <w:tc>
                <w:tcPr>
                  <w:tcW w:w="2203" w:type="dxa"/>
                  <w:noWrap/>
                  <w:vAlign w:val="center"/>
                </w:tcPr>
                <w:p w14:paraId="473794F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6D378A2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57CD391">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DC50AC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2B610A0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57CA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0ADAFF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37</w:t>
                  </w:r>
                </w:p>
              </w:tc>
              <w:tc>
                <w:tcPr>
                  <w:tcW w:w="2203" w:type="dxa"/>
                  <w:noWrap/>
                  <w:vAlign w:val="center"/>
                </w:tcPr>
                <w:p w14:paraId="38DC053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75CB10A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0129C660">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580FC0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12567BB5">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FCD4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D451CF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38</w:t>
                  </w:r>
                </w:p>
              </w:tc>
              <w:tc>
                <w:tcPr>
                  <w:tcW w:w="2203" w:type="dxa"/>
                  <w:noWrap/>
                  <w:vAlign w:val="center"/>
                </w:tcPr>
                <w:p w14:paraId="5F21B9D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110-DD31D-JC2R</w:t>
                  </w:r>
                </w:p>
              </w:tc>
              <w:tc>
                <w:tcPr>
                  <w:tcW w:w="917" w:type="dxa"/>
                  <w:noWrap/>
                  <w:vAlign w:val="center"/>
                </w:tcPr>
                <w:p w14:paraId="0026800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57CFC832">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1B85F8E">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9616C7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0C8A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2FAFA3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39</w:t>
                  </w:r>
                </w:p>
              </w:tc>
              <w:tc>
                <w:tcPr>
                  <w:tcW w:w="2203" w:type="dxa"/>
                  <w:noWrap/>
                  <w:vAlign w:val="center"/>
                </w:tcPr>
                <w:p w14:paraId="7AC1674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110-DD31D-ZMCR</w:t>
                  </w:r>
                </w:p>
              </w:tc>
              <w:tc>
                <w:tcPr>
                  <w:tcW w:w="917" w:type="dxa"/>
                  <w:noWrap/>
                  <w:vAlign w:val="center"/>
                </w:tcPr>
                <w:p w14:paraId="288A9EB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6F5EDB0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3BAE2A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42E4CB5">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EE3F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5EE145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40</w:t>
                  </w:r>
                </w:p>
              </w:tc>
              <w:tc>
                <w:tcPr>
                  <w:tcW w:w="2203" w:type="dxa"/>
                  <w:noWrap/>
                  <w:vAlign w:val="center"/>
                </w:tcPr>
                <w:p w14:paraId="46BFBDE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110-DD31D-ZMCR</w:t>
                  </w:r>
                </w:p>
              </w:tc>
              <w:tc>
                <w:tcPr>
                  <w:tcW w:w="917" w:type="dxa"/>
                  <w:noWrap/>
                  <w:vAlign w:val="center"/>
                </w:tcPr>
                <w:p w14:paraId="1131C24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41BEF62B">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33105218">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2F3DB9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3F95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FEAAE4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41</w:t>
                  </w:r>
                </w:p>
              </w:tc>
              <w:tc>
                <w:tcPr>
                  <w:tcW w:w="2203" w:type="dxa"/>
                  <w:noWrap/>
                  <w:vAlign w:val="center"/>
                </w:tcPr>
                <w:p w14:paraId="7CA0DDC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110-DD31D-JC2R</w:t>
                  </w:r>
                </w:p>
              </w:tc>
              <w:tc>
                <w:tcPr>
                  <w:tcW w:w="917" w:type="dxa"/>
                  <w:noWrap/>
                  <w:vAlign w:val="center"/>
                </w:tcPr>
                <w:p w14:paraId="1AAED22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3E1DB54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17D43A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4B7E925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A415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7E623A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42</w:t>
                  </w:r>
                </w:p>
              </w:tc>
              <w:tc>
                <w:tcPr>
                  <w:tcW w:w="2203" w:type="dxa"/>
                  <w:noWrap/>
                  <w:vAlign w:val="center"/>
                </w:tcPr>
                <w:p w14:paraId="63600B5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110-DD31D-JC2</w:t>
                  </w:r>
                </w:p>
              </w:tc>
              <w:tc>
                <w:tcPr>
                  <w:tcW w:w="917" w:type="dxa"/>
                  <w:noWrap/>
                  <w:vAlign w:val="center"/>
                </w:tcPr>
                <w:p w14:paraId="48095AA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18EF9845">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9ED3A6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6EE596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29CA5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970AAF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43</w:t>
                  </w:r>
                </w:p>
              </w:tc>
              <w:tc>
                <w:tcPr>
                  <w:tcW w:w="2203" w:type="dxa"/>
                  <w:noWrap/>
                  <w:vAlign w:val="center"/>
                </w:tcPr>
                <w:p w14:paraId="70A2858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5779844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5CCD078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ABC95E4">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41FCC2B1">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64D2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A0BBA6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44</w:t>
                  </w:r>
                </w:p>
              </w:tc>
              <w:tc>
                <w:tcPr>
                  <w:tcW w:w="2203" w:type="dxa"/>
                  <w:noWrap/>
                  <w:vAlign w:val="center"/>
                </w:tcPr>
                <w:p w14:paraId="376EDEE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5D1AF6B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105F8220">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FDC3F52">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3599B07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A564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B79F45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45</w:t>
                  </w:r>
                </w:p>
              </w:tc>
              <w:tc>
                <w:tcPr>
                  <w:tcW w:w="2203" w:type="dxa"/>
                  <w:noWrap/>
                  <w:vAlign w:val="center"/>
                </w:tcPr>
                <w:p w14:paraId="2CD96CE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1ED0983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433CECC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5F83344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28CA161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62176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73D615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46</w:t>
                  </w:r>
                </w:p>
              </w:tc>
              <w:tc>
                <w:tcPr>
                  <w:tcW w:w="2203" w:type="dxa"/>
                  <w:noWrap/>
                  <w:vAlign w:val="center"/>
                </w:tcPr>
                <w:p w14:paraId="15B018C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3361106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51</w:t>
                  </w:r>
                </w:p>
              </w:tc>
              <w:tc>
                <w:tcPr>
                  <w:tcW w:w="892" w:type="dxa"/>
                  <w:noWrap/>
                  <w:vAlign w:val="center"/>
                </w:tcPr>
                <w:p w14:paraId="4F6B7136">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646C9CEC">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498428E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EDDB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0B929A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47</w:t>
                  </w:r>
                </w:p>
              </w:tc>
              <w:tc>
                <w:tcPr>
                  <w:tcW w:w="2203" w:type="dxa"/>
                  <w:noWrap/>
                  <w:vAlign w:val="center"/>
                </w:tcPr>
                <w:p w14:paraId="4F22388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6BE3376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27</w:t>
                  </w:r>
                </w:p>
              </w:tc>
              <w:tc>
                <w:tcPr>
                  <w:tcW w:w="892" w:type="dxa"/>
                  <w:noWrap/>
                  <w:vAlign w:val="center"/>
                </w:tcPr>
                <w:p w14:paraId="21171A0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94342F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6777C7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52659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D2A5B9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48</w:t>
                  </w:r>
                </w:p>
              </w:tc>
              <w:tc>
                <w:tcPr>
                  <w:tcW w:w="2203" w:type="dxa"/>
                  <w:noWrap/>
                  <w:vAlign w:val="center"/>
                </w:tcPr>
                <w:p w14:paraId="5C5A66B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0D8DA37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1B9BBA83">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DEADE19">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5B5CBB1A">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4EF78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FC2E44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49</w:t>
                  </w:r>
                </w:p>
              </w:tc>
              <w:tc>
                <w:tcPr>
                  <w:tcW w:w="2203" w:type="dxa"/>
                  <w:noWrap/>
                  <w:vAlign w:val="center"/>
                </w:tcPr>
                <w:p w14:paraId="22DF06A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110-DD31D-ZMC3</w:t>
                  </w:r>
                </w:p>
              </w:tc>
              <w:tc>
                <w:tcPr>
                  <w:tcW w:w="917" w:type="dxa"/>
                  <w:noWrap/>
                  <w:vAlign w:val="center"/>
                </w:tcPr>
                <w:p w14:paraId="45B7E37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EE0AB2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3EFA075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掏挖基础/挖孔桩基础</w:t>
                  </w:r>
                </w:p>
              </w:tc>
              <w:tc>
                <w:tcPr>
                  <w:tcW w:w="1825" w:type="dxa"/>
                  <w:noWrap/>
                  <w:vAlign w:val="center"/>
                </w:tcPr>
                <w:p w14:paraId="03AAEEBF">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09B6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605D77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50</w:t>
                  </w:r>
                </w:p>
              </w:tc>
              <w:tc>
                <w:tcPr>
                  <w:tcW w:w="2203" w:type="dxa"/>
                  <w:noWrap/>
                  <w:vAlign w:val="center"/>
                </w:tcPr>
                <w:p w14:paraId="6361CD6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110-DD31D-JC1</w:t>
                  </w:r>
                </w:p>
              </w:tc>
              <w:tc>
                <w:tcPr>
                  <w:tcW w:w="917" w:type="dxa"/>
                  <w:noWrap/>
                  <w:vAlign w:val="center"/>
                </w:tcPr>
                <w:p w14:paraId="6B8C2B6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32E276EB">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5020848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D7169D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19B1D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24A685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51</w:t>
                  </w:r>
                </w:p>
              </w:tc>
              <w:tc>
                <w:tcPr>
                  <w:tcW w:w="2203" w:type="dxa"/>
                  <w:noWrap/>
                  <w:vAlign w:val="center"/>
                </w:tcPr>
                <w:p w14:paraId="76C7FFA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110-DD31D-ZMC2</w:t>
                  </w:r>
                </w:p>
              </w:tc>
              <w:tc>
                <w:tcPr>
                  <w:tcW w:w="917" w:type="dxa"/>
                  <w:noWrap/>
                  <w:vAlign w:val="center"/>
                </w:tcPr>
                <w:p w14:paraId="5F715AF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4045CBA5">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74418E1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掏挖基础</w:t>
                  </w:r>
                </w:p>
              </w:tc>
              <w:tc>
                <w:tcPr>
                  <w:tcW w:w="1825" w:type="dxa"/>
                  <w:noWrap/>
                  <w:vAlign w:val="center"/>
                </w:tcPr>
                <w:p w14:paraId="1416884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DF82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5835777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52</w:t>
                  </w:r>
                </w:p>
              </w:tc>
              <w:tc>
                <w:tcPr>
                  <w:tcW w:w="2203" w:type="dxa"/>
                  <w:noWrap/>
                  <w:vAlign w:val="center"/>
                </w:tcPr>
                <w:p w14:paraId="1371B1D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w:t>
                  </w:r>
                </w:p>
              </w:tc>
              <w:tc>
                <w:tcPr>
                  <w:tcW w:w="917" w:type="dxa"/>
                  <w:noWrap/>
                  <w:vAlign w:val="center"/>
                </w:tcPr>
                <w:p w14:paraId="73A399C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30</w:t>
                  </w:r>
                </w:p>
              </w:tc>
              <w:tc>
                <w:tcPr>
                  <w:tcW w:w="892" w:type="dxa"/>
                  <w:noWrap/>
                  <w:vAlign w:val="center"/>
                </w:tcPr>
                <w:p w14:paraId="5E570659">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834C65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sz w:val="21"/>
                      <w:szCs w:val="21"/>
                      <w:vertAlign w:val="baseline"/>
                      <w:lang w:val="en-US" w:eastAsia="zh-CN"/>
                    </w:rPr>
                    <w:t>挖孔桩基础</w:t>
                  </w:r>
                </w:p>
              </w:tc>
              <w:tc>
                <w:tcPr>
                  <w:tcW w:w="1825" w:type="dxa"/>
                  <w:noWrap/>
                  <w:vAlign w:val="center"/>
                </w:tcPr>
                <w:p w14:paraId="6F19982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sz w:val="21"/>
                      <w:szCs w:val="21"/>
                      <w:vertAlign w:val="baseline"/>
                      <w:lang w:val="en-US" w:eastAsia="zh-CN"/>
                    </w:rPr>
                    <w:t>单回路直线塔</w:t>
                  </w:r>
                </w:p>
              </w:tc>
            </w:tr>
            <w:tr w14:paraId="11418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02C4A6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53</w:t>
                  </w:r>
                </w:p>
              </w:tc>
              <w:tc>
                <w:tcPr>
                  <w:tcW w:w="2203" w:type="dxa"/>
                  <w:noWrap/>
                  <w:vAlign w:val="center"/>
                </w:tcPr>
                <w:p w14:paraId="0BC0704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110-DD41D-ZBC3</w:t>
                  </w:r>
                </w:p>
              </w:tc>
              <w:tc>
                <w:tcPr>
                  <w:tcW w:w="917" w:type="dxa"/>
                  <w:noWrap/>
                  <w:vAlign w:val="center"/>
                </w:tcPr>
                <w:p w14:paraId="32F56AD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3010687D">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D8D51C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723131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3CE1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85187A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54</w:t>
                  </w:r>
                </w:p>
              </w:tc>
              <w:tc>
                <w:tcPr>
                  <w:tcW w:w="2203" w:type="dxa"/>
                  <w:noWrap/>
                  <w:vAlign w:val="center"/>
                </w:tcPr>
                <w:p w14:paraId="35128B9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w:t>
                  </w:r>
                </w:p>
              </w:tc>
              <w:tc>
                <w:tcPr>
                  <w:tcW w:w="917" w:type="dxa"/>
                  <w:noWrap/>
                  <w:vAlign w:val="center"/>
                </w:tcPr>
                <w:p w14:paraId="54D7646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48E46FDD">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7504A6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挖孔桩基础/板式基础</w:t>
                  </w:r>
                </w:p>
              </w:tc>
              <w:tc>
                <w:tcPr>
                  <w:tcW w:w="1825" w:type="dxa"/>
                  <w:noWrap/>
                  <w:vAlign w:val="center"/>
                </w:tcPr>
                <w:p w14:paraId="2F8BB95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单回路终端塔</w:t>
                  </w:r>
                </w:p>
              </w:tc>
            </w:tr>
            <w:tr w14:paraId="4DA43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6512065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55</w:t>
                  </w:r>
                </w:p>
              </w:tc>
              <w:tc>
                <w:tcPr>
                  <w:tcW w:w="2203" w:type="dxa"/>
                  <w:noWrap/>
                  <w:vAlign w:val="center"/>
                </w:tcPr>
                <w:p w14:paraId="19A164C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764E5D7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0F66311A">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66480DE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ED75A8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FAAC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4CE2351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56</w:t>
                  </w:r>
                </w:p>
              </w:tc>
              <w:tc>
                <w:tcPr>
                  <w:tcW w:w="2203" w:type="dxa"/>
                  <w:noWrap/>
                  <w:vAlign w:val="center"/>
                </w:tcPr>
                <w:p w14:paraId="411BA54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311CC3F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5CD5176">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16F67F2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9D0710A">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0192B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D7C910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57</w:t>
                  </w:r>
                </w:p>
              </w:tc>
              <w:tc>
                <w:tcPr>
                  <w:tcW w:w="2203" w:type="dxa"/>
                  <w:noWrap/>
                  <w:vAlign w:val="center"/>
                </w:tcPr>
                <w:p w14:paraId="12B0EA7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589F3B3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090277D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1CE6F847">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DEDFAF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1937F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E2E09EC">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58</w:t>
                  </w:r>
                </w:p>
              </w:tc>
              <w:tc>
                <w:tcPr>
                  <w:tcW w:w="2203" w:type="dxa"/>
                  <w:noWrap/>
                  <w:vAlign w:val="center"/>
                </w:tcPr>
                <w:p w14:paraId="2590A22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48EADC0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0154671C">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79C7B715">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25F5878">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C676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FCAC48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59</w:t>
                  </w:r>
                </w:p>
              </w:tc>
              <w:tc>
                <w:tcPr>
                  <w:tcW w:w="2203" w:type="dxa"/>
                  <w:noWrap/>
                  <w:vAlign w:val="center"/>
                </w:tcPr>
                <w:p w14:paraId="56240FD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7536DEC1">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45</w:t>
                  </w:r>
                </w:p>
              </w:tc>
              <w:tc>
                <w:tcPr>
                  <w:tcW w:w="892" w:type="dxa"/>
                  <w:noWrap/>
                  <w:vAlign w:val="center"/>
                </w:tcPr>
                <w:p w14:paraId="0E0F13E3">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4065CF34">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727EC560">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721E8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75A728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60</w:t>
                  </w:r>
                </w:p>
              </w:tc>
              <w:tc>
                <w:tcPr>
                  <w:tcW w:w="2203" w:type="dxa"/>
                  <w:noWrap/>
                  <w:vAlign w:val="center"/>
                </w:tcPr>
                <w:p w14:paraId="581D773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3421E174">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137BF1C0">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5A1DDE9">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2B25F6B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7B616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12829C5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61</w:t>
                  </w:r>
                </w:p>
              </w:tc>
              <w:tc>
                <w:tcPr>
                  <w:tcW w:w="2203" w:type="dxa"/>
                  <w:noWrap/>
                  <w:vAlign w:val="center"/>
                </w:tcPr>
                <w:p w14:paraId="0CFFD1A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110-DD41D-JC2K</w:t>
                  </w:r>
                </w:p>
              </w:tc>
              <w:tc>
                <w:tcPr>
                  <w:tcW w:w="917" w:type="dxa"/>
                  <w:noWrap/>
                  <w:vAlign w:val="center"/>
                </w:tcPr>
                <w:p w14:paraId="4EB9219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42</w:t>
                  </w:r>
                </w:p>
              </w:tc>
              <w:tc>
                <w:tcPr>
                  <w:tcW w:w="892" w:type="dxa"/>
                  <w:noWrap/>
                  <w:vAlign w:val="center"/>
                </w:tcPr>
                <w:p w14:paraId="114E65D9">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E0F954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52F7EC5D">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转角塔</w:t>
                  </w:r>
                </w:p>
              </w:tc>
            </w:tr>
            <w:tr w14:paraId="59041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3AE20F1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62</w:t>
                  </w:r>
                </w:p>
              </w:tc>
              <w:tc>
                <w:tcPr>
                  <w:tcW w:w="2203" w:type="dxa"/>
                  <w:noWrap/>
                  <w:vAlign w:val="center"/>
                </w:tcPr>
                <w:p w14:paraId="3219B757">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563DA19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33</w:t>
                  </w:r>
                </w:p>
              </w:tc>
              <w:tc>
                <w:tcPr>
                  <w:tcW w:w="892" w:type="dxa"/>
                  <w:noWrap/>
                  <w:vAlign w:val="center"/>
                </w:tcPr>
                <w:p w14:paraId="4DC06D40">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23AC2DE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1DAAAC2F">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F777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36CF92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63</w:t>
                  </w:r>
                </w:p>
              </w:tc>
              <w:tc>
                <w:tcPr>
                  <w:tcW w:w="2203" w:type="dxa"/>
                  <w:noWrap/>
                  <w:vAlign w:val="center"/>
                </w:tcPr>
                <w:p w14:paraId="2471DAC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0234F699">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36</w:t>
                  </w:r>
                </w:p>
              </w:tc>
              <w:tc>
                <w:tcPr>
                  <w:tcW w:w="892" w:type="dxa"/>
                  <w:noWrap/>
                  <w:vAlign w:val="center"/>
                </w:tcPr>
                <w:p w14:paraId="1FD1BC5E">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2C7C0292">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0E4F24B">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61642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282EDB03">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64</w:t>
                  </w:r>
                </w:p>
              </w:tc>
              <w:tc>
                <w:tcPr>
                  <w:tcW w:w="2203" w:type="dxa"/>
                  <w:noWrap/>
                  <w:vAlign w:val="center"/>
                </w:tcPr>
                <w:p w14:paraId="48783B00">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110-DD41D-JC1</w:t>
                  </w:r>
                </w:p>
              </w:tc>
              <w:tc>
                <w:tcPr>
                  <w:tcW w:w="917" w:type="dxa"/>
                  <w:noWrap/>
                  <w:vAlign w:val="center"/>
                </w:tcPr>
                <w:p w14:paraId="22CCB582">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39</w:t>
                  </w:r>
                </w:p>
              </w:tc>
              <w:tc>
                <w:tcPr>
                  <w:tcW w:w="892" w:type="dxa"/>
                  <w:noWrap/>
                  <w:vAlign w:val="center"/>
                </w:tcPr>
                <w:p w14:paraId="395A86C4">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0BA012C6">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619EC785">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单回路转角塔</w:t>
                  </w:r>
                </w:p>
              </w:tc>
            </w:tr>
            <w:tr w14:paraId="3265A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0ED748CE">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65</w:t>
                  </w:r>
                </w:p>
              </w:tc>
              <w:tc>
                <w:tcPr>
                  <w:tcW w:w="2203" w:type="dxa"/>
                  <w:noWrap/>
                  <w:vAlign w:val="center"/>
                </w:tcPr>
                <w:p w14:paraId="33F0AAF8">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110-DD41D-ZBCK</w:t>
                  </w:r>
                </w:p>
              </w:tc>
              <w:tc>
                <w:tcPr>
                  <w:tcW w:w="917" w:type="dxa"/>
                  <w:noWrap/>
                  <w:vAlign w:val="center"/>
                </w:tcPr>
                <w:p w14:paraId="55FDA4E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48</w:t>
                  </w:r>
                </w:p>
              </w:tc>
              <w:tc>
                <w:tcPr>
                  <w:tcW w:w="892" w:type="dxa"/>
                  <w:noWrap/>
                  <w:vAlign w:val="center"/>
                </w:tcPr>
                <w:p w14:paraId="2726D4B2">
                  <w:pPr>
                    <w:pStyle w:val="19"/>
                    <w:shd w:val="clear"/>
                    <w:spacing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w:t>
                  </w:r>
                </w:p>
              </w:tc>
              <w:tc>
                <w:tcPr>
                  <w:tcW w:w="2361" w:type="dxa"/>
                  <w:noWrap/>
                  <w:vAlign w:val="center"/>
                </w:tcPr>
                <w:p w14:paraId="08C569FD">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w:t>
                  </w:r>
                </w:p>
              </w:tc>
              <w:tc>
                <w:tcPr>
                  <w:tcW w:w="1825" w:type="dxa"/>
                  <w:noWrap/>
                  <w:vAlign w:val="center"/>
                </w:tcPr>
                <w:p w14:paraId="305FD6DE">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单回路直线塔</w:t>
                  </w:r>
                </w:p>
              </w:tc>
            </w:tr>
            <w:tr w14:paraId="228D1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 w:type="dxa"/>
                  <w:noWrap/>
                  <w:vAlign w:val="center"/>
                </w:tcPr>
                <w:p w14:paraId="75B849DF">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r>
                    <w:rPr>
                      <w:rFonts w:hint="eastAsia" w:ascii="Times New Roman" w:hAnsi="Times New Roman" w:eastAsia="方正仿宋_GB2312" w:cs="Times New Roman"/>
                      <w:color w:val="auto"/>
                      <w:sz w:val="21"/>
                      <w:szCs w:val="21"/>
                      <w:vertAlign w:val="baseline"/>
                      <w:lang w:val="en-US" w:eastAsia="zh-CN"/>
                    </w:rPr>
                    <w:t>B</w:t>
                  </w:r>
                  <w:r>
                    <w:rPr>
                      <w:rFonts w:hint="default" w:ascii="Times New Roman" w:hAnsi="Times New Roman" w:eastAsia="方正仿宋_GB2312" w:cs="Times New Roman"/>
                      <w:color w:val="auto"/>
                      <w:sz w:val="21"/>
                      <w:szCs w:val="21"/>
                      <w:vertAlign w:val="baseline"/>
                      <w:lang w:val="en-US" w:eastAsia="zh-CN"/>
                    </w:rPr>
                    <w:t>66</w:t>
                  </w:r>
                </w:p>
              </w:tc>
              <w:tc>
                <w:tcPr>
                  <w:tcW w:w="2203" w:type="dxa"/>
                  <w:noWrap/>
                  <w:vAlign w:val="center"/>
                </w:tcPr>
                <w:p w14:paraId="47882E1A">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110-DD41D-DJC</w:t>
                  </w:r>
                </w:p>
              </w:tc>
              <w:tc>
                <w:tcPr>
                  <w:tcW w:w="917" w:type="dxa"/>
                  <w:noWrap/>
                  <w:vAlign w:val="center"/>
                </w:tcPr>
                <w:p w14:paraId="657B7E2B">
                  <w:pPr>
                    <w:pStyle w:val="19"/>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18</w:t>
                  </w:r>
                </w:p>
              </w:tc>
              <w:tc>
                <w:tcPr>
                  <w:tcW w:w="892" w:type="dxa"/>
                  <w:noWrap/>
                  <w:vAlign w:val="center"/>
                </w:tcPr>
                <w:p w14:paraId="620BEC99">
                  <w:pPr>
                    <w:pStyle w:val="19"/>
                    <w:shd w:val="clear"/>
                    <w:spacing w:line="240" w:lineRule="auto"/>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kern w:val="0"/>
                      <w:sz w:val="21"/>
                      <w:szCs w:val="21"/>
                      <w:vertAlign w:val="baseline"/>
                      <w:lang w:val="en-US" w:eastAsia="zh-CN" w:bidi="ar-SA"/>
                    </w:rPr>
                    <w:t>1</w:t>
                  </w:r>
                </w:p>
              </w:tc>
              <w:tc>
                <w:tcPr>
                  <w:tcW w:w="2361" w:type="dxa"/>
                  <w:noWrap/>
                  <w:vAlign w:val="center"/>
                </w:tcPr>
                <w:p w14:paraId="499D4321">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挖孔桩基础/板式基础</w:t>
                  </w:r>
                </w:p>
              </w:tc>
              <w:tc>
                <w:tcPr>
                  <w:tcW w:w="1825" w:type="dxa"/>
                  <w:noWrap/>
                  <w:vAlign w:val="center"/>
                </w:tcPr>
                <w:p w14:paraId="5815EED6">
                  <w:pPr>
                    <w:pStyle w:val="19"/>
                    <w:ind w:firstLine="0" w:firstLineChars="0"/>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单回路终端塔</w:t>
                  </w:r>
                </w:p>
              </w:tc>
            </w:tr>
            <w:tr w14:paraId="0FE99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63" w:type="dxa"/>
                  <w:gridSpan w:val="2"/>
                  <w:noWrap/>
                  <w:vAlign w:val="center"/>
                </w:tcPr>
                <w:p w14:paraId="6077B83D">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合计</w:t>
                  </w:r>
                </w:p>
              </w:tc>
              <w:tc>
                <w:tcPr>
                  <w:tcW w:w="917" w:type="dxa"/>
                  <w:noWrap/>
                  <w:vAlign w:val="center"/>
                </w:tcPr>
                <w:p w14:paraId="7737F2FC">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p>
              </w:tc>
              <w:tc>
                <w:tcPr>
                  <w:tcW w:w="892" w:type="dxa"/>
                  <w:noWrap/>
                  <w:vAlign w:val="center"/>
                </w:tcPr>
                <w:p w14:paraId="6E5F8F0E">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eastAsia" w:ascii="Times New Roman" w:hAnsi="Times New Roman" w:eastAsia="方正仿宋_GB2312" w:cs="Times New Roman"/>
                      <w:color w:val="auto"/>
                      <w:sz w:val="21"/>
                      <w:szCs w:val="21"/>
                      <w:vertAlign w:val="baseline"/>
                      <w:lang w:val="en-US" w:eastAsia="zh-CN"/>
                    </w:rPr>
                    <w:t>164</w:t>
                  </w:r>
                </w:p>
              </w:tc>
              <w:tc>
                <w:tcPr>
                  <w:tcW w:w="2361" w:type="dxa"/>
                  <w:noWrap/>
                  <w:vAlign w:val="center"/>
                </w:tcPr>
                <w:p w14:paraId="57A8D0AB">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p>
              </w:tc>
              <w:tc>
                <w:tcPr>
                  <w:tcW w:w="1825" w:type="dxa"/>
                  <w:noWrap/>
                  <w:vAlign w:val="center"/>
                </w:tcPr>
                <w:p w14:paraId="5598A6CE">
                  <w:pPr>
                    <w:pStyle w:val="19"/>
                    <w:shd w:val="clear"/>
                    <w:spacing w:before="0" w:line="240" w:lineRule="auto"/>
                    <w:jc w:val="center"/>
                    <w:rPr>
                      <w:rFonts w:hint="default" w:ascii="Times New Roman" w:hAnsi="Times New Roman" w:eastAsia="方正仿宋_GB2312" w:cs="Times New Roman"/>
                      <w:color w:val="auto"/>
                      <w:sz w:val="21"/>
                      <w:szCs w:val="21"/>
                      <w:vertAlign w:val="baseline"/>
                      <w:lang w:val="en-US" w:eastAsia="zh-CN"/>
                    </w:rPr>
                  </w:pPr>
                  <w:r>
                    <w:rPr>
                      <w:rFonts w:hint="default" w:ascii="Times New Roman" w:hAnsi="Times New Roman" w:eastAsia="方正仿宋_GB2312" w:cs="Times New Roman"/>
                      <w:color w:val="auto"/>
                      <w:sz w:val="21"/>
                      <w:szCs w:val="21"/>
                      <w:vertAlign w:val="baseline"/>
                      <w:lang w:val="en-US" w:eastAsia="zh-CN"/>
                    </w:rPr>
                    <w:t>/</w:t>
                  </w:r>
                </w:p>
              </w:tc>
            </w:tr>
          </w:tbl>
          <w:p w14:paraId="3C0EF1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根据《110kV～750kV架空输电线路设计规范》（GB50545-2010）中送电线路与相关设施的安全距离见</w:t>
            </w:r>
            <w:r>
              <w:rPr>
                <w:rFonts w:hint="eastAsia" w:ascii="Times New Roman" w:hAnsi="Times New Roman" w:eastAsia="宋体" w:cs="Times New Roman"/>
                <w:sz w:val="24"/>
                <w:szCs w:val="24"/>
                <w:lang w:val="en-US" w:eastAsia="zh-CN"/>
              </w:rPr>
              <w:t>下表。</w:t>
            </w:r>
          </w:p>
          <w:p w14:paraId="63DCC9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表2-6  110kV架空送电线路在不同地区导线的对地距离要求一览表</w:t>
            </w:r>
          </w:p>
          <w:tbl>
            <w:tblPr>
              <w:tblStyle w:val="37"/>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2740"/>
              <w:gridCol w:w="2591"/>
              <w:gridCol w:w="2696"/>
            </w:tblGrid>
            <w:tr w14:paraId="4073C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4F72CB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2740" w:type="dxa"/>
                  <w:vAlign w:val="center"/>
                </w:tcPr>
                <w:p w14:paraId="1A774F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工程</w:t>
                  </w:r>
                </w:p>
              </w:tc>
              <w:tc>
                <w:tcPr>
                  <w:tcW w:w="2591" w:type="dxa"/>
                  <w:vAlign w:val="center"/>
                </w:tcPr>
                <w:p w14:paraId="31DF0E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最小距离（m）</w:t>
                  </w:r>
                </w:p>
              </w:tc>
              <w:tc>
                <w:tcPr>
                  <w:tcW w:w="2696" w:type="dxa"/>
                  <w:vAlign w:val="center"/>
                </w:tcPr>
                <w:p w14:paraId="556B80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备注</w:t>
                  </w:r>
                </w:p>
              </w:tc>
            </w:tr>
            <w:tr w14:paraId="2379C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1B7F5A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2740" w:type="dxa"/>
                  <w:vAlign w:val="center"/>
                </w:tcPr>
                <w:p w14:paraId="247EE6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2"/>
                      <w:sz w:val="21"/>
                      <w:szCs w:val="21"/>
                    </w:rPr>
                    <w:t>导线对居民区地面</w:t>
                  </w:r>
                </w:p>
              </w:tc>
              <w:tc>
                <w:tcPr>
                  <w:tcW w:w="2591" w:type="dxa"/>
                  <w:vAlign w:val="center"/>
                </w:tcPr>
                <w:p w14:paraId="394F07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7</w:t>
                  </w:r>
                </w:p>
              </w:tc>
              <w:tc>
                <w:tcPr>
                  <w:tcW w:w="2696" w:type="dxa"/>
                  <w:vAlign w:val="center"/>
                </w:tcPr>
                <w:p w14:paraId="3834AA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3"/>
                      <w:sz w:val="21"/>
                      <w:szCs w:val="21"/>
                    </w:rPr>
                    <w:t>最大弧垂</w:t>
                  </w:r>
                </w:p>
              </w:tc>
            </w:tr>
            <w:tr w14:paraId="4E32A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656F65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2740" w:type="dxa"/>
                  <w:vAlign w:val="center"/>
                </w:tcPr>
                <w:p w14:paraId="3E67B1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2"/>
                      <w:sz w:val="21"/>
                      <w:szCs w:val="21"/>
                    </w:rPr>
                    <w:t>导线对</w:t>
                  </w:r>
                  <w:r>
                    <w:rPr>
                      <w:rFonts w:hint="default" w:ascii="Times New Roman" w:hAnsi="Times New Roman" w:cs="Times New Roman"/>
                      <w:spacing w:val="-2"/>
                      <w:sz w:val="21"/>
                      <w:szCs w:val="21"/>
                      <w:lang w:val="en-US" w:eastAsia="zh-CN"/>
                    </w:rPr>
                    <w:t>非</w:t>
                  </w:r>
                  <w:r>
                    <w:rPr>
                      <w:rFonts w:ascii="Times New Roman" w:hAnsi="Times New Roman" w:cs="Times New Roman"/>
                      <w:spacing w:val="-2"/>
                      <w:sz w:val="21"/>
                      <w:szCs w:val="21"/>
                    </w:rPr>
                    <w:t>居民区地面</w:t>
                  </w:r>
                </w:p>
              </w:tc>
              <w:tc>
                <w:tcPr>
                  <w:tcW w:w="2591" w:type="dxa"/>
                  <w:vAlign w:val="center"/>
                </w:tcPr>
                <w:p w14:paraId="23A3B19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c>
                <w:tcPr>
                  <w:tcW w:w="2696" w:type="dxa"/>
                  <w:vAlign w:val="center"/>
                </w:tcPr>
                <w:p w14:paraId="18F307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3"/>
                      <w:sz w:val="21"/>
                      <w:szCs w:val="21"/>
                    </w:rPr>
                    <w:t>最大弧垂</w:t>
                  </w:r>
                </w:p>
              </w:tc>
            </w:tr>
            <w:tr w14:paraId="2705E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0B2D46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2740" w:type="dxa"/>
                  <w:vAlign w:val="center"/>
                </w:tcPr>
                <w:p w14:paraId="12BC2E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ascii="Times New Roman" w:hAnsi="Times New Roman" w:cs="Times New Roman"/>
                      <w:spacing w:val="-1"/>
                      <w:sz w:val="21"/>
                      <w:szCs w:val="21"/>
                    </w:rPr>
                    <w:t>导线与建筑物之间垂直距离</w:t>
                  </w:r>
                </w:p>
              </w:tc>
              <w:tc>
                <w:tcPr>
                  <w:tcW w:w="2591" w:type="dxa"/>
                  <w:vAlign w:val="center"/>
                </w:tcPr>
                <w:p w14:paraId="60E988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c>
                <w:tcPr>
                  <w:tcW w:w="2696" w:type="dxa"/>
                  <w:vAlign w:val="center"/>
                </w:tcPr>
                <w:p w14:paraId="490AB7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ascii="Times New Roman" w:hAnsi="Times New Roman" w:cs="Times New Roman"/>
                      <w:spacing w:val="-3"/>
                      <w:sz w:val="21"/>
                      <w:szCs w:val="21"/>
                    </w:rPr>
                    <w:t>最大弧垂</w:t>
                  </w:r>
                </w:p>
              </w:tc>
            </w:tr>
            <w:tr w14:paraId="3EA5F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1D9E52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2740" w:type="dxa"/>
                  <w:vAlign w:val="center"/>
                </w:tcPr>
                <w:p w14:paraId="1E1103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cs="Times New Roman"/>
                      <w:spacing w:val="-1"/>
                      <w:sz w:val="21"/>
                      <w:szCs w:val="21"/>
                      <w:lang w:val="en-US" w:eastAsia="zh-CN"/>
                    </w:rPr>
                    <w:t>导线</w:t>
                  </w:r>
                  <w:r>
                    <w:rPr>
                      <w:rFonts w:ascii="Times New Roman" w:hAnsi="Times New Roman" w:cs="Times New Roman"/>
                      <w:spacing w:val="-1"/>
                      <w:sz w:val="21"/>
                      <w:szCs w:val="21"/>
                    </w:rPr>
                    <w:t>与建筑物之间</w:t>
                  </w:r>
                  <w:r>
                    <w:rPr>
                      <w:rFonts w:hint="default" w:ascii="Times New Roman" w:hAnsi="Times New Roman" w:cs="Times New Roman"/>
                      <w:spacing w:val="-1"/>
                      <w:sz w:val="21"/>
                      <w:szCs w:val="21"/>
                      <w:lang w:val="en-US" w:eastAsia="zh-CN"/>
                    </w:rPr>
                    <w:t>净空</w:t>
                  </w:r>
                  <w:r>
                    <w:rPr>
                      <w:rFonts w:ascii="Times New Roman" w:hAnsi="Times New Roman" w:cs="Times New Roman"/>
                      <w:spacing w:val="-1"/>
                      <w:sz w:val="21"/>
                      <w:szCs w:val="21"/>
                    </w:rPr>
                    <w:t>距离</w:t>
                  </w:r>
                </w:p>
              </w:tc>
              <w:tc>
                <w:tcPr>
                  <w:tcW w:w="2591" w:type="dxa"/>
                  <w:vAlign w:val="center"/>
                </w:tcPr>
                <w:p w14:paraId="1680C2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2696" w:type="dxa"/>
                  <w:vAlign w:val="center"/>
                </w:tcPr>
                <w:p w14:paraId="18E2BB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3"/>
                      <w:sz w:val="21"/>
                      <w:szCs w:val="21"/>
                    </w:rPr>
                    <w:t>最大</w:t>
                  </w:r>
                  <w:r>
                    <w:rPr>
                      <w:rFonts w:hint="default" w:ascii="Times New Roman" w:hAnsi="Times New Roman" w:cs="Times New Roman"/>
                      <w:spacing w:val="-3"/>
                      <w:sz w:val="21"/>
                      <w:szCs w:val="21"/>
                      <w:lang w:val="en-US" w:eastAsia="zh-CN"/>
                    </w:rPr>
                    <w:t>风偏</w:t>
                  </w:r>
                </w:p>
              </w:tc>
            </w:tr>
            <w:tr w14:paraId="0DFE8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412552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c>
                <w:tcPr>
                  <w:tcW w:w="2740" w:type="dxa"/>
                  <w:vAlign w:val="center"/>
                </w:tcPr>
                <w:p w14:paraId="453FD8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导线与树木之间的垂直距离</w:t>
                  </w:r>
                </w:p>
              </w:tc>
              <w:tc>
                <w:tcPr>
                  <w:tcW w:w="2591" w:type="dxa"/>
                  <w:vAlign w:val="center"/>
                </w:tcPr>
                <w:p w14:paraId="1545A2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2696" w:type="dxa"/>
                  <w:vAlign w:val="center"/>
                </w:tcPr>
                <w:p w14:paraId="208CA9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3"/>
                      <w:sz w:val="21"/>
                      <w:szCs w:val="21"/>
                    </w:rPr>
                    <w:t>最大弧垂</w:t>
                  </w:r>
                </w:p>
              </w:tc>
            </w:tr>
            <w:tr w14:paraId="40E2D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41" w:type="dxa"/>
                  <w:vAlign w:val="center"/>
                </w:tcPr>
                <w:p w14:paraId="656B0B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c>
                <w:tcPr>
                  <w:tcW w:w="2740" w:type="dxa"/>
                  <w:vAlign w:val="center"/>
                </w:tcPr>
                <w:p w14:paraId="0F9C38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导线与树木之间的</w:t>
                  </w:r>
                  <w:r>
                    <w:rPr>
                      <w:rFonts w:hint="default" w:ascii="Times New Roman" w:hAnsi="Times New Roman" w:cs="Times New Roman"/>
                      <w:spacing w:val="-1"/>
                      <w:sz w:val="21"/>
                      <w:szCs w:val="21"/>
                      <w:lang w:val="en-US" w:eastAsia="zh-CN"/>
                    </w:rPr>
                    <w:t>净空</w:t>
                  </w:r>
                  <w:r>
                    <w:rPr>
                      <w:rFonts w:ascii="Times New Roman" w:hAnsi="Times New Roman" w:cs="Times New Roman"/>
                      <w:spacing w:val="-1"/>
                      <w:sz w:val="21"/>
                      <w:szCs w:val="21"/>
                    </w:rPr>
                    <w:t>距离</w:t>
                  </w:r>
                </w:p>
              </w:tc>
              <w:tc>
                <w:tcPr>
                  <w:tcW w:w="2591" w:type="dxa"/>
                  <w:vAlign w:val="center"/>
                </w:tcPr>
                <w:p w14:paraId="758131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2696" w:type="dxa"/>
                  <w:vAlign w:val="center"/>
                </w:tcPr>
                <w:p w14:paraId="41E3F9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3"/>
                      <w:sz w:val="21"/>
                      <w:szCs w:val="21"/>
                    </w:rPr>
                    <w:t>最大</w:t>
                  </w:r>
                  <w:r>
                    <w:rPr>
                      <w:rFonts w:hint="default" w:ascii="Times New Roman" w:hAnsi="Times New Roman" w:cs="Times New Roman"/>
                      <w:spacing w:val="-3"/>
                      <w:sz w:val="21"/>
                      <w:szCs w:val="21"/>
                      <w:lang w:val="en-US" w:eastAsia="zh-CN"/>
                    </w:rPr>
                    <w:t>风偏</w:t>
                  </w:r>
                </w:p>
              </w:tc>
            </w:tr>
          </w:tbl>
          <w:p w14:paraId="24128FB0">
            <w:pPr>
              <w:keepNext w:val="0"/>
              <w:keepLines w:val="0"/>
              <w:pageBreakBefore w:val="0"/>
              <w:widowControl w:val="0"/>
              <w:kinsoku/>
              <w:wordWrap/>
              <w:overflowPunct/>
              <w:topLinePunct w:val="0"/>
              <w:autoSpaceDE/>
              <w:autoSpaceDN/>
              <w:bidi w:val="0"/>
              <w:adjustRightInd/>
              <w:snapToGrid/>
              <w:spacing w:before="0" w:beforeLines="0" w:line="360" w:lineRule="auto"/>
              <w:ind w:firstLine="0" w:firstLineChars="0"/>
              <w:textAlignment w:val="auto"/>
              <w:rPr>
                <w:rFonts w:hint="default" w:ascii="Times New Roman" w:hAnsi="Times New Roman" w:eastAsia="宋体" w:cs="Times New Roman"/>
                <w:b/>
                <w:bCs/>
                <w:sz w:val="24"/>
                <w:szCs w:val="24"/>
              </w:rPr>
            </w:pPr>
            <w:r>
              <w:rPr>
                <w:rFonts w:hint="eastAsia" w:cs="Times New Roman"/>
                <w:b/>
                <w:bCs/>
                <w:sz w:val="24"/>
                <w:szCs w:val="24"/>
                <w:lang w:val="en-US" w:eastAsia="zh-CN"/>
              </w:rPr>
              <w:t>2</w:t>
            </w:r>
            <w:r>
              <w:rPr>
                <w:rFonts w:hint="eastAsia"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rPr>
              <w:t>、辅助工程</w:t>
            </w:r>
          </w:p>
          <w:p w14:paraId="1889CF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1</w:t>
            </w:r>
            <w:r>
              <w:rPr>
                <w:rFonts w:hint="eastAsia" w:cs="Times New Roman"/>
                <w:sz w:val="24"/>
                <w:szCs w:val="24"/>
                <w:lang w:eastAsia="zh-CN"/>
              </w:rPr>
              <w:t>）</w:t>
            </w:r>
            <w:r>
              <w:rPr>
                <w:rFonts w:hint="eastAsia" w:cs="Times New Roman"/>
                <w:sz w:val="24"/>
                <w:szCs w:val="24"/>
                <w:lang w:val="en-US" w:eastAsia="zh-CN"/>
              </w:rPr>
              <w:t>站内建筑物</w:t>
            </w:r>
          </w:p>
          <w:p w14:paraId="63D385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本站属无人值班有人值守变电站户内GIS变电站。</w:t>
            </w:r>
            <w:r>
              <w:rPr>
                <w:rFonts w:hint="eastAsia" w:cs="Times New Roman"/>
                <w:sz w:val="24"/>
                <w:szCs w:val="24"/>
                <w:lang w:val="en-US" w:eastAsia="zh-CN"/>
              </w:rPr>
              <w:t>变电站一楼主要为3个主变压器室、无功补偿室、接地变压器室、高压配电室、消防水泵房；二楼主要为GIS室、电力集控室、二次设备控制室；三楼主要为工程师技术室、维修休息室、巡检休息室。</w:t>
            </w:r>
            <w:r>
              <w:rPr>
                <w:rFonts w:hint="default" w:ascii="Times New Roman" w:hAnsi="Times New Roman" w:eastAsia="宋体" w:cs="Times New Roman"/>
                <w:sz w:val="24"/>
                <w:szCs w:val="24"/>
                <w:lang w:val="en-US" w:eastAsia="zh-CN"/>
              </w:rPr>
              <w:t>总建筑面积为</w:t>
            </w:r>
            <w:r>
              <w:rPr>
                <w:rFonts w:hint="eastAsia" w:cs="Times New Roman"/>
                <w:sz w:val="24"/>
                <w:szCs w:val="24"/>
                <w:lang w:val="en-US" w:eastAsia="zh-CN"/>
              </w:rPr>
              <w:t>1809</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，建筑高度</w:t>
            </w:r>
            <w:r>
              <w:rPr>
                <w:rFonts w:hint="eastAsia" w:cs="Times New Roman"/>
                <w:sz w:val="24"/>
                <w:szCs w:val="24"/>
                <w:lang w:val="en-US" w:eastAsia="zh-CN"/>
              </w:rPr>
              <w:t>14.1</w:t>
            </w:r>
            <w:r>
              <w:rPr>
                <w:rFonts w:hint="default" w:ascii="Times New Roman" w:hAnsi="Times New Roman" w:eastAsia="宋体" w:cs="Times New Roman"/>
                <w:sz w:val="24"/>
                <w:szCs w:val="24"/>
                <w:lang w:val="en-US" w:eastAsia="zh-CN"/>
              </w:rPr>
              <w:t>m。</w:t>
            </w:r>
          </w:p>
          <w:p w14:paraId="70BF39E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cs="Times New Roman"/>
                <w:sz w:val="24"/>
                <w:szCs w:val="24"/>
                <w:lang w:eastAsia="zh-CN"/>
              </w:rPr>
              <w:t>（</w:t>
            </w:r>
            <w:r>
              <w:rPr>
                <w:rFonts w:hint="eastAsia" w:cs="Times New Roman"/>
                <w:sz w:val="24"/>
                <w:szCs w:val="24"/>
                <w:lang w:val="en-US" w:eastAsia="zh-CN"/>
              </w:rPr>
              <w:t>2</w:t>
            </w:r>
            <w:r>
              <w:rPr>
                <w:rFonts w:hint="eastAsia" w:cs="Times New Roman"/>
                <w:sz w:val="24"/>
                <w:szCs w:val="24"/>
                <w:lang w:eastAsia="zh-CN"/>
              </w:rPr>
              <w:t>）</w:t>
            </w:r>
            <w:r>
              <w:rPr>
                <w:rFonts w:hint="eastAsia" w:cs="Times New Roman"/>
                <w:sz w:val="24"/>
                <w:szCs w:val="24"/>
                <w:lang w:val="en-US" w:eastAsia="zh-CN"/>
              </w:rPr>
              <w:t>进站道路</w:t>
            </w:r>
          </w:p>
          <w:p w14:paraId="776979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变电站进站道路由农村道路引接，进站道路长度约为20m</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站址处交通便利，属负荷中心、进出线方便。</w:t>
            </w:r>
          </w:p>
          <w:p w14:paraId="3071C4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cs="Times New Roman"/>
                <w:sz w:val="24"/>
                <w:szCs w:val="24"/>
                <w:lang w:eastAsia="zh-CN"/>
              </w:rPr>
              <w:t>（</w:t>
            </w:r>
            <w:r>
              <w:rPr>
                <w:rFonts w:hint="eastAsia" w:cs="Times New Roman"/>
                <w:sz w:val="24"/>
                <w:szCs w:val="24"/>
                <w:lang w:val="en-US" w:eastAsia="zh-CN"/>
              </w:rPr>
              <w:t>3</w:t>
            </w:r>
            <w:r>
              <w:rPr>
                <w:rFonts w:hint="eastAsia" w:cs="Times New Roman"/>
                <w:sz w:val="24"/>
                <w:szCs w:val="24"/>
                <w:lang w:eastAsia="zh-CN"/>
              </w:rPr>
              <w:t>）</w:t>
            </w:r>
            <w:r>
              <w:rPr>
                <w:rFonts w:hint="eastAsia" w:cs="Times New Roman"/>
                <w:sz w:val="24"/>
                <w:szCs w:val="24"/>
                <w:lang w:val="en-US" w:eastAsia="zh-CN"/>
              </w:rPr>
              <w:t>站区围墙</w:t>
            </w:r>
          </w:p>
          <w:p w14:paraId="144343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站区围墙</w:t>
            </w:r>
            <w:r>
              <w:rPr>
                <w:rFonts w:hint="eastAsia" w:cs="Times New Roman"/>
                <w:sz w:val="24"/>
                <w:szCs w:val="24"/>
                <w:lang w:val="en-US" w:eastAsia="zh-CN"/>
              </w:rPr>
              <w:t>长270m</w:t>
            </w:r>
            <w:r>
              <w:rPr>
                <w:rFonts w:hint="default" w:ascii="Times New Roman" w:hAnsi="Times New Roman" w:eastAsia="宋体" w:cs="Times New Roman"/>
                <w:sz w:val="24"/>
                <w:szCs w:val="24"/>
                <w:lang w:val="en-US" w:eastAsia="zh-CN"/>
              </w:rPr>
              <w:t>，围墙内占地</w:t>
            </w:r>
            <w:r>
              <w:rPr>
                <w:rFonts w:hint="eastAsia" w:cs="Times New Roman"/>
                <w:sz w:val="24"/>
                <w:szCs w:val="24"/>
                <w:lang w:val="en-US" w:eastAsia="zh-CN"/>
              </w:rPr>
              <w:t>0.3752</w:t>
            </w:r>
            <w:r>
              <w:rPr>
                <w:rFonts w:hint="default" w:ascii="Times New Roman" w:hAnsi="Times New Roman" w:eastAsia="宋体" w:cs="Times New Roman"/>
                <w:sz w:val="24"/>
                <w:szCs w:val="24"/>
                <w:lang w:val="en-US" w:eastAsia="zh-CN"/>
              </w:rPr>
              <w:t>hm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，围墙高度为</w:t>
            </w:r>
            <w:r>
              <w:rPr>
                <w:rFonts w:hint="eastAsia" w:cs="Times New Roman"/>
                <w:sz w:val="24"/>
                <w:szCs w:val="24"/>
                <w:lang w:val="en-US" w:eastAsia="zh-CN"/>
              </w:rPr>
              <w:t>2.5</w:t>
            </w:r>
            <w:r>
              <w:rPr>
                <w:rFonts w:hint="default" w:ascii="Times New Roman" w:hAnsi="Times New Roman" w:eastAsia="宋体" w:cs="Times New Roman"/>
                <w:sz w:val="24"/>
                <w:szCs w:val="24"/>
                <w:lang w:val="en-US" w:eastAsia="zh-CN"/>
              </w:rPr>
              <w:t>m</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围墙基础采用现浇钢筋混凝土基础。</w:t>
            </w:r>
          </w:p>
          <w:p w14:paraId="4153A1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cs="Times New Roman"/>
                <w:sz w:val="24"/>
                <w:szCs w:val="24"/>
                <w:lang w:val="en-US" w:eastAsia="zh-CN"/>
              </w:rPr>
              <w:t>（4）消防系统</w:t>
            </w:r>
          </w:p>
          <w:p w14:paraId="3F7D37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cs="Times New Roman"/>
                <w:sz w:val="24"/>
                <w:szCs w:val="24"/>
                <w:lang w:val="en-US" w:eastAsia="zh-CN"/>
              </w:rPr>
              <w:t>细水雾灭火系统：</w:t>
            </w:r>
            <w:r>
              <w:rPr>
                <w:rFonts w:hint="default" w:ascii="Times New Roman" w:hAnsi="Times New Roman" w:eastAsia="宋体" w:cs="Times New Roman"/>
                <w:sz w:val="24"/>
                <w:szCs w:val="24"/>
                <w:lang w:val="en-US" w:eastAsia="zh-CN"/>
              </w:rPr>
              <w:t>根据规范要求，对变电站内补偿室、高压配电室、二次设备及控制室、电力集控室、接地变室、GIS室采用细水雾全淹没应用方式的开式灭火系统进行保护，保护区域划分为4个保护分区，总保护面积1102.2m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；变压器室采用细水雾局部应用方式的开式灭火系统进行保护，保护区域划分为3个保护分区，总保护面积360m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。细水雾灭火系统设V=12m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不锈钢水箱</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L</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B</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H=3000</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2000</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200mm）一套，含有高低位报警、自动补水、放空装置，水箱补水由厂区生活给水管网直接供给，由液位变送器控制补水电磁阀的启闭实现对水箱自动补水。</w:t>
            </w:r>
          </w:p>
          <w:p w14:paraId="780947A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cs="Times New Roman"/>
                <w:sz w:val="24"/>
                <w:szCs w:val="24"/>
                <w:lang w:val="en-US" w:eastAsia="zh-CN"/>
              </w:rPr>
              <w:t>室外消火栓系统：</w:t>
            </w:r>
            <w:r>
              <w:rPr>
                <w:rFonts w:hint="default" w:ascii="Times New Roman" w:hAnsi="Times New Roman" w:eastAsia="宋体" w:cs="Times New Roman"/>
                <w:sz w:val="24"/>
                <w:szCs w:val="24"/>
                <w:lang w:val="en-US" w:eastAsia="zh-CN"/>
              </w:rPr>
              <w:t>变电所室外消防水量20L/s，火灾延续时间2h，一次消防水量144m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。变电所室外消火栓系统为常高压消防系统。消防用水储存在选矿工业场地2座容积4000m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生产消防高位水池中。管道采用焊接钢管，沿道路环状铺设，水压0.5MPa。</w:t>
            </w:r>
          </w:p>
          <w:p w14:paraId="12FCCC4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eastAsia"/>
                <w:b/>
                <w:bCs/>
                <w:sz w:val="24"/>
                <w:szCs w:val="24"/>
                <w:lang w:eastAsia="zh-CN"/>
              </w:rPr>
            </w:pPr>
            <w:r>
              <w:rPr>
                <w:rFonts w:hint="eastAsia" w:cs="Times New Roman"/>
                <w:b/>
                <w:bCs/>
                <w:sz w:val="24"/>
                <w:szCs w:val="24"/>
                <w:lang w:val="en-US" w:eastAsia="zh-CN"/>
              </w:rPr>
              <w:t>2.4</w:t>
            </w:r>
            <w:r>
              <w:rPr>
                <w:rFonts w:hint="default" w:ascii="Times New Roman" w:hAnsi="Times New Roman" w:eastAsia="宋体" w:cs="Times New Roman"/>
                <w:b/>
                <w:bCs/>
                <w:sz w:val="24"/>
                <w:szCs w:val="24"/>
              </w:rPr>
              <w:t>、</w:t>
            </w:r>
            <w:r>
              <w:rPr>
                <w:rFonts w:hint="eastAsia"/>
                <w:b/>
                <w:bCs/>
                <w:sz w:val="24"/>
                <w:szCs w:val="24"/>
                <w:lang w:eastAsia="zh-CN"/>
              </w:rPr>
              <w:t>环保工程</w:t>
            </w:r>
          </w:p>
          <w:p w14:paraId="74DF2764">
            <w:pPr>
              <w:pStyle w:val="57"/>
              <w:keepNext w:val="0"/>
              <w:keepLines w:val="0"/>
              <w:pageBreakBefore w:val="0"/>
              <w:widowControl w:val="0"/>
              <w:kinsoku/>
              <w:wordWrap/>
              <w:overflowPunct/>
              <w:topLinePunct w:val="0"/>
              <w:autoSpaceDE/>
              <w:autoSpaceDN/>
              <w:bidi w:val="0"/>
              <w:adjustRightInd/>
              <w:snapToGrid/>
              <w:spacing w:afterLines="0"/>
              <w:textAlignment w:val="auto"/>
              <w:rPr>
                <w:rFonts w:hint="eastAsia" w:cs="Times New Roman"/>
                <w:sz w:val="24"/>
                <w:szCs w:val="24"/>
                <w:vertAlign w:val="baseline"/>
                <w:lang w:val="en-US" w:eastAsia="zh-CN"/>
              </w:rPr>
            </w:pPr>
            <w:r>
              <w:rPr>
                <w:rFonts w:hint="eastAsia"/>
                <w:sz w:val="24"/>
                <w:szCs w:val="24"/>
                <w:lang w:val="en-US" w:eastAsia="zh-CN"/>
              </w:rPr>
              <w:t>（1）</w:t>
            </w:r>
            <w:r>
              <w:rPr>
                <w:rFonts w:hint="eastAsia" w:cs="Times New Roman"/>
                <w:sz w:val="24"/>
                <w:szCs w:val="24"/>
                <w:vertAlign w:val="baseline"/>
                <w:lang w:val="en-US" w:eastAsia="zh-CN"/>
              </w:rPr>
              <w:t>事故油池</w:t>
            </w:r>
          </w:p>
          <w:p w14:paraId="3D9A270F">
            <w:pPr>
              <w:pStyle w:val="57"/>
              <w:keepNext w:val="0"/>
              <w:keepLines w:val="0"/>
              <w:pageBreakBefore w:val="0"/>
              <w:widowControl w:val="0"/>
              <w:kinsoku/>
              <w:wordWrap/>
              <w:overflowPunct/>
              <w:topLinePunct w:val="0"/>
              <w:autoSpaceDE/>
              <w:autoSpaceDN/>
              <w:bidi w:val="0"/>
              <w:adjustRightInd/>
              <w:snapToGrid/>
              <w:spacing w:afterLines="0"/>
              <w:textAlignment w:val="auto"/>
              <w:rPr>
                <w:rFonts w:hint="default" w:cs="Times New Roman"/>
                <w:sz w:val="24"/>
                <w:szCs w:val="24"/>
                <w:vertAlign w:val="baseline"/>
                <w:lang w:val="en-US" w:eastAsia="zh-CN"/>
              </w:rPr>
            </w:pPr>
            <w:r>
              <w:rPr>
                <w:rFonts w:hint="default" w:cs="Times New Roman"/>
                <w:sz w:val="24"/>
                <w:szCs w:val="24"/>
                <w:vertAlign w:val="baseline"/>
                <w:lang w:val="en-US" w:eastAsia="zh-CN"/>
              </w:rPr>
              <w:t>根据设计规程要求，在站区内设置总事故油池</w:t>
            </w:r>
            <w:r>
              <w:rPr>
                <w:rFonts w:hint="eastAsia" w:cs="Times New Roman"/>
                <w:sz w:val="24"/>
                <w:szCs w:val="24"/>
                <w:vertAlign w:val="baseline"/>
                <w:lang w:val="en-US" w:eastAsia="zh-CN"/>
              </w:rPr>
              <w:t>（</w:t>
            </w:r>
            <w:r>
              <w:rPr>
                <w:rFonts w:hint="eastAsia" w:cs="Times New Roman"/>
                <w:color w:val="auto"/>
                <w:sz w:val="24"/>
                <w:szCs w:val="24"/>
                <w:highlight w:val="none"/>
                <w:lang w:val="en-US" w:eastAsia="zh-CN"/>
              </w:rPr>
              <w:t>34</w:t>
            </w:r>
            <w:r>
              <w:rPr>
                <w:rFonts w:hint="default"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vertAlign w:val="superscript"/>
                <w:lang w:val="en-US" w:eastAsia="zh-CN"/>
              </w:rPr>
              <w:t>3</w:t>
            </w:r>
            <w:r>
              <w:rPr>
                <w:rFonts w:hint="eastAsia" w:cs="Times New Roman"/>
                <w:sz w:val="24"/>
                <w:szCs w:val="24"/>
                <w:vertAlign w:val="baseline"/>
                <w:lang w:val="en-US" w:eastAsia="zh-CN"/>
              </w:rPr>
              <w:t>），位于站区内西南侧</w:t>
            </w:r>
            <w:r>
              <w:rPr>
                <w:rFonts w:hint="default" w:cs="Times New Roman"/>
                <w:sz w:val="24"/>
                <w:szCs w:val="24"/>
                <w:vertAlign w:val="baseline"/>
                <w:lang w:val="en-US" w:eastAsia="zh-CN"/>
              </w:rPr>
              <w:t>。事故油池具有油水分离功能，分离出的油由厂家回收处理。其余带油的</w:t>
            </w:r>
            <w:r>
              <w:rPr>
                <w:rFonts w:hint="eastAsia" w:cs="Times New Roman"/>
                <w:sz w:val="24"/>
                <w:szCs w:val="24"/>
                <w:vertAlign w:val="baseline"/>
                <w:lang w:val="en-US" w:eastAsia="zh-CN"/>
              </w:rPr>
              <w:t>电气设备</w:t>
            </w:r>
            <w:r>
              <w:rPr>
                <w:rFonts w:hint="default" w:cs="Times New Roman"/>
                <w:sz w:val="24"/>
                <w:szCs w:val="24"/>
                <w:vertAlign w:val="baseline"/>
                <w:lang w:val="en-US" w:eastAsia="zh-CN"/>
              </w:rPr>
              <w:t>，如</w:t>
            </w:r>
            <w:r>
              <w:rPr>
                <w:rFonts w:hint="eastAsia" w:cs="Times New Roman"/>
                <w:sz w:val="24"/>
                <w:szCs w:val="24"/>
                <w:vertAlign w:val="baseline"/>
                <w:lang w:val="en-US" w:eastAsia="zh-CN"/>
              </w:rPr>
              <w:t>主变压器室</w:t>
            </w:r>
            <w:r>
              <w:rPr>
                <w:rFonts w:hint="default" w:cs="Times New Roman"/>
                <w:sz w:val="24"/>
                <w:szCs w:val="24"/>
                <w:vertAlign w:val="baseline"/>
                <w:lang w:val="en-US" w:eastAsia="zh-CN"/>
              </w:rPr>
              <w:t>均设有排油坑，该排油坑与总事故油池</w:t>
            </w:r>
            <w:r>
              <w:rPr>
                <w:rFonts w:hint="eastAsia" w:cs="Times New Roman"/>
                <w:sz w:val="24"/>
                <w:szCs w:val="24"/>
                <w:vertAlign w:val="baseline"/>
                <w:lang w:val="en-US" w:eastAsia="zh-CN"/>
              </w:rPr>
              <w:t>连通</w:t>
            </w:r>
            <w:r>
              <w:rPr>
                <w:rFonts w:hint="default" w:cs="Times New Roman"/>
                <w:sz w:val="24"/>
                <w:szCs w:val="24"/>
                <w:vertAlign w:val="baseline"/>
                <w:lang w:val="en-US" w:eastAsia="zh-CN"/>
              </w:rPr>
              <w:t>，</w:t>
            </w:r>
            <w:r>
              <w:rPr>
                <w:rFonts w:hint="eastAsia" w:cs="Times New Roman"/>
                <w:sz w:val="24"/>
                <w:szCs w:val="24"/>
                <w:vertAlign w:val="baseline"/>
                <w:lang w:val="en-US" w:eastAsia="zh-CN"/>
              </w:rPr>
              <w:t>废变压器油</w:t>
            </w:r>
            <w:r>
              <w:rPr>
                <w:rFonts w:hint="default" w:cs="Times New Roman"/>
                <w:sz w:val="24"/>
                <w:szCs w:val="24"/>
                <w:vertAlign w:val="baseline"/>
                <w:lang w:val="en-US" w:eastAsia="zh-CN"/>
              </w:rPr>
              <w:t>不会污染环境。</w:t>
            </w:r>
          </w:p>
          <w:p w14:paraId="421F80CE">
            <w:pPr>
              <w:autoSpaceDN w:val="0"/>
              <w:adjustRightInd w:val="0"/>
              <w:spacing w:line="360" w:lineRule="auto"/>
              <w:ind w:firstLine="480" w:firstLineChars="200"/>
              <w:rPr>
                <w:rFonts w:hint="eastAsia" w:ascii="Times New Roman" w:hAnsi="Times New Roman" w:eastAsia="宋体" w:cs="Times New Roman"/>
                <w:color w:val="auto"/>
                <w:sz w:val="24"/>
                <w:lang w:eastAsia="zh-CN"/>
              </w:rPr>
            </w:pPr>
            <w:r>
              <w:rPr>
                <w:rFonts w:hint="eastAsia"/>
                <w:sz w:val="24"/>
                <w:szCs w:val="24"/>
                <w:lang w:val="en-US" w:eastAsia="zh-CN"/>
              </w:rPr>
              <w:t>（2）</w:t>
            </w:r>
            <w:r>
              <w:rPr>
                <w:rFonts w:hint="default" w:ascii="Times New Roman" w:hAnsi="Times New Roman" w:cs="Times New Roman"/>
                <w:color w:val="auto"/>
                <w:sz w:val="24"/>
              </w:rPr>
              <w:t>污水</w:t>
            </w:r>
            <w:r>
              <w:rPr>
                <w:rFonts w:hint="eastAsia" w:cs="Times New Roman"/>
                <w:color w:val="auto"/>
                <w:sz w:val="24"/>
                <w:lang w:val="en-US" w:eastAsia="zh-CN"/>
              </w:rPr>
              <w:t>处置</w:t>
            </w:r>
          </w:p>
          <w:p w14:paraId="3CDDEF3F">
            <w:pPr>
              <w:adjustRightInd w:val="0"/>
              <w:spacing w:line="360" w:lineRule="auto"/>
              <w:ind w:firstLine="480" w:firstLineChars="200"/>
              <w:rPr>
                <w:rFonts w:hint="default" w:ascii="Times New Roman" w:hAnsi="Times New Roman" w:cs="Times New Roman"/>
                <w:snapToGrid w:val="0"/>
                <w:color w:val="auto"/>
                <w:kern w:val="16"/>
                <w:sz w:val="24"/>
              </w:rPr>
            </w:pPr>
            <w:r>
              <w:rPr>
                <w:rFonts w:hint="default" w:ascii="Times New Roman" w:hAnsi="Times New Roman" w:cs="Times New Roman"/>
                <w:snapToGrid w:val="0"/>
                <w:color w:val="auto"/>
                <w:kern w:val="16"/>
                <w:sz w:val="24"/>
              </w:rPr>
              <w:t>站内新建化粪池一座，雨水、生活污水采取雨污分流制排放。</w:t>
            </w:r>
            <w:r>
              <w:rPr>
                <w:rFonts w:hint="default" w:ascii="Times New Roman" w:hAnsi="Times New Roman" w:cs="Times New Roman"/>
                <w:snapToGrid w:val="0"/>
                <w:color w:val="auto"/>
                <w:kern w:val="16"/>
                <w:sz w:val="24"/>
                <w:lang w:eastAsia="zh-CN"/>
              </w:rPr>
              <w:t>变电站场地雨水通过场地坡度排至场地周边混凝土矩形排水沟，最终汇入采选工业场地南侧初期雨水收集池进行沉淀处理</w:t>
            </w:r>
            <w:r>
              <w:rPr>
                <w:rFonts w:hint="eastAsia" w:cs="Times New Roman"/>
                <w:snapToGrid w:val="0"/>
                <w:color w:val="auto"/>
                <w:kern w:val="16"/>
                <w:sz w:val="24"/>
                <w:lang w:val="en-US" w:eastAsia="zh-CN"/>
              </w:rPr>
              <w:t>；生活污水经化粪池收集后排入厂区生活排水管道，最终排入矿区内地埋式生活污水处理装置（生物接触氧化+砂滤+消毒工艺）收集处理后泵至选矿生产，地埋式生活污水处理装置位于变电站西侧，依托具有可行性。</w:t>
            </w:r>
          </w:p>
          <w:p w14:paraId="5D35C813">
            <w:pPr>
              <w:tabs>
                <w:tab w:val="left" w:pos="3628"/>
              </w:tabs>
              <w:autoSpaceDN w:val="0"/>
              <w:adjustRightInd w:val="0"/>
              <w:spacing w:line="360" w:lineRule="auto"/>
              <w:ind w:firstLine="480" w:firstLineChars="200"/>
              <w:rPr>
                <w:rFonts w:hint="eastAsia" w:ascii="Times New Roman" w:hAnsi="Times New Roman" w:eastAsia="宋体" w:cs="Times New Roman"/>
                <w:color w:val="auto"/>
                <w:sz w:val="24"/>
                <w:lang w:eastAsia="zh-CN"/>
              </w:rPr>
            </w:pPr>
            <w:r>
              <w:rPr>
                <w:rFonts w:hint="eastAsia" w:cs="Times New Roman"/>
                <w:color w:val="auto"/>
                <w:sz w:val="24"/>
                <w:lang w:val="en-US" w:eastAsia="zh-CN"/>
              </w:rPr>
              <w:t>（3）</w:t>
            </w:r>
            <w:r>
              <w:rPr>
                <w:rFonts w:hint="default" w:ascii="Times New Roman" w:hAnsi="Times New Roman" w:cs="Times New Roman"/>
                <w:color w:val="auto"/>
                <w:sz w:val="24"/>
              </w:rPr>
              <w:t>生活垃圾</w:t>
            </w:r>
          </w:p>
          <w:p w14:paraId="2EC796DF">
            <w:pPr>
              <w:autoSpaceDN w:val="0"/>
              <w:adjustRightIn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站内设置垃圾桶，运维检修人员产生的少量生活垃圾集中定点收集后统一清运处理。</w:t>
            </w:r>
          </w:p>
          <w:p w14:paraId="006EF24B">
            <w:pPr>
              <w:autoSpaceDN w:val="0"/>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（4）</w:t>
            </w:r>
            <w:r>
              <w:rPr>
                <w:rFonts w:hint="eastAsia" w:ascii="Times New Roman" w:hAnsi="Times New Roman" w:cs="Times New Roman"/>
                <w:color w:val="auto"/>
                <w:sz w:val="24"/>
                <w:lang w:val="en-US" w:eastAsia="zh-CN"/>
              </w:rPr>
              <w:t>固体废物</w:t>
            </w:r>
          </w:p>
          <w:p w14:paraId="2FE9EE06">
            <w:pPr>
              <w:autoSpaceDN w:val="0"/>
              <w:adjustRightInd w:val="0"/>
              <w:spacing w:line="360" w:lineRule="auto"/>
              <w:ind w:firstLine="480" w:firstLineChars="200"/>
              <w:rPr>
                <w:rFonts w:hint="default" w:ascii="Times New Roman" w:hAnsi="Times New Roman" w:cs="Times New Roman"/>
                <w:color w:val="auto"/>
                <w:sz w:val="24"/>
              </w:rPr>
            </w:pPr>
            <w:r>
              <w:rPr>
                <w:rFonts w:hint="default" w:cs="Times New Roman"/>
                <w:sz w:val="24"/>
                <w:szCs w:val="24"/>
                <w:vertAlign w:val="baseline"/>
                <w:lang w:val="en-US" w:eastAsia="zh-CN"/>
              </w:rPr>
              <w:t>废铅酸蓄电池由电池厂家更换后带走，废变压器油、维护检修废物等危险废物由维修厂家带走，厂内不暂存和处置危险废物</w:t>
            </w:r>
            <w:r>
              <w:rPr>
                <w:rFonts w:hint="default" w:ascii="Times New Roman" w:hAnsi="Times New Roman" w:cs="Times New Roman"/>
                <w:color w:val="auto"/>
                <w:sz w:val="24"/>
                <w:lang w:eastAsia="zh-CN"/>
              </w:rPr>
              <w:t>。</w:t>
            </w:r>
          </w:p>
          <w:p w14:paraId="49111306">
            <w:pPr>
              <w:autoSpaceDN w:val="0"/>
              <w:adjustRightInd w:val="0"/>
              <w:spacing w:line="360" w:lineRule="auto"/>
              <w:ind w:firstLine="0" w:firstLineChars="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2.5、</w:t>
            </w:r>
            <w:r>
              <w:rPr>
                <w:rFonts w:hint="eastAsia"/>
                <w:b/>
                <w:bCs/>
                <w:sz w:val="24"/>
                <w:szCs w:val="24"/>
                <w:lang w:eastAsia="zh-CN"/>
              </w:rPr>
              <w:t>工程占地及土石方工程</w:t>
            </w:r>
          </w:p>
          <w:p w14:paraId="4418AB61">
            <w:pPr>
              <w:autoSpaceDN w:val="0"/>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eastAsia="zh-CN"/>
              </w:rPr>
              <w:t>（</w:t>
            </w:r>
            <w:r>
              <w:rPr>
                <w:rFonts w:hint="eastAsia" w:cs="Times New Roman"/>
                <w:color w:val="auto"/>
                <w:sz w:val="24"/>
                <w:lang w:val="en-US" w:eastAsia="zh-CN"/>
              </w:rPr>
              <w:t>1</w:t>
            </w:r>
            <w:r>
              <w:rPr>
                <w:rFonts w:hint="eastAsia" w:cs="Times New Roman"/>
                <w:color w:val="auto"/>
                <w:sz w:val="24"/>
                <w:lang w:eastAsia="zh-CN"/>
              </w:rPr>
              <w:t>）</w:t>
            </w:r>
            <w:r>
              <w:rPr>
                <w:rFonts w:hint="eastAsia" w:cs="Times New Roman"/>
                <w:color w:val="auto"/>
                <w:sz w:val="24"/>
                <w:lang w:val="en-US" w:eastAsia="zh-CN"/>
              </w:rPr>
              <w:t>新建变电站工程区</w:t>
            </w:r>
          </w:p>
          <w:p w14:paraId="06A00D1D">
            <w:pPr>
              <w:autoSpaceDN w:val="0"/>
              <w:adjustRightInd w:val="0"/>
              <w:spacing w:line="360" w:lineRule="auto"/>
              <w:ind w:firstLine="480" w:firstLineChars="200"/>
              <w:rPr>
                <w:rFonts w:hint="default" w:ascii="Times New Roman" w:hAnsi="Times New Roman" w:cs="Times New Roman"/>
                <w:color w:val="auto"/>
                <w:sz w:val="24"/>
              </w:rPr>
            </w:pPr>
            <w:r>
              <w:rPr>
                <w:rFonts w:hint="eastAsia" w:cs="Times New Roman"/>
                <w:color w:val="auto"/>
                <w:sz w:val="24"/>
                <w:lang w:val="en-US" w:eastAsia="zh-CN"/>
              </w:rPr>
              <w:t>本工程新建变电站工程区</w:t>
            </w:r>
            <w:r>
              <w:rPr>
                <w:rFonts w:hint="default" w:ascii="Times New Roman" w:hAnsi="Times New Roman" w:cs="Times New Roman"/>
                <w:color w:val="auto"/>
                <w:sz w:val="24"/>
                <w:lang w:val="en-US" w:eastAsia="zh-CN"/>
              </w:rPr>
              <w:t>总占地面积为0.4352hm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，均为永久占地</w:t>
            </w:r>
            <w:r>
              <w:rPr>
                <w:rFonts w:hint="eastAsia" w:cs="Times New Roman"/>
                <w:color w:val="auto"/>
                <w:sz w:val="24"/>
                <w:lang w:val="en-US" w:eastAsia="zh-CN"/>
              </w:rPr>
              <w:t>，主要占地类型为林地、耕地（旱地）</w:t>
            </w:r>
            <w:r>
              <w:rPr>
                <w:rFonts w:hint="default" w:ascii="Times New Roman" w:hAnsi="Times New Roman" w:cs="Times New Roman"/>
                <w:color w:val="auto"/>
                <w:sz w:val="24"/>
                <w:lang w:val="en-US" w:eastAsia="zh-CN"/>
              </w:rPr>
              <w:t>。新建变电站位于沙坪沟钼矿区，变电站施工临时道路依托矿区内主干道及矿区外周边已有市政道路，不新增施工道路</w:t>
            </w:r>
            <w:r>
              <w:rPr>
                <w:rFonts w:hint="eastAsia" w:cs="Times New Roman"/>
                <w:color w:val="auto"/>
                <w:sz w:val="24"/>
                <w:lang w:val="en-US" w:eastAsia="zh-CN"/>
              </w:rPr>
              <w:t>。</w:t>
            </w:r>
          </w:p>
          <w:p w14:paraId="4AA08C66">
            <w:pPr>
              <w:autoSpaceDN w:val="0"/>
              <w:adjustRightInd w:val="0"/>
              <w:spacing w:line="360" w:lineRule="auto"/>
              <w:ind w:firstLine="480" w:firstLineChars="200"/>
              <w:rPr>
                <w:rFonts w:hint="eastAsia" w:cs="Times New Roman"/>
                <w:color w:val="auto"/>
                <w:sz w:val="24"/>
                <w:lang w:eastAsia="zh-CN"/>
              </w:rPr>
            </w:pPr>
            <w:r>
              <w:rPr>
                <w:rFonts w:hint="eastAsia" w:cs="Times New Roman"/>
                <w:color w:val="auto"/>
                <w:sz w:val="24"/>
                <w:lang w:eastAsia="zh-CN"/>
              </w:rPr>
              <w:t>（</w:t>
            </w:r>
            <w:r>
              <w:rPr>
                <w:rFonts w:hint="eastAsia" w:cs="Times New Roman"/>
                <w:color w:val="auto"/>
                <w:sz w:val="24"/>
                <w:lang w:val="en-US" w:eastAsia="zh-CN"/>
              </w:rPr>
              <w:t>2</w:t>
            </w:r>
            <w:r>
              <w:rPr>
                <w:rFonts w:hint="eastAsia" w:cs="Times New Roman"/>
                <w:color w:val="auto"/>
                <w:sz w:val="24"/>
                <w:lang w:eastAsia="zh-CN"/>
              </w:rPr>
              <w:t>）</w:t>
            </w:r>
            <w:r>
              <w:rPr>
                <w:rFonts w:hint="eastAsia" w:cs="Times New Roman"/>
                <w:color w:val="auto"/>
                <w:sz w:val="24"/>
                <w:lang w:val="en-US" w:eastAsia="zh-CN"/>
              </w:rPr>
              <w:t>新建架空输电线路工程区</w:t>
            </w:r>
          </w:p>
          <w:p w14:paraId="243EF576">
            <w:pPr>
              <w:autoSpaceDN w:val="0"/>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①塔基及施工区</w:t>
            </w:r>
          </w:p>
          <w:p w14:paraId="7D5EFFA4">
            <w:pPr>
              <w:autoSpaceDN w:val="0"/>
              <w:adjustRightInd w:val="0"/>
              <w:spacing w:line="360" w:lineRule="auto"/>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根据国家电网有限公司企业标准《输变电工程水土保持技术规程 第1部分：水土保持方案》（Q/GDW11970.1-2023）中架空输电线路占地面积估算原则，角钢塔以塔基根开和立柱宽基础上外扩1m作为塔基永久占地，单回路角钢塔施工区临时占地按（根开+10m）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-永久占地估算，根据主设提供的塔基型式及根开数据表计算</w:t>
            </w:r>
            <w:r>
              <w:rPr>
                <w:rFonts w:hint="eastAsia" w:cs="Times New Roman"/>
                <w:color w:val="auto"/>
                <w:sz w:val="24"/>
                <w:lang w:val="en-US" w:eastAsia="zh-CN"/>
              </w:rPr>
              <w:t>可知</w:t>
            </w:r>
            <w:r>
              <w:rPr>
                <w:rFonts w:hint="default" w:ascii="Times New Roman" w:hAnsi="Times New Roman" w:cs="Times New Roman"/>
                <w:color w:val="auto"/>
                <w:sz w:val="24"/>
                <w:lang w:val="en-US" w:eastAsia="zh-CN"/>
              </w:rPr>
              <w:t>，塔基施工区占地约5.3hm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，其中永久占地</w:t>
            </w:r>
            <w:r>
              <w:rPr>
                <w:rFonts w:hint="eastAsia" w:cs="Times New Roman"/>
                <w:color w:val="auto"/>
                <w:sz w:val="24"/>
                <w:lang w:val="en-US" w:eastAsia="zh-CN"/>
              </w:rPr>
              <w:t>1.34</w:t>
            </w:r>
            <w:r>
              <w:rPr>
                <w:rFonts w:hint="default" w:ascii="Times New Roman" w:hAnsi="Times New Roman" w:cs="Times New Roman"/>
                <w:color w:val="auto"/>
                <w:sz w:val="24"/>
                <w:lang w:val="en-US" w:eastAsia="zh-CN"/>
              </w:rPr>
              <w:t>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，临时占地3.96hm</w:t>
            </w:r>
            <w:r>
              <w:rPr>
                <w:rFonts w:hint="default" w:ascii="Times New Roman" w:hAnsi="Times New Roman" w:cs="Times New Roman"/>
                <w:color w:val="auto"/>
                <w:sz w:val="24"/>
                <w:vertAlign w:val="superscript"/>
                <w:lang w:val="en-US" w:eastAsia="zh-CN"/>
              </w:rPr>
              <w:t>2</w:t>
            </w:r>
            <w:r>
              <w:rPr>
                <w:rFonts w:hint="eastAsia" w:cs="Times New Roman"/>
                <w:color w:val="auto"/>
                <w:sz w:val="24"/>
                <w:lang w:val="en-US" w:eastAsia="zh-CN"/>
              </w:rPr>
              <w:t>，主要占地类型为林地、草地。</w:t>
            </w:r>
          </w:p>
          <w:p w14:paraId="48CD0A25">
            <w:pPr>
              <w:autoSpaceDN w:val="0"/>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eastAsia="zh-CN"/>
              </w:rPr>
              <w:t>（</w:t>
            </w:r>
            <w:r>
              <w:rPr>
                <w:rFonts w:hint="eastAsia" w:cs="Times New Roman"/>
                <w:color w:val="auto"/>
                <w:sz w:val="24"/>
                <w:lang w:val="en-US" w:eastAsia="zh-CN"/>
              </w:rPr>
              <w:t>3</w:t>
            </w:r>
            <w:r>
              <w:rPr>
                <w:rFonts w:hint="eastAsia" w:cs="Times New Roman"/>
                <w:color w:val="auto"/>
                <w:sz w:val="24"/>
                <w:lang w:eastAsia="zh-CN"/>
              </w:rPr>
              <w:t>）</w:t>
            </w:r>
            <w:r>
              <w:rPr>
                <w:rFonts w:hint="eastAsia" w:cs="Times New Roman"/>
                <w:color w:val="auto"/>
                <w:sz w:val="24"/>
                <w:lang w:val="en-US" w:eastAsia="zh-CN"/>
              </w:rPr>
              <w:t>其他临时工程区</w:t>
            </w:r>
          </w:p>
          <w:p w14:paraId="3B3ED550">
            <w:pPr>
              <w:autoSpaceDN w:val="0"/>
              <w:adjustRightIn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①施工生产生活区</w:t>
            </w:r>
          </w:p>
          <w:p w14:paraId="18E67DE5">
            <w:pPr>
              <w:autoSpaceDN w:val="0"/>
              <w:adjustRightIn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施工生产区拟布设于变电站红线范围外东侧道路旁平整地块，占地面积为0.03hm</w:t>
            </w:r>
            <w:r>
              <w:rPr>
                <w:rFonts w:hint="eastAsia" w:cs="Times New Roman"/>
                <w:color w:val="auto"/>
                <w:sz w:val="24"/>
                <w:vertAlign w:val="superscript"/>
                <w:lang w:val="en-US" w:eastAsia="zh-CN"/>
              </w:rPr>
              <w:t>2</w:t>
            </w:r>
            <w:r>
              <w:rPr>
                <w:rFonts w:hint="eastAsia" w:cs="Times New Roman"/>
                <w:color w:val="auto"/>
                <w:sz w:val="24"/>
                <w:lang w:val="en-US" w:eastAsia="zh-CN"/>
              </w:rPr>
              <w:t>，为临时占地。</w:t>
            </w:r>
          </w:p>
          <w:p w14:paraId="58B6795C">
            <w:pPr>
              <w:autoSpaceDN w:val="0"/>
              <w:adjustRightInd w:val="0"/>
              <w:spacing w:line="360" w:lineRule="auto"/>
              <w:ind w:firstLine="480" w:firstLineChars="200"/>
              <w:rPr>
                <w:rFonts w:hint="default" w:ascii="Times New Roman" w:hAnsi="Times New Roman" w:cs="Times New Roman"/>
                <w:color w:val="auto"/>
                <w:sz w:val="24"/>
              </w:rPr>
            </w:pPr>
            <w:r>
              <w:rPr>
                <w:rFonts w:hint="eastAsia" w:cs="Times New Roman"/>
                <w:color w:val="auto"/>
                <w:sz w:val="24"/>
                <w:lang w:val="en-US" w:eastAsia="zh-CN"/>
              </w:rPr>
              <w:t>②</w:t>
            </w:r>
            <w:r>
              <w:rPr>
                <w:rFonts w:hint="default" w:ascii="Times New Roman" w:hAnsi="Times New Roman" w:cs="Times New Roman"/>
                <w:color w:val="auto"/>
                <w:sz w:val="24"/>
                <w:lang w:val="en-US" w:eastAsia="zh-CN"/>
              </w:rPr>
              <w:t>牵张场及跨越场区</w:t>
            </w:r>
          </w:p>
          <w:p w14:paraId="07081F5C">
            <w:pPr>
              <w:autoSpaceDN w:val="0"/>
              <w:adjustRightInd w:val="0"/>
              <w:spacing w:line="360" w:lineRule="auto"/>
              <w:ind w:firstLine="480" w:firstLineChars="200"/>
              <w:rPr>
                <w:rFonts w:hint="default" w:ascii="Times New Roman" w:hAnsi="Times New Roman" w:cs="Times New Roman"/>
                <w:color w:val="auto"/>
                <w:sz w:val="24"/>
              </w:rPr>
            </w:pPr>
            <w:r>
              <w:rPr>
                <w:rFonts w:hint="eastAsia" w:cs="Times New Roman"/>
                <w:color w:val="auto"/>
                <w:sz w:val="24"/>
                <w:lang w:val="en-US" w:eastAsia="zh-CN"/>
              </w:rPr>
              <w:t>本工程输电</w:t>
            </w:r>
            <w:r>
              <w:rPr>
                <w:rFonts w:hint="default" w:ascii="Times New Roman" w:hAnsi="Times New Roman" w:cs="Times New Roman"/>
                <w:color w:val="auto"/>
                <w:sz w:val="24"/>
                <w:lang w:val="en-US" w:eastAsia="zh-CN"/>
              </w:rPr>
              <w:t>线路架设时需要布置牵张场和跨越场，拟规划约15个塔基建设一处牵张场，</w:t>
            </w:r>
            <w:r>
              <w:rPr>
                <w:rFonts w:hint="eastAsia" w:cs="Times New Roman"/>
                <w:color w:val="auto"/>
                <w:sz w:val="24"/>
                <w:lang w:val="en-US" w:eastAsia="zh-CN"/>
              </w:rPr>
              <w:t>本工程</w:t>
            </w:r>
            <w:r>
              <w:rPr>
                <w:rFonts w:hint="default" w:ascii="Times New Roman" w:hAnsi="Times New Roman" w:cs="Times New Roman"/>
                <w:color w:val="auto"/>
                <w:sz w:val="24"/>
                <w:lang w:val="en-US" w:eastAsia="zh-CN"/>
              </w:rPr>
              <w:t>共拟设置11处牵张场，分别布设在古碑-钼矿线路塔基塔号A14~A15、A29~A30、A44~A45、A59~A60、A74~A75、A89~A90、A97~A98和双河-钼矿线路塔基塔号</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14~</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15、</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29~</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30、</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44~</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45、</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59~</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60之间，每处占地400m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，沿线需跨越</w:t>
            </w:r>
            <w:r>
              <w:rPr>
                <w:rFonts w:hint="eastAsia" w:cs="Times New Roman"/>
                <w:color w:val="auto"/>
                <w:sz w:val="24"/>
                <w:lang w:val="en-US" w:eastAsia="zh-CN"/>
              </w:rPr>
              <w:t>公路</w:t>
            </w:r>
            <w:r>
              <w:rPr>
                <w:rFonts w:hint="default" w:ascii="Times New Roman" w:hAnsi="Times New Roman" w:cs="Times New Roman"/>
                <w:color w:val="auto"/>
                <w:sz w:val="24"/>
                <w:lang w:val="en-US" w:eastAsia="zh-CN"/>
              </w:rPr>
              <w:t>、水库</w:t>
            </w:r>
            <w:r>
              <w:rPr>
                <w:rFonts w:hint="eastAsia" w:cs="Times New Roman"/>
                <w:color w:val="auto"/>
                <w:sz w:val="24"/>
                <w:lang w:val="en-US" w:eastAsia="zh-CN"/>
              </w:rPr>
              <w:t>等</w:t>
            </w:r>
            <w:r>
              <w:rPr>
                <w:rFonts w:hint="default" w:ascii="Times New Roman" w:hAnsi="Times New Roman" w:cs="Times New Roman"/>
                <w:color w:val="auto"/>
                <w:sz w:val="24"/>
                <w:lang w:val="en-US" w:eastAsia="zh-CN"/>
              </w:rPr>
              <w:t>，布设跨越场12处，每处占地400m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，牵张场及跨越场区临时占地0.92hm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，为临时占地。</w:t>
            </w:r>
          </w:p>
          <w:p w14:paraId="39AD8417">
            <w:pPr>
              <w:autoSpaceDN w:val="0"/>
              <w:adjustRightIn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③施工临时道路</w:t>
            </w:r>
          </w:p>
          <w:p w14:paraId="3AB0863D">
            <w:pPr>
              <w:autoSpaceDN w:val="0"/>
              <w:adjustRightInd w:val="0"/>
              <w:spacing w:line="360" w:lineRule="auto"/>
              <w:ind w:firstLine="480" w:firstLineChars="200"/>
              <w:rPr>
                <w:rFonts w:hint="default" w:ascii="Times New Roman" w:hAnsi="Times New Roman" w:cs="Times New Roman"/>
                <w:color w:val="auto"/>
                <w:sz w:val="24"/>
                <w:lang w:val="en-US"/>
              </w:rPr>
            </w:pPr>
            <w:r>
              <w:rPr>
                <w:rFonts w:hint="default" w:ascii="Times New Roman" w:hAnsi="Times New Roman" w:cs="Times New Roman"/>
                <w:color w:val="auto"/>
                <w:sz w:val="24"/>
                <w:lang w:val="en-US" w:eastAsia="zh-CN"/>
              </w:rPr>
              <w:t>塔基区施工临时道路大部分利用周边已有市政道路及机耕小路，无法直接到达塔基处，采用骡马托运方式</w:t>
            </w:r>
            <w:r>
              <w:rPr>
                <w:rFonts w:hint="eastAsia" w:cs="Times New Roman"/>
                <w:color w:val="auto"/>
                <w:sz w:val="24"/>
                <w:lang w:val="en-US" w:eastAsia="zh-CN"/>
              </w:rPr>
              <w:t>或无人机</w:t>
            </w:r>
            <w:r>
              <w:rPr>
                <w:rFonts w:hint="default" w:ascii="Times New Roman" w:hAnsi="Times New Roman" w:cs="Times New Roman"/>
                <w:color w:val="auto"/>
                <w:sz w:val="24"/>
                <w:lang w:val="en-US" w:eastAsia="zh-CN"/>
              </w:rPr>
              <w:t>运输施工材料，部分需砍伐乔木开辟施工便道，约有20处需要砍伐乔木开辟新的施工便道，每处施工便道长度约0.2km，宽度3m，则需新开辟施工便道约4km，共计占地面积约1.2hm</w:t>
            </w:r>
            <w:r>
              <w:rPr>
                <w:rFonts w:hint="default" w:ascii="Times New Roman" w:hAnsi="Times New Roman" w:cs="Times New Roman"/>
                <w:color w:val="auto"/>
                <w:sz w:val="24"/>
                <w:vertAlign w:val="superscript"/>
                <w:lang w:val="en-US" w:eastAsia="zh-CN"/>
              </w:rPr>
              <w:t>2</w:t>
            </w:r>
            <w:r>
              <w:rPr>
                <w:rFonts w:hint="eastAsia" w:cs="Times New Roman"/>
                <w:color w:val="auto"/>
                <w:sz w:val="24"/>
                <w:lang w:val="en-US" w:eastAsia="zh-CN"/>
              </w:rPr>
              <w:t>，为临时占地。</w:t>
            </w:r>
          </w:p>
          <w:p w14:paraId="78784A6B">
            <w:pPr>
              <w:autoSpaceDN w:val="0"/>
              <w:adjustRightInd w:val="0"/>
              <w:spacing w:line="360" w:lineRule="auto"/>
              <w:ind w:firstLine="480" w:firstLineChars="200"/>
              <w:rPr>
                <w:rFonts w:hint="eastAsia" w:cs="Times New Roman"/>
                <w:color w:val="auto"/>
                <w:sz w:val="24"/>
                <w:lang w:val="en-US" w:eastAsia="zh-CN"/>
              </w:rPr>
            </w:pPr>
            <w:r>
              <w:rPr>
                <w:rFonts w:hint="eastAsia" w:cs="Times New Roman"/>
                <w:color w:val="auto"/>
                <w:sz w:val="24"/>
                <w:lang w:val="en-US" w:eastAsia="zh-CN"/>
              </w:rPr>
              <w:t>综上所述，项目总占地面积7.8852hm</w:t>
            </w:r>
            <w:r>
              <w:rPr>
                <w:rFonts w:hint="eastAsia" w:cs="Times New Roman"/>
                <w:color w:val="auto"/>
                <w:sz w:val="24"/>
                <w:vertAlign w:val="superscript"/>
                <w:lang w:val="en-US" w:eastAsia="zh-CN"/>
              </w:rPr>
              <w:t>2</w:t>
            </w:r>
            <w:r>
              <w:rPr>
                <w:rFonts w:hint="eastAsia" w:cs="Times New Roman"/>
                <w:color w:val="auto"/>
                <w:sz w:val="24"/>
                <w:lang w:val="en-US" w:eastAsia="zh-CN"/>
              </w:rPr>
              <w:t>，其中永久占地1.7752hm</w:t>
            </w:r>
            <w:r>
              <w:rPr>
                <w:rFonts w:hint="eastAsia" w:cs="Times New Roman"/>
                <w:color w:val="auto"/>
                <w:sz w:val="24"/>
                <w:vertAlign w:val="superscript"/>
                <w:lang w:val="en-US" w:eastAsia="zh-CN"/>
              </w:rPr>
              <w:t>2</w:t>
            </w:r>
            <w:r>
              <w:rPr>
                <w:rFonts w:hint="eastAsia" w:cs="Times New Roman"/>
                <w:color w:val="auto"/>
                <w:sz w:val="24"/>
                <w:lang w:val="en-US" w:eastAsia="zh-CN"/>
              </w:rPr>
              <w:t>，临时占地6.11hm</w:t>
            </w:r>
            <w:r>
              <w:rPr>
                <w:rFonts w:hint="eastAsia" w:cs="Times New Roman"/>
                <w:color w:val="auto"/>
                <w:sz w:val="24"/>
                <w:vertAlign w:val="superscript"/>
                <w:lang w:val="en-US" w:eastAsia="zh-CN"/>
              </w:rPr>
              <w:t>2</w:t>
            </w:r>
            <w:r>
              <w:rPr>
                <w:rFonts w:hint="default" w:ascii="Times New Roman" w:hAnsi="Times New Roman" w:cs="Times New Roman"/>
                <w:color w:val="auto"/>
                <w:sz w:val="24"/>
                <w:lang w:val="en-US" w:eastAsia="zh-CN"/>
              </w:rPr>
              <w:t>。</w:t>
            </w:r>
          </w:p>
          <w:p w14:paraId="2CE933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CN"/>
              </w:rPr>
            </w:pPr>
            <w:r>
              <w:rPr>
                <w:rFonts w:hint="eastAsia" w:cs="Times New Roman"/>
                <w:sz w:val="24"/>
                <w:szCs w:val="24"/>
                <w:lang w:val="en-US" w:eastAsia="zh-CN"/>
              </w:rPr>
              <w:t>（4）</w:t>
            </w:r>
            <w:r>
              <w:rPr>
                <w:rFonts w:hint="default" w:ascii="Times New Roman" w:hAnsi="Times New Roman" w:eastAsia="宋体" w:cs="Times New Roman"/>
                <w:sz w:val="24"/>
                <w:szCs w:val="24"/>
                <w:lang w:eastAsia="zh-CN"/>
              </w:rPr>
              <w:t>土石方工程</w:t>
            </w:r>
          </w:p>
          <w:p w14:paraId="3BD78752">
            <w:pPr>
              <w:spacing w:line="360" w:lineRule="auto"/>
              <w:ind w:firstLine="480" w:firstLineChars="200"/>
              <w:rPr>
                <w:rFonts w:hint="eastAsia"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根据主体设计资料和施工资料，《金寨县沙坪沟钼矿采选项目水土保持报告书》已考虑新建变电站场平工程，本次不再单独计列。</w:t>
            </w:r>
            <w:r>
              <w:rPr>
                <w:rFonts w:hint="eastAsia" w:cs="Times New Roman"/>
                <w:sz w:val="24"/>
                <w:szCs w:val="24"/>
                <w:highlight w:val="none"/>
                <w:lang w:val="en-US" w:eastAsia="zh-CN"/>
              </w:rPr>
              <w:t>本工程</w:t>
            </w:r>
            <w:r>
              <w:rPr>
                <w:rFonts w:hint="default" w:ascii="Times New Roman" w:hAnsi="Times New Roman" w:eastAsia="宋体" w:cs="Times New Roman"/>
                <w:sz w:val="24"/>
                <w:szCs w:val="24"/>
                <w:highlight w:val="none"/>
                <w:lang w:val="en-US" w:eastAsia="zh-CN"/>
              </w:rPr>
              <w:t>主体已考虑构建筑物基础开挖、管线工程基础开</w:t>
            </w:r>
            <w:r>
              <w:rPr>
                <w:rFonts w:hint="eastAsia" w:cs="Times New Roman"/>
                <w:sz w:val="24"/>
                <w:szCs w:val="24"/>
                <w:highlight w:val="none"/>
                <w:lang w:val="en-US" w:eastAsia="zh-CN"/>
              </w:rPr>
              <w:t>挖和</w:t>
            </w:r>
            <w:r>
              <w:rPr>
                <w:rFonts w:hint="default" w:ascii="Times New Roman" w:hAnsi="Times New Roman" w:eastAsia="宋体" w:cs="Times New Roman"/>
                <w:sz w:val="24"/>
                <w:szCs w:val="24"/>
                <w:highlight w:val="none"/>
                <w:lang w:val="en-US" w:eastAsia="zh-CN"/>
              </w:rPr>
              <w:t>塔基工程区基础开挖，未考虑牵张场及跨越施工场区、施工道路区，牵张场及跨越施工场区、施工道路区等以临时占压为主，无土石方开挖，变电站施工生产生活区涉及基础开挖、回填土方等</w:t>
            </w:r>
            <w:r>
              <w:rPr>
                <w:rFonts w:hint="eastAsia" w:cs="Times New Roman"/>
                <w:sz w:val="24"/>
                <w:szCs w:val="24"/>
                <w:highlight w:val="none"/>
                <w:lang w:val="en-US" w:eastAsia="zh-CN"/>
              </w:rPr>
              <w:t>。</w:t>
            </w:r>
          </w:p>
          <w:p w14:paraId="458FB0E7">
            <w:pPr>
              <w:spacing w:line="360" w:lineRule="auto"/>
              <w:ind w:firstLine="480" w:firstLineChars="200"/>
              <w:rPr>
                <w:rFonts w:hint="eastAsia" w:cs="Times New Roman"/>
                <w:sz w:val="24"/>
                <w:szCs w:val="24"/>
                <w:highlight w:val="none"/>
                <w:lang w:val="en-US" w:eastAsia="zh-CN"/>
              </w:rPr>
            </w:pPr>
            <w:r>
              <w:rPr>
                <w:rFonts w:hint="eastAsia" w:cs="Times New Roman"/>
                <w:sz w:val="24"/>
                <w:szCs w:val="24"/>
                <w:highlight w:val="none"/>
                <w:lang w:val="en-US" w:eastAsia="zh-CN"/>
              </w:rPr>
              <w:t>施工生产生活区：本工程变电站工程施工生产生活区布设在新建变电站工程区外矿区主干道旁平整空地上，占地面积0.03hm</w:t>
            </w:r>
            <w:r>
              <w:rPr>
                <w:rFonts w:hint="eastAsia" w:cs="Times New Roman"/>
                <w:sz w:val="24"/>
                <w:szCs w:val="24"/>
                <w:highlight w:val="none"/>
                <w:vertAlign w:val="superscript"/>
                <w:lang w:val="en-US" w:eastAsia="zh-CN"/>
              </w:rPr>
              <w:t>2</w:t>
            </w:r>
            <w:r>
              <w:rPr>
                <w:rFonts w:hint="eastAsia" w:cs="Times New Roman"/>
                <w:sz w:val="24"/>
                <w:szCs w:val="24"/>
                <w:highlight w:val="none"/>
                <w:lang w:val="en-US" w:eastAsia="zh-CN"/>
              </w:rPr>
              <w:t>，基础开挖挖方约0.01万m</w:t>
            </w:r>
            <w:r>
              <w:rPr>
                <w:rFonts w:hint="eastAsia" w:cs="Times New Roman"/>
                <w:sz w:val="24"/>
                <w:szCs w:val="24"/>
                <w:highlight w:val="none"/>
                <w:vertAlign w:val="superscript"/>
                <w:lang w:val="en-US" w:eastAsia="zh-CN"/>
              </w:rPr>
              <w:t>3</w:t>
            </w:r>
            <w:r>
              <w:rPr>
                <w:rFonts w:hint="eastAsia" w:cs="Times New Roman"/>
                <w:sz w:val="24"/>
                <w:szCs w:val="24"/>
                <w:highlight w:val="none"/>
                <w:lang w:val="en-US" w:eastAsia="zh-CN"/>
              </w:rPr>
              <w:t>，全部用于基础回填土。</w:t>
            </w:r>
          </w:p>
          <w:p w14:paraId="4A1F1AA7">
            <w:pPr>
              <w:spacing w:line="360" w:lineRule="auto"/>
              <w:ind w:firstLine="480" w:firstLineChars="200"/>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根据该项目水土保持方案文件可知本工程</w:t>
            </w:r>
            <w:r>
              <w:rPr>
                <w:rFonts w:hint="default" w:ascii="Times New Roman" w:hAnsi="Times New Roman" w:eastAsia="宋体" w:cs="Times New Roman"/>
                <w:sz w:val="24"/>
                <w:szCs w:val="24"/>
                <w:highlight w:val="none"/>
                <w:lang w:val="en-US" w:eastAsia="zh-CN"/>
              </w:rPr>
              <w:t>变电站</w:t>
            </w:r>
            <w:r>
              <w:rPr>
                <w:rFonts w:hint="eastAsia" w:cs="Times New Roman"/>
                <w:sz w:val="24"/>
                <w:szCs w:val="24"/>
                <w:highlight w:val="none"/>
                <w:lang w:val="en-US" w:eastAsia="zh-CN"/>
              </w:rPr>
              <w:t>工程</w:t>
            </w:r>
            <w:r>
              <w:rPr>
                <w:rFonts w:hint="default" w:ascii="Times New Roman" w:hAnsi="Times New Roman" w:eastAsia="宋体" w:cs="Times New Roman"/>
                <w:sz w:val="24"/>
                <w:szCs w:val="24"/>
                <w:highlight w:val="none"/>
                <w:lang w:val="en-US" w:eastAsia="zh-CN"/>
              </w:rPr>
              <w:t>土石方总挖方</w:t>
            </w:r>
            <w:r>
              <w:rPr>
                <w:rFonts w:hint="eastAsia" w:cs="Times New Roman"/>
                <w:sz w:val="24"/>
                <w:szCs w:val="24"/>
                <w:highlight w:val="none"/>
                <w:lang w:val="en-US" w:eastAsia="zh-CN"/>
              </w:rPr>
              <w:t>0.16</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，总填方</w:t>
            </w:r>
            <w:r>
              <w:rPr>
                <w:rFonts w:hint="eastAsia" w:cs="Times New Roman"/>
                <w:sz w:val="24"/>
                <w:szCs w:val="24"/>
                <w:highlight w:val="none"/>
                <w:lang w:val="en-US" w:eastAsia="zh-CN"/>
              </w:rPr>
              <w:t>0.11</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，借方</w:t>
            </w:r>
            <w:r>
              <w:rPr>
                <w:rFonts w:hint="eastAsia" w:cs="Times New Roman"/>
                <w:sz w:val="24"/>
                <w:szCs w:val="24"/>
                <w:highlight w:val="none"/>
                <w:lang w:val="en-US" w:eastAsia="zh-CN"/>
              </w:rPr>
              <w:t>0</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，余方</w:t>
            </w:r>
            <w:r>
              <w:rPr>
                <w:rFonts w:hint="eastAsia" w:cs="Times New Roman"/>
                <w:sz w:val="24"/>
                <w:szCs w:val="24"/>
                <w:highlight w:val="none"/>
                <w:lang w:val="en-US" w:eastAsia="zh-CN"/>
              </w:rPr>
              <w:t>0.05</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eastAsia" w:cs="Times New Roman"/>
                <w:sz w:val="24"/>
                <w:szCs w:val="24"/>
                <w:highlight w:val="none"/>
                <w:lang w:val="en-US" w:eastAsia="zh-CN"/>
              </w:rPr>
              <w:t>；输电线路工程</w:t>
            </w:r>
            <w:r>
              <w:rPr>
                <w:rFonts w:hint="default" w:ascii="Times New Roman" w:hAnsi="Times New Roman" w:eastAsia="宋体" w:cs="Times New Roman"/>
                <w:sz w:val="24"/>
                <w:szCs w:val="24"/>
                <w:highlight w:val="none"/>
                <w:lang w:val="en-US" w:eastAsia="zh-CN"/>
              </w:rPr>
              <w:t>土石方总挖方</w:t>
            </w:r>
            <w:r>
              <w:rPr>
                <w:rFonts w:hint="eastAsia" w:cs="Times New Roman"/>
                <w:sz w:val="24"/>
                <w:szCs w:val="24"/>
                <w:highlight w:val="none"/>
                <w:lang w:val="en-US" w:eastAsia="zh-CN"/>
              </w:rPr>
              <w:t>1.08</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，总填方</w:t>
            </w:r>
            <w:r>
              <w:rPr>
                <w:rFonts w:hint="eastAsia" w:cs="Times New Roman"/>
                <w:sz w:val="24"/>
                <w:szCs w:val="24"/>
                <w:highlight w:val="none"/>
                <w:lang w:val="en-US" w:eastAsia="zh-CN"/>
              </w:rPr>
              <w:t>1.02</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，借方</w:t>
            </w:r>
            <w:r>
              <w:rPr>
                <w:rFonts w:hint="eastAsia" w:cs="Times New Roman"/>
                <w:sz w:val="24"/>
                <w:szCs w:val="24"/>
                <w:highlight w:val="none"/>
                <w:lang w:val="en-US" w:eastAsia="zh-CN"/>
              </w:rPr>
              <w:t>0</w:t>
            </w:r>
            <w:r>
              <w:rPr>
                <w:rFonts w:hint="default" w:ascii="Times New Roman" w:hAnsi="Times New Roman" w:eastAsia="宋体" w:cs="Times New Roman"/>
                <w:sz w:val="24"/>
                <w:szCs w:val="24"/>
                <w:highlight w:val="none"/>
                <w:lang w:val="en-US" w:eastAsia="zh-CN"/>
              </w:rPr>
              <w:t>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，余方</w:t>
            </w:r>
            <w:r>
              <w:rPr>
                <w:rFonts w:hint="eastAsia" w:cs="Times New Roman"/>
                <w:sz w:val="24"/>
                <w:szCs w:val="24"/>
                <w:highlight w:val="none"/>
                <w:lang w:val="en-US" w:eastAsia="zh-CN"/>
              </w:rPr>
              <w:t>0.06</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eastAsia" w:cs="Times New Roman"/>
                <w:sz w:val="24"/>
                <w:szCs w:val="24"/>
                <w:highlight w:val="none"/>
                <w:lang w:val="en-US" w:eastAsia="zh-CN"/>
              </w:rPr>
              <w:t>；</w:t>
            </w:r>
          </w:p>
          <w:p w14:paraId="39B92A0A">
            <w:pPr>
              <w:spacing w:line="360" w:lineRule="auto"/>
              <w:ind w:firstLine="480" w:firstLineChars="200"/>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综上所述，本工程</w:t>
            </w:r>
            <w:r>
              <w:rPr>
                <w:rFonts w:hint="default" w:ascii="Times New Roman" w:hAnsi="Times New Roman" w:eastAsia="宋体" w:cs="Times New Roman"/>
                <w:sz w:val="24"/>
                <w:szCs w:val="24"/>
                <w:highlight w:val="none"/>
                <w:lang w:val="en-US" w:eastAsia="zh-CN"/>
              </w:rPr>
              <w:t>变电站工程区、</w:t>
            </w:r>
            <w:r>
              <w:rPr>
                <w:rFonts w:hint="eastAsia" w:cs="Times New Roman"/>
                <w:sz w:val="24"/>
                <w:szCs w:val="24"/>
                <w:highlight w:val="none"/>
                <w:lang w:val="en-US" w:eastAsia="zh-CN"/>
              </w:rPr>
              <w:t>输电线路工程区总挖方为1.24万m</w:t>
            </w:r>
            <w:r>
              <w:rPr>
                <w:rFonts w:hint="eastAsia" w:cs="Times New Roman"/>
                <w:sz w:val="24"/>
                <w:szCs w:val="24"/>
                <w:highlight w:val="none"/>
                <w:vertAlign w:val="superscript"/>
                <w:lang w:val="en-US" w:eastAsia="zh-CN"/>
              </w:rPr>
              <w:t>3</w:t>
            </w:r>
            <w:r>
              <w:rPr>
                <w:rFonts w:hint="eastAsia" w:cs="Times New Roman"/>
                <w:sz w:val="24"/>
                <w:szCs w:val="24"/>
                <w:highlight w:val="none"/>
                <w:lang w:val="en-US" w:eastAsia="zh-CN"/>
              </w:rPr>
              <w:t>，填方1.13万m</w:t>
            </w:r>
            <w:r>
              <w:rPr>
                <w:rFonts w:hint="eastAsia" w:cs="Times New Roman"/>
                <w:sz w:val="24"/>
                <w:szCs w:val="24"/>
                <w:highlight w:val="none"/>
                <w:vertAlign w:val="superscript"/>
                <w:lang w:val="en-US" w:eastAsia="zh-CN"/>
              </w:rPr>
              <w:t>3</w:t>
            </w:r>
            <w:r>
              <w:rPr>
                <w:rFonts w:hint="eastAsia"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借方</w:t>
            </w:r>
            <w:r>
              <w:rPr>
                <w:rFonts w:hint="eastAsia" w:cs="Times New Roman"/>
                <w:sz w:val="24"/>
                <w:szCs w:val="24"/>
                <w:highlight w:val="none"/>
                <w:lang w:val="en-US" w:eastAsia="zh-CN"/>
              </w:rPr>
              <w:t>0</w:t>
            </w:r>
            <w:r>
              <w:rPr>
                <w:rFonts w:hint="default" w:ascii="Times New Roman" w:hAnsi="Times New Roman" w:eastAsia="宋体" w:cs="Times New Roman"/>
                <w:sz w:val="24"/>
                <w:szCs w:val="24"/>
                <w:highlight w:val="none"/>
                <w:lang w:val="en-US" w:eastAsia="zh-CN"/>
              </w:rPr>
              <w:t>万m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w:t>
            </w:r>
            <w:r>
              <w:rPr>
                <w:rFonts w:hint="eastAsia" w:cs="Times New Roman"/>
                <w:sz w:val="24"/>
                <w:szCs w:val="24"/>
                <w:highlight w:val="none"/>
                <w:lang w:val="en-US" w:eastAsia="zh-CN"/>
              </w:rPr>
              <w:t>余方0.11万m</w:t>
            </w:r>
            <w:r>
              <w:rPr>
                <w:rFonts w:hint="eastAsia" w:cs="Times New Roman"/>
                <w:sz w:val="24"/>
                <w:szCs w:val="24"/>
                <w:highlight w:val="none"/>
                <w:vertAlign w:val="superscript"/>
                <w:lang w:val="en-US" w:eastAsia="zh-CN"/>
              </w:rPr>
              <w:t>3</w:t>
            </w:r>
            <w:r>
              <w:rPr>
                <w:rFonts w:hint="eastAsia" w:cs="Times New Roman"/>
                <w:sz w:val="24"/>
                <w:szCs w:val="24"/>
                <w:highlight w:val="none"/>
                <w:lang w:val="en-US" w:eastAsia="zh-CN"/>
              </w:rPr>
              <w:t>，余方摊平在施工场地及塔基四周。</w:t>
            </w:r>
          </w:p>
          <w:p w14:paraId="12014A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highlight w:val="none"/>
                <w:lang w:eastAsia="zh-CN"/>
              </w:rPr>
            </w:pPr>
            <w:r>
              <w:rPr>
                <w:rFonts w:hint="eastAsia" w:ascii="Times New Roman" w:hAnsi="Times New Roman" w:eastAsia="宋体"/>
                <w:b/>
                <w:bCs/>
                <w:color w:val="auto"/>
                <w:sz w:val="21"/>
                <w:szCs w:val="21"/>
                <w:highlight w:val="none"/>
                <w:lang w:val="en-US" w:eastAsia="zh-CN"/>
              </w:rPr>
              <w:t>表</w:t>
            </w:r>
            <w:r>
              <w:rPr>
                <w:rFonts w:hint="eastAsia"/>
                <w:b/>
                <w:bCs/>
                <w:color w:val="auto"/>
                <w:sz w:val="21"/>
                <w:szCs w:val="21"/>
                <w:highlight w:val="none"/>
                <w:lang w:val="en-US" w:eastAsia="zh-CN"/>
              </w:rPr>
              <w:t>2-7</w:t>
            </w:r>
            <w:r>
              <w:rPr>
                <w:rFonts w:hint="eastAsia" w:ascii="Times New Roman" w:hAnsi="Times New Roman" w:eastAsia="宋体"/>
                <w:b/>
                <w:bCs/>
                <w:color w:val="auto"/>
                <w:sz w:val="21"/>
                <w:szCs w:val="21"/>
                <w:highlight w:val="none"/>
                <w:lang w:val="en-US" w:eastAsia="zh-CN"/>
              </w:rPr>
              <w:t xml:space="preserve"> </w:t>
            </w:r>
            <w:r>
              <w:rPr>
                <w:rFonts w:hint="eastAsia"/>
                <w:b/>
                <w:bCs/>
                <w:color w:val="auto"/>
                <w:sz w:val="21"/>
                <w:szCs w:val="21"/>
                <w:highlight w:val="none"/>
                <w:lang w:val="en-US" w:eastAsia="zh-CN"/>
              </w:rPr>
              <w:t xml:space="preserve"> </w:t>
            </w:r>
            <w:r>
              <w:rPr>
                <w:rFonts w:hint="eastAsia" w:ascii="Times New Roman" w:hAnsi="Times New Roman" w:eastAsia="宋体"/>
                <w:b/>
                <w:bCs/>
                <w:color w:val="auto"/>
                <w:sz w:val="21"/>
                <w:szCs w:val="21"/>
                <w:highlight w:val="none"/>
                <w:lang w:val="en-US" w:eastAsia="zh-CN"/>
              </w:rPr>
              <w:t xml:space="preserve">土石方平衡表 </w:t>
            </w:r>
            <w:r>
              <w:rPr>
                <w:rFonts w:hint="eastAsia"/>
                <w:b/>
                <w:bCs/>
                <w:color w:val="auto"/>
                <w:sz w:val="21"/>
                <w:szCs w:val="21"/>
                <w:highlight w:val="none"/>
                <w:lang w:val="en-US" w:eastAsia="zh-CN"/>
              </w:rPr>
              <w:t xml:space="preserve">   </w:t>
            </w:r>
            <w:r>
              <w:rPr>
                <w:rFonts w:hint="eastAsia" w:ascii="Times New Roman" w:hAnsi="Times New Roman" w:eastAsia="宋体"/>
                <w:b/>
                <w:bCs/>
                <w:color w:val="auto"/>
                <w:sz w:val="21"/>
                <w:szCs w:val="21"/>
                <w:highlight w:val="none"/>
                <w:lang w:val="en-US" w:eastAsia="zh-CN"/>
              </w:rPr>
              <w:t>单位：</w:t>
            </w:r>
            <w:r>
              <w:rPr>
                <w:rFonts w:hint="eastAsia"/>
                <w:b/>
                <w:bCs/>
                <w:color w:val="auto"/>
                <w:sz w:val="21"/>
                <w:szCs w:val="21"/>
                <w:highlight w:val="none"/>
                <w:lang w:val="en-US" w:eastAsia="zh-CN"/>
              </w:rPr>
              <w:t>万</w:t>
            </w:r>
            <w:r>
              <w:rPr>
                <w:rFonts w:hint="eastAsia" w:ascii="Times New Roman" w:hAnsi="Times New Roman" w:eastAsia="宋体"/>
                <w:b/>
                <w:bCs/>
                <w:color w:val="auto"/>
                <w:sz w:val="21"/>
                <w:szCs w:val="21"/>
                <w:highlight w:val="none"/>
                <w:lang w:val="en-US" w:eastAsia="zh-CN"/>
              </w:rPr>
              <w:t>m</w:t>
            </w:r>
            <w:r>
              <w:rPr>
                <w:rFonts w:hint="eastAsia" w:ascii="Times New Roman" w:hAnsi="Times New Roman" w:eastAsia="宋体"/>
                <w:b/>
                <w:bCs/>
                <w:color w:val="auto"/>
                <w:sz w:val="21"/>
                <w:szCs w:val="21"/>
                <w:highlight w:val="none"/>
                <w:vertAlign w:val="superscript"/>
                <w:lang w:val="en-US" w:eastAsia="zh-CN"/>
              </w:rPr>
              <w:t>3</w:t>
            </w:r>
          </w:p>
          <w:tbl>
            <w:tblPr>
              <w:tblStyle w:val="38"/>
              <w:tblW w:w="4998" w:type="pct"/>
              <w:tblInd w:w="-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26"/>
              <w:gridCol w:w="1534"/>
              <w:gridCol w:w="1613"/>
              <w:gridCol w:w="1598"/>
              <w:gridCol w:w="1584"/>
            </w:tblGrid>
            <w:tr w14:paraId="26312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505" w:type="pct"/>
                  <w:vAlign w:val="center"/>
                </w:tcPr>
                <w:p w14:paraId="4A8D07E8">
                  <w:pPr>
                    <w:spacing w:line="240" w:lineRule="auto"/>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val="en-US" w:eastAsia="zh-CN"/>
                    </w:rPr>
                    <w:t>项目分区</w:t>
                  </w:r>
                </w:p>
              </w:tc>
              <w:tc>
                <w:tcPr>
                  <w:tcW w:w="847" w:type="pct"/>
                  <w:vAlign w:val="center"/>
                </w:tcPr>
                <w:p w14:paraId="1CC5894D">
                  <w:pPr>
                    <w:spacing w:line="240" w:lineRule="auto"/>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val="en-US" w:eastAsia="zh-CN"/>
                    </w:rPr>
                    <w:t>挖方</w:t>
                  </w:r>
                </w:p>
              </w:tc>
              <w:tc>
                <w:tcPr>
                  <w:tcW w:w="890" w:type="pct"/>
                  <w:vAlign w:val="center"/>
                </w:tcPr>
                <w:p w14:paraId="77965859">
                  <w:pPr>
                    <w:spacing w:line="240" w:lineRule="auto"/>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val="en-US" w:eastAsia="zh-CN"/>
                    </w:rPr>
                    <w:t>填方</w:t>
                  </w:r>
                </w:p>
              </w:tc>
              <w:tc>
                <w:tcPr>
                  <w:tcW w:w="882" w:type="pct"/>
                  <w:vAlign w:val="center"/>
                </w:tcPr>
                <w:p w14:paraId="150D3C1F">
                  <w:pPr>
                    <w:spacing w:line="240" w:lineRule="auto"/>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val="en-US" w:eastAsia="zh-CN"/>
                    </w:rPr>
                    <w:t>借方</w:t>
                  </w:r>
                </w:p>
              </w:tc>
              <w:tc>
                <w:tcPr>
                  <w:tcW w:w="874" w:type="pct"/>
                  <w:vAlign w:val="center"/>
                </w:tcPr>
                <w:p w14:paraId="77263577">
                  <w:pPr>
                    <w:spacing w:line="240" w:lineRule="auto"/>
                    <w:jc w:val="center"/>
                    <w:rPr>
                      <w:rFonts w:hint="default" w:ascii="Times New Roman" w:hAnsi="Times New Roman" w:eastAsia="宋体" w:cs="Times New Roman"/>
                      <w:b/>
                      <w:bCs/>
                      <w:sz w:val="21"/>
                      <w:szCs w:val="21"/>
                      <w:highlight w:val="none"/>
                      <w:vertAlign w:val="baseline"/>
                      <w:lang w:eastAsia="zh-CN"/>
                    </w:rPr>
                  </w:pPr>
                  <w:r>
                    <w:rPr>
                      <w:rFonts w:hint="eastAsia" w:cs="Times New Roman"/>
                      <w:b/>
                      <w:bCs/>
                      <w:sz w:val="21"/>
                      <w:szCs w:val="21"/>
                      <w:highlight w:val="none"/>
                      <w:vertAlign w:val="baseline"/>
                      <w:lang w:val="en-US" w:eastAsia="zh-CN"/>
                    </w:rPr>
                    <w:t>余方</w:t>
                  </w:r>
                </w:p>
              </w:tc>
            </w:tr>
            <w:tr w14:paraId="3A6F7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505" w:type="pct"/>
                  <w:vAlign w:val="center"/>
                </w:tcPr>
                <w:p w14:paraId="7D9C9DE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主体工程区</w:t>
                  </w:r>
                  <w:r>
                    <w:rPr>
                      <w:rFonts w:hint="eastAsia" w:cs="Times New Roman"/>
                      <w:sz w:val="21"/>
                      <w:szCs w:val="21"/>
                      <w:highlight w:val="none"/>
                      <w:vertAlign w:val="baseline"/>
                      <w:lang w:val="en-US" w:eastAsia="zh-CN"/>
                    </w:rPr>
                    <w:t>-变电站工程</w:t>
                  </w:r>
                </w:p>
              </w:tc>
              <w:tc>
                <w:tcPr>
                  <w:tcW w:w="847" w:type="pct"/>
                  <w:vAlign w:val="center"/>
                </w:tcPr>
                <w:p w14:paraId="2E45AA0C">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0.16</w:t>
                  </w:r>
                </w:p>
              </w:tc>
              <w:tc>
                <w:tcPr>
                  <w:tcW w:w="890" w:type="pct"/>
                  <w:vAlign w:val="center"/>
                </w:tcPr>
                <w:p w14:paraId="528C8AD9">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0.11</w:t>
                  </w:r>
                </w:p>
              </w:tc>
              <w:tc>
                <w:tcPr>
                  <w:tcW w:w="882" w:type="pct"/>
                  <w:vAlign w:val="center"/>
                </w:tcPr>
                <w:p w14:paraId="14384F90">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w:t>
                  </w:r>
                </w:p>
              </w:tc>
              <w:tc>
                <w:tcPr>
                  <w:tcW w:w="874" w:type="pct"/>
                  <w:vAlign w:val="center"/>
                </w:tcPr>
                <w:p w14:paraId="63A97957">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0.05</w:t>
                  </w:r>
                </w:p>
              </w:tc>
            </w:tr>
            <w:tr w14:paraId="38D44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505" w:type="pct"/>
                  <w:vAlign w:val="center"/>
                </w:tcPr>
                <w:p w14:paraId="3519BF3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主体工程区</w:t>
                  </w:r>
                  <w:r>
                    <w:rPr>
                      <w:rFonts w:hint="eastAsia" w:cs="Times New Roman"/>
                      <w:sz w:val="21"/>
                      <w:szCs w:val="21"/>
                      <w:highlight w:val="none"/>
                      <w:vertAlign w:val="baseline"/>
                      <w:lang w:val="en-US" w:eastAsia="zh-CN"/>
                    </w:rPr>
                    <w:t>-输电线路工程</w:t>
                  </w:r>
                </w:p>
              </w:tc>
              <w:tc>
                <w:tcPr>
                  <w:tcW w:w="847" w:type="pct"/>
                  <w:vAlign w:val="center"/>
                </w:tcPr>
                <w:p w14:paraId="7DBF81C6">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1.08</w:t>
                  </w:r>
                </w:p>
              </w:tc>
              <w:tc>
                <w:tcPr>
                  <w:tcW w:w="890" w:type="pct"/>
                  <w:vAlign w:val="center"/>
                </w:tcPr>
                <w:p w14:paraId="1EFDF9DE">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1.02</w:t>
                  </w:r>
                </w:p>
              </w:tc>
              <w:tc>
                <w:tcPr>
                  <w:tcW w:w="882" w:type="pct"/>
                  <w:vAlign w:val="center"/>
                </w:tcPr>
                <w:p w14:paraId="71744529">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w:t>
                  </w:r>
                </w:p>
              </w:tc>
              <w:tc>
                <w:tcPr>
                  <w:tcW w:w="874" w:type="pct"/>
                  <w:vAlign w:val="center"/>
                </w:tcPr>
                <w:p w14:paraId="28C9298A">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0.06</w:t>
                  </w:r>
                </w:p>
              </w:tc>
            </w:tr>
            <w:tr w14:paraId="75277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505" w:type="pct"/>
                  <w:vAlign w:val="center"/>
                </w:tcPr>
                <w:p w14:paraId="1BEA71F0">
                  <w:pPr>
                    <w:spacing w:line="240" w:lineRule="auto"/>
                    <w:jc w:val="center"/>
                    <w:rPr>
                      <w:rFonts w:hint="default" w:ascii="Times New Roman" w:hAnsi="Times New Roman" w:eastAsia="宋体" w:cs="Times New Roman"/>
                      <w:sz w:val="21"/>
                      <w:szCs w:val="21"/>
                      <w:highlight w:val="none"/>
                      <w:vertAlign w:val="baseline"/>
                      <w:lang w:eastAsia="zh-CN"/>
                    </w:rPr>
                  </w:pPr>
                  <w:r>
                    <w:rPr>
                      <w:rFonts w:hint="eastAsia" w:cs="Times New Roman"/>
                      <w:sz w:val="21"/>
                      <w:szCs w:val="21"/>
                      <w:highlight w:val="none"/>
                      <w:vertAlign w:val="baseline"/>
                      <w:lang w:val="en-US" w:eastAsia="zh-CN"/>
                    </w:rPr>
                    <w:t>合计</w:t>
                  </w:r>
                </w:p>
              </w:tc>
              <w:tc>
                <w:tcPr>
                  <w:tcW w:w="847" w:type="pct"/>
                  <w:vAlign w:val="center"/>
                </w:tcPr>
                <w:p w14:paraId="466A6C0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1.24</w:t>
                  </w:r>
                </w:p>
              </w:tc>
              <w:tc>
                <w:tcPr>
                  <w:tcW w:w="890" w:type="pct"/>
                  <w:vAlign w:val="center"/>
                </w:tcPr>
                <w:p w14:paraId="2FCF1F58">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1.13</w:t>
                  </w:r>
                </w:p>
              </w:tc>
              <w:tc>
                <w:tcPr>
                  <w:tcW w:w="882" w:type="pct"/>
                  <w:vAlign w:val="center"/>
                </w:tcPr>
                <w:p w14:paraId="13CD2200">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w:t>
                  </w:r>
                </w:p>
              </w:tc>
              <w:tc>
                <w:tcPr>
                  <w:tcW w:w="874" w:type="pct"/>
                  <w:vAlign w:val="center"/>
                </w:tcPr>
                <w:p w14:paraId="6C72B68F">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0.11</w:t>
                  </w:r>
                </w:p>
              </w:tc>
            </w:tr>
          </w:tbl>
          <w:p w14:paraId="09207058">
            <w:pPr>
              <w:spacing w:line="360" w:lineRule="auto"/>
              <w:ind w:firstLine="420" w:firstLineChars="200"/>
              <w:rPr>
                <w:rFonts w:hint="eastAsia" w:ascii="Times New Roman" w:hAnsi="Times New Roman" w:eastAsia="宋体"/>
                <w:sz w:val="21"/>
                <w:szCs w:val="21"/>
                <w:lang w:val="en-US" w:eastAsia="zh-CN"/>
              </w:rPr>
            </w:pPr>
            <w:r>
              <w:rPr>
                <w:rFonts w:hint="eastAsia" w:ascii="Times New Roman" w:hAnsi="Times New Roman" w:eastAsia="宋体"/>
                <w:sz w:val="21"/>
                <w:szCs w:val="21"/>
                <w:lang w:eastAsia="zh-CN"/>
              </w:rPr>
              <w:t>备注：</w:t>
            </w:r>
            <w:r>
              <w:rPr>
                <w:rFonts w:hint="eastAsia" w:ascii="Times New Roman" w:hAnsi="Times New Roman" w:eastAsia="宋体"/>
                <w:sz w:val="21"/>
                <w:szCs w:val="21"/>
                <w:lang w:val="en-US" w:eastAsia="zh-CN"/>
              </w:rPr>
              <w:t>借方</w:t>
            </w:r>
            <w:r>
              <w:rPr>
                <w:rFonts w:hint="eastAsia"/>
                <w:sz w:val="21"/>
                <w:szCs w:val="21"/>
                <w:lang w:val="en-US" w:eastAsia="zh-CN"/>
              </w:rPr>
              <w:t>+挖方</w:t>
            </w:r>
            <w:r>
              <w:rPr>
                <w:rFonts w:hint="eastAsia" w:ascii="Times New Roman" w:hAnsi="Times New Roman" w:eastAsia="宋体"/>
                <w:sz w:val="21"/>
                <w:szCs w:val="21"/>
                <w:lang w:eastAsia="zh-CN"/>
              </w:rPr>
              <w:t>=</w:t>
            </w:r>
            <w:r>
              <w:rPr>
                <w:rFonts w:hint="eastAsia" w:ascii="Times New Roman" w:hAnsi="Times New Roman" w:eastAsia="宋体"/>
                <w:sz w:val="21"/>
                <w:szCs w:val="21"/>
                <w:lang w:val="en-US" w:eastAsia="zh-CN"/>
              </w:rPr>
              <w:t>填方</w:t>
            </w:r>
            <w:r>
              <w:rPr>
                <w:rFonts w:hint="eastAsia"/>
                <w:sz w:val="21"/>
                <w:szCs w:val="21"/>
                <w:lang w:val="en-US" w:eastAsia="zh-CN"/>
              </w:rPr>
              <w:t>+余方</w:t>
            </w:r>
          </w:p>
          <w:p w14:paraId="0A9546D4">
            <w:pPr>
              <w:spacing w:line="360" w:lineRule="auto"/>
              <w:ind w:firstLine="0" w:firstLineChars="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2.6</w:t>
            </w:r>
            <w:r>
              <w:rPr>
                <w:rFonts w:hint="default" w:ascii="Times New Roman" w:hAnsi="Times New Roman" w:eastAsia="宋体" w:cs="Times New Roman"/>
                <w:b/>
                <w:bCs/>
                <w:sz w:val="24"/>
                <w:szCs w:val="24"/>
                <w:lang w:val="en-US" w:eastAsia="zh-CN"/>
              </w:rPr>
              <w:t>、劳动定员及班制</w:t>
            </w:r>
          </w:p>
          <w:p w14:paraId="45FD25BA">
            <w:pPr>
              <w:widowControl/>
              <w:spacing w:line="360" w:lineRule="auto"/>
              <w:ind w:firstLine="480" w:firstLineChars="200"/>
              <w:jc w:val="left"/>
              <w:rPr>
                <w:rFonts w:hint="default" w:ascii="Times New Roman" w:hAnsi="Times New Roman" w:eastAsia="宋体" w:cs="Times New Roman"/>
                <w:color w:val="auto"/>
                <w:sz w:val="24"/>
                <w:szCs w:val="24"/>
                <w:lang w:val="en-US" w:eastAsia="zh-CN"/>
              </w:rPr>
            </w:pPr>
            <w:r>
              <w:rPr>
                <w:rFonts w:hint="eastAsia" w:ascii="宋体" w:hAnsi="宋体" w:cs="宋体"/>
                <w:color w:val="000000"/>
                <w:kern w:val="0"/>
                <w:sz w:val="24"/>
                <w:szCs w:val="24"/>
                <w:lang w:val="en-US" w:eastAsia="zh-CN" w:bidi="ar"/>
              </w:rPr>
              <w:t>本工程</w:t>
            </w:r>
            <w:r>
              <w:rPr>
                <w:rFonts w:hint="eastAsia" w:ascii="宋体" w:hAnsi="宋体" w:eastAsia="宋体" w:cs="宋体"/>
                <w:color w:val="000000"/>
                <w:kern w:val="0"/>
                <w:sz w:val="24"/>
                <w:szCs w:val="24"/>
                <w:lang w:val="en-US" w:eastAsia="zh-CN" w:bidi="ar"/>
              </w:rPr>
              <w:t>定</w:t>
            </w:r>
            <w:r>
              <w:rPr>
                <w:rFonts w:hint="default" w:ascii="Times New Roman" w:hAnsi="Times New Roman" w:eastAsia="宋体" w:cs="Times New Roman"/>
                <w:color w:val="000000"/>
                <w:kern w:val="0"/>
                <w:sz w:val="24"/>
                <w:szCs w:val="24"/>
                <w:lang w:val="en-US" w:eastAsia="zh-CN" w:bidi="ar"/>
              </w:rPr>
              <w:t>员</w:t>
            </w:r>
            <w:r>
              <w:rPr>
                <w:rFonts w:hint="default" w:ascii="Times New Roman" w:hAnsi="Times New Roman" w:cs="Times New Roman"/>
                <w:color w:val="000000"/>
                <w:kern w:val="0"/>
                <w:sz w:val="24"/>
                <w:szCs w:val="24"/>
                <w:lang w:val="en-US" w:eastAsia="zh-CN" w:bidi="ar"/>
              </w:rPr>
              <w:t>6人</w:t>
            </w:r>
            <w:r>
              <w:rPr>
                <w:rFonts w:hint="eastAsia" w:ascii="宋体" w:hAnsi="宋体" w:eastAsia="宋体" w:cs="宋体"/>
                <w:color w:val="000000"/>
                <w:kern w:val="0"/>
                <w:sz w:val="24"/>
                <w:szCs w:val="24"/>
                <w:lang w:val="en-US" w:eastAsia="zh-CN" w:bidi="ar"/>
              </w:rPr>
              <w:t>。</w:t>
            </w:r>
            <w:r>
              <w:rPr>
                <w:rFonts w:hint="eastAsia" w:cs="Times New Roman"/>
                <w:color w:val="auto"/>
                <w:sz w:val="24"/>
                <w:szCs w:val="24"/>
                <w:lang w:val="en-US" w:eastAsia="zh-CN"/>
              </w:rPr>
              <w:t>本工程</w:t>
            </w:r>
            <w:r>
              <w:rPr>
                <w:rFonts w:hint="default" w:ascii="Times New Roman" w:hAnsi="Times New Roman" w:eastAsia="宋体" w:cs="Times New Roman"/>
                <w:color w:val="auto"/>
                <w:sz w:val="24"/>
                <w:szCs w:val="24"/>
                <w:lang w:val="en-US" w:eastAsia="zh-CN"/>
              </w:rPr>
              <w:t>年工作天数为365天，</w:t>
            </w:r>
            <w:r>
              <w:rPr>
                <w:rFonts w:hint="eastAsia" w:cs="Times New Roman"/>
                <w:color w:val="auto"/>
                <w:sz w:val="24"/>
                <w:szCs w:val="24"/>
                <w:lang w:val="en-US" w:eastAsia="zh-CN"/>
              </w:rPr>
              <w:t>每天</w:t>
            </w:r>
            <w:r>
              <w:rPr>
                <w:rFonts w:hint="default" w:ascii="Times New Roman" w:hAnsi="Times New Roman" w:eastAsia="宋体" w:cs="Times New Roman"/>
                <w:color w:val="auto"/>
                <w:sz w:val="24"/>
                <w:szCs w:val="24"/>
                <w:lang w:val="en-US" w:eastAsia="zh-CN"/>
              </w:rPr>
              <w:t>采用</w:t>
            </w:r>
            <w:r>
              <w:rPr>
                <w:rFonts w:hint="eastAsia" w:cs="Times New Roman"/>
                <w:color w:val="auto"/>
                <w:sz w:val="24"/>
                <w:szCs w:val="24"/>
                <w:lang w:val="en-US" w:eastAsia="zh-CN"/>
              </w:rPr>
              <w:t>三</w:t>
            </w:r>
            <w:r>
              <w:rPr>
                <w:rFonts w:hint="default" w:ascii="Times New Roman" w:hAnsi="Times New Roman" w:eastAsia="宋体" w:cs="Times New Roman"/>
                <w:color w:val="auto"/>
                <w:sz w:val="24"/>
                <w:szCs w:val="24"/>
                <w:lang w:val="en-US" w:eastAsia="zh-CN"/>
              </w:rPr>
              <w:t>班制，每班工作</w:t>
            </w:r>
            <w:r>
              <w:rPr>
                <w:rFonts w:hint="eastAsia" w:cs="Times New Roman"/>
                <w:color w:val="auto"/>
                <w:sz w:val="24"/>
                <w:szCs w:val="24"/>
                <w:lang w:val="en-US" w:eastAsia="zh-CN"/>
              </w:rPr>
              <w:t>8</w:t>
            </w:r>
            <w:r>
              <w:rPr>
                <w:rFonts w:hint="default" w:ascii="Times New Roman" w:hAnsi="Times New Roman" w:eastAsia="宋体" w:cs="Times New Roman"/>
                <w:color w:val="auto"/>
                <w:sz w:val="24"/>
                <w:szCs w:val="24"/>
                <w:lang w:val="en-US" w:eastAsia="zh-CN"/>
              </w:rPr>
              <w:t>小时。</w:t>
            </w:r>
          </w:p>
          <w:p w14:paraId="1F14B8B9">
            <w:pPr>
              <w:pStyle w:val="56"/>
              <w:ind w:firstLine="0"/>
              <w:rPr>
                <w:rFonts w:hint="eastAsia" w:ascii="Times New Roman" w:hAnsi="Times New Roman" w:eastAsia="宋体" w:cs="Times New Roman"/>
                <w:color w:val="auto"/>
                <w:sz w:val="24"/>
                <w:szCs w:val="24"/>
                <w:lang w:val="en-US" w:eastAsia="zh-CN"/>
              </w:rPr>
            </w:pPr>
          </w:p>
        </w:tc>
      </w:tr>
      <w:tr w14:paraId="34E0E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5" w:type="pct"/>
            <w:vAlign w:val="center"/>
          </w:tcPr>
          <w:p w14:paraId="306DC6EB">
            <w:pPr>
              <w:adjustRightInd w:val="0"/>
              <w:snapToGrid w:val="0"/>
              <w:rPr>
                <w:b/>
                <w:bCs/>
                <w:sz w:val="24"/>
                <w:szCs w:val="24"/>
              </w:rPr>
            </w:pPr>
            <w:bookmarkStart w:id="37" w:name="_Toc291067360"/>
            <w:bookmarkStart w:id="38" w:name="_Toc291067359"/>
            <w:r>
              <w:rPr>
                <w:rFonts w:hint="eastAsia"/>
                <w:b/>
                <w:bCs/>
                <w:sz w:val="24"/>
                <w:szCs w:val="24"/>
              </w:rPr>
              <w:t>总平面及现场布置</w:t>
            </w:r>
          </w:p>
        </w:tc>
        <w:tc>
          <w:tcPr>
            <w:tcW w:w="4754" w:type="pct"/>
          </w:tcPr>
          <w:p w14:paraId="50187B30">
            <w:pPr>
              <w:widowControl/>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2.7</w:t>
            </w:r>
            <w:r>
              <w:rPr>
                <w:rFonts w:hint="default" w:ascii="Times New Roman" w:hAnsi="Times New Roman" w:eastAsia="宋体" w:cs="Times New Roman"/>
                <w:b/>
                <w:bCs/>
                <w:sz w:val="24"/>
                <w:szCs w:val="24"/>
              </w:rPr>
              <w:t>、</w:t>
            </w:r>
            <w:r>
              <w:rPr>
                <w:rFonts w:hint="eastAsia" w:cs="Times New Roman"/>
                <w:b/>
                <w:bCs/>
                <w:sz w:val="24"/>
                <w:szCs w:val="24"/>
                <w:lang w:val="en-US" w:eastAsia="zh-CN"/>
              </w:rPr>
              <w:t>变电站工程</w:t>
            </w:r>
          </w:p>
          <w:p w14:paraId="157782EB">
            <w:pPr>
              <w:pStyle w:val="21"/>
              <w:spacing w:before="0" w:line="360" w:lineRule="auto"/>
              <w:ind w:left="0" w:leftChars="0" w:firstLine="496" w:firstLineChars="200"/>
              <w:rPr>
                <w:rFonts w:hint="default" w:ascii="Times New Roman" w:hAnsi="Times New Roman"/>
                <w:lang w:val="en-US" w:eastAsia="zh-CN"/>
              </w:rPr>
            </w:pPr>
            <w:r>
              <w:rPr>
                <w:rFonts w:hint="eastAsia" w:ascii="Times New Roman" w:hAnsi="Times New Roman" w:cs="Times New Roman"/>
                <w:lang w:val="en-US" w:eastAsia="zh-CN"/>
              </w:rPr>
              <w:t>本工程</w:t>
            </w:r>
            <w:r>
              <w:rPr>
                <w:rFonts w:hint="default" w:ascii="Times New Roman" w:hAnsi="Times New Roman"/>
                <w:lang w:val="en-US" w:eastAsia="zh-CN"/>
              </w:rPr>
              <w:t>拟建110kV变电站站区</w:t>
            </w:r>
            <w:r>
              <w:rPr>
                <w:rFonts w:hint="default" w:ascii="Times New Roman" w:hAnsi="Times New Roman" w:eastAsia="宋体" w:cs="Times New Roman"/>
                <w:sz w:val="24"/>
                <w:szCs w:val="24"/>
                <w:lang w:val="en-US" w:eastAsia="zh-CN"/>
              </w:rPr>
              <w:t>围墙</w:t>
            </w:r>
            <w:r>
              <w:rPr>
                <w:rFonts w:hint="default" w:ascii="Times New Roman" w:hAnsi="Times New Roman" w:cs="Times New Roman"/>
                <w:sz w:val="24"/>
                <w:szCs w:val="24"/>
                <w:lang w:val="en-US" w:eastAsia="zh-CN"/>
              </w:rPr>
              <w:t>长270m</w:t>
            </w:r>
            <w:r>
              <w:rPr>
                <w:rFonts w:hint="default" w:ascii="Times New Roman" w:hAnsi="Times New Roman" w:eastAsia="宋体" w:cs="Times New Roman"/>
                <w:sz w:val="24"/>
                <w:szCs w:val="24"/>
                <w:lang w:val="en-US" w:eastAsia="zh-CN"/>
              </w:rPr>
              <w:t>，围墙内占地</w:t>
            </w:r>
            <w:r>
              <w:rPr>
                <w:rFonts w:hint="default" w:ascii="Times New Roman" w:hAnsi="Times New Roman" w:cs="Times New Roman"/>
                <w:sz w:val="24"/>
                <w:szCs w:val="24"/>
                <w:lang w:val="en-US" w:eastAsia="zh-CN"/>
              </w:rPr>
              <w:t>0.3752</w:t>
            </w:r>
            <w:r>
              <w:rPr>
                <w:rFonts w:hint="default" w:ascii="Times New Roman" w:hAnsi="Times New Roman" w:eastAsia="宋体" w:cs="Times New Roman"/>
                <w:sz w:val="24"/>
                <w:szCs w:val="24"/>
                <w:lang w:val="en-US" w:eastAsia="zh-CN"/>
              </w:rPr>
              <w:t>hm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，围墙高度为</w:t>
            </w:r>
            <w:r>
              <w:rPr>
                <w:rFonts w:hint="default" w:ascii="Times New Roman" w:hAnsi="Times New Roman" w:cs="Times New Roman"/>
                <w:sz w:val="24"/>
                <w:szCs w:val="24"/>
                <w:lang w:val="en-US" w:eastAsia="zh-CN"/>
              </w:rPr>
              <w:t>2.5</w:t>
            </w:r>
            <w:r>
              <w:rPr>
                <w:rFonts w:hint="default" w:ascii="Times New Roman" w:hAnsi="Times New Roman" w:eastAsia="宋体" w:cs="Times New Roman"/>
                <w:sz w:val="24"/>
                <w:szCs w:val="24"/>
                <w:lang w:val="en-US" w:eastAsia="zh-CN"/>
              </w:rPr>
              <w:t>m</w:t>
            </w:r>
            <w:r>
              <w:rPr>
                <w:rFonts w:hint="default" w:ascii="Times New Roman" w:hAnsi="Times New Roman" w:cs="Times New Roman"/>
                <w:sz w:val="24"/>
                <w:szCs w:val="24"/>
                <w:lang w:val="en-US" w:eastAsia="zh-CN"/>
              </w:rPr>
              <w:t>。</w:t>
            </w:r>
            <w:r>
              <w:rPr>
                <w:rFonts w:hint="default" w:ascii="Times New Roman" w:hAnsi="Times New Roman"/>
                <w:lang w:val="en-US" w:eastAsia="zh-CN"/>
              </w:rPr>
              <w:t>变电站平面布置紧凑合理，各建（构）筑物之间防火间距按规范要求执行。变电站主入口设在东侧，配电装置室布置在站区中间位置，3台主变紧邻配电装置室</w:t>
            </w:r>
            <w:r>
              <w:rPr>
                <w:rFonts w:hint="eastAsia" w:ascii="Times New Roman" w:hAnsi="Times New Roman" w:cs="Times New Roman"/>
                <w:lang w:val="en-US" w:eastAsia="zh-CN"/>
              </w:rPr>
              <w:t>西南侧</w:t>
            </w:r>
            <w:r>
              <w:rPr>
                <w:rFonts w:hint="default" w:ascii="Times New Roman" w:hAnsi="Times New Roman"/>
                <w:lang w:val="en-US" w:eastAsia="zh-CN"/>
              </w:rPr>
              <w:t>布置，</w:t>
            </w:r>
            <w:r>
              <w:rPr>
                <w:rFonts w:hint="default" w:ascii="Times New Roman" w:hAnsi="Times New Roman" w:eastAsia="宋体" w:cs="Times New Roman"/>
                <w:snapToGrid w:val="0"/>
                <w:color w:val="000000"/>
                <w:spacing w:val="10"/>
                <w:kern w:val="0"/>
                <w:sz w:val="24"/>
                <w:szCs w:val="24"/>
                <w:lang w:val="en-US" w:eastAsia="zh-CN"/>
              </w:rPr>
              <w:t>采用</w:t>
            </w:r>
            <w:r>
              <w:rPr>
                <w:rFonts w:hint="eastAsia" w:ascii="Times New Roman" w:hAnsi="Times New Roman" w:cs="Times New Roman"/>
                <w:snapToGrid w:val="0"/>
                <w:color w:val="000000"/>
                <w:spacing w:val="10"/>
                <w:kern w:val="0"/>
                <w:sz w:val="24"/>
                <w:szCs w:val="24"/>
                <w:lang w:val="en-US" w:eastAsia="zh-CN"/>
              </w:rPr>
              <w:t>单侧</w:t>
            </w:r>
            <w:r>
              <w:rPr>
                <w:rFonts w:hint="eastAsia" w:ascii="Times New Roman" w:hAnsi="Times New Roman" w:eastAsia="宋体" w:cs="Times New Roman"/>
                <w:snapToGrid w:val="0"/>
                <w:color w:val="000000"/>
                <w:spacing w:val="10"/>
                <w:kern w:val="0"/>
                <w:sz w:val="24"/>
                <w:szCs w:val="24"/>
                <w:lang w:val="en-US" w:eastAsia="zh-CN"/>
              </w:rPr>
              <w:t>敞开式</w:t>
            </w:r>
            <w:r>
              <w:rPr>
                <w:rFonts w:hint="eastAsia" w:ascii="Times New Roman" w:hAnsi="Times New Roman" w:cs="Times New Roman"/>
                <w:snapToGrid w:val="0"/>
                <w:color w:val="000000"/>
                <w:spacing w:val="10"/>
                <w:kern w:val="0"/>
                <w:sz w:val="24"/>
                <w:szCs w:val="24"/>
                <w:lang w:val="en-US" w:eastAsia="zh-CN"/>
              </w:rPr>
              <w:t>户</w:t>
            </w:r>
            <w:r>
              <w:rPr>
                <w:rFonts w:hint="eastAsia" w:ascii="Times New Roman" w:hAnsi="Times New Roman" w:eastAsia="宋体" w:cs="Times New Roman"/>
                <w:snapToGrid w:val="0"/>
                <w:color w:val="000000"/>
                <w:spacing w:val="10"/>
                <w:kern w:val="0"/>
                <w:sz w:val="24"/>
                <w:szCs w:val="24"/>
                <w:lang w:val="en-US" w:eastAsia="zh-CN"/>
              </w:rPr>
              <w:t>外</w:t>
            </w:r>
            <w:r>
              <w:rPr>
                <w:rFonts w:hint="default" w:ascii="Times New Roman" w:hAnsi="Times New Roman" w:eastAsia="宋体" w:cs="Times New Roman"/>
                <w:snapToGrid w:val="0"/>
                <w:color w:val="000000"/>
                <w:spacing w:val="10"/>
                <w:kern w:val="0"/>
                <w:sz w:val="24"/>
                <w:szCs w:val="24"/>
                <w:lang w:val="en-US" w:eastAsia="zh-CN"/>
              </w:rPr>
              <w:t>布置</w:t>
            </w:r>
            <w:r>
              <w:rPr>
                <w:rFonts w:hint="default" w:ascii="Times New Roman" w:hAnsi="Times New Roman"/>
                <w:lang w:val="en-US" w:eastAsia="zh-CN"/>
              </w:rPr>
              <w:t>。配电装置室四周设环形道路</w:t>
            </w:r>
            <w:r>
              <w:rPr>
                <w:rFonts w:hint="eastAsia" w:ascii="Times New Roman" w:hAnsi="Times New Roman"/>
                <w:lang w:val="en-US" w:eastAsia="zh-CN"/>
              </w:rPr>
              <w:t>，</w:t>
            </w:r>
            <w:r>
              <w:rPr>
                <w:rFonts w:hint="default" w:ascii="Times New Roman" w:hAnsi="Times New Roman"/>
                <w:lang w:val="en-US" w:eastAsia="zh-CN"/>
              </w:rPr>
              <w:t>消防</w:t>
            </w:r>
            <w:r>
              <w:rPr>
                <w:rFonts w:hint="eastAsia" w:ascii="Times New Roman" w:hAnsi="Times New Roman" w:cs="Times New Roman"/>
                <w:lang w:val="en-US" w:eastAsia="zh-CN"/>
              </w:rPr>
              <w:t>水</w:t>
            </w:r>
            <w:r>
              <w:rPr>
                <w:rFonts w:hint="default" w:ascii="Times New Roman" w:hAnsi="Times New Roman"/>
                <w:lang w:val="en-US" w:eastAsia="zh-CN"/>
              </w:rPr>
              <w:t>泵房布置在站区西侧</w:t>
            </w:r>
            <w:r>
              <w:rPr>
                <w:rFonts w:hint="eastAsia" w:ascii="Times New Roman" w:hAnsi="Times New Roman"/>
                <w:lang w:val="en-US" w:eastAsia="zh-CN"/>
              </w:rPr>
              <w:t>，</w:t>
            </w:r>
            <w:r>
              <w:rPr>
                <w:rFonts w:hint="default" w:ascii="Times New Roman" w:hAnsi="Times New Roman"/>
                <w:lang w:val="en-US" w:eastAsia="zh-CN"/>
              </w:rPr>
              <w:t>事故油池布置在站区的</w:t>
            </w:r>
            <w:r>
              <w:rPr>
                <w:rFonts w:hint="eastAsia" w:ascii="Times New Roman" w:hAnsi="Times New Roman" w:cs="Times New Roman"/>
                <w:lang w:val="en-US" w:eastAsia="zh-CN"/>
              </w:rPr>
              <w:t>西</w:t>
            </w:r>
            <w:r>
              <w:rPr>
                <w:rFonts w:hint="default" w:ascii="Times New Roman" w:hAnsi="Times New Roman"/>
                <w:lang w:val="en-US" w:eastAsia="zh-CN"/>
              </w:rPr>
              <w:t>南角</w:t>
            </w:r>
            <w:r>
              <w:rPr>
                <w:rFonts w:hint="default" w:ascii="Times New Roman" w:hAnsi="Times New Roman" w:cs="Times New Roman"/>
                <w:lang w:val="en-US" w:eastAsia="zh-CN"/>
              </w:rPr>
              <w:t>。变电站场地内部</w:t>
            </w:r>
            <w:r>
              <w:rPr>
                <w:rFonts w:hint="eastAsia" w:ascii="Times New Roman" w:hAnsi="Times New Roman" w:cs="Times New Roman"/>
                <w:lang w:val="en-US" w:eastAsia="zh-CN"/>
              </w:rPr>
              <w:t>环状</w:t>
            </w:r>
            <w:r>
              <w:rPr>
                <w:rFonts w:hint="default" w:ascii="Times New Roman" w:hAnsi="Times New Roman" w:cs="Times New Roman"/>
                <w:lang w:val="en-US" w:eastAsia="zh-CN"/>
              </w:rPr>
              <w:t>道路宽度为4m，采用城市型沥青单坡路面形式，结构层：150mm密级配沥青混凝土，370mm稳定骨架粒料层，180mm稳定土层</w:t>
            </w:r>
            <w:r>
              <w:rPr>
                <w:rFonts w:hint="eastAsia" w:ascii="Times New Roman" w:hAnsi="Times New Roman" w:cs="Times New Roman"/>
                <w:lang w:val="en-US" w:eastAsia="zh-CN"/>
              </w:rPr>
              <w:t>，</w:t>
            </w:r>
            <w:r>
              <w:rPr>
                <w:rFonts w:hint="default" w:ascii="Times New Roman" w:hAnsi="Times New Roman"/>
                <w:lang w:val="en-US" w:eastAsia="zh-CN"/>
              </w:rPr>
              <w:t>能满足大型电气设备运输车和消防车通行。变电站总平面布置图见附图</w:t>
            </w:r>
            <w:r>
              <w:rPr>
                <w:rFonts w:hint="eastAsia" w:ascii="Times New Roman" w:hAnsi="Times New Roman"/>
                <w:lang w:val="en-US" w:eastAsia="zh-CN"/>
              </w:rPr>
              <w:t>3-1、3-2、3-3、3-4</w:t>
            </w:r>
            <w:r>
              <w:rPr>
                <w:rFonts w:hint="default" w:ascii="Times New Roman" w:hAnsi="Times New Roman"/>
                <w:lang w:val="en-US" w:eastAsia="zh-CN"/>
              </w:rPr>
              <w:t>。</w:t>
            </w:r>
          </w:p>
          <w:p w14:paraId="6665A76A">
            <w:pPr>
              <w:pStyle w:val="57"/>
              <w:keepNext w:val="0"/>
              <w:keepLines w:val="0"/>
              <w:pageBreakBefore w:val="0"/>
              <w:tabs>
                <w:tab w:val="left" w:pos="3601"/>
              </w:tabs>
              <w:kinsoku/>
              <w:wordWrap/>
              <w:overflowPunct/>
              <w:topLinePunct w:val="0"/>
              <w:autoSpaceDE/>
              <w:autoSpaceDN/>
              <w:bidi w:val="0"/>
              <w:adjustRightInd/>
              <w:snapToGrid/>
              <w:spacing w:afterLines="0"/>
              <w:ind w:firstLine="0" w:firstLineChars="0"/>
              <w:textAlignment w:val="auto"/>
              <w:rPr>
                <w:rFonts w:hint="default" w:eastAsia="宋体"/>
                <w:lang w:val="en-US" w:eastAsia="zh-CN"/>
              </w:rPr>
            </w:pPr>
            <w:r>
              <w:rPr>
                <w:rFonts w:hint="eastAsia" w:cs="Times New Roman"/>
                <w:b/>
                <w:bCs/>
                <w:sz w:val="24"/>
                <w:szCs w:val="24"/>
                <w:lang w:val="en-US" w:eastAsia="zh-CN"/>
              </w:rPr>
              <w:t>2.8、架空线路工程</w:t>
            </w:r>
          </w:p>
          <w:p w14:paraId="548DB70C">
            <w:pPr>
              <w:pStyle w:val="57"/>
              <w:keepNext w:val="0"/>
              <w:keepLines w:val="0"/>
              <w:pageBreakBefore w:val="0"/>
              <w:kinsoku/>
              <w:wordWrap/>
              <w:overflowPunct/>
              <w:topLinePunct w:val="0"/>
              <w:autoSpaceDE/>
              <w:autoSpaceDN/>
              <w:bidi w:val="0"/>
              <w:adjustRightInd/>
              <w:snapToGrid/>
              <w:spacing w:afterLines="0"/>
              <w:textAlignment w:val="auto"/>
              <w:rPr>
                <w:rFonts w:hint="default" w:cs="Times New Roman"/>
                <w:sz w:val="24"/>
                <w:szCs w:val="24"/>
                <w:lang w:val="en-US" w:eastAsia="zh-CN"/>
              </w:rPr>
            </w:pPr>
            <w:r>
              <w:rPr>
                <w:rFonts w:hint="eastAsia" w:cs="Times New Roman"/>
                <w:sz w:val="24"/>
                <w:szCs w:val="24"/>
                <w:lang w:val="en-US" w:eastAsia="zh-CN"/>
              </w:rPr>
              <w:t>1、双河110kV变电站110kV钼矿间隔扩建工程</w:t>
            </w:r>
          </w:p>
          <w:p w14:paraId="311C04E1">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z w:val="24"/>
                <w:szCs w:val="24"/>
                <w:lang w:val="en-US" w:eastAsia="zh-CN"/>
              </w:rPr>
            </w:pPr>
            <w:r>
              <w:rPr>
                <w:rFonts w:hint="eastAsia" w:cs="Times New Roman"/>
                <w:sz w:val="24"/>
                <w:szCs w:val="24"/>
                <w:lang w:val="en-US" w:eastAsia="zh-CN"/>
              </w:rPr>
              <w:t>双河110kV变电站为已投运常规变电站，双河110kV变电站主变为户外型布置，已建设2台主变，主变区位于站区中部，南北向排列。110kV配电装置布置在站区东侧，向东架空出线4回（</w:t>
            </w:r>
            <w:r>
              <w:rPr>
                <w:rFonts w:hint="eastAsia" w:ascii="Times New Roman" w:hAnsi="Times New Roman" w:eastAsia="宋体" w:cs="Times New Roman"/>
                <w:snapToGrid w:val="0"/>
                <w:color w:val="000000"/>
                <w:spacing w:val="10"/>
                <w:szCs w:val="24"/>
                <w:lang w:val="en-US" w:eastAsia="zh-CN"/>
              </w:rPr>
              <w:t>红石</w:t>
            </w:r>
            <w:r>
              <w:rPr>
                <w:rFonts w:hint="eastAsia" w:cs="Times New Roman"/>
                <w:snapToGrid w:val="0"/>
                <w:color w:val="000000"/>
                <w:spacing w:val="10"/>
                <w:szCs w:val="24"/>
                <w:lang w:val="en-US" w:eastAsia="zh-CN"/>
              </w:rPr>
              <w:t>1</w:t>
            </w:r>
            <w:r>
              <w:rPr>
                <w:rFonts w:hint="eastAsia" w:cs="Times New Roman"/>
                <w:sz w:val="24"/>
                <w:szCs w:val="24"/>
                <w:lang w:val="en-US" w:eastAsia="zh-CN"/>
              </w:rPr>
              <w:t>回，</w:t>
            </w:r>
            <w:r>
              <w:rPr>
                <w:rFonts w:hint="eastAsia" w:ascii="Times New Roman" w:hAnsi="Times New Roman" w:eastAsia="宋体" w:cs="Times New Roman"/>
                <w:snapToGrid w:val="0"/>
                <w:color w:val="000000"/>
                <w:spacing w:val="10"/>
                <w:szCs w:val="24"/>
                <w:lang w:val="en-US" w:eastAsia="zh-CN"/>
              </w:rPr>
              <w:t>南溪</w:t>
            </w:r>
            <w:r>
              <w:rPr>
                <w:rFonts w:hint="eastAsia" w:cs="Times New Roman"/>
                <w:snapToGrid w:val="0"/>
                <w:color w:val="000000"/>
                <w:spacing w:val="10"/>
                <w:szCs w:val="24"/>
                <w:lang w:val="en-US" w:eastAsia="zh-CN"/>
              </w:rPr>
              <w:t>1</w:t>
            </w:r>
            <w:r>
              <w:rPr>
                <w:rFonts w:hint="eastAsia" w:cs="Times New Roman"/>
                <w:sz w:val="24"/>
                <w:szCs w:val="24"/>
                <w:lang w:val="en-US" w:eastAsia="zh-CN"/>
              </w:rPr>
              <w:t>回，备用2回）。</w:t>
            </w:r>
          </w:p>
          <w:p w14:paraId="47F1D679">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z w:val="24"/>
                <w:szCs w:val="24"/>
                <w:lang w:val="en-US" w:eastAsia="zh-CN"/>
              </w:rPr>
            </w:pPr>
            <w:r>
              <w:rPr>
                <w:rFonts w:hint="eastAsia" w:cs="Times New Roman"/>
                <w:sz w:val="24"/>
                <w:szCs w:val="24"/>
                <w:lang w:val="en-US" w:eastAsia="zh-CN"/>
              </w:rPr>
              <w:t>本期扩建1个110kV出线间隔（钼矿），利用北起第一出线间隔，接线型式不变。本期间隔扩建工程在双河110kV变电站110kV配电装置区预留位置进行，不新征用地。</w:t>
            </w:r>
          </w:p>
          <w:p w14:paraId="00CB3891">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napToGrid w:val="0"/>
                <w:color w:val="000000"/>
                <w:spacing w:val="10"/>
                <w:kern w:val="0"/>
                <w:sz w:val="24"/>
                <w:szCs w:val="24"/>
                <w:lang w:val="en-US" w:eastAsia="zh-CN"/>
              </w:rPr>
            </w:pPr>
            <w:r>
              <w:rPr>
                <w:rFonts w:hint="eastAsia" w:cs="Times New Roman"/>
                <w:sz w:val="24"/>
                <w:szCs w:val="24"/>
                <w:lang w:val="en-US" w:eastAsia="zh-CN"/>
              </w:rPr>
              <w:t>2、</w:t>
            </w:r>
            <w:r>
              <w:rPr>
                <w:rFonts w:hint="eastAsia" w:cs="Times New Roman"/>
                <w:snapToGrid w:val="0"/>
                <w:color w:val="000000"/>
                <w:spacing w:val="10"/>
                <w:kern w:val="0"/>
                <w:sz w:val="24"/>
                <w:szCs w:val="24"/>
                <w:lang w:val="en-US" w:eastAsia="zh-CN"/>
              </w:rPr>
              <w:t>古碑-钼矿</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变电站线路工程</w:t>
            </w:r>
          </w:p>
          <w:p w14:paraId="15765391">
            <w:pPr>
              <w:pStyle w:val="57"/>
              <w:keepNext w:val="0"/>
              <w:keepLines w:val="0"/>
              <w:pageBreakBefore w:val="0"/>
              <w:kinsoku/>
              <w:wordWrap/>
              <w:overflowPunct/>
              <w:topLinePunct w:val="0"/>
              <w:autoSpaceDE/>
              <w:autoSpaceDN/>
              <w:bidi w:val="0"/>
              <w:adjustRightInd/>
              <w:snapToGrid/>
              <w:spacing w:afterLines="0"/>
              <w:textAlignment w:val="auto"/>
              <w:rPr>
                <w:rFonts w:hint="default" w:cs="Times New Roman"/>
                <w:snapToGrid w:val="0"/>
                <w:color w:val="000000"/>
                <w:spacing w:val="10"/>
                <w:kern w:val="0"/>
                <w:sz w:val="24"/>
                <w:szCs w:val="24"/>
                <w:lang w:val="en-US" w:eastAsia="zh-CN"/>
              </w:rPr>
            </w:pPr>
            <w:r>
              <w:rPr>
                <w:rFonts w:hint="eastAsia" w:cs="Times New Roman"/>
                <w:sz w:val="24"/>
                <w:szCs w:val="24"/>
                <w:lang w:eastAsia="zh-CN"/>
              </w:rPr>
              <w:t>（</w:t>
            </w:r>
            <w:r>
              <w:rPr>
                <w:rFonts w:hint="eastAsia" w:cs="Times New Roman"/>
                <w:sz w:val="24"/>
                <w:szCs w:val="24"/>
                <w:lang w:val="en-US" w:eastAsia="zh-CN"/>
              </w:rPr>
              <w:t>1</w:t>
            </w:r>
            <w:r>
              <w:rPr>
                <w:rFonts w:hint="eastAsia" w:cs="Times New Roman"/>
                <w:sz w:val="24"/>
                <w:szCs w:val="24"/>
                <w:lang w:eastAsia="zh-CN"/>
              </w:rPr>
              <w:t>）</w:t>
            </w:r>
            <w:r>
              <w:rPr>
                <w:rFonts w:hint="eastAsia" w:cs="Times New Roman"/>
                <w:sz w:val="24"/>
                <w:szCs w:val="24"/>
                <w:lang w:val="en-US" w:eastAsia="zh-CN"/>
              </w:rPr>
              <w:t>线路路径</w:t>
            </w:r>
          </w:p>
          <w:p w14:paraId="59CB995A">
            <w:pPr>
              <w:pStyle w:val="57"/>
              <w:keepNext w:val="0"/>
              <w:keepLines w:val="0"/>
              <w:pageBreakBefore w:val="0"/>
              <w:kinsoku/>
              <w:wordWrap/>
              <w:overflowPunct/>
              <w:topLinePunct w:val="0"/>
              <w:autoSpaceDE/>
              <w:autoSpaceDN/>
              <w:bidi w:val="0"/>
              <w:adjustRightInd/>
              <w:snapToGrid/>
              <w:spacing w:afterLines="0"/>
              <w:textAlignment w:val="auto"/>
              <w:rPr>
                <w:rFonts w:hint="eastAsia"/>
                <w:color w:val="auto"/>
                <w:spacing w:val="0"/>
                <w:szCs w:val="24"/>
                <w:highlight w:val="none"/>
                <w:lang w:val="en-US" w:eastAsia="zh-CN"/>
              </w:rPr>
            </w:pPr>
            <w:r>
              <w:rPr>
                <w:rFonts w:hint="eastAsia" w:hAnsi="宋体"/>
                <w:color w:val="auto"/>
                <w:spacing w:val="0"/>
                <w:szCs w:val="24"/>
                <w:highlight w:val="none"/>
                <w:lang w:val="en-US" w:eastAsia="zh-CN"/>
              </w:rPr>
              <w:t>本工程线路自</w:t>
            </w:r>
            <w:r>
              <w:rPr>
                <w:rFonts w:hint="eastAsia"/>
                <w:color w:val="auto"/>
                <w:spacing w:val="0"/>
                <w:szCs w:val="24"/>
                <w:highlight w:val="none"/>
                <w:lang w:val="en-US" w:eastAsia="zh-CN"/>
              </w:rPr>
              <w:t>220kV古碑变110kV构架</w:t>
            </w:r>
            <w:r>
              <w:rPr>
                <w:rFonts w:hint="eastAsia" w:hAnsi="宋体"/>
                <w:color w:val="auto"/>
                <w:spacing w:val="0"/>
                <w:szCs w:val="24"/>
                <w:highlight w:val="none"/>
                <w:lang w:val="en-US" w:eastAsia="zh-CN"/>
              </w:rPr>
              <w:t>（</w:t>
            </w:r>
            <w:r>
              <w:rPr>
                <w:rFonts w:hint="eastAsia"/>
                <w:color w:val="auto"/>
                <w:spacing w:val="0"/>
                <w:szCs w:val="24"/>
                <w:highlight w:val="none"/>
                <w:lang w:val="en-US" w:eastAsia="zh-CN"/>
              </w:rPr>
              <w:t>西</w:t>
            </w:r>
            <w:r>
              <w:rPr>
                <w:rFonts w:hint="eastAsia" w:hAnsi="宋体"/>
                <w:color w:val="auto"/>
                <w:spacing w:val="0"/>
                <w:szCs w:val="24"/>
                <w:highlight w:val="none"/>
                <w:lang w:val="en-US" w:eastAsia="zh-CN"/>
              </w:rPr>
              <w:t>起第三线路间隔）起，</w:t>
            </w:r>
            <w:r>
              <w:rPr>
                <w:rFonts w:hint="eastAsia"/>
                <w:color w:val="auto"/>
                <w:spacing w:val="0"/>
                <w:szCs w:val="24"/>
                <w:highlight w:val="none"/>
                <w:lang w:val="en-US" w:eastAsia="zh-CN"/>
              </w:rPr>
              <w:t>向西北方向走线，右转向北走线，跨越合武铁路隧道、跨越G42沪蓉高速公路，右转经下河西西侧，刘家堰东侧，草帽窝东侧，卢老湾西侧，余老湾东侧，杨家湾东侧，江家大畈东侧，左转跨越梅山水库至寺前畈南侧，经北凉堰北侧，张家水围子北侧，李家边南侧，南湾南侧，雨林北侧，吕大院东侧，石林沟北侧，小里湾北侧，五竹园南侧，在上湾南侧跨越合武高铁隧道，线路继续向西走线，经椅子圈北侧，凉水井北侧，左转跨越在建和襄高速，经过路岭南侧，晏家湾北侧，毛竹园北侧，万家湾南侧，左转至詹家塆南侧，由北侧接入钼矿变110kV构架（西起第二线路间隔）。</w:t>
            </w:r>
          </w:p>
          <w:p w14:paraId="105A2AFC">
            <w:pPr>
              <w:pStyle w:val="57"/>
              <w:keepNext w:val="0"/>
              <w:keepLines w:val="0"/>
              <w:pageBreakBefore w:val="0"/>
              <w:kinsoku/>
              <w:wordWrap/>
              <w:overflowPunct/>
              <w:topLinePunct w:val="0"/>
              <w:autoSpaceDE/>
              <w:autoSpaceDN/>
              <w:bidi w:val="0"/>
              <w:adjustRightInd/>
              <w:snapToGrid/>
              <w:spacing w:afterLines="0"/>
              <w:textAlignment w:val="auto"/>
              <w:rPr>
                <w:rFonts w:hint="eastAsia"/>
                <w:color w:val="auto"/>
                <w:spacing w:val="0"/>
                <w:szCs w:val="24"/>
                <w:highlight w:val="none"/>
                <w:lang w:val="en-US" w:eastAsia="zh-CN"/>
              </w:rPr>
            </w:pPr>
            <w:r>
              <w:rPr>
                <w:rFonts w:hint="eastAsia"/>
                <w:color w:val="auto"/>
                <w:spacing w:val="0"/>
                <w:szCs w:val="24"/>
                <w:highlight w:val="none"/>
                <w:lang w:val="en-US" w:eastAsia="zh-CN"/>
              </w:rPr>
              <w:t>（2）</w:t>
            </w:r>
            <w:r>
              <w:rPr>
                <w:rFonts w:hint="default" w:ascii="Times New Roman" w:hAnsi="Times New Roman" w:cs="Times New Roman"/>
                <w:color w:val="auto"/>
                <w:szCs w:val="28"/>
                <w:lang w:val="en-US" w:eastAsia="zh-CN"/>
              </w:rPr>
              <w:t>线路两端进出线情况</w:t>
            </w:r>
          </w:p>
          <w:p w14:paraId="4607BA8A">
            <w:pPr>
              <w:keepNext w:val="0"/>
              <w:keepLines w:val="0"/>
              <w:pageBreakBefore w:val="0"/>
              <w:widowControl/>
              <w:kinsoku/>
              <w:wordWrap/>
              <w:overflowPunct/>
              <w:topLinePunct w:val="0"/>
              <w:autoSpaceDE/>
              <w:autoSpaceDN/>
              <w:bidi w:val="0"/>
              <w:adjustRightInd w:val="0"/>
              <w:snapToGrid w:val="0"/>
              <w:spacing w:line="360" w:lineRule="auto"/>
              <w:ind w:firstLine="561"/>
              <w:textAlignment w:val="auto"/>
              <w:rPr>
                <w:rFonts w:hint="default" w:ascii="Times New Roman" w:hAnsi="Times New Roman" w:cs="Times New Roman"/>
                <w:color w:val="auto"/>
                <w:sz w:val="24"/>
                <w:szCs w:val="40"/>
                <w:lang w:val="en-US" w:eastAsia="zh-CN"/>
              </w:rPr>
            </w:pPr>
            <w:r>
              <w:rPr>
                <w:rFonts w:hint="default" w:ascii="Times New Roman" w:hAnsi="Times New Roman" w:cs="Times New Roman"/>
                <w:color w:val="auto"/>
                <w:sz w:val="24"/>
                <w:szCs w:val="40"/>
                <w:lang w:val="en-US" w:eastAsia="zh-CN"/>
              </w:rPr>
              <w:t>①已建220kV古碑变110kV出线间隔情况</w:t>
            </w:r>
          </w:p>
          <w:p w14:paraId="7BD39E18">
            <w:pPr>
              <w:keepNext w:val="0"/>
              <w:keepLines w:val="0"/>
              <w:pageBreakBefore w:val="0"/>
              <w:widowControl/>
              <w:kinsoku/>
              <w:wordWrap/>
              <w:overflowPunct/>
              <w:topLinePunct w:val="0"/>
              <w:autoSpaceDE/>
              <w:autoSpaceDN/>
              <w:bidi w:val="0"/>
              <w:adjustRightInd w:val="0"/>
              <w:snapToGrid w:val="0"/>
              <w:spacing w:line="360" w:lineRule="auto"/>
              <w:ind w:firstLine="561"/>
              <w:textAlignment w:val="auto"/>
              <w:rPr>
                <w:rFonts w:hint="default" w:ascii="Times New Roman" w:hAnsi="Times New Roman" w:cs="Times New Roman"/>
                <w:color w:val="auto"/>
                <w:sz w:val="24"/>
                <w:szCs w:val="40"/>
                <w:lang w:val="en-US" w:eastAsia="zh-CN"/>
              </w:rPr>
            </w:pPr>
            <w:r>
              <w:rPr>
                <w:rFonts w:hint="default" w:ascii="Times New Roman" w:hAnsi="Times New Roman" w:cs="Times New Roman"/>
                <w:color w:val="auto"/>
                <w:sz w:val="24"/>
                <w:szCs w:val="40"/>
                <w:lang w:val="en-US" w:eastAsia="zh-CN"/>
              </w:rPr>
              <w:t>古碑220kV变电站位于金寨县古碑镇。古碑变110kV构架向南出线，共有14个出线间隔，自西向东依次为：南溪1、南溪2、钼矿、备用、东高山、备用、斑竹园1、斑竹园2、待用、待用、备用、青山、备用、备用。本工程采用西起第三出线间隔即“钼矿”间隔出线。</w:t>
            </w:r>
          </w:p>
          <w:p w14:paraId="25A6E781">
            <w:pPr>
              <w:spacing w:line="240" w:lineRule="auto"/>
              <w:ind w:left="0" w:leftChars="0" w:firstLine="0" w:firstLineChars="0"/>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color w:val="auto"/>
              </w:rPr>
              <w:drawing>
                <wp:inline distT="0" distB="0" distL="114300" distR="114300">
                  <wp:extent cx="4820285" cy="2387600"/>
                  <wp:effectExtent l="0" t="0" r="18415" b="12700"/>
                  <wp:docPr id="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6"/>
                          <pic:cNvPicPr>
                            <a:picLocks noChangeAspect="1"/>
                          </pic:cNvPicPr>
                        </pic:nvPicPr>
                        <pic:blipFill>
                          <a:blip r:embed="rId13"/>
                          <a:srcRect l="4100" t="10934" r="19160" b="19325"/>
                          <a:stretch>
                            <a:fillRect/>
                          </a:stretch>
                        </pic:blipFill>
                        <pic:spPr>
                          <a:xfrm>
                            <a:off x="0" y="0"/>
                            <a:ext cx="4820285" cy="2387600"/>
                          </a:xfrm>
                          <a:prstGeom prst="rect">
                            <a:avLst/>
                          </a:prstGeom>
                          <a:noFill/>
                          <a:ln>
                            <a:noFill/>
                          </a:ln>
                        </pic:spPr>
                      </pic:pic>
                    </a:graphicData>
                  </a:graphic>
                </wp:inline>
              </w:drawing>
            </w:r>
          </w:p>
          <w:p w14:paraId="5E50C74E">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48"/>
                <w:rFonts w:hint="default" w:ascii="Times New Roman" w:hAnsi="Times New Roman" w:eastAsia="宋体" w:cs="Times New Roman"/>
                <w:b/>
                <w:bCs/>
                <w:caps w:val="0"/>
                <w:color w:val="auto"/>
                <w:kern w:val="0"/>
                <w:sz w:val="21"/>
                <w:szCs w:val="21"/>
                <w:u w:val="none"/>
                <w:lang w:val="en-US" w:eastAsia="zh-CN" w:bidi="ar-SA"/>
              </w:rPr>
            </w:pPr>
            <w:r>
              <w:rPr>
                <w:rStyle w:val="48"/>
                <w:rFonts w:hint="default" w:ascii="Times New Roman" w:hAnsi="Times New Roman" w:eastAsia="宋体" w:cs="Times New Roman"/>
                <w:b/>
                <w:bCs/>
                <w:caps w:val="0"/>
                <w:color w:val="auto"/>
                <w:kern w:val="0"/>
                <w:sz w:val="21"/>
                <w:szCs w:val="21"/>
                <w:u w:val="none"/>
                <w:lang w:val="en-US" w:eastAsia="zh-CN" w:bidi="ar-SA"/>
              </w:rPr>
              <w:t>图2-1  古碑220kV变电站110kV出线间隔图（现状）</w:t>
            </w:r>
          </w:p>
          <w:p w14:paraId="6B3D476D">
            <w:pPr>
              <w:keepNext w:val="0"/>
              <w:keepLines w:val="0"/>
              <w:pageBreakBefore w:val="0"/>
              <w:widowControl/>
              <w:kinsoku/>
              <w:wordWrap/>
              <w:overflowPunct/>
              <w:topLinePunct w:val="0"/>
              <w:autoSpaceDE/>
              <w:autoSpaceDN/>
              <w:bidi w:val="0"/>
              <w:adjustRightInd w:val="0"/>
              <w:snapToGrid w:val="0"/>
              <w:spacing w:line="360" w:lineRule="auto"/>
              <w:ind w:firstLine="561"/>
              <w:textAlignment w:val="auto"/>
              <w:rPr>
                <w:rFonts w:hint="default" w:ascii="Times New Roman" w:hAnsi="Times New Roman" w:cs="Times New Roman"/>
                <w:color w:val="auto"/>
                <w:sz w:val="24"/>
                <w:szCs w:val="40"/>
                <w:lang w:val="en-US" w:eastAsia="zh-CN"/>
              </w:rPr>
            </w:pPr>
            <w:r>
              <w:rPr>
                <w:rFonts w:hint="default" w:ascii="Times New Roman" w:hAnsi="Times New Roman" w:cs="Times New Roman"/>
                <w:color w:val="auto"/>
                <w:sz w:val="24"/>
                <w:szCs w:val="40"/>
                <w:lang w:val="en-US" w:eastAsia="zh-CN"/>
              </w:rPr>
              <w:t>②钼矿110kV变电站110kV间隔出线情况</w:t>
            </w:r>
          </w:p>
          <w:p w14:paraId="2BA8AB88">
            <w:pPr>
              <w:keepNext w:val="0"/>
              <w:keepLines w:val="0"/>
              <w:pageBreakBefore w:val="0"/>
              <w:widowControl/>
              <w:kinsoku/>
              <w:wordWrap/>
              <w:overflowPunct/>
              <w:topLinePunct w:val="0"/>
              <w:autoSpaceDE/>
              <w:autoSpaceDN/>
              <w:bidi w:val="0"/>
              <w:adjustRightInd w:val="0"/>
              <w:snapToGrid w:val="0"/>
              <w:spacing w:line="360" w:lineRule="auto"/>
              <w:ind w:firstLine="561"/>
              <w:textAlignment w:val="auto"/>
              <w:rPr>
                <w:rFonts w:hint="default" w:ascii="Times New Roman" w:hAnsi="Times New Roman" w:cs="Times New Roman"/>
                <w:color w:val="auto"/>
                <w:sz w:val="24"/>
                <w:szCs w:val="40"/>
                <w:lang w:val="en-US" w:eastAsia="zh-CN"/>
              </w:rPr>
            </w:pPr>
            <w:r>
              <w:rPr>
                <w:rFonts w:hint="default" w:ascii="Times New Roman" w:hAnsi="Times New Roman" w:cs="Times New Roman"/>
                <w:color w:val="auto"/>
                <w:sz w:val="24"/>
                <w:szCs w:val="40"/>
                <w:lang w:val="en-US" w:eastAsia="zh-CN"/>
              </w:rPr>
              <w:t>钼矿110kV变电站位于金寨县关庙乡，共有110kV出线间隔2个，向北出线，自西向东依次为：双河、古碑。本期西起第二线路间隔即“古碑”间隔出线，穿墙套管导线相序为正相序排列，即：在围墙外，面向穿墙套管，导线相序从左到右为A、B、C顺序排列。</w:t>
            </w:r>
          </w:p>
          <w:p w14:paraId="08D5FC44">
            <w:pPr>
              <w:bidi w:val="0"/>
              <w:spacing w:line="240" w:lineRule="auto"/>
              <w:ind w:left="0" w:leftChars="0" w:firstLine="0" w:firstLineChars="0"/>
              <w:jc w:val="center"/>
              <w:rPr>
                <w:rFonts w:hint="default" w:ascii="Times New Roman" w:hAnsi="Times New Roman" w:eastAsia="仿宋" w:cs="Times New Roman"/>
                <w:b w:val="0"/>
                <w:bCs w:val="0"/>
                <w:color w:val="auto"/>
                <w:lang w:val="en-US" w:eastAsia="zh-CN"/>
              </w:rPr>
            </w:pPr>
            <w:r>
              <w:rPr>
                <w:rFonts w:hint="default" w:ascii="Times New Roman" w:hAnsi="Times New Roman" w:eastAsia="仿宋" w:cs="Times New Roman"/>
                <w:highlight w:val="none"/>
              </w:rPr>
              <w:drawing>
                <wp:inline distT="0" distB="0" distL="114300" distR="114300">
                  <wp:extent cx="5063490" cy="3747135"/>
                  <wp:effectExtent l="9525" t="9525" r="13335" b="15240"/>
                  <wp:docPr id="2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9"/>
                          <pic:cNvPicPr>
                            <a:picLocks noChangeAspect="1"/>
                          </pic:cNvPicPr>
                        </pic:nvPicPr>
                        <pic:blipFill>
                          <a:blip r:embed="rId14"/>
                          <a:stretch>
                            <a:fillRect/>
                          </a:stretch>
                        </pic:blipFill>
                        <pic:spPr>
                          <a:xfrm>
                            <a:off x="0" y="0"/>
                            <a:ext cx="5063490" cy="3747135"/>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5E9A1E33">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48"/>
                <w:rFonts w:hint="default" w:ascii="Times New Roman" w:hAnsi="Times New Roman" w:eastAsia="宋体" w:cs="Times New Roman"/>
                <w:b/>
                <w:bCs/>
                <w:caps w:val="0"/>
                <w:color w:val="auto"/>
                <w:kern w:val="0"/>
                <w:sz w:val="21"/>
                <w:szCs w:val="21"/>
                <w:u w:val="none"/>
                <w:lang w:val="en-US" w:eastAsia="zh-CN" w:bidi="ar-SA"/>
              </w:rPr>
            </w:pPr>
            <w:r>
              <w:rPr>
                <w:rStyle w:val="48"/>
                <w:rFonts w:hint="default" w:ascii="Times New Roman" w:hAnsi="Times New Roman" w:eastAsia="宋体" w:cs="Times New Roman"/>
                <w:b/>
                <w:bCs/>
                <w:caps w:val="0"/>
                <w:color w:val="auto"/>
                <w:kern w:val="0"/>
                <w:sz w:val="21"/>
                <w:szCs w:val="21"/>
                <w:u w:val="none"/>
                <w:lang w:val="en-US" w:eastAsia="zh-CN" w:bidi="ar-SA"/>
              </w:rPr>
              <w:t>图</w:t>
            </w:r>
            <w:r>
              <w:rPr>
                <w:rStyle w:val="48"/>
                <w:rFonts w:hint="eastAsia" w:ascii="Times New Roman" w:hAnsi="Times New Roman" w:eastAsia="宋体" w:cs="Times New Roman"/>
                <w:b/>
                <w:bCs/>
                <w:caps w:val="0"/>
                <w:color w:val="auto"/>
                <w:kern w:val="0"/>
                <w:sz w:val="21"/>
                <w:szCs w:val="21"/>
                <w:u w:val="none"/>
                <w:lang w:val="en-US" w:eastAsia="zh-CN" w:bidi="ar-SA"/>
              </w:rPr>
              <w:t xml:space="preserve">2-2  </w:t>
            </w:r>
            <w:r>
              <w:rPr>
                <w:rStyle w:val="48"/>
                <w:rFonts w:hint="default" w:ascii="Times New Roman" w:hAnsi="Times New Roman" w:eastAsia="宋体" w:cs="Times New Roman"/>
                <w:b/>
                <w:bCs/>
                <w:caps w:val="0"/>
                <w:color w:val="auto"/>
                <w:kern w:val="0"/>
                <w:sz w:val="21"/>
                <w:szCs w:val="21"/>
                <w:u w:val="none"/>
                <w:lang w:val="en-US" w:eastAsia="zh-CN" w:bidi="ar-SA"/>
              </w:rPr>
              <w:t>钼矿110kV变电站110kV间隔出线示意图</w:t>
            </w:r>
          </w:p>
          <w:p w14:paraId="4DC9A14C">
            <w:pPr>
              <w:pStyle w:val="57"/>
              <w:keepNext w:val="0"/>
              <w:keepLines w:val="0"/>
              <w:pageBreakBefore w:val="0"/>
              <w:widowControl/>
              <w:kinsoku/>
              <w:wordWrap/>
              <w:overflowPunct/>
              <w:topLinePunct w:val="0"/>
              <w:autoSpaceDE/>
              <w:autoSpaceDN/>
              <w:bidi w:val="0"/>
              <w:adjustRightInd/>
              <w:snapToGrid/>
              <w:spacing w:afterLines="0"/>
              <w:textAlignment w:val="auto"/>
              <w:rPr>
                <w:rFonts w:hint="default" w:ascii="Times New Roman" w:hAnsi="Times New Roman" w:eastAsia="宋体" w:cs="Times New Roman"/>
                <w:color w:val="auto"/>
                <w:szCs w:val="28"/>
                <w:lang w:val="en-US" w:eastAsia="zh-CN"/>
              </w:rPr>
            </w:pPr>
            <w:r>
              <w:rPr>
                <w:rFonts w:hint="eastAsia" w:ascii="Times New Roman" w:hAnsi="Times New Roman" w:eastAsia="宋体" w:cs="Times New Roman"/>
                <w:color w:val="auto"/>
                <w:szCs w:val="28"/>
                <w:lang w:val="en-US" w:eastAsia="zh-CN"/>
              </w:rPr>
              <w:t>（3）</w:t>
            </w:r>
            <w:r>
              <w:rPr>
                <w:rFonts w:hint="default" w:ascii="Times New Roman" w:hAnsi="Times New Roman" w:eastAsia="宋体" w:cs="Times New Roman"/>
                <w:color w:val="auto"/>
                <w:szCs w:val="28"/>
                <w:lang w:val="en-US" w:eastAsia="zh-CN"/>
              </w:rPr>
              <w:t>杆塔及基础型式</w:t>
            </w:r>
          </w:p>
          <w:p w14:paraId="3073AE3F">
            <w:pPr>
              <w:pStyle w:val="57"/>
              <w:keepNext w:val="0"/>
              <w:keepLines w:val="0"/>
              <w:pageBreakBefore w:val="0"/>
              <w:kinsoku/>
              <w:wordWrap/>
              <w:overflowPunct/>
              <w:topLinePunct w:val="0"/>
              <w:autoSpaceDE/>
              <w:autoSpaceDN/>
              <w:bidi w:val="0"/>
              <w:adjustRightInd/>
              <w:snapToGrid/>
              <w:spacing w:afterLines="0"/>
              <w:textAlignment w:val="auto"/>
              <w:rPr>
                <w:rFonts w:hint="eastAsia"/>
                <w:color w:val="auto"/>
                <w:spacing w:val="0"/>
                <w:szCs w:val="24"/>
                <w:highlight w:val="none"/>
                <w:lang w:val="en-US" w:eastAsia="zh-CN"/>
              </w:rPr>
            </w:pPr>
            <w:r>
              <w:rPr>
                <w:rFonts w:hint="default" w:ascii="Times New Roman" w:hAnsi="Times New Roman" w:cs="Times New Roman"/>
                <w:color w:val="auto"/>
                <w:szCs w:val="28"/>
                <w:lang w:val="en-US" w:eastAsia="zh-CN"/>
              </w:rPr>
              <w:t>古碑-沙坪沟钼矿110kV架空单回路线路工程新建杆塔98基</w:t>
            </w:r>
            <w:r>
              <w:rPr>
                <w:rFonts w:hint="eastAsia" w:ascii="Times New Roman" w:hAnsi="Times New Roman" w:cs="Times New Roman"/>
                <w:color w:val="auto"/>
                <w:szCs w:val="28"/>
                <w:lang w:val="en-US" w:eastAsia="zh-CN"/>
              </w:rPr>
              <w:t>，均为角钢塔</w:t>
            </w:r>
            <w:r>
              <w:rPr>
                <w:rFonts w:hint="default" w:ascii="Times New Roman" w:hAnsi="Times New Roman" w:cs="Times New Roman"/>
                <w:color w:val="auto"/>
                <w:szCs w:val="28"/>
                <w:lang w:val="en-US" w:eastAsia="zh-CN"/>
              </w:rPr>
              <w:t>，其中双回路角钢塔1基，单回路角钢塔97基。基础采用板式基础、掏挖基础、挖孔桩基础</w:t>
            </w:r>
            <w:r>
              <w:rPr>
                <w:rFonts w:hint="eastAsia" w:ascii="Times New Roman" w:hAnsi="Times New Roman" w:cs="Times New Roman"/>
                <w:color w:val="auto"/>
                <w:szCs w:val="28"/>
                <w:lang w:val="en-US" w:eastAsia="zh-CN"/>
              </w:rPr>
              <w:t>，</w:t>
            </w:r>
            <w:r>
              <w:rPr>
                <w:rFonts w:hint="default" w:ascii="Times New Roman" w:hAnsi="Times New Roman" w:cs="Times New Roman"/>
                <w:color w:val="auto"/>
                <w:szCs w:val="28"/>
                <w:lang w:val="en-US" w:eastAsia="zh-CN"/>
              </w:rPr>
              <w:t>根据输电线路工程杆塔划拨土地面积测算原则、杆塔类型及基础施工工艺特点，塔基永久占地在塔基根径的基础上，向外各延伸1.0m范围计列</w:t>
            </w:r>
            <w:r>
              <w:rPr>
                <w:rFonts w:hint="eastAsia" w:ascii="Times New Roman" w:hAnsi="Times New Roman" w:cs="Times New Roman"/>
                <w:color w:val="auto"/>
                <w:szCs w:val="28"/>
                <w:lang w:val="en-US" w:eastAsia="zh-CN"/>
              </w:rPr>
              <w:t>，占地类型主要为林地和其他草地。</w:t>
            </w:r>
          </w:p>
          <w:p w14:paraId="09B48B83">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3、双河-钼矿</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变电站线路工程</w:t>
            </w:r>
          </w:p>
          <w:p w14:paraId="3EBD806D">
            <w:pPr>
              <w:pStyle w:val="57"/>
              <w:keepNext w:val="0"/>
              <w:keepLines w:val="0"/>
              <w:pageBreakBefore w:val="0"/>
              <w:kinsoku/>
              <w:wordWrap/>
              <w:overflowPunct/>
              <w:topLinePunct w:val="0"/>
              <w:autoSpaceDE/>
              <w:autoSpaceDN/>
              <w:bidi w:val="0"/>
              <w:adjustRightInd/>
              <w:snapToGrid/>
              <w:spacing w:afterLines="0"/>
              <w:textAlignment w:val="auto"/>
              <w:rPr>
                <w:rFonts w:hint="eastAsia" w:cs="Times New Roman"/>
                <w:snapToGrid w:val="0"/>
                <w:color w:val="000000"/>
                <w:spacing w:val="10"/>
                <w:kern w:val="0"/>
                <w:sz w:val="24"/>
                <w:szCs w:val="24"/>
                <w:lang w:val="en-US" w:eastAsia="zh-CN"/>
              </w:rPr>
            </w:pPr>
            <w:r>
              <w:rPr>
                <w:rFonts w:hint="eastAsia" w:cs="Times New Roman"/>
                <w:snapToGrid w:val="0"/>
                <w:color w:val="000000"/>
                <w:spacing w:val="10"/>
                <w:kern w:val="0"/>
                <w:sz w:val="24"/>
                <w:szCs w:val="24"/>
                <w:lang w:val="en-US" w:eastAsia="zh-CN"/>
              </w:rPr>
              <w:t>（1）</w:t>
            </w:r>
            <w:r>
              <w:rPr>
                <w:rFonts w:hint="eastAsia" w:cs="Times New Roman"/>
                <w:sz w:val="24"/>
                <w:szCs w:val="24"/>
                <w:lang w:val="en-US" w:eastAsia="zh-CN"/>
              </w:rPr>
              <w:t>线路路径</w:t>
            </w:r>
          </w:p>
          <w:p w14:paraId="6A639B1A">
            <w:pPr>
              <w:pStyle w:val="57"/>
              <w:keepNext w:val="0"/>
              <w:keepLines w:val="0"/>
              <w:pageBreakBefore w:val="0"/>
              <w:kinsoku/>
              <w:wordWrap/>
              <w:overflowPunct/>
              <w:topLinePunct w:val="0"/>
              <w:autoSpaceDE/>
              <w:autoSpaceDN/>
              <w:bidi w:val="0"/>
              <w:adjustRightInd/>
              <w:snapToGrid/>
              <w:spacing w:afterLines="0"/>
              <w:textAlignment w:val="auto"/>
              <w:rPr>
                <w:rFonts w:hint="eastAsia" w:hAnsi="宋体"/>
                <w:spacing w:val="0"/>
                <w:szCs w:val="24"/>
                <w:highlight w:val="none"/>
                <w:lang w:val="en-US" w:eastAsia="zh-CN"/>
              </w:rPr>
            </w:pPr>
            <w:r>
              <w:rPr>
                <w:rFonts w:hint="eastAsia" w:hAnsi="宋体"/>
                <w:spacing w:val="0"/>
                <w:szCs w:val="24"/>
                <w:highlight w:val="none"/>
                <w:lang w:val="en-US" w:eastAsia="zh-CN"/>
              </w:rPr>
              <w:t>线路自</w:t>
            </w:r>
            <w:r>
              <w:rPr>
                <w:rFonts w:hint="eastAsia"/>
                <w:spacing w:val="0"/>
                <w:szCs w:val="24"/>
                <w:highlight w:val="none"/>
                <w:lang w:val="en-US" w:eastAsia="zh-CN"/>
              </w:rPr>
              <w:t>已建</w:t>
            </w:r>
            <w:r>
              <w:rPr>
                <w:rFonts w:hint="eastAsia" w:hAnsi="宋体"/>
                <w:spacing w:val="0"/>
                <w:szCs w:val="24"/>
                <w:highlight w:val="none"/>
                <w:lang w:val="en-US" w:eastAsia="zh-CN"/>
              </w:rPr>
              <w:t>110kV</w:t>
            </w:r>
            <w:r>
              <w:rPr>
                <w:rFonts w:hint="eastAsia"/>
                <w:spacing w:val="0"/>
                <w:szCs w:val="24"/>
                <w:highlight w:val="none"/>
                <w:lang w:val="en-US" w:eastAsia="zh-CN"/>
              </w:rPr>
              <w:t>双河</w:t>
            </w:r>
            <w:r>
              <w:rPr>
                <w:rFonts w:hint="eastAsia" w:hAnsi="宋体"/>
                <w:spacing w:val="0"/>
                <w:szCs w:val="24"/>
                <w:highlight w:val="none"/>
                <w:lang w:val="en-US" w:eastAsia="zh-CN"/>
              </w:rPr>
              <w:t>变</w:t>
            </w:r>
            <w:r>
              <w:rPr>
                <w:rFonts w:hint="eastAsia"/>
                <w:spacing w:val="0"/>
                <w:szCs w:val="24"/>
                <w:highlight w:val="none"/>
                <w:lang w:val="en-US" w:eastAsia="zh-CN"/>
              </w:rPr>
              <w:t>北侧第一构架</w:t>
            </w:r>
            <w:r>
              <w:rPr>
                <w:rFonts w:hint="eastAsia" w:hAnsi="宋体"/>
                <w:spacing w:val="0"/>
                <w:szCs w:val="24"/>
                <w:highlight w:val="none"/>
                <w:lang w:val="en-US" w:eastAsia="zh-CN"/>
              </w:rPr>
              <w:t>起，</w:t>
            </w:r>
            <w:r>
              <w:rPr>
                <w:rFonts w:hint="eastAsia"/>
                <w:spacing w:val="0"/>
                <w:szCs w:val="24"/>
                <w:highlight w:val="none"/>
                <w:lang w:val="en-US" w:eastAsia="zh-CN"/>
              </w:rPr>
              <w:t>利用已建</w:t>
            </w:r>
            <w:r>
              <w:rPr>
                <w:rFonts w:hint="eastAsia" w:ascii="Times New Roman" w:eastAsia="宋体"/>
                <w:spacing w:val="0"/>
                <w:szCs w:val="24"/>
                <w:highlight w:val="none"/>
                <w:lang w:val="en-US" w:eastAsia="zh-CN"/>
              </w:rPr>
              <w:t>110kV红双655线#105塔北侧横担挂线，左转跨越S244省道，后右转至省道北侧，右转向南走线，再次跨越S244省道，接着右转钻越110kV红双655/南双726线，向西南方向走线至湖边卷拱桥西侧，左转向南走线至河东村东南侧，右转</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高石堰至北栗树湾，右转向西南方向走线跨越双河</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深湾至坳口东南侧，右转向西南方向走线跨越35kV南双353线至麻河村北侧，右转跨越S245省道向西走线跨越麻河至青石岩北侧，左转至柏园村岭头上西侧，右转</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学屋岭至七冲北侧，左转至店房东侧，左转向西走线跨越在建高铁隧道，</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曾畈村小冲子至石鼓冲西侧，左转至新家湾东侧，右转向西走线跨越S331省道和在建和襄高速以及35kV南汤358线至西湾南侧，右转后接着左转，向西偏南方向走线</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葛山村金善坑和过路岭至葛山水库北侧，右转向西偏北方向走线</w:t>
            </w:r>
            <w:r>
              <w:rPr>
                <w:rFonts w:hint="eastAsia"/>
                <w:spacing w:val="0"/>
                <w:szCs w:val="24"/>
                <w:highlight w:val="none"/>
                <w:lang w:val="en-US" w:eastAsia="zh-CN"/>
              </w:rPr>
              <w:t>途经</w:t>
            </w:r>
            <w:r>
              <w:rPr>
                <w:rFonts w:hint="eastAsia" w:ascii="Times New Roman" w:eastAsia="宋体"/>
                <w:spacing w:val="0"/>
                <w:szCs w:val="24"/>
                <w:highlight w:val="none"/>
                <w:lang w:val="en-US" w:eastAsia="zh-CN"/>
              </w:rPr>
              <w:t>大竹园、张家湾、毛竹园至金沙钼矿区域，至银冲村铜锣东南侧左转向西南走线，最终接至待建</w:t>
            </w:r>
            <w:r>
              <w:rPr>
                <w:rFonts w:hint="eastAsia" w:hAnsi="宋体"/>
                <w:spacing w:val="0"/>
                <w:szCs w:val="24"/>
                <w:highlight w:val="none"/>
                <w:lang w:val="en-US" w:eastAsia="zh-CN"/>
              </w:rPr>
              <w:t>110kV</w:t>
            </w:r>
            <w:r>
              <w:rPr>
                <w:rFonts w:hint="eastAsia" w:ascii="Times New Roman" w:eastAsia="宋体"/>
                <w:spacing w:val="0"/>
                <w:szCs w:val="24"/>
                <w:highlight w:val="none"/>
                <w:lang w:val="en-US" w:eastAsia="zh-CN"/>
              </w:rPr>
              <w:t>钼矿</w:t>
            </w:r>
            <w:r>
              <w:rPr>
                <w:rFonts w:hint="eastAsia" w:hAnsi="宋体"/>
                <w:spacing w:val="0"/>
                <w:szCs w:val="24"/>
                <w:highlight w:val="none"/>
                <w:lang w:val="en-US" w:eastAsia="zh-CN"/>
              </w:rPr>
              <w:t>变。</w:t>
            </w:r>
          </w:p>
          <w:p w14:paraId="38278F98">
            <w:pPr>
              <w:pStyle w:val="57"/>
              <w:keepNext w:val="0"/>
              <w:keepLines w:val="0"/>
              <w:pageBreakBefore w:val="0"/>
              <w:widowControl/>
              <w:kinsoku/>
              <w:wordWrap/>
              <w:overflowPunct/>
              <w:topLinePunct w:val="0"/>
              <w:autoSpaceDE/>
              <w:autoSpaceDN/>
              <w:bidi w:val="0"/>
              <w:adjustRightInd/>
              <w:snapToGrid/>
              <w:spacing w:afterLines="0"/>
              <w:textAlignment w:val="auto"/>
              <w:rPr>
                <w:rFonts w:hint="eastAsia" w:ascii="Times New Roman" w:hAnsi="Times New Roman" w:eastAsia="宋体" w:cs="Times New Roman"/>
                <w:snapToGrid w:val="0"/>
                <w:color w:val="000000"/>
                <w:spacing w:val="10"/>
                <w:szCs w:val="24"/>
                <w:lang w:val="en-US" w:eastAsia="zh-CN"/>
              </w:rPr>
            </w:pPr>
            <w:r>
              <w:rPr>
                <w:rFonts w:hint="eastAsia" w:ascii="Times New Roman" w:hAnsi="Times New Roman" w:eastAsia="宋体" w:cs="Times New Roman"/>
                <w:snapToGrid w:val="0"/>
                <w:color w:val="000000"/>
                <w:spacing w:val="10"/>
                <w:szCs w:val="24"/>
                <w:lang w:val="en-US" w:eastAsia="zh-CN"/>
              </w:rPr>
              <w:t>（2）线路两端进出线情况</w:t>
            </w:r>
          </w:p>
          <w:p w14:paraId="10D103DD">
            <w:pPr>
              <w:pStyle w:val="57"/>
              <w:keepNext w:val="0"/>
              <w:keepLines w:val="0"/>
              <w:pageBreakBefore w:val="0"/>
              <w:widowControl/>
              <w:kinsoku/>
              <w:wordWrap/>
              <w:overflowPunct/>
              <w:topLinePunct w:val="0"/>
              <w:autoSpaceDE/>
              <w:autoSpaceDN/>
              <w:bidi w:val="0"/>
              <w:adjustRightInd/>
              <w:snapToGrid/>
              <w:spacing w:afterLines="0"/>
              <w:textAlignment w:val="auto"/>
              <w:rPr>
                <w:rFonts w:hint="eastAsia" w:ascii="Times New Roman" w:hAnsi="Times New Roman" w:eastAsia="宋体" w:cs="Times New Roman"/>
                <w:snapToGrid w:val="0"/>
                <w:color w:val="000000"/>
                <w:spacing w:val="10"/>
                <w:szCs w:val="24"/>
                <w:lang w:val="en-US" w:eastAsia="zh-CN"/>
              </w:rPr>
            </w:pPr>
            <w:r>
              <w:rPr>
                <w:rFonts w:hint="eastAsia" w:ascii="Times New Roman" w:hAnsi="Times New Roman" w:eastAsia="宋体" w:cs="Times New Roman"/>
                <w:snapToGrid w:val="0"/>
                <w:color w:val="000000"/>
                <w:spacing w:val="10"/>
                <w:szCs w:val="24"/>
                <w:lang w:val="en-US" w:eastAsia="zh-CN"/>
              </w:rPr>
              <w:t>①双河110kV变电站110kV间隔出线情况</w:t>
            </w:r>
          </w:p>
          <w:p w14:paraId="7D7009FC">
            <w:pPr>
              <w:pStyle w:val="57"/>
              <w:keepNext w:val="0"/>
              <w:keepLines w:val="0"/>
              <w:pageBreakBefore w:val="0"/>
              <w:widowControl/>
              <w:kinsoku/>
              <w:wordWrap/>
              <w:overflowPunct/>
              <w:topLinePunct w:val="0"/>
              <w:autoSpaceDE/>
              <w:autoSpaceDN/>
              <w:bidi w:val="0"/>
              <w:adjustRightInd/>
              <w:snapToGrid/>
              <w:spacing w:afterLines="0"/>
              <w:textAlignment w:val="auto"/>
              <w:rPr>
                <w:rFonts w:hint="eastAsia" w:ascii="Times New Roman" w:hAnsi="Times New Roman" w:eastAsia="宋体" w:cs="Times New Roman"/>
                <w:snapToGrid w:val="0"/>
                <w:color w:val="000000"/>
                <w:spacing w:val="10"/>
                <w:szCs w:val="24"/>
                <w:lang w:val="en-US" w:eastAsia="zh-CN"/>
              </w:rPr>
            </w:pPr>
            <w:r>
              <w:rPr>
                <w:rFonts w:hint="eastAsia" w:ascii="Times New Roman" w:hAnsi="Times New Roman" w:eastAsia="宋体" w:cs="Times New Roman"/>
                <w:snapToGrid w:val="0"/>
                <w:color w:val="000000"/>
                <w:spacing w:val="10"/>
                <w:szCs w:val="24"/>
                <w:lang w:val="en-US" w:eastAsia="zh-CN"/>
              </w:rPr>
              <w:t>双河110kV变电站位于金寨县双河镇，共有110kV出线间隔4个，向东出线，自北向南依次为：钼矿、红石、南溪、待用。本期由“钼矿”间隔出线，利用已建110kV红双655线#105塔北侧横担挂线，后接至新建杆塔。构架导线相序为正相序排列，即：在围墙外，面向构架，导线相序从左到右为A、B、C顺序排列。</w:t>
            </w:r>
          </w:p>
          <w:p w14:paraId="622398D1">
            <w:pPr>
              <w:spacing w:line="240" w:lineRule="auto"/>
              <w:ind w:left="0" w:leftChars="0" w:firstLine="0" w:firstLineChars="0"/>
              <w:jc w:val="center"/>
              <w:rPr>
                <w:rFonts w:hint="default" w:ascii="Times New Roman" w:hAnsi="Times New Roman" w:eastAsia="仿宋" w:cs="Times New Roman"/>
                <w:color w:val="auto"/>
                <w:lang w:val="en-US" w:eastAsia="zh-CN"/>
              </w:rPr>
            </w:pPr>
            <w:r>
              <w:rPr>
                <w:rFonts w:hint="default" w:ascii="Times New Roman" w:hAnsi="Times New Roman" w:eastAsia="仿宋" w:cs="Times New Roman"/>
                <w:highlight w:val="none"/>
              </w:rPr>
              <w:drawing>
                <wp:inline distT="0" distB="0" distL="114300" distR="114300">
                  <wp:extent cx="4302125" cy="3465830"/>
                  <wp:effectExtent l="9525" t="9525" r="12700" b="10795"/>
                  <wp:docPr id="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8"/>
                          <pic:cNvPicPr>
                            <a:picLocks noChangeAspect="1"/>
                          </pic:cNvPicPr>
                        </pic:nvPicPr>
                        <pic:blipFill>
                          <a:blip r:embed="rId15"/>
                          <a:stretch>
                            <a:fillRect/>
                          </a:stretch>
                        </pic:blipFill>
                        <pic:spPr>
                          <a:xfrm>
                            <a:off x="0" y="0"/>
                            <a:ext cx="4302125" cy="3465830"/>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406C5978">
            <w:pPr>
              <w:keepNext w:val="0"/>
              <w:keepLines w:val="0"/>
              <w:pageBreakBefore w:val="0"/>
              <w:widowControl/>
              <w:numPr>
                <w:ilvl w:val="0"/>
                <w:numId w:val="0"/>
              </w:numPr>
              <w:kinsoku/>
              <w:wordWrap/>
              <w:overflowPunct/>
              <w:topLinePunct w:val="0"/>
              <w:autoSpaceDE/>
              <w:autoSpaceDN/>
              <w:bidi w:val="0"/>
              <w:adjustRightInd/>
              <w:snapToGrid/>
              <w:ind w:left="0" w:leftChars="0" w:firstLine="0" w:firstLineChars="0"/>
              <w:jc w:val="center"/>
              <w:textAlignment w:val="auto"/>
              <w:rPr>
                <w:rStyle w:val="48"/>
                <w:rFonts w:hint="default" w:ascii="Times New Roman" w:hAnsi="Times New Roman" w:eastAsia="方正仿宋_GB2312" w:cs="Times New Roman"/>
                <w:b/>
                <w:bCs/>
                <w:caps w:val="0"/>
                <w:color w:val="auto"/>
                <w:kern w:val="0"/>
                <w:sz w:val="24"/>
                <w:szCs w:val="24"/>
                <w:u w:val="none"/>
                <w:lang w:val="en-US" w:eastAsia="zh-CN" w:bidi="ar-SA"/>
              </w:rPr>
            </w:pPr>
            <w:r>
              <w:rPr>
                <w:rStyle w:val="48"/>
                <w:rFonts w:hint="default" w:ascii="Times New Roman" w:hAnsi="Times New Roman" w:eastAsia="宋体" w:cs="Times New Roman"/>
                <w:b/>
                <w:bCs/>
                <w:caps w:val="0"/>
                <w:color w:val="auto"/>
                <w:kern w:val="0"/>
                <w:sz w:val="21"/>
                <w:szCs w:val="21"/>
                <w:u w:val="none"/>
                <w:lang w:val="en-US" w:eastAsia="zh-CN" w:bidi="ar-SA"/>
              </w:rPr>
              <w:t>图</w:t>
            </w:r>
            <w:r>
              <w:rPr>
                <w:rStyle w:val="48"/>
                <w:rFonts w:hint="eastAsia" w:ascii="Times New Roman" w:hAnsi="Times New Roman" w:eastAsia="宋体" w:cs="Times New Roman"/>
                <w:b/>
                <w:bCs/>
                <w:caps w:val="0"/>
                <w:color w:val="auto"/>
                <w:kern w:val="0"/>
                <w:sz w:val="21"/>
                <w:szCs w:val="21"/>
                <w:u w:val="none"/>
                <w:lang w:val="en-US" w:eastAsia="zh-CN" w:bidi="ar-SA"/>
              </w:rPr>
              <w:t xml:space="preserve">2-3  </w:t>
            </w:r>
            <w:r>
              <w:rPr>
                <w:rStyle w:val="48"/>
                <w:rFonts w:hint="default" w:ascii="Times New Roman" w:hAnsi="Times New Roman" w:eastAsia="宋体" w:cs="Times New Roman"/>
                <w:b/>
                <w:bCs/>
                <w:caps w:val="0"/>
                <w:color w:val="auto"/>
                <w:kern w:val="0"/>
                <w:sz w:val="21"/>
                <w:szCs w:val="21"/>
                <w:u w:val="none"/>
                <w:lang w:val="en-US" w:eastAsia="zh-CN" w:bidi="ar-SA"/>
              </w:rPr>
              <w:t>双河110kV变电站110kV间隔出线示意图</w:t>
            </w:r>
          </w:p>
          <w:p w14:paraId="76587FC8">
            <w:pPr>
              <w:pStyle w:val="57"/>
              <w:keepNext w:val="0"/>
              <w:keepLines w:val="0"/>
              <w:pageBreakBefore w:val="0"/>
              <w:widowControl/>
              <w:kinsoku/>
              <w:wordWrap/>
              <w:overflowPunct/>
              <w:topLinePunct w:val="0"/>
              <w:autoSpaceDE/>
              <w:autoSpaceDN/>
              <w:bidi w:val="0"/>
              <w:adjustRightInd/>
              <w:snapToGrid/>
              <w:spacing w:afterLines="0"/>
              <w:textAlignment w:val="auto"/>
              <w:rPr>
                <w:rFonts w:hint="eastAsia" w:ascii="Times New Roman" w:hAnsi="Times New Roman" w:eastAsia="宋体" w:cs="Times New Roman"/>
                <w:snapToGrid w:val="0"/>
                <w:color w:val="000000"/>
                <w:spacing w:val="10"/>
                <w:szCs w:val="24"/>
                <w:lang w:val="en-US" w:eastAsia="zh-CN"/>
              </w:rPr>
            </w:pPr>
            <w:r>
              <w:rPr>
                <w:rFonts w:hint="eastAsia" w:ascii="Times New Roman" w:hAnsi="Times New Roman" w:eastAsia="宋体" w:cs="Times New Roman"/>
                <w:snapToGrid w:val="0"/>
                <w:color w:val="000000"/>
                <w:spacing w:val="10"/>
                <w:szCs w:val="24"/>
                <w:lang w:val="en-US" w:eastAsia="zh-CN"/>
              </w:rPr>
              <w:t>②钼矿110kV变电站110kV间隔出线情况</w:t>
            </w:r>
          </w:p>
          <w:p w14:paraId="3373EC5D">
            <w:pPr>
              <w:pStyle w:val="57"/>
              <w:keepNext w:val="0"/>
              <w:keepLines w:val="0"/>
              <w:pageBreakBefore w:val="0"/>
              <w:widowControl/>
              <w:kinsoku/>
              <w:wordWrap/>
              <w:overflowPunct/>
              <w:topLinePunct w:val="0"/>
              <w:autoSpaceDE/>
              <w:autoSpaceDN/>
              <w:bidi w:val="0"/>
              <w:adjustRightInd/>
              <w:snapToGrid/>
              <w:spacing w:afterLines="0"/>
              <w:textAlignment w:val="auto"/>
              <w:rPr>
                <w:rFonts w:hint="default" w:ascii="Times New Roman" w:hAnsi="Times New Roman" w:cs="Times New Roman"/>
                <w:color w:val="auto"/>
                <w:szCs w:val="28"/>
                <w:lang w:val="en-US" w:eastAsia="zh-CN"/>
              </w:rPr>
            </w:pPr>
            <w:r>
              <w:rPr>
                <w:rFonts w:hint="eastAsia" w:ascii="Times New Roman" w:hAnsi="Times New Roman" w:eastAsia="宋体" w:cs="Times New Roman"/>
                <w:snapToGrid w:val="0"/>
                <w:color w:val="000000"/>
                <w:spacing w:val="10"/>
                <w:szCs w:val="24"/>
                <w:lang w:val="en-US" w:eastAsia="zh-CN"/>
              </w:rPr>
              <w:t>钼矿110kV变电站位于金寨县关庙乡，共有110kV出线间隔2个，向北出线，自西向东依次为：双河、古碑。本期由“双河”间隔出线，穿墙套管导线相序为正相序排列，即：在围墙外，面向穿墙套管，导线相序从左到右为A、B、C顺序排列。</w:t>
            </w:r>
          </w:p>
          <w:p w14:paraId="3D9901F8">
            <w:pPr>
              <w:bidi w:val="0"/>
              <w:ind w:left="0" w:leftChars="0" w:firstLine="0" w:firstLineChars="0"/>
              <w:jc w:val="center"/>
              <w:rPr>
                <w:rFonts w:hint="default" w:ascii="Times New Roman" w:hAnsi="Times New Roman" w:eastAsia="仿宋" w:cs="Times New Roman"/>
                <w:b w:val="0"/>
                <w:bCs w:val="0"/>
                <w:color w:val="auto"/>
                <w:lang w:val="en-US" w:eastAsia="zh-CN"/>
              </w:rPr>
            </w:pPr>
            <w:r>
              <w:rPr>
                <w:rFonts w:hint="default" w:ascii="Times New Roman" w:hAnsi="Times New Roman" w:eastAsia="仿宋" w:cs="Times New Roman"/>
                <w:highlight w:val="none"/>
              </w:rPr>
              <w:drawing>
                <wp:inline distT="0" distB="0" distL="114300" distR="114300">
                  <wp:extent cx="4631690" cy="3427095"/>
                  <wp:effectExtent l="9525" t="9525" r="26035" b="11430"/>
                  <wp:docPr id="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9"/>
                          <pic:cNvPicPr>
                            <a:picLocks noChangeAspect="1"/>
                          </pic:cNvPicPr>
                        </pic:nvPicPr>
                        <pic:blipFill>
                          <a:blip r:embed="rId14"/>
                          <a:stretch>
                            <a:fillRect/>
                          </a:stretch>
                        </pic:blipFill>
                        <pic:spPr>
                          <a:xfrm>
                            <a:off x="0" y="0"/>
                            <a:ext cx="4631690" cy="3427095"/>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3F0661BC">
            <w:pPr>
              <w:widowControl/>
              <w:numPr>
                <w:ilvl w:val="0"/>
                <w:numId w:val="0"/>
              </w:numPr>
              <w:bidi w:val="0"/>
              <w:ind w:left="0" w:leftChars="0" w:firstLine="0" w:firstLineChars="0"/>
              <w:jc w:val="center"/>
              <w:rPr>
                <w:rStyle w:val="48"/>
                <w:rFonts w:hint="default" w:ascii="Times New Roman" w:hAnsi="Times New Roman" w:eastAsia="方正仿宋_GB2312" w:cs="Times New Roman"/>
                <w:b/>
                <w:bCs/>
                <w:caps w:val="0"/>
                <w:color w:val="auto"/>
                <w:kern w:val="0"/>
                <w:sz w:val="24"/>
                <w:szCs w:val="24"/>
                <w:u w:val="none"/>
                <w:lang w:val="en-US" w:eastAsia="zh-CN" w:bidi="ar-SA"/>
              </w:rPr>
            </w:pPr>
            <w:r>
              <w:rPr>
                <w:rStyle w:val="48"/>
                <w:rFonts w:hint="default" w:ascii="Times New Roman" w:hAnsi="Times New Roman" w:eastAsia="宋体" w:cs="Times New Roman"/>
                <w:b/>
                <w:bCs/>
                <w:caps w:val="0"/>
                <w:color w:val="auto"/>
                <w:kern w:val="0"/>
                <w:sz w:val="21"/>
                <w:szCs w:val="21"/>
                <w:u w:val="none"/>
                <w:lang w:val="en-US" w:eastAsia="zh-CN" w:bidi="ar-SA"/>
              </w:rPr>
              <w:t>图</w:t>
            </w:r>
            <w:r>
              <w:rPr>
                <w:rStyle w:val="48"/>
                <w:rFonts w:hint="eastAsia" w:ascii="Times New Roman" w:hAnsi="Times New Roman" w:eastAsia="宋体" w:cs="Times New Roman"/>
                <w:b/>
                <w:bCs/>
                <w:caps w:val="0"/>
                <w:color w:val="auto"/>
                <w:kern w:val="0"/>
                <w:sz w:val="21"/>
                <w:szCs w:val="21"/>
                <w:u w:val="none"/>
                <w:lang w:val="en-US" w:eastAsia="zh-CN" w:bidi="ar-SA"/>
              </w:rPr>
              <w:t xml:space="preserve">2-4  </w:t>
            </w:r>
            <w:r>
              <w:rPr>
                <w:rStyle w:val="48"/>
                <w:rFonts w:hint="default" w:ascii="Times New Roman" w:hAnsi="Times New Roman" w:eastAsia="宋体" w:cs="Times New Roman"/>
                <w:b/>
                <w:bCs/>
                <w:caps w:val="0"/>
                <w:color w:val="auto"/>
                <w:kern w:val="0"/>
                <w:sz w:val="21"/>
                <w:szCs w:val="21"/>
                <w:u w:val="none"/>
                <w:lang w:val="en-US" w:eastAsia="zh-CN" w:bidi="ar-SA"/>
              </w:rPr>
              <w:t>钼矿110kV变电站110kV间隔出线示意图</w:t>
            </w:r>
          </w:p>
          <w:p w14:paraId="77E9D8E5">
            <w:pPr>
              <w:pStyle w:val="57"/>
              <w:keepNext w:val="0"/>
              <w:keepLines w:val="0"/>
              <w:pageBreakBefore w:val="0"/>
              <w:widowControl/>
              <w:kinsoku/>
              <w:wordWrap/>
              <w:overflowPunct/>
              <w:topLinePunct w:val="0"/>
              <w:autoSpaceDE/>
              <w:autoSpaceDN/>
              <w:bidi w:val="0"/>
              <w:adjustRightInd/>
              <w:snapToGrid/>
              <w:spacing w:afterLines="0"/>
              <w:textAlignment w:val="auto"/>
              <w:rPr>
                <w:rFonts w:hint="eastAsia" w:ascii="Times New Roman" w:hAnsi="Times New Roman" w:eastAsia="宋体" w:cs="Times New Roman"/>
                <w:snapToGrid w:val="0"/>
                <w:color w:val="000000"/>
                <w:spacing w:val="10"/>
                <w:szCs w:val="24"/>
                <w:lang w:val="en-US" w:eastAsia="zh-CN"/>
              </w:rPr>
            </w:pPr>
            <w:r>
              <w:rPr>
                <w:rFonts w:hint="eastAsia" w:ascii="Times New Roman" w:hAnsi="Times New Roman" w:eastAsia="宋体" w:cs="Times New Roman"/>
                <w:snapToGrid w:val="0"/>
                <w:color w:val="000000"/>
                <w:spacing w:val="10"/>
                <w:szCs w:val="24"/>
                <w:lang w:val="en-US" w:eastAsia="zh-CN"/>
              </w:rPr>
              <w:t>3）杆塔及基础型式</w:t>
            </w:r>
          </w:p>
          <w:p w14:paraId="21C9286F">
            <w:pPr>
              <w:pStyle w:val="57"/>
              <w:keepNext w:val="0"/>
              <w:keepLines w:val="0"/>
              <w:pageBreakBefore w:val="0"/>
              <w:kinsoku/>
              <w:wordWrap/>
              <w:overflowPunct/>
              <w:topLinePunct w:val="0"/>
              <w:autoSpaceDE/>
              <w:autoSpaceDN/>
              <w:bidi w:val="0"/>
              <w:adjustRightInd/>
              <w:snapToGrid/>
              <w:spacing w:afterLines="0"/>
              <w:textAlignment w:val="auto"/>
              <w:rPr>
                <w:rFonts w:hint="eastAsia" w:hAnsi="宋体"/>
                <w:spacing w:val="0"/>
                <w:szCs w:val="24"/>
                <w:highlight w:val="none"/>
                <w:lang w:val="en-US" w:eastAsia="zh-CN"/>
              </w:rPr>
            </w:pPr>
            <w:r>
              <w:rPr>
                <w:rFonts w:hint="default" w:ascii="Times New Roman" w:hAnsi="Times New Roman" w:cs="Times New Roman"/>
                <w:color w:val="auto"/>
                <w:szCs w:val="28"/>
                <w:lang w:val="en-US" w:eastAsia="zh-CN"/>
              </w:rPr>
              <w:t>双河-沙坪沟钼矿110kV架空单回路线路工程新建杆塔6</w:t>
            </w:r>
            <w:r>
              <w:rPr>
                <w:rFonts w:hint="eastAsia" w:ascii="Times New Roman" w:hAnsi="Times New Roman" w:cs="Times New Roman"/>
                <w:color w:val="auto"/>
                <w:szCs w:val="28"/>
                <w:lang w:val="en-US" w:eastAsia="zh-CN"/>
              </w:rPr>
              <w:t>6</w:t>
            </w:r>
            <w:r>
              <w:rPr>
                <w:rFonts w:hint="default" w:ascii="Times New Roman" w:hAnsi="Times New Roman" w:cs="Times New Roman"/>
                <w:color w:val="auto"/>
                <w:szCs w:val="28"/>
                <w:lang w:val="en-US" w:eastAsia="zh-CN"/>
              </w:rPr>
              <w:t>基，其中单回路直线角钢塔3</w:t>
            </w:r>
            <w:r>
              <w:rPr>
                <w:rFonts w:hint="eastAsia" w:ascii="Times New Roman" w:hAnsi="Times New Roman" w:cs="Times New Roman"/>
                <w:color w:val="auto"/>
                <w:szCs w:val="28"/>
                <w:lang w:val="en-US" w:eastAsia="zh-CN"/>
              </w:rPr>
              <w:t>4</w:t>
            </w:r>
            <w:r>
              <w:rPr>
                <w:rFonts w:hint="default" w:ascii="Times New Roman" w:hAnsi="Times New Roman" w:cs="Times New Roman"/>
                <w:color w:val="auto"/>
                <w:szCs w:val="28"/>
                <w:lang w:val="en-US" w:eastAsia="zh-CN"/>
              </w:rPr>
              <w:t>基，单回路耐张角钢塔32基。基础采用机械灌注桩基础、板式基础、掏挖基础、挖孔桩基础。根据输电线路工程杆塔划拨土地面积测算原则、杆塔类型及基础施工工艺特点，塔基永久占地在塔基根径的基础上，向外各延伸1.0m范围计列。</w:t>
            </w:r>
            <w:r>
              <w:rPr>
                <w:rFonts w:hint="eastAsia" w:ascii="Times New Roman" w:hAnsi="Times New Roman" w:cs="Times New Roman"/>
                <w:color w:val="auto"/>
                <w:szCs w:val="28"/>
                <w:lang w:val="en-US" w:eastAsia="zh-CN"/>
              </w:rPr>
              <w:t>占地类型主要为林地和其他草地。</w:t>
            </w:r>
          </w:p>
          <w:p w14:paraId="38BE99F9">
            <w:pPr>
              <w:pStyle w:val="57"/>
              <w:keepNext w:val="0"/>
              <w:keepLines w:val="0"/>
              <w:pageBreakBefore w:val="0"/>
              <w:kinsoku/>
              <w:wordWrap/>
              <w:overflowPunct/>
              <w:topLinePunct w:val="0"/>
              <w:autoSpaceDE/>
              <w:autoSpaceDN/>
              <w:bidi w:val="0"/>
              <w:adjustRightInd/>
              <w:snapToGrid/>
              <w:spacing w:afterLines="0"/>
              <w:textAlignment w:val="auto"/>
              <w:rPr>
                <w:rFonts w:hint="eastAsia" w:hAnsi="宋体"/>
                <w:spacing w:val="0"/>
                <w:szCs w:val="24"/>
                <w:highlight w:val="none"/>
                <w:lang w:val="en-US" w:eastAsia="zh-CN"/>
              </w:rPr>
            </w:pPr>
            <w:r>
              <w:rPr>
                <w:rFonts w:hint="eastAsia" w:hAnsi="宋体"/>
                <w:spacing w:val="0"/>
                <w:szCs w:val="24"/>
                <w:highlight w:val="none"/>
                <w:lang w:val="en-US" w:eastAsia="zh-CN"/>
              </w:rPr>
              <w:t>本工程拟建输电线路路径示意图见附图2。</w:t>
            </w:r>
          </w:p>
          <w:p w14:paraId="01B5E804">
            <w:pPr>
              <w:pStyle w:val="57"/>
              <w:spacing w:line="360" w:lineRule="auto"/>
              <w:ind w:left="0" w:leftChars="0" w:firstLine="0" w:firstLineChars="0"/>
              <w:jc w:val="both"/>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2</w:t>
            </w:r>
            <w:r>
              <w:rPr>
                <w:rFonts w:hint="eastAsia" w:cs="Times New Roman"/>
                <w:b/>
                <w:bCs/>
                <w:color w:val="000000" w:themeColor="text1"/>
                <w:sz w:val="24"/>
                <w:szCs w:val="24"/>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szCs w:val="24"/>
                <w14:textFill>
                  <w14:solidFill>
                    <w14:schemeClr w14:val="tx1"/>
                  </w14:solidFill>
                </w14:textFill>
              </w:rPr>
              <w:t>、施工现场布置</w:t>
            </w:r>
          </w:p>
          <w:p w14:paraId="7B33DE3F">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val="en-US" w:eastAsia="zh-CN"/>
              </w:rPr>
            </w:pPr>
            <w:r>
              <w:rPr>
                <w:rFonts w:hint="eastAsia" w:cs="Times New Roman"/>
                <w:sz w:val="24"/>
                <w:szCs w:val="24"/>
                <w:lang w:val="en-US" w:eastAsia="zh-CN"/>
              </w:rPr>
              <w:t>（1）间隔扩建工程</w:t>
            </w:r>
          </w:p>
          <w:p w14:paraId="30DB835C">
            <w:pPr>
              <w:pStyle w:val="57"/>
              <w:keepNext w:val="0"/>
              <w:keepLines w:val="0"/>
              <w:pageBreakBefore w:val="0"/>
              <w:kinsoku/>
              <w:wordWrap/>
              <w:overflowPunct/>
              <w:topLinePunct w:val="0"/>
              <w:autoSpaceDE/>
              <w:autoSpaceDN/>
              <w:bidi w:val="0"/>
              <w:adjustRightInd/>
              <w:snapToGrid/>
              <w:spacing w:afterLines="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间隔扩建区：</w:t>
            </w:r>
            <w:r>
              <w:rPr>
                <w:rFonts w:hint="eastAsia" w:cs="Times New Roman"/>
                <w:sz w:val="24"/>
                <w:szCs w:val="24"/>
                <w:lang w:val="en-US" w:eastAsia="zh-CN"/>
              </w:rPr>
              <w:t>双河110</w:t>
            </w:r>
            <w:r>
              <w:rPr>
                <w:rFonts w:hint="eastAsia" w:ascii="Times New Roman" w:hAnsi="Times New Roman" w:eastAsia="宋体" w:cs="Times New Roman"/>
                <w:sz w:val="24"/>
                <w:szCs w:val="24"/>
                <w:lang w:val="en-US" w:eastAsia="zh-CN"/>
              </w:rPr>
              <w:t>kV变电站</w:t>
            </w:r>
            <w:r>
              <w:rPr>
                <w:rFonts w:hint="eastAsia" w:cs="Times New Roman"/>
                <w:sz w:val="24"/>
                <w:szCs w:val="24"/>
                <w:lang w:val="en-US" w:eastAsia="zh-CN"/>
              </w:rPr>
              <w:t>110</w:t>
            </w:r>
            <w:r>
              <w:rPr>
                <w:rFonts w:hint="eastAsia" w:ascii="Times New Roman" w:hAnsi="Times New Roman" w:eastAsia="宋体" w:cs="Times New Roman"/>
                <w:sz w:val="24"/>
                <w:szCs w:val="24"/>
                <w:lang w:val="en-US" w:eastAsia="zh-CN"/>
              </w:rPr>
              <w:t>kV</w:t>
            </w:r>
            <w:r>
              <w:rPr>
                <w:rFonts w:hint="eastAsia" w:cs="Times New Roman"/>
                <w:sz w:val="24"/>
                <w:szCs w:val="24"/>
                <w:lang w:val="en-US" w:eastAsia="zh-CN"/>
              </w:rPr>
              <w:t>钼矿</w:t>
            </w:r>
            <w:r>
              <w:rPr>
                <w:rFonts w:hint="eastAsia" w:ascii="Times New Roman" w:hAnsi="Times New Roman" w:eastAsia="宋体" w:cs="Times New Roman"/>
                <w:sz w:val="24"/>
                <w:szCs w:val="24"/>
                <w:lang w:val="en-US" w:eastAsia="zh-CN"/>
              </w:rPr>
              <w:t>间隔扩建工程间隔扩建区设置在</w:t>
            </w:r>
            <w:r>
              <w:rPr>
                <w:rFonts w:hint="eastAsia" w:cs="Times New Roman"/>
                <w:sz w:val="24"/>
                <w:szCs w:val="24"/>
                <w:lang w:val="en-US" w:eastAsia="zh-CN"/>
              </w:rPr>
              <w:t>双河110</w:t>
            </w:r>
            <w:r>
              <w:rPr>
                <w:rFonts w:hint="eastAsia" w:ascii="Times New Roman" w:hAnsi="Times New Roman" w:eastAsia="宋体" w:cs="Times New Roman"/>
                <w:sz w:val="24"/>
                <w:szCs w:val="24"/>
                <w:lang w:val="en-US" w:eastAsia="zh-CN"/>
              </w:rPr>
              <w:t>kV变电站内，布置在前期预留位置，不新征用地。</w:t>
            </w:r>
          </w:p>
          <w:p w14:paraId="40F573F1">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w:t>
            </w:r>
            <w:r>
              <w:rPr>
                <w:rFonts w:hint="eastAsia" w:cs="Times New Roman"/>
                <w:sz w:val="24"/>
                <w:szCs w:val="24"/>
                <w:lang w:val="en-US" w:eastAsia="zh-CN"/>
              </w:rPr>
              <w:t>2</w:t>
            </w:r>
            <w:r>
              <w:rPr>
                <w:rFonts w:hint="eastAsia" w:ascii="Times New Roman" w:hAnsi="Times New Roman" w:eastAsia="宋体" w:cs="Times New Roman"/>
                <w:sz w:val="24"/>
                <w:szCs w:val="24"/>
                <w:lang w:val="en-US" w:eastAsia="zh-CN"/>
              </w:rPr>
              <w:t>）</w:t>
            </w:r>
            <w:r>
              <w:rPr>
                <w:rFonts w:hint="eastAsia" w:cs="Times New Roman"/>
                <w:sz w:val="24"/>
                <w:szCs w:val="24"/>
                <w:lang w:val="en-US" w:eastAsia="zh-CN"/>
              </w:rPr>
              <w:t>新建</w:t>
            </w:r>
            <w:r>
              <w:rPr>
                <w:rFonts w:hint="eastAsia" w:ascii="Times New Roman" w:hAnsi="Times New Roman" w:eastAsia="宋体" w:cs="Times New Roman"/>
                <w:sz w:val="24"/>
                <w:szCs w:val="24"/>
                <w:lang w:val="en-US" w:eastAsia="zh-CN"/>
              </w:rPr>
              <w:t>变电站</w:t>
            </w:r>
            <w:r>
              <w:rPr>
                <w:rFonts w:hint="eastAsia" w:cs="Times New Roman"/>
                <w:sz w:val="24"/>
                <w:szCs w:val="24"/>
                <w:lang w:val="en-US" w:eastAsia="zh-CN"/>
              </w:rPr>
              <w:t>工程</w:t>
            </w:r>
            <w:r>
              <w:rPr>
                <w:rFonts w:hint="eastAsia" w:ascii="Times New Roman" w:hAnsi="Times New Roman" w:eastAsia="宋体" w:cs="Times New Roman"/>
                <w:sz w:val="24"/>
                <w:szCs w:val="24"/>
                <w:lang w:val="en-US" w:eastAsia="zh-CN"/>
              </w:rPr>
              <w:t>区</w:t>
            </w:r>
          </w:p>
          <w:p w14:paraId="7E653D4F">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施工生产生活区：</w:t>
            </w:r>
            <w:r>
              <w:rPr>
                <w:rFonts w:hint="eastAsia" w:cs="Times New Roman"/>
                <w:color w:val="auto"/>
                <w:sz w:val="24"/>
                <w:lang w:val="en-US" w:eastAsia="zh-CN"/>
              </w:rPr>
              <w:t>施工生产区拟布设于变电站红线范围外东侧道路旁平整地块，占地面积为0.03hm</w:t>
            </w:r>
            <w:r>
              <w:rPr>
                <w:rFonts w:hint="eastAsia" w:cs="Times New Roman"/>
                <w:color w:val="auto"/>
                <w:sz w:val="24"/>
                <w:vertAlign w:val="superscript"/>
                <w:lang w:val="en-US" w:eastAsia="zh-CN"/>
              </w:rPr>
              <w:t>2</w:t>
            </w:r>
            <w:r>
              <w:rPr>
                <w:rFonts w:hint="eastAsia" w:cs="Times New Roman"/>
                <w:color w:val="auto"/>
                <w:sz w:val="24"/>
                <w:lang w:val="en-US" w:eastAsia="zh-CN"/>
              </w:rPr>
              <w:t>，为临时占地。</w:t>
            </w:r>
          </w:p>
          <w:p w14:paraId="3EAF3064">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临时排水沟：在变电站排水管网建成前，建设临时排水沟方便施工区域内的汇水和排水，汇集的废水经</w:t>
            </w:r>
            <w:r>
              <w:rPr>
                <w:rFonts w:hint="eastAsia" w:cs="Times New Roman"/>
                <w:sz w:val="24"/>
                <w:szCs w:val="24"/>
                <w:lang w:val="en-US" w:eastAsia="zh-CN"/>
              </w:rPr>
              <w:t>临时沉淀池</w:t>
            </w:r>
            <w:r>
              <w:rPr>
                <w:rFonts w:hint="default" w:ascii="Times New Roman" w:hAnsi="Times New Roman" w:eastAsia="宋体" w:cs="Times New Roman"/>
                <w:sz w:val="24"/>
                <w:szCs w:val="24"/>
                <w:lang w:val="en-US" w:eastAsia="zh-CN"/>
              </w:rPr>
              <w:t>沉淀后排入进站道路区排水沟中。</w:t>
            </w:r>
          </w:p>
          <w:p w14:paraId="05B73C6C">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临时堆土区：拟于变电站红线范围内北侧设置一处施工临时场地，作为施工期间土石方临时堆放场地，临时占地面积约0.15hm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（位于变电站占地范围内），后期进行绿化或硬化</w:t>
            </w:r>
            <w:r>
              <w:rPr>
                <w:rFonts w:hint="eastAsia" w:cs="Times New Roman"/>
                <w:color w:val="auto"/>
                <w:sz w:val="24"/>
                <w:lang w:val="en-US" w:eastAsia="zh-CN"/>
              </w:rPr>
              <w:t>。</w:t>
            </w:r>
          </w:p>
          <w:p w14:paraId="71E63449">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w:t>
            </w:r>
            <w:r>
              <w:rPr>
                <w:rFonts w:hint="eastAsia" w:cs="Times New Roman"/>
                <w:sz w:val="24"/>
                <w:szCs w:val="24"/>
                <w:lang w:val="en-US" w:eastAsia="zh-CN"/>
              </w:rPr>
              <w:t>3</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塔基区</w:t>
            </w:r>
          </w:p>
          <w:p w14:paraId="602FCCE9">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r>
              <w:rPr>
                <w:rFonts w:hint="eastAsia" w:cs="Times New Roman"/>
                <w:color w:val="auto"/>
                <w:sz w:val="24"/>
                <w:lang w:val="en-US" w:eastAsia="zh-CN"/>
              </w:rPr>
              <w:t>塔基及施工区</w:t>
            </w:r>
            <w:r>
              <w:rPr>
                <w:rFonts w:hint="default" w:ascii="Times New Roman" w:hAnsi="Times New Roman" w:eastAsia="宋体" w:cs="Times New Roman"/>
                <w:sz w:val="24"/>
                <w:szCs w:val="24"/>
                <w:lang w:val="en-US" w:eastAsia="zh-CN"/>
              </w:rPr>
              <w:t>：本工程共架设杆塔</w:t>
            </w:r>
            <w:r>
              <w:rPr>
                <w:rFonts w:hint="eastAsia" w:ascii="Times New Roman" w:hAnsi="Times New Roman" w:eastAsia="宋体" w:cs="Times New Roman"/>
                <w:sz w:val="24"/>
                <w:szCs w:val="24"/>
                <w:lang w:val="en-US" w:eastAsia="zh-CN"/>
              </w:rPr>
              <w:t>16</w:t>
            </w:r>
            <w:r>
              <w:rPr>
                <w:rFonts w:hint="eastAsia" w:cs="Times New Roman"/>
                <w:sz w:val="24"/>
                <w:szCs w:val="24"/>
                <w:lang w:val="en-US" w:eastAsia="zh-CN"/>
              </w:rPr>
              <w:t>4</w:t>
            </w:r>
            <w:r>
              <w:rPr>
                <w:rFonts w:hint="default" w:ascii="Times New Roman" w:hAnsi="Times New Roman" w:eastAsia="宋体" w:cs="Times New Roman"/>
                <w:sz w:val="24"/>
                <w:szCs w:val="24"/>
                <w:lang w:val="en-US" w:eastAsia="zh-CN"/>
              </w:rPr>
              <w:t>基，</w:t>
            </w:r>
            <w:r>
              <w:rPr>
                <w:rFonts w:hint="default" w:ascii="Times New Roman" w:hAnsi="Times New Roman" w:cs="Times New Roman"/>
                <w:color w:val="auto"/>
                <w:sz w:val="24"/>
                <w:lang w:val="en-US" w:eastAsia="zh-CN"/>
              </w:rPr>
              <w:t>塔基施工区占地约5.3hm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，其中永久占地</w:t>
            </w:r>
            <w:r>
              <w:rPr>
                <w:rFonts w:hint="eastAsia" w:cs="Times New Roman"/>
                <w:color w:val="auto"/>
                <w:sz w:val="24"/>
                <w:lang w:val="en-US" w:eastAsia="zh-CN"/>
              </w:rPr>
              <w:t>1.34</w:t>
            </w:r>
            <w:r>
              <w:rPr>
                <w:rFonts w:hint="default" w:ascii="Times New Roman" w:hAnsi="Times New Roman" w:cs="Times New Roman"/>
                <w:color w:val="auto"/>
                <w:sz w:val="24"/>
                <w:lang w:val="en-US" w:eastAsia="zh-CN"/>
              </w:rPr>
              <w:t>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，临时占地3.96hm</w:t>
            </w:r>
            <w:r>
              <w:rPr>
                <w:rFonts w:hint="default" w:ascii="Times New Roman" w:hAnsi="Times New Roman" w:cs="Times New Roman"/>
                <w:color w:val="auto"/>
                <w:sz w:val="24"/>
                <w:vertAlign w:val="superscript"/>
                <w:lang w:val="en-US" w:eastAsia="zh-CN"/>
              </w:rPr>
              <w:t>2</w:t>
            </w:r>
            <w:r>
              <w:rPr>
                <w:rFonts w:hint="eastAsia" w:cs="Times New Roman"/>
                <w:color w:val="auto"/>
                <w:sz w:val="24"/>
                <w:lang w:val="en-US" w:eastAsia="zh-CN"/>
              </w:rPr>
              <w:t>。</w:t>
            </w:r>
          </w:p>
          <w:p w14:paraId="6F39BE75">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施工临时道路：</w:t>
            </w:r>
            <w:r>
              <w:rPr>
                <w:rFonts w:hint="default" w:ascii="Times New Roman" w:hAnsi="Times New Roman" w:cs="Times New Roman"/>
                <w:color w:val="auto"/>
                <w:sz w:val="24"/>
                <w:lang w:val="en-US" w:eastAsia="zh-CN"/>
              </w:rPr>
              <w:t>塔基区施工临时道路大部分利用周边已有市政道路及机耕小路，无法直接到达塔基处，采用骡马托运方式运输施工材料，部分需砍伐乔木开辟施工便道，约有20处需要砍伐乔木开辟新的施工便道，每处施工便道长度约0.2km，宽度3m，则需新开辟施工便道约4km，共计占地面积约1.2hm</w:t>
            </w:r>
            <w:r>
              <w:rPr>
                <w:rFonts w:hint="default" w:ascii="Times New Roman" w:hAnsi="Times New Roman" w:cs="Times New Roman"/>
                <w:color w:val="auto"/>
                <w:sz w:val="24"/>
                <w:vertAlign w:val="superscript"/>
                <w:lang w:val="en-US" w:eastAsia="zh-CN"/>
              </w:rPr>
              <w:t>2</w:t>
            </w:r>
            <w:r>
              <w:rPr>
                <w:rFonts w:hint="eastAsia" w:cs="Times New Roman"/>
                <w:color w:val="auto"/>
                <w:sz w:val="24"/>
                <w:lang w:val="en-US" w:eastAsia="zh-CN"/>
              </w:rPr>
              <w:t>，为临时占地。</w:t>
            </w:r>
          </w:p>
          <w:p w14:paraId="06B5C8D0">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牵张场及跨越场区</w:t>
            </w:r>
            <w:r>
              <w:rPr>
                <w:rFonts w:hint="eastAsia" w:ascii="Times New Roman" w:hAnsi="Times New Roman" w:cs="Times New Roman"/>
                <w:color w:val="auto"/>
                <w:sz w:val="24"/>
                <w:lang w:val="en-US" w:eastAsia="zh-CN"/>
              </w:rPr>
              <w:t>：</w:t>
            </w:r>
            <w:r>
              <w:rPr>
                <w:rFonts w:hint="eastAsia" w:cs="Times New Roman"/>
                <w:color w:val="auto"/>
                <w:sz w:val="24"/>
                <w:lang w:val="en-US" w:eastAsia="zh-CN"/>
              </w:rPr>
              <w:t>本工程输电</w:t>
            </w:r>
            <w:r>
              <w:rPr>
                <w:rFonts w:hint="default" w:ascii="Times New Roman" w:hAnsi="Times New Roman" w:cs="Times New Roman"/>
                <w:color w:val="auto"/>
                <w:sz w:val="24"/>
                <w:lang w:val="en-US" w:eastAsia="zh-CN"/>
              </w:rPr>
              <w:t>线路架设时需要布置牵张场和跨越场，拟规划约15个塔基建设一处牵张场，</w:t>
            </w:r>
            <w:r>
              <w:rPr>
                <w:rFonts w:hint="eastAsia" w:cs="Times New Roman"/>
                <w:color w:val="auto"/>
                <w:sz w:val="24"/>
                <w:lang w:val="en-US" w:eastAsia="zh-CN"/>
              </w:rPr>
              <w:t>本工程</w:t>
            </w:r>
            <w:r>
              <w:rPr>
                <w:rFonts w:hint="default" w:ascii="Times New Roman" w:hAnsi="Times New Roman" w:cs="Times New Roman"/>
                <w:color w:val="auto"/>
                <w:sz w:val="24"/>
                <w:lang w:val="en-US" w:eastAsia="zh-CN"/>
              </w:rPr>
              <w:t>共拟设置11处牵张场，分别布设在古碑-钼矿线路塔基塔号A14~A15、A29~A30、A44~A45、A59~A60、A74~A75、A89~A90、A97~A98和双河-钼矿线路塔基塔号</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14~</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15、</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29~</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30、</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44~</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45、</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59~</w:t>
            </w:r>
            <w:r>
              <w:rPr>
                <w:rFonts w:hint="eastAsia" w:cs="Times New Roman"/>
                <w:color w:val="auto"/>
                <w:sz w:val="24"/>
                <w:lang w:val="en-US" w:eastAsia="zh-CN"/>
              </w:rPr>
              <w:t>B</w:t>
            </w:r>
            <w:r>
              <w:rPr>
                <w:rFonts w:hint="default" w:ascii="Times New Roman" w:hAnsi="Times New Roman" w:cs="Times New Roman"/>
                <w:color w:val="auto"/>
                <w:sz w:val="24"/>
                <w:lang w:val="en-US" w:eastAsia="zh-CN"/>
              </w:rPr>
              <w:t>60之间，每处占地400m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，沿线需跨越</w:t>
            </w:r>
            <w:r>
              <w:rPr>
                <w:rFonts w:hint="eastAsia" w:cs="Times New Roman"/>
                <w:color w:val="auto"/>
                <w:sz w:val="24"/>
                <w:lang w:val="en-US" w:eastAsia="zh-CN"/>
              </w:rPr>
              <w:t>公路</w:t>
            </w:r>
            <w:r>
              <w:rPr>
                <w:rFonts w:hint="default" w:ascii="Times New Roman" w:hAnsi="Times New Roman" w:cs="Times New Roman"/>
                <w:color w:val="auto"/>
                <w:sz w:val="24"/>
                <w:lang w:val="en-US" w:eastAsia="zh-CN"/>
              </w:rPr>
              <w:t>、水库</w:t>
            </w:r>
            <w:r>
              <w:rPr>
                <w:rFonts w:hint="eastAsia" w:cs="Times New Roman"/>
                <w:color w:val="auto"/>
                <w:sz w:val="24"/>
                <w:lang w:val="en-US" w:eastAsia="zh-CN"/>
              </w:rPr>
              <w:t>等</w:t>
            </w:r>
            <w:r>
              <w:rPr>
                <w:rFonts w:hint="default" w:ascii="Times New Roman" w:hAnsi="Times New Roman" w:cs="Times New Roman"/>
                <w:color w:val="auto"/>
                <w:sz w:val="24"/>
                <w:lang w:val="en-US" w:eastAsia="zh-CN"/>
              </w:rPr>
              <w:t>，布设跨越场12处，每处占地400m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，牵张场及跨越场区临时占地0.92hm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，为临时占地。本工程拟建线路沿线重要跨越点位见</w:t>
            </w:r>
            <w:r>
              <w:rPr>
                <w:rFonts w:hint="eastAsia" w:ascii="Times New Roman" w:hAnsi="Times New Roman" w:cs="Times New Roman"/>
                <w:color w:val="auto"/>
                <w:sz w:val="24"/>
                <w:lang w:val="en-US" w:eastAsia="zh-CN"/>
              </w:rPr>
              <w:t>下表</w:t>
            </w:r>
            <w:r>
              <w:rPr>
                <w:rFonts w:hint="default" w:ascii="Times New Roman" w:hAnsi="Times New Roman" w:cs="Times New Roman"/>
                <w:color w:val="auto"/>
                <w:sz w:val="24"/>
                <w:lang w:val="en-US" w:eastAsia="zh-CN"/>
              </w:rPr>
              <w:t>。</w:t>
            </w:r>
          </w:p>
          <w:p w14:paraId="51ED5BEA">
            <w:pPr>
              <w:pStyle w:val="57"/>
              <w:keepNext w:val="0"/>
              <w:keepLines w:val="0"/>
              <w:pageBreakBefore w:val="0"/>
              <w:kinsoku/>
              <w:wordWrap/>
              <w:overflowPunct/>
              <w:topLinePunct w:val="0"/>
              <w:autoSpaceDE/>
              <w:autoSpaceDN/>
              <w:bidi w:val="0"/>
              <w:adjustRightInd/>
              <w:snapToGrid/>
              <w:spacing w:afterLines="0" w:line="240" w:lineRule="auto"/>
              <w:ind w:firstLine="0" w:firstLineChars="0"/>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表2-8  本工程拟建线路重要跨越位置一览表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605"/>
              <w:gridCol w:w="225"/>
              <w:gridCol w:w="4269"/>
              <w:gridCol w:w="3959"/>
            </w:tblGrid>
            <w:tr w14:paraId="623B9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9058" w:type="dxa"/>
                  <w:gridSpan w:val="4"/>
                  <w:noWrap w:val="0"/>
                  <w:vAlign w:val="center"/>
                </w:tcPr>
                <w:p w14:paraId="2F5B3104">
                  <w:pPr>
                    <w:pStyle w:val="19"/>
                    <w:spacing w:before="0"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古碑-钼矿110kV线路工程</w:t>
                  </w:r>
                </w:p>
              </w:tc>
            </w:tr>
            <w:tr w14:paraId="2AB9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099" w:type="dxa"/>
                  <w:gridSpan w:val="3"/>
                  <w:noWrap w:val="0"/>
                  <w:vAlign w:val="center"/>
                </w:tcPr>
                <w:p w14:paraId="0DF05764">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房屋拆迁</w:t>
                  </w:r>
                  <w:r>
                    <w:rPr>
                      <w:rFonts w:hint="eastAsia" w:ascii="Times New Roman" w:hAnsi="Times New Roman" w:cs="Times New Roman"/>
                      <w:sz w:val="21"/>
                      <w:szCs w:val="21"/>
                      <w:vertAlign w:val="baseline"/>
                      <w:lang w:val="en-US" w:eastAsia="zh-CN"/>
                    </w:rPr>
                    <w:t>（已拆迁）</w:t>
                  </w:r>
                </w:p>
              </w:tc>
              <w:tc>
                <w:tcPr>
                  <w:tcW w:w="3959" w:type="dxa"/>
                  <w:noWrap w:val="0"/>
                  <w:vAlign w:val="center"/>
                </w:tcPr>
                <w:p w14:paraId="791F376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楼房1户，512平方米</w:t>
                  </w:r>
                </w:p>
              </w:tc>
            </w:tr>
            <w:tr w14:paraId="19380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restart"/>
                  <w:noWrap w:val="0"/>
                  <w:vAlign w:val="center"/>
                </w:tcPr>
                <w:p w14:paraId="6BF75CAF">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r>
                    <w:rPr>
                      <w:rFonts w:hint="default" w:ascii="Times New Roman" w:hAnsi="Times New Roman" w:eastAsia="宋体" w:cs="Times New Roman"/>
                      <w:kern w:val="0"/>
                      <w:sz w:val="21"/>
                      <w:szCs w:val="21"/>
                      <w:vertAlign w:val="baseline"/>
                      <w:lang w:val="en-US" w:eastAsia="zh-CN" w:bidi="ar-SA"/>
                    </w:rPr>
                    <w:t>交叉</w:t>
                  </w:r>
                </w:p>
                <w:p w14:paraId="6DC179DD">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r>
                    <w:rPr>
                      <w:rFonts w:hint="default" w:ascii="Times New Roman" w:hAnsi="Times New Roman" w:eastAsia="宋体" w:cs="Times New Roman"/>
                      <w:kern w:val="0"/>
                      <w:sz w:val="21"/>
                      <w:szCs w:val="21"/>
                      <w:vertAlign w:val="baseline"/>
                      <w:lang w:val="en-US" w:eastAsia="zh-CN" w:bidi="ar-SA"/>
                    </w:rPr>
                    <w:t>跨（钻）越</w:t>
                  </w:r>
                </w:p>
              </w:tc>
              <w:tc>
                <w:tcPr>
                  <w:tcW w:w="4494" w:type="dxa"/>
                  <w:gridSpan w:val="2"/>
                  <w:noWrap w:val="0"/>
                  <w:vAlign w:val="center"/>
                </w:tcPr>
                <w:p w14:paraId="6554491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跨越高速公路</w:t>
                  </w:r>
                </w:p>
              </w:tc>
              <w:tc>
                <w:tcPr>
                  <w:tcW w:w="3959" w:type="dxa"/>
                  <w:noWrap w:val="0"/>
                  <w:vAlign w:val="center"/>
                </w:tcPr>
                <w:p w14:paraId="137CD59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r>
            <w:tr w14:paraId="4CC6F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2CB7D5A5">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6D747FE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跨越等级公路（四车道及以下）</w:t>
                  </w:r>
                </w:p>
              </w:tc>
              <w:tc>
                <w:tcPr>
                  <w:tcW w:w="3959" w:type="dxa"/>
                  <w:noWrap w:val="0"/>
                  <w:vAlign w:val="center"/>
                </w:tcPr>
                <w:p w14:paraId="1096C324">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跨越省道3次</w:t>
                  </w:r>
                </w:p>
              </w:tc>
            </w:tr>
            <w:tr w14:paraId="015AE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7016CE17">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45B5FEDC">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跨越城市道路（四车道及以下）</w:t>
                  </w:r>
                </w:p>
              </w:tc>
              <w:tc>
                <w:tcPr>
                  <w:tcW w:w="3959" w:type="dxa"/>
                  <w:noWrap w:val="0"/>
                  <w:vAlign w:val="center"/>
                </w:tcPr>
                <w:p w14:paraId="00009962">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2BC21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725A66A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427B15E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跨越土路</w:t>
                  </w:r>
                </w:p>
              </w:tc>
              <w:tc>
                <w:tcPr>
                  <w:tcW w:w="3959" w:type="dxa"/>
                  <w:noWrap w:val="0"/>
                  <w:vAlign w:val="center"/>
                </w:tcPr>
                <w:p w14:paraId="34F57351">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40</w:t>
                  </w:r>
                </w:p>
              </w:tc>
            </w:tr>
            <w:tr w14:paraId="08EB7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2F7F6755">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398B406A">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跨越普通铁路</w:t>
                  </w:r>
                </w:p>
              </w:tc>
              <w:tc>
                <w:tcPr>
                  <w:tcW w:w="3959" w:type="dxa"/>
                  <w:noWrap w:val="0"/>
                  <w:vAlign w:val="center"/>
                </w:tcPr>
                <w:p w14:paraId="054F109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4984E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4DF3C8E2">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11DA2580">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跨越电气化铁路（含高铁）</w:t>
                  </w:r>
                </w:p>
              </w:tc>
              <w:tc>
                <w:tcPr>
                  <w:tcW w:w="3959" w:type="dxa"/>
                  <w:noWrap w:val="0"/>
                  <w:vAlign w:val="center"/>
                </w:tcPr>
                <w:p w14:paraId="38B3C85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跨越已建高铁隧道1次，跨越在建高铁隧道1次</w:t>
                  </w:r>
                </w:p>
              </w:tc>
            </w:tr>
            <w:tr w14:paraId="318A3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7581228A">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777BF51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跨越220kV高压电力线（单回路）</w:t>
                  </w:r>
                </w:p>
              </w:tc>
              <w:tc>
                <w:tcPr>
                  <w:tcW w:w="3959" w:type="dxa"/>
                  <w:noWrap w:val="0"/>
                  <w:vAlign w:val="center"/>
                </w:tcPr>
                <w:p w14:paraId="67C9C45F">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2D302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6A2F0BA8">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5BCBBFA0">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跨越220kV高压电力线（多回路）</w:t>
                  </w:r>
                </w:p>
              </w:tc>
              <w:tc>
                <w:tcPr>
                  <w:tcW w:w="3959" w:type="dxa"/>
                  <w:noWrap w:val="0"/>
                  <w:vAlign w:val="center"/>
                </w:tcPr>
                <w:p w14:paraId="1943D44C">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79370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3AA5CA6C">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05A6E5E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跨越110kV高压电力线（单回路）</w:t>
                  </w:r>
                </w:p>
              </w:tc>
              <w:tc>
                <w:tcPr>
                  <w:tcW w:w="3959" w:type="dxa"/>
                  <w:noWrap w:val="0"/>
                  <w:vAlign w:val="center"/>
                </w:tcPr>
                <w:p w14:paraId="61A7E121">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012A8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04414369">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6301E0B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跨越110kV高压电力线（多回路）</w:t>
                  </w:r>
                </w:p>
              </w:tc>
              <w:tc>
                <w:tcPr>
                  <w:tcW w:w="3959" w:type="dxa"/>
                  <w:noWrap w:val="0"/>
                  <w:vAlign w:val="center"/>
                </w:tcPr>
                <w:p w14:paraId="07A4C9D9">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0EF62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2003F1DE">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1E32B29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钻越同等级或更高等级高压电力线（单回路）</w:t>
                  </w:r>
                </w:p>
              </w:tc>
              <w:tc>
                <w:tcPr>
                  <w:tcW w:w="3959" w:type="dxa"/>
                  <w:noWrap w:val="0"/>
                  <w:vAlign w:val="center"/>
                </w:tcPr>
                <w:p w14:paraId="7D9107A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220kV 1次，110kV 3次</w:t>
                  </w:r>
                </w:p>
              </w:tc>
            </w:tr>
            <w:tr w14:paraId="67463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47378276">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5DED08A1">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钻越同等级或更高等级高压电力线（多回路）</w:t>
                  </w:r>
                </w:p>
              </w:tc>
              <w:tc>
                <w:tcPr>
                  <w:tcW w:w="3959" w:type="dxa"/>
                  <w:noWrap w:val="0"/>
                  <w:vAlign w:val="center"/>
                </w:tcPr>
                <w:p w14:paraId="3CE7A35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220kV 1次，110kV 1次</w:t>
                  </w:r>
                </w:p>
              </w:tc>
            </w:tr>
            <w:tr w14:paraId="2F49A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5F46DA4E">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182BD08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跨越35kV电力线（单回路）</w:t>
                  </w:r>
                </w:p>
              </w:tc>
              <w:tc>
                <w:tcPr>
                  <w:tcW w:w="3959" w:type="dxa"/>
                  <w:noWrap w:val="0"/>
                  <w:vAlign w:val="center"/>
                </w:tcPr>
                <w:p w14:paraId="3484A5E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r w14:paraId="07D21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0DD2AAB7">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3F7A37C0">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跨越35kV电力线（多回路）</w:t>
                  </w:r>
                </w:p>
              </w:tc>
              <w:tc>
                <w:tcPr>
                  <w:tcW w:w="3959" w:type="dxa"/>
                  <w:noWrap w:val="0"/>
                  <w:vAlign w:val="center"/>
                </w:tcPr>
                <w:p w14:paraId="385D9BE4">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46584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48C7AF34">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1F31C3D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跨越10kV电力线（单回路）</w:t>
                  </w:r>
                </w:p>
              </w:tc>
              <w:tc>
                <w:tcPr>
                  <w:tcW w:w="3959" w:type="dxa"/>
                  <w:noWrap w:val="0"/>
                  <w:vAlign w:val="center"/>
                </w:tcPr>
                <w:p w14:paraId="2CCA323A">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17</w:t>
                  </w:r>
                </w:p>
              </w:tc>
            </w:tr>
            <w:tr w14:paraId="6A21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4E08C88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5EAEA2C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跨越10kV电力线（多回路）</w:t>
                  </w:r>
                </w:p>
              </w:tc>
              <w:tc>
                <w:tcPr>
                  <w:tcW w:w="3959" w:type="dxa"/>
                  <w:noWrap w:val="0"/>
                  <w:vAlign w:val="center"/>
                </w:tcPr>
                <w:p w14:paraId="7C89FF49">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1B491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759ABA0F">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374FB50A">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跨越低压电力线或弱电流线</w:t>
                  </w:r>
                </w:p>
              </w:tc>
              <w:tc>
                <w:tcPr>
                  <w:tcW w:w="3959" w:type="dxa"/>
                  <w:noWrap w:val="0"/>
                  <w:vAlign w:val="center"/>
                </w:tcPr>
                <w:p w14:paraId="3F5E7CD8">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60</w:t>
                  </w:r>
                </w:p>
              </w:tc>
            </w:tr>
            <w:tr w14:paraId="6B6B0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05" w:type="dxa"/>
                  <w:vMerge w:val="continue"/>
                  <w:noWrap w:val="0"/>
                  <w:vAlign w:val="center"/>
                </w:tcPr>
                <w:p w14:paraId="5E6CA08C">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6B5DEF79">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跨越河流/湖泊/水库（水域宽度50m以内）</w:t>
                  </w:r>
                </w:p>
              </w:tc>
              <w:tc>
                <w:tcPr>
                  <w:tcW w:w="3959" w:type="dxa"/>
                  <w:noWrap w:val="0"/>
                  <w:vAlign w:val="center"/>
                </w:tcPr>
                <w:p w14:paraId="0713E6B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5982C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34841ADA">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0B3A939F">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跨越河流/湖泊/水库（水域宽度150m以内）</w:t>
                  </w:r>
                </w:p>
              </w:tc>
              <w:tc>
                <w:tcPr>
                  <w:tcW w:w="3959" w:type="dxa"/>
                  <w:noWrap w:val="0"/>
                  <w:vAlign w:val="center"/>
                </w:tcPr>
                <w:p w14:paraId="3CCD5FCC">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r>
            <w:tr w14:paraId="799AF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6E78790B">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3598E4A4">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跨越河流/湖泊/水库（水域宽度500m以内）</w:t>
                  </w:r>
                </w:p>
              </w:tc>
              <w:tc>
                <w:tcPr>
                  <w:tcW w:w="3959" w:type="dxa"/>
                  <w:noWrap w:val="0"/>
                  <w:vAlign w:val="center"/>
                </w:tcPr>
                <w:p w14:paraId="5D1D5CEF">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r w14:paraId="4453D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05" w:type="dxa"/>
                  <w:vMerge w:val="continue"/>
                  <w:noWrap w:val="0"/>
                  <w:vAlign w:val="center"/>
                </w:tcPr>
                <w:p w14:paraId="21E62016">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494" w:type="dxa"/>
                  <w:gridSpan w:val="2"/>
                  <w:noWrap w:val="0"/>
                  <w:vAlign w:val="center"/>
                </w:tcPr>
                <w:p w14:paraId="4C8BE91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跨越河流/湖泊/水库（水域宽度500m以上）</w:t>
                  </w:r>
                </w:p>
              </w:tc>
              <w:tc>
                <w:tcPr>
                  <w:tcW w:w="3959" w:type="dxa"/>
                  <w:noWrap w:val="0"/>
                  <w:vAlign w:val="center"/>
                </w:tcPr>
                <w:p w14:paraId="0B3283A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231E4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9058" w:type="dxa"/>
                  <w:gridSpan w:val="4"/>
                  <w:noWrap w:val="0"/>
                  <w:vAlign w:val="center"/>
                </w:tcPr>
                <w:p w14:paraId="2E636E58">
                  <w:pPr>
                    <w:pStyle w:val="19"/>
                    <w:spacing w:before="0" w:line="240" w:lineRule="auto"/>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双河-钼矿110kV线路工程</w:t>
                  </w:r>
                </w:p>
              </w:tc>
            </w:tr>
            <w:tr w14:paraId="2FD7B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099" w:type="dxa"/>
                  <w:gridSpan w:val="3"/>
                  <w:noWrap w:val="0"/>
                  <w:vAlign w:val="center"/>
                </w:tcPr>
                <w:p w14:paraId="3BF3123F">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居民区分布（房屋拆迁情况）</w:t>
                  </w:r>
                </w:p>
              </w:tc>
              <w:tc>
                <w:tcPr>
                  <w:tcW w:w="3959" w:type="dxa"/>
                  <w:noWrap w:val="0"/>
                  <w:vAlign w:val="center"/>
                </w:tcPr>
                <w:p w14:paraId="5CB5308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w:t>
                  </w:r>
                </w:p>
              </w:tc>
            </w:tr>
            <w:tr w14:paraId="40D16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restart"/>
                  <w:noWrap w:val="0"/>
                  <w:vAlign w:val="center"/>
                </w:tcPr>
                <w:p w14:paraId="4353913F">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r>
                    <w:rPr>
                      <w:rFonts w:hint="default" w:ascii="Times New Roman" w:hAnsi="Times New Roman" w:eastAsia="宋体" w:cs="Times New Roman"/>
                      <w:kern w:val="0"/>
                      <w:sz w:val="21"/>
                      <w:szCs w:val="21"/>
                      <w:vertAlign w:val="baseline"/>
                      <w:lang w:val="en-US" w:eastAsia="zh-CN" w:bidi="ar-SA"/>
                    </w:rPr>
                    <w:t>交叉</w:t>
                  </w:r>
                </w:p>
                <w:p w14:paraId="6607E339">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r>
                    <w:rPr>
                      <w:rFonts w:hint="default" w:ascii="Times New Roman" w:hAnsi="Times New Roman" w:eastAsia="宋体" w:cs="Times New Roman"/>
                      <w:kern w:val="0"/>
                      <w:sz w:val="21"/>
                      <w:szCs w:val="21"/>
                      <w:vertAlign w:val="baseline"/>
                      <w:lang w:val="en-US" w:eastAsia="zh-CN" w:bidi="ar-SA"/>
                    </w:rPr>
                    <w:t>跨越</w:t>
                  </w:r>
                </w:p>
              </w:tc>
              <w:tc>
                <w:tcPr>
                  <w:tcW w:w="4269" w:type="dxa"/>
                  <w:noWrap w:val="0"/>
                  <w:vAlign w:val="center"/>
                </w:tcPr>
                <w:p w14:paraId="49A74AE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钻110kV线路</w:t>
                  </w:r>
                </w:p>
              </w:tc>
              <w:tc>
                <w:tcPr>
                  <w:tcW w:w="3959" w:type="dxa"/>
                  <w:noWrap w:val="0"/>
                  <w:vAlign w:val="center"/>
                </w:tcPr>
                <w:p w14:paraId="30ADA9B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r w14:paraId="20E9B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44E5752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6579E800">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跨35kV线路</w:t>
                  </w:r>
                </w:p>
              </w:tc>
              <w:tc>
                <w:tcPr>
                  <w:tcW w:w="3959" w:type="dxa"/>
                  <w:noWrap w:val="0"/>
                  <w:vAlign w:val="center"/>
                </w:tcPr>
                <w:p w14:paraId="25674852">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r>
            <w:tr w14:paraId="79CB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4DD6A6FE">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1C2EC612">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跨10kV线路</w:t>
                  </w:r>
                </w:p>
              </w:tc>
              <w:tc>
                <w:tcPr>
                  <w:tcW w:w="3959" w:type="dxa"/>
                  <w:noWrap w:val="0"/>
                  <w:vAlign w:val="center"/>
                </w:tcPr>
                <w:p w14:paraId="2435FEAF">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15</w:t>
                  </w:r>
                </w:p>
              </w:tc>
            </w:tr>
            <w:tr w14:paraId="50504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0CB9F2B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2C976D6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跨380V线路</w:t>
                  </w:r>
                </w:p>
              </w:tc>
              <w:tc>
                <w:tcPr>
                  <w:tcW w:w="3959" w:type="dxa"/>
                  <w:noWrap w:val="0"/>
                  <w:vAlign w:val="center"/>
                </w:tcPr>
                <w:p w14:paraId="1C4D71D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11</w:t>
                  </w:r>
                </w:p>
              </w:tc>
            </w:tr>
            <w:tr w14:paraId="0EBA9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168DAB48">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7F1817C1">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跨220V线路</w:t>
                  </w:r>
                </w:p>
              </w:tc>
              <w:tc>
                <w:tcPr>
                  <w:tcW w:w="3959" w:type="dxa"/>
                  <w:noWrap w:val="0"/>
                  <w:vAlign w:val="center"/>
                </w:tcPr>
                <w:p w14:paraId="6D72DD37">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r>
            <w:tr w14:paraId="0C333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251B272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6C75BC54">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跨通信线</w:t>
                  </w:r>
                </w:p>
              </w:tc>
              <w:tc>
                <w:tcPr>
                  <w:tcW w:w="3959" w:type="dxa"/>
                  <w:noWrap w:val="0"/>
                  <w:vAlign w:val="center"/>
                </w:tcPr>
                <w:p w14:paraId="0A8884D1">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31</w:t>
                  </w:r>
                </w:p>
              </w:tc>
            </w:tr>
            <w:tr w14:paraId="544AD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74E47D30">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69EB235C">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跨在建高铁隧道</w:t>
                  </w:r>
                </w:p>
              </w:tc>
              <w:tc>
                <w:tcPr>
                  <w:tcW w:w="3959" w:type="dxa"/>
                  <w:noWrap w:val="0"/>
                  <w:vAlign w:val="center"/>
                </w:tcPr>
                <w:p w14:paraId="3E7CADC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r w14:paraId="4A12B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41D9FB3F">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4B03A928">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跨在建高速公路</w:t>
                  </w:r>
                </w:p>
              </w:tc>
              <w:tc>
                <w:tcPr>
                  <w:tcW w:w="3959" w:type="dxa"/>
                  <w:noWrap w:val="0"/>
                  <w:vAlign w:val="center"/>
                </w:tcPr>
                <w:p w14:paraId="2451B68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r w14:paraId="78F21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2A603D42">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6975ECF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跨省道</w:t>
                  </w:r>
                </w:p>
              </w:tc>
              <w:tc>
                <w:tcPr>
                  <w:tcW w:w="3959" w:type="dxa"/>
                  <w:noWrap w:val="0"/>
                  <w:vAlign w:val="center"/>
                </w:tcPr>
                <w:p w14:paraId="1871AA05">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r>
            <w:tr w14:paraId="04561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08E3A63B">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0A10D4C2">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跨水泥路</w:t>
                  </w:r>
                </w:p>
              </w:tc>
              <w:tc>
                <w:tcPr>
                  <w:tcW w:w="3959" w:type="dxa"/>
                  <w:noWrap w:val="0"/>
                  <w:vAlign w:val="center"/>
                </w:tcPr>
                <w:p w14:paraId="2BE63DD8">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31</w:t>
                  </w:r>
                </w:p>
              </w:tc>
            </w:tr>
            <w:tr w14:paraId="27CB3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30" w:type="dxa"/>
                  <w:gridSpan w:val="2"/>
                  <w:vMerge w:val="continue"/>
                  <w:noWrap w:val="0"/>
                  <w:vAlign w:val="center"/>
                </w:tcPr>
                <w:p w14:paraId="4E92C88E">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2975E45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跨土路</w:t>
                  </w:r>
                </w:p>
              </w:tc>
              <w:tc>
                <w:tcPr>
                  <w:tcW w:w="3959" w:type="dxa"/>
                  <w:noWrap w:val="0"/>
                  <w:vAlign w:val="center"/>
                </w:tcPr>
                <w:p w14:paraId="6F23231D">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22</w:t>
                  </w:r>
                </w:p>
              </w:tc>
            </w:tr>
            <w:tr w14:paraId="08BA7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0942B95F">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3B7BD055">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跨河流</w:t>
                  </w:r>
                </w:p>
              </w:tc>
              <w:tc>
                <w:tcPr>
                  <w:tcW w:w="3959" w:type="dxa"/>
                  <w:noWrap w:val="0"/>
                  <w:vAlign w:val="center"/>
                </w:tcPr>
                <w:p w14:paraId="5318AA83">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r>
            <w:tr w14:paraId="6C95A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1E2DFA91">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3130B6E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跨塘</w:t>
                  </w:r>
                </w:p>
              </w:tc>
              <w:tc>
                <w:tcPr>
                  <w:tcW w:w="3959" w:type="dxa"/>
                  <w:noWrap w:val="0"/>
                  <w:vAlign w:val="center"/>
                </w:tcPr>
                <w:p w14:paraId="3233BEDB">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r>
            <w:tr w14:paraId="4CE13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830" w:type="dxa"/>
                  <w:gridSpan w:val="2"/>
                  <w:vMerge w:val="continue"/>
                  <w:noWrap w:val="0"/>
                  <w:vAlign w:val="center"/>
                </w:tcPr>
                <w:p w14:paraId="360726D7">
                  <w:pPr>
                    <w:pStyle w:val="19"/>
                    <w:spacing w:before="0" w:line="240" w:lineRule="auto"/>
                    <w:ind w:firstLine="0" w:firstLineChars="0"/>
                    <w:jc w:val="center"/>
                    <w:rPr>
                      <w:rFonts w:hint="default" w:ascii="Times New Roman" w:hAnsi="Times New Roman" w:eastAsia="宋体" w:cs="Times New Roman"/>
                      <w:kern w:val="0"/>
                      <w:sz w:val="21"/>
                      <w:szCs w:val="21"/>
                      <w:vertAlign w:val="baseline"/>
                      <w:lang w:val="en-US" w:eastAsia="zh-CN" w:bidi="ar-SA"/>
                    </w:rPr>
                  </w:pPr>
                </w:p>
              </w:tc>
              <w:tc>
                <w:tcPr>
                  <w:tcW w:w="4269" w:type="dxa"/>
                  <w:noWrap w:val="0"/>
                  <w:vAlign w:val="center"/>
                </w:tcPr>
                <w:p w14:paraId="1743B94E">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跨水渠</w:t>
                  </w:r>
                </w:p>
              </w:tc>
              <w:tc>
                <w:tcPr>
                  <w:tcW w:w="3959" w:type="dxa"/>
                  <w:noWrap w:val="0"/>
                  <w:vAlign w:val="center"/>
                </w:tcPr>
                <w:p w14:paraId="78B96156">
                  <w:pPr>
                    <w:pStyle w:val="19"/>
                    <w:spacing w:before="0" w:line="240" w:lineRule="auto"/>
                    <w:ind w:firstLine="0" w:firstLineChar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r>
          </w:tbl>
          <w:p w14:paraId="39C8FBEB">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0C621036">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16BF4C2E">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66500DF1">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788ADE9E">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4BA36211">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7F4EB6E5">
            <w:pPr>
              <w:pStyle w:val="57"/>
              <w:keepNext w:val="0"/>
              <w:keepLines w:val="0"/>
              <w:pageBreakBefore w:val="0"/>
              <w:kinsoku/>
              <w:wordWrap/>
              <w:overflowPunct/>
              <w:topLinePunct w:val="0"/>
              <w:autoSpaceDE/>
              <w:autoSpaceDN/>
              <w:bidi w:val="0"/>
              <w:adjustRightInd/>
              <w:snapToGrid/>
              <w:spacing w:afterLines="0"/>
              <w:textAlignment w:val="auto"/>
              <w:rPr>
                <w:rFonts w:hint="default" w:ascii="Times New Roman" w:hAnsi="Times New Roman" w:eastAsia="宋体" w:cs="Times New Roman"/>
                <w:sz w:val="24"/>
                <w:szCs w:val="24"/>
                <w:lang w:eastAsia="zh-CN"/>
              </w:rPr>
            </w:pPr>
          </w:p>
          <w:p w14:paraId="6341C361">
            <w:pPr>
              <w:pStyle w:val="57"/>
              <w:spacing w:line="240" w:lineRule="auto"/>
              <w:ind w:left="0" w:leftChars="0" w:firstLine="0" w:firstLineChars="0"/>
              <w:jc w:val="center"/>
              <w:rPr>
                <w:rFonts w:hint="default" w:ascii="Times New Roman" w:hAnsi="Times New Roman" w:eastAsia="宋体" w:cs="Times New Roman"/>
                <w:b w:val="0"/>
                <w:bCs w:val="0"/>
                <w:color w:val="000000" w:themeColor="text1"/>
                <w:sz w:val="24"/>
                <w:szCs w:val="24"/>
                <w:lang w:val="en-US" w:eastAsia="zh-CN"/>
                <w14:textFill>
                  <w14:solidFill>
                    <w14:schemeClr w14:val="tx1"/>
                  </w14:solidFill>
                </w14:textFill>
              </w:rPr>
            </w:pPr>
          </w:p>
        </w:tc>
      </w:tr>
      <w:tr w14:paraId="78AEC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71" w:hRule="atLeast"/>
          <w:jc w:val="center"/>
        </w:trPr>
        <w:tc>
          <w:tcPr>
            <w:tcW w:w="245" w:type="pct"/>
            <w:vAlign w:val="center"/>
          </w:tcPr>
          <w:p w14:paraId="2F52A8A9">
            <w:pPr>
              <w:adjustRightInd w:val="0"/>
              <w:snapToGrid w:val="0"/>
              <w:rPr>
                <w:b/>
                <w:bCs/>
                <w:sz w:val="24"/>
                <w:szCs w:val="24"/>
              </w:rPr>
            </w:pPr>
            <w:r>
              <w:rPr>
                <w:b/>
                <w:bCs/>
                <w:sz w:val="24"/>
                <w:szCs w:val="24"/>
              </w:rPr>
              <w:t>施工方案</w:t>
            </w:r>
          </w:p>
        </w:tc>
        <w:tc>
          <w:tcPr>
            <w:tcW w:w="4754" w:type="pct"/>
            <w:vAlign w:val="center"/>
          </w:tcPr>
          <w:p w14:paraId="542F7D2A">
            <w:pPr>
              <w:pStyle w:val="57"/>
              <w:keepNext w:val="0"/>
              <w:keepLines w:val="0"/>
              <w:pageBreakBefore w:val="0"/>
              <w:wordWrap/>
              <w:overflowPunct/>
              <w:topLinePunct w:val="0"/>
              <w:bidi w:val="0"/>
              <w:spacing w:afterLines="0"/>
              <w:ind w:left="0" w:leftChars="0" w:firstLine="482" w:firstLineChars="200"/>
              <w:rPr>
                <w:b/>
                <w:bCs/>
              </w:rPr>
            </w:pPr>
            <w:r>
              <w:rPr>
                <w:rFonts w:hint="eastAsia"/>
                <w:b/>
                <w:bCs/>
                <w:lang w:val="en-US" w:eastAsia="zh-CN"/>
              </w:rPr>
              <w:t>2.10</w:t>
            </w:r>
            <w:r>
              <w:rPr>
                <w:b/>
                <w:bCs/>
              </w:rPr>
              <w:t>、施工工艺</w:t>
            </w:r>
          </w:p>
          <w:p w14:paraId="794DA6AD">
            <w:pPr>
              <w:pStyle w:val="57"/>
              <w:keepNext w:val="0"/>
              <w:keepLines w:val="0"/>
              <w:pageBreakBefore w:val="0"/>
              <w:wordWrap/>
              <w:overflowPunct/>
              <w:topLinePunct w:val="0"/>
              <w:bidi w:val="0"/>
              <w:spacing w:afterLines="0"/>
              <w:ind w:left="0" w:leftChars="0" w:firstLine="480" w:firstLineChars="200"/>
              <w:rPr>
                <w:rFonts w:hint="eastAsia"/>
                <w:lang w:eastAsia="zh-CN"/>
              </w:rPr>
            </w:pPr>
            <w:r>
              <w:rPr>
                <w:rFonts w:hint="eastAsia"/>
                <w:lang w:eastAsia="zh-CN"/>
              </w:rPr>
              <w:t>（</w:t>
            </w:r>
            <w:r>
              <w:rPr>
                <w:rFonts w:hint="eastAsia"/>
                <w:lang w:val="en-US" w:eastAsia="zh-CN"/>
              </w:rPr>
              <w:t>1</w:t>
            </w:r>
            <w:r>
              <w:rPr>
                <w:rFonts w:hint="eastAsia"/>
                <w:lang w:eastAsia="zh-CN"/>
              </w:rPr>
              <w:t>）</w:t>
            </w:r>
            <w:r>
              <w:rPr>
                <w:rFonts w:hint="eastAsia"/>
                <w:lang w:val="en-US" w:eastAsia="zh-CN"/>
              </w:rPr>
              <w:t>间隔扩建工程</w:t>
            </w:r>
          </w:p>
          <w:p w14:paraId="505699E9">
            <w:pPr>
              <w:pStyle w:val="57"/>
              <w:keepNext w:val="0"/>
              <w:keepLines w:val="0"/>
              <w:pageBreakBefore w:val="0"/>
              <w:wordWrap/>
              <w:overflowPunct/>
              <w:topLinePunct w:val="0"/>
              <w:bidi w:val="0"/>
              <w:spacing w:afterLines="0"/>
              <w:ind w:left="0" w:leftChars="0" w:firstLine="480" w:firstLineChars="200"/>
              <w:rPr>
                <w:rFonts w:hint="eastAsia"/>
                <w:lang w:eastAsia="zh-CN"/>
              </w:rPr>
            </w:pPr>
            <w:r>
              <w:rPr>
                <w:rFonts w:hint="eastAsia"/>
                <w:lang w:val="en-US" w:eastAsia="zh-CN"/>
              </w:rPr>
              <w:t>间隔扩建工程不新征用地，不改变现有电气接线方式及整体平面布置。施工内容主要为基础处理和设备支架安装等。主要污染因子有施工噪声、扬尘、废（污）水、固废，此外表现为水土流失。</w:t>
            </w:r>
          </w:p>
          <w:p w14:paraId="4CF58DDA">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变电站工程</w:t>
            </w:r>
          </w:p>
          <w:p w14:paraId="0C00B347">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新建变电站施工前期应在项目用地范围内先设置围墙，然后将材料堆放等用地进行硬化，本工程变电站和线路浇筑均使用商品混凝土，现场不自设搅拌站。新建变电站施工内容主要包括地基处理、土石方开挖、土建施工及设备安装等几个阶段。主要的施工工艺和方法见下表。</w:t>
            </w:r>
          </w:p>
          <w:p w14:paraId="572CDD7D">
            <w:pPr>
              <w:pStyle w:val="57"/>
              <w:keepNext w:val="0"/>
              <w:keepLines w:val="0"/>
              <w:pageBreakBefore w:val="0"/>
              <w:widowControl w:val="0"/>
              <w:kinsoku/>
              <w:wordWrap/>
              <w:overflowPunct/>
              <w:topLinePunct w:val="0"/>
              <w:autoSpaceDE/>
              <w:autoSpaceDN/>
              <w:bidi w:val="0"/>
              <w:adjustRightInd/>
              <w:snapToGrid/>
              <w:spacing w:afterLines="0" w:line="240" w:lineRule="auto"/>
              <w:ind w:firstLine="422" w:firstLineChars="20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表2-9  变电站主要施工工艺及方法</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3013"/>
              <w:gridCol w:w="5391"/>
            </w:tblGrid>
            <w:tr w14:paraId="739C9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2B502EC7">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序号</w:t>
                  </w:r>
                </w:p>
              </w:tc>
              <w:tc>
                <w:tcPr>
                  <w:tcW w:w="3013" w:type="dxa"/>
                  <w:vAlign w:val="center"/>
                </w:tcPr>
                <w:p w14:paraId="62722774">
                  <w:pPr>
                    <w:pStyle w:val="57"/>
                    <w:keepNext w:val="0"/>
                    <w:keepLines w:val="0"/>
                    <w:pageBreakBefore w:val="0"/>
                    <w:widowControl/>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施工场所</w:t>
                  </w:r>
                </w:p>
              </w:tc>
              <w:tc>
                <w:tcPr>
                  <w:tcW w:w="5391" w:type="dxa"/>
                  <w:vAlign w:val="center"/>
                </w:tcPr>
                <w:p w14:paraId="2FE52064">
                  <w:pPr>
                    <w:pStyle w:val="57"/>
                    <w:keepNext w:val="0"/>
                    <w:keepLines w:val="0"/>
                    <w:pageBreakBefore w:val="0"/>
                    <w:widowControl/>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施工工艺、方法</w:t>
                  </w:r>
                </w:p>
              </w:tc>
            </w:tr>
            <w:tr w14:paraId="4C4FF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391A16AE">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3013" w:type="dxa"/>
                  <w:vAlign w:val="center"/>
                </w:tcPr>
                <w:p w14:paraId="268D9A63">
                  <w:pPr>
                    <w:pStyle w:val="57"/>
                    <w:spacing w:before="0" w:afterLines="0" w:line="240" w:lineRule="auto"/>
                    <w:ind w:left="0" w:leftChars="0" w:right="0" w:righ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站区及</w:t>
                  </w:r>
                  <w:r>
                    <w:rPr>
                      <w:rFonts w:ascii="Times New Roman" w:hAnsi="Times New Roman" w:eastAsia="宋体" w:cs="Times New Roman"/>
                      <w:spacing w:val="0"/>
                      <w:sz w:val="21"/>
                      <w:szCs w:val="21"/>
                    </w:rPr>
                    <w:t>施工区</w:t>
                  </w:r>
                  <w:r>
                    <w:rPr>
                      <w:rFonts w:ascii="Times New Roman" w:hAnsi="Times New Roman" w:cs="Times New Roman"/>
                      <w:spacing w:val="-1"/>
                      <w:sz w:val="21"/>
                      <w:szCs w:val="21"/>
                    </w:rPr>
                    <w:t>挖方</w:t>
                  </w:r>
                  <w:r>
                    <w:rPr>
                      <w:rFonts w:ascii="Times New Roman" w:hAnsi="Times New Roman" w:cs="Times New Roman"/>
                      <w:spacing w:val="-13"/>
                      <w:sz w:val="21"/>
                      <w:szCs w:val="21"/>
                    </w:rPr>
                    <w:t>回填</w:t>
                  </w:r>
                </w:p>
              </w:tc>
              <w:tc>
                <w:tcPr>
                  <w:tcW w:w="5391" w:type="dxa"/>
                  <w:vAlign w:val="center"/>
                </w:tcPr>
                <w:p w14:paraId="0F3E2711">
                  <w:pPr>
                    <w:pStyle w:val="57"/>
                    <w:widowControl/>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采用自卸卡车分层立抛填筑，推土机摊铺，并使厚度满足要求，振</w:t>
                  </w:r>
                  <w:r>
                    <w:rPr>
                      <w:rFonts w:ascii="Times New Roman" w:hAnsi="Times New Roman" w:cs="Times New Roman"/>
                      <w:spacing w:val="-2"/>
                      <w:sz w:val="21"/>
                      <w:szCs w:val="21"/>
                    </w:rPr>
                    <w:t>动碾压密</w:t>
                  </w:r>
                  <w:r>
                    <w:rPr>
                      <w:rFonts w:ascii="Times New Roman" w:hAnsi="Times New Roman" w:cs="Times New Roman"/>
                      <w:spacing w:val="-1"/>
                      <w:sz w:val="21"/>
                      <w:szCs w:val="21"/>
                    </w:rPr>
                    <w:t>实，边角部位采用平板振动压实。</w:t>
                  </w:r>
                </w:p>
              </w:tc>
            </w:tr>
            <w:tr w14:paraId="4EE77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34FF6B76">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c>
                <w:tcPr>
                  <w:tcW w:w="3013" w:type="dxa"/>
                  <w:vAlign w:val="center"/>
                </w:tcPr>
                <w:p w14:paraId="76B740EE">
                  <w:pPr>
                    <w:pStyle w:val="57"/>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eastAsia="宋体" w:cs="Times New Roman"/>
                      <w:spacing w:val="0"/>
                      <w:sz w:val="21"/>
                      <w:szCs w:val="21"/>
                    </w:rPr>
                    <w:t>建（构）筑物</w:t>
                  </w:r>
                </w:p>
              </w:tc>
              <w:tc>
                <w:tcPr>
                  <w:tcW w:w="5391" w:type="dxa"/>
                  <w:vAlign w:val="center"/>
                </w:tcPr>
                <w:p w14:paraId="71611DC5">
                  <w:pPr>
                    <w:pStyle w:val="57"/>
                    <w:widowControl/>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采用机械开挖基槽，钢模板浇筑钢筋混凝土。砖混、混凝土、预制</w:t>
                  </w:r>
                  <w:r>
                    <w:rPr>
                      <w:rFonts w:ascii="Times New Roman" w:hAnsi="Times New Roman" w:cs="Times New Roman"/>
                      <w:spacing w:val="-2"/>
                      <w:sz w:val="21"/>
                      <w:szCs w:val="21"/>
                    </w:rPr>
                    <w:t>构件等建</w:t>
                  </w:r>
                  <w:r>
                    <w:rPr>
                      <w:rFonts w:ascii="Times New Roman" w:hAnsi="Times New Roman" w:cs="Times New Roman"/>
                      <w:spacing w:val="-1"/>
                      <w:sz w:val="21"/>
                      <w:szCs w:val="21"/>
                    </w:rPr>
                    <w:t>材采用塔吊垂直提升，水平运输采用人力推车搬运。</w:t>
                  </w:r>
                </w:p>
              </w:tc>
            </w:tr>
            <w:tr w14:paraId="6E179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2E9F6B1C">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c>
                <w:tcPr>
                  <w:tcW w:w="3013" w:type="dxa"/>
                  <w:vAlign w:val="center"/>
                </w:tcPr>
                <w:p w14:paraId="4DAC4B34">
                  <w:pPr>
                    <w:pStyle w:val="57"/>
                    <w:spacing w:before="0" w:afterLines="0" w:line="240" w:lineRule="auto"/>
                    <w:ind w:left="0" w:leftChars="0" w:firstLine="0" w:firstLineChars="0"/>
                    <w:jc w:val="center"/>
                    <w:rPr>
                      <w:rFonts w:hint="default" w:ascii="Times New Roman" w:hAnsi="Times New Roman" w:eastAsia="宋体" w:cs="Times New Roman"/>
                      <w:sz w:val="21"/>
                      <w:szCs w:val="21"/>
                      <w:vertAlign w:val="baseline"/>
                    </w:rPr>
                  </w:pPr>
                  <w:r>
                    <w:rPr>
                      <w:rFonts w:ascii="Times New Roman" w:hAnsi="Times New Roman" w:eastAsia="宋体" w:cs="Times New Roman"/>
                      <w:spacing w:val="0"/>
                      <w:sz w:val="21"/>
                      <w:szCs w:val="21"/>
                    </w:rPr>
                    <w:t>设备及网架施工</w:t>
                  </w:r>
                </w:p>
              </w:tc>
              <w:tc>
                <w:tcPr>
                  <w:tcW w:w="5391" w:type="dxa"/>
                  <w:vAlign w:val="center"/>
                </w:tcPr>
                <w:p w14:paraId="56CD4D0F">
                  <w:pPr>
                    <w:pStyle w:val="57"/>
                    <w:widowControl/>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采用机械开挖基槽，钢模板</w:t>
                  </w:r>
                  <w:r>
                    <w:rPr>
                      <w:rFonts w:hint="eastAsia" w:cs="Times New Roman"/>
                      <w:spacing w:val="-1"/>
                      <w:sz w:val="21"/>
                      <w:szCs w:val="21"/>
                      <w:lang w:eastAsia="zh-CN"/>
                    </w:rPr>
                    <w:t>浇筑</w:t>
                  </w:r>
                  <w:r>
                    <w:rPr>
                      <w:rFonts w:ascii="Times New Roman" w:hAnsi="Times New Roman" w:cs="Times New Roman"/>
                      <w:spacing w:val="-1"/>
                      <w:sz w:val="21"/>
                      <w:szCs w:val="21"/>
                    </w:rPr>
                    <w:t>基础，钢管人字柱及螺栓角钢梁构</w:t>
                  </w:r>
                  <w:r>
                    <w:rPr>
                      <w:rFonts w:ascii="Times New Roman" w:hAnsi="Times New Roman" w:cs="Times New Roman"/>
                      <w:spacing w:val="-2"/>
                      <w:sz w:val="21"/>
                      <w:szCs w:val="21"/>
                    </w:rPr>
                    <w:t>架均在现</w:t>
                  </w:r>
                  <w:r>
                    <w:rPr>
                      <w:rFonts w:ascii="Times New Roman" w:hAnsi="Times New Roman" w:cs="Times New Roman"/>
                      <w:sz w:val="21"/>
                      <w:szCs w:val="21"/>
                    </w:rPr>
                    <w:t>场组装，采用吊车；设备支架为浇制基础，预制</w:t>
                  </w:r>
                  <w:r>
                    <w:rPr>
                      <w:rFonts w:ascii="Times New Roman" w:hAnsi="Times New Roman" w:cs="Times New Roman"/>
                      <w:spacing w:val="-1"/>
                      <w:sz w:val="21"/>
                      <w:szCs w:val="21"/>
                    </w:rPr>
                    <w:t>构件在现场组立。</w:t>
                  </w:r>
                </w:p>
              </w:tc>
            </w:tr>
            <w:tr w14:paraId="62E32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37490B3F">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c>
                <w:tcPr>
                  <w:tcW w:w="3013" w:type="dxa"/>
                  <w:vAlign w:val="center"/>
                </w:tcPr>
                <w:p w14:paraId="2590AC63">
                  <w:pPr>
                    <w:pStyle w:val="57"/>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eastAsia="宋体" w:cs="Times New Roman"/>
                      <w:spacing w:val="0"/>
                      <w:sz w:val="21"/>
                      <w:szCs w:val="21"/>
                    </w:rPr>
                    <w:t>供排水管线、管沟</w:t>
                  </w:r>
                </w:p>
              </w:tc>
              <w:tc>
                <w:tcPr>
                  <w:tcW w:w="5391" w:type="dxa"/>
                  <w:vAlign w:val="center"/>
                </w:tcPr>
                <w:p w14:paraId="21D8E193">
                  <w:pPr>
                    <w:pStyle w:val="57"/>
                    <w:widowControl/>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机械开挖基槽，采用钢筋混凝土及浆砌砖混相结合。</w:t>
                  </w:r>
                </w:p>
              </w:tc>
            </w:tr>
            <w:tr w14:paraId="6D85C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4" w:type="dxa"/>
                  <w:vAlign w:val="center"/>
                </w:tcPr>
                <w:p w14:paraId="15D917F3">
                  <w:pPr>
                    <w:pStyle w:val="57"/>
                    <w:keepNext w:val="0"/>
                    <w:keepLines w:val="0"/>
                    <w:pageBreakBefore w:val="0"/>
                    <w:widowControl w:val="0"/>
                    <w:kinsoku/>
                    <w:wordWrap/>
                    <w:overflowPunct/>
                    <w:topLinePunct w:val="0"/>
                    <w:autoSpaceDE/>
                    <w:autoSpaceDN/>
                    <w:bidi w:val="0"/>
                    <w:adjustRightInd/>
                    <w:snapToGrid/>
                    <w:spacing w:afterLines="0"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c>
                <w:tcPr>
                  <w:tcW w:w="3013" w:type="dxa"/>
                  <w:vAlign w:val="center"/>
                </w:tcPr>
                <w:p w14:paraId="6731D8B8">
                  <w:pPr>
                    <w:pStyle w:val="57"/>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eastAsia="宋体" w:cs="Times New Roman"/>
                      <w:spacing w:val="0"/>
                      <w:sz w:val="21"/>
                      <w:szCs w:val="21"/>
                    </w:rPr>
                    <w:t>站外道路</w:t>
                  </w:r>
                </w:p>
              </w:tc>
              <w:tc>
                <w:tcPr>
                  <w:tcW w:w="5391" w:type="dxa"/>
                  <w:vAlign w:val="center"/>
                </w:tcPr>
                <w:p w14:paraId="3A62E972">
                  <w:pPr>
                    <w:pStyle w:val="57"/>
                    <w:widowControl/>
                    <w:spacing w:before="0" w:afterLines="0" w:line="240" w:lineRule="auto"/>
                    <w:ind w:left="0" w:leftChars="0" w:firstLine="0" w:firstLineChars="0"/>
                    <w:jc w:val="center"/>
                    <w:rPr>
                      <w:rFonts w:hint="default" w:ascii="Times New Roman" w:hAnsi="Times New Roman" w:eastAsia="宋体" w:cs="Times New Roman"/>
                      <w:sz w:val="21"/>
                      <w:szCs w:val="21"/>
                      <w:vertAlign w:val="baseline"/>
                      <w:lang w:val="en-US" w:eastAsia="zh-CN"/>
                    </w:rPr>
                  </w:pPr>
                  <w:r>
                    <w:rPr>
                      <w:rFonts w:ascii="Times New Roman" w:hAnsi="Times New Roman" w:cs="Times New Roman"/>
                      <w:spacing w:val="-1"/>
                      <w:sz w:val="21"/>
                      <w:szCs w:val="21"/>
                    </w:rPr>
                    <w:t>站外道路筑路时尽量利用已有道路。</w:t>
                  </w:r>
                </w:p>
              </w:tc>
            </w:tr>
          </w:tbl>
          <w:p w14:paraId="501AFEE7">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变电站工程施工期间一般设置一处施工生产生活区，变电站施工人员一般为20~25人。产污环节主要集中在变电站土建施工阶段，主要的污染因子为施工扬尘、施工噪声、施工废水、固废。变电站施工工艺流程见下图。</w:t>
            </w:r>
          </w:p>
          <w:p w14:paraId="360D5DE2">
            <w:pPr>
              <w:pStyle w:val="57"/>
              <w:keepNext w:val="0"/>
              <w:keepLines w:val="0"/>
              <w:pageBreakBefore w:val="0"/>
              <w:wordWrap/>
              <w:overflowPunct/>
              <w:topLinePunct w:val="0"/>
              <w:bidi w:val="0"/>
              <w:spacing w:afterLines="0"/>
              <w:ind w:left="0" w:leftChars="0" w:firstLine="480" w:firstLineChars="200"/>
              <w:jc w:val="left"/>
              <w:rPr>
                <w:rFonts w:hint="eastAsia"/>
                <w:lang w:val="en-US" w:eastAsia="zh-CN"/>
              </w:rPr>
            </w:pPr>
            <w:r>
              <w:rPr>
                <w:position w:val="-42"/>
              </w:rPr>
              <w:drawing>
                <wp:inline distT="0" distB="0" distL="0" distR="0">
                  <wp:extent cx="5412105" cy="1708150"/>
                  <wp:effectExtent l="0" t="0" r="17145" b="635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6"/>
                          <a:stretch>
                            <a:fillRect/>
                          </a:stretch>
                        </pic:blipFill>
                        <pic:spPr>
                          <a:xfrm>
                            <a:off x="0" y="0"/>
                            <a:ext cx="5412105" cy="1708150"/>
                          </a:xfrm>
                          <a:prstGeom prst="rect">
                            <a:avLst/>
                          </a:prstGeom>
                        </pic:spPr>
                      </pic:pic>
                    </a:graphicData>
                  </a:graphic>
                </wp:inline>
              </w:drawing>
            </w:r>
          </w:p>
          <w:p w14:paraId="5F1E4E11">
            <w:pPr>
              <w:pStyle w:val="57"/>
              <w:keepNext w:val="0"/>
              <w:keepLines w:val="0"/>
              <w:pageBreakBefore w:val="0"/>
              <w:wordWrap/>
              <w:overflowPunct/>
              <w:topLinePunct w:val="0"/>
              <w:bidi w:val="0"/>
              <w:spacing w:afterLines="0" w:line="240" w:lineRule="auto"/>
              <w:ind w:left="0" w:leftChars="0" w:firstLine="446" w:firstLineChars="200"/>
              <w:jc w:val="center"/>
              <w:rPr>
                <w:rFonts w:hint="eastAsia"/>
                <w:lang w:val="en-US" w:eastAsia="zh-CN"/>
              </w:rPr>
            </w:pPr>
            <w:r>
              <w:rPr>
                <w:b/>
                <w:bCs/>
                <w:spacing w:val="6"/>
                <w:sz w:val="21"/>
                <w:szCs w:val="21"/>
              </w:rPr>
              <w:t>图</w:t>
            </w:r>
            <w:r>
              <w:rPr>
                <w:rFonts w:hint="eastAsia"/>
                <w:b/>
                <w:bCs/>
                <w:spacing w:val="6"/>
                <w:sz w:val="21"/>
                <w:szCs w:val="21"/>
                <w:lang w:val="en-US" w:eastAsia="zh-CN"/>
              </w:rPr>
              <w:t>2</w:t>
            </w:r>
            <w:r>
              <w:rPr>
                <w:rFonts w:ascii="Times New Roman" w:hAnsi="Times New Roman" w:eastAsia="Times New Roman" w:cs="Times New Roman"/>
                <w:b/>
                <w:bCs/>
                <w:spacing w:val="6"/>
                <w:sz w:val="21"/>
                <w:szCs w:val="21"/>
              </w:rPr>
              <w:t>-</w:t>
            </w:r>
            <w:r>
              <w:rPr>
                <w:rFonts w:hint="eastAsia" w:eastAsia="宋体" w:cs="Times New Roman"/>
                <w:b/>
                <w:bCs/>
                <w:spacing w:val="6"/>
                <w:sz w:val="21"/>
                <w:szCs w:val="21"/>
                <w:lang w:val="en-US" w:eastAsia="zh-CN"/>
              </w:rPr>
              <w:t>5</w:t>
            </w:r>
            <w:r>
              <w:rPr>
                <w:rFonts w:ascii="Times New Roman" w:hAnsi="Times New Roman" w:eastAsia="Times New Roman" w:cs="Times New Roman"/>
                <w:b/>
                <w:bCs/>
                <w:spacing w:val="6"/>
                <w:sz w:val="21"/>
                <w:szCs w:val="21"/>
              </w:rPr>
              <w:t xml:space="preserve">  </w:t>
            </w:r>
            <w:r>
              <w:rPr>
                <w:b/>
                <w:bCs/>
                <w:spacing w:val="6"/>
                <w:sz w:val="21"/>
                <w:szCs w:val="21"/>
              </w:rPr>
              <w:t>变电站工程施工期工艺流程及产污因子示意图</w:t>
            </w:r>
          </w:p>
          <w:p w14:paraId="3BE56399">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（3）架空线路</w:t>
            </w:r>
          </w:p>
          <w:p w14:paraId="7E4BDADD">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线路施工主要分为杆塔基础、杆塔组立和导线架设几个步骤，施工在线路路径方向上分段推进，即在一个工段上完成基础、立塔和架线后再进行下一个工段的施工。</w:t>
            </w:r>
          </w:p>
          <w:p w14:paraId="1E1B946C">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线路施工工序流程见下图。</w:t>
            </w:r>
          </w:p>
          <w:p w14:paraId="64BE67E8">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drawing>
                <wp:inline distT="0" distB="0" distL="0" distR="0">
                  <wp:extent cx="5019040" cy="4500880"/>
                  <wp:effectExtent l="0" t="0" r="10160" b="1397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7"/>
                          <a:stretch>
                            <a:fillRect/>
                          </a:stretch>
                        </pic:blipFill>
                        <pic:spPr>
                          <a:xfrm>
                            <a:off x="0" y="0"/>
                            <a:ext cx="5019294" cy="4501133"/>
                          </a:xfrm>
                          <a:prstGeom prst="rect">
                            <a:avLst/>
                          </a:prstGeom>
                        </pic:spPr>
                      </pic:pic>
                    </a:graphicData>
                  </a:graphic>
                </wp:inline>
              </w:drawing>
            </w:r>
          </w:p>
          <w:p w14:paraId="5DB9C674">
            <w:pPr>
              <w:pStyle w:val="57"/>
              <w:keepNext w:val="0"/>
              <w:keepLines w:val="0"/>
              <w:pageBreakBefore w:val="0"/>
              <w:wordWrap/>
              <w:overflowPunct/>
              <w:topLinePunct w:val="0"/>
              <w:bidi w:val="0"/>
              <w:spacing w:afterLines="0" w:line="240" w:lineRule="auto"/>
              <w:ind w:left="0" w:leftChars="0" w:firstLine="442" w:firstLineChars="200"/>
              <w:jc w:val="center"/>
              <w:rPr>
                <w:rFonts w:hint="eastAsia"/>
                <w:sz w:val="21"/>
                <w:szCs w:val="21"/>
                <w:lang w:val="en-US" w:eastAsia="zh-CN"/>
              </w:rPr>
            </w:pPr>
            <w:r>
              <w:rPr>
                <w:b/>
                <w:bCs/>
                <w:spacing w:val="5"/>
                <w:sz w:val="21"/>
                <w:szCs w:val="21"/>
              </w:rPr>
              <w:t>图</w:t>
            </w:r>
            <w:r>
              <w:rPr>
                <w:rFonts w:ascii="Times New Roman" w:hAnsi="Times New Roman" w:eastAsia="Times New Roman" w:cs="Times New Roman"/>
                <w:b/>
                <w:bCs/>
                <w:spacing w:val="5"/>
                <w:sz w:val="21"/>
                <w:szCs w:val="21"/>
              </w:rPr>
              <w:t>2-</w:t>
            </w:r>
            <w:r>
              <w:rPr>
                <w:rFonts w:hint="eastAsia" w:eastAsia="宋体" w:cs="Times New Roman"/>
                <w:b/>
                <w:bCs/>
                <w:spacing w:val="5"/>
                <w:sz w:val="21"/>
                <w:szCs w:val="21"/>
                <w:lang w:val="en-US" w:eastAsia="zh-CN"/>
              </w:rPr>
              <w:t>6</w:t>
            </w:r>
            <w:r>
              <w:rPr>
                <w:rFonts w:ascii="Times New Roman" w:hAnsi="Times New Roman" w:eastAsia="Times New Roman" w:cs="Times New Roman"/>
                <w:b/>
                <w:bCs/>
                <w:spacing w:val="5"/>
                <w:sz w:val="21"/>
                <w:szCs w:val="21"/>
              </w:rPr>
              <w:t xml:space="preserve">  </w:t>
            </w:r>
            <w:r>
              <w:rPr>
                <w:b/>
                <w:bCs/>
                <w:spacing w:val="5"/>
                <w:sz w:val="21"/>
                <w:szCs w:val="21"/>
              </w:rPr>
              <w:t>线路施工工序流程图</w:t>
            </w:r>
          </w:p>
          <w:p w14:paraId="2564361C">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①基础施工</w:t>
            </w:r>
          </w:p>
          <w:p w14:paraId="6377F6F4">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本工程采用</w:t>
            </w:r>
            <w:r>
              <w:rPr>
                <w:rFonts w:hint="eastAsia" w:ascii="Times New Roman"/>
                <w:color w:val="auto"/>
                <w:szCs w:val="24"/>
                <w:highlight w:val="none"/>
                <w:lang w:val="en-US" w:eastAsia="zh-CN"/>
              </w:rPr>
              <w:t>钢筋混凝土板式基础、灌注桩基础、掏挖基础和挖孔桩基础</w:t>
            </w:r>
            <w:r>
              <w:rPr>
                <w:rFonts w:hint="eastAsia"/>
                <w:lang w:val="en-US" w:eastAsia="zh-CN"/>
              </w:rPr>
              <w:t>，土石方开挖采用机械与人工开挖结合方式。以灌注桩为例，采用泥浆护壁的配套工艺，泥浆循环由泥浆池、泥浆循环槽、泥浆泵组成，钻机采用筒式旋挖取土。施工准备阶段主要是施工备料及临时道路的施工，材料运输尽量利用已有公路、林区小路、机耕道等，施工时仅需对一些道路进行整修以适应施工需要。本工程所用混凝土一般在山下进行搅拌，通过无人机、人力抬运等方式运到塔基处进行浇筑。</w:t>
            </w:r>
          </w:p>
          <w:p w14:paraId="4D8B2A42">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钢筋混凝土板式基础：钢筋混凝土板式基础主柱为直柱，基础与铁塔之间采用地脚螺栓连接。主要特点是适用的地质范围较广，混凝土的用量较小，耗钢量较大，综合造价较低，是目前线路中常见的基础形式。对于具备一定承载力的软土及淤泥质黏性土、地下水位较高的砂类土地区，可采取基础浅埋方式来降低基坑施工开挖难度。</w:t>
            </w:r>
          </w:p>
          <w:p w14:paraId="4D1F1A27">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②铁塔组立施工</w:t>
            </w:r>
          </w:p>
          <w:p w14:paraId="6E4DE411">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采用内拉线悬浮抱杆或外拉线悬浮抱杆分段分片吊装。铁塔组立采用分片分段吊装的方法，按吊端在地面分片组装，吊至塔上合拢，地线支架与最上段塔身同时吊装。吊装或大件吊装时，吊点位置要有可靠的保护措施，防止塔材出现硬弯变形。</w:t>
            </w:r>
          </w:p>
          <w:p w14:paraId="5A3047E6">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③架空线路</w:t>
            </w:r>
          </w:p>
          <w:p w14:paraId="17200FC7">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输电线路建设阶段主要采用人抬、畜力运送或无人机运输材料，人工挖塔基并结合无人机进行组装。架线施工中对交叉跨越情况一般采用占地和扰动均较小的搭建竹木塔架的方法，在需跨越的线路、公路的两侧搭建竹木塔架，竹木塔架高度以不影响其运行为准。</w:t>
            </w:r>
          </w:p>
          <w:p w14:paraId="24DCFDD6">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施工期产污环节主要集中在新建变电站阶段，新建变电站施工阶段涉及的施工机械包括挖掘机、推土机、运输车等；输电线路建设阶段主要采用索道运输方式或人抬、畜力运输运送材料，人工挖塔基并结合无人机进行组装。主要污染因子有施工噪声、扬尘、废（污）水、固废，此外表现为土地占用、植被破坏和水土流失。单个塔基施工人数一般为5~8人左右，输电线路施工期间施工人员的施工营地可与变电站施工共用一处施工营地。</w:t>
            </w:r>
          </w:p>
          <w:p w14:paraId="68F19F45">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杆塔组立及接地工程施工过程中对环境产生的影响主要表现为基坑开挖和混凝土浇筑过程中产生的临时堆土、余土弃渣、施工噪声、施工扬尘、施工废水等。施工过程中应对临时堆土设置隔离、拦挡，表面采用苫布覆盖等防护措施。</w:t>
            </w:r>
          </w:p>
          <w:p w14:paraId="53D6C849">
            <w:pPr>
              <w:pStyle w:val="57"/>
              <w:keepNext w:val="0"/>
              <w:keepLines w:val="0"/>
              <w:pageBreakBefore w:val="0"/>
              <w:wordWrap/>
              <w:overflowPunct/>
              <w:topLinePunct w:val="0"/>
              <w:bidi w:val="0"/>
              <w:spacing w:afterLines="0"/>
              <w:ind w:left="0" w:leftChars="0" w:firstLine="480" w:firstLineChars="200"/>
              <w:rPr>
                <w:rFonts w:hint="eastAsia"/>
                <w:lang w:val="en-US" w:eastAsia="zh-CN"/>
              </w:rPr>
            </w:pPr>
            <w:r>
              <w:rPr>
                <w:rFonts w:hint="eastAsia"/>
                <w:lang w:val="en-US" w:eastAsia="zh-CN"/>
              </w:rPr>
              <w:t>架线施工过程中主要表现为对线路下方农作物、树木等植被产生的影响以及临时的跨越场地占用。高压输电线路建设目前国内外普遍采用张力架线方式，该方法避免了导线与地面的机械摩擦，在减少了对农作物、树木损失的前提下，也可以有效减轻因导线损伤带来的运行中的电晕损失。架线施工中对交叉跨越情况一般采用占地和扰动均较小的搭建竹木塔架的方法，在需跨越的线路、公路的两侧搭建竹木塔架，竹木塔架高度以不影响其运行为准。</w:t>
            </w:r>
          </w:p>
          <w:p w14:paraId="1AAE4FCD">
            <w:pPr>
              <w:pStyle w:val="57"/>
              <w:keepNext w:val="0"/>
              <w:keepLines w:val="0"/>
              <w:pageBreakBefore w:val="0"/>
              <w:wordWrap/>
              <w:overflowPunct/>
              <w:topLinePunct w:val="0"/>
              <w:bidi w:val="0"/>
              <w:spacing w:afterLines="0"/>
              <w:ind w:left="0" w:leftChars="0" w:firstLine="480" w:firstLineChars="200"/>
              <w:rPr>
                <w:rFonts w:hint="default"/>
                <w:lang w:val="en-US" w:eastAsia="zh-CN"/>
              </w:rPr>
            </w:pPr>
            <w:r>
              <w:rPr>
                <w:rFonts w:hint="eastAsia"/>
                <w:lang w:val="en-US" w:eastAsia="zh-CN"/>
              </w:rPr>
              <w:t>④生态保护红线内输电线路施工工艺</w:t>
            </w:r>
          </w:p>
          <w:p w14:paraId="3CAC3F3B">
            <w:pPr>
              <w:pStyle w:val="57"/>
              <w:wordWrap/>
              <w:spacing w:afterLines="0"/>
              <w:ind w:left="0" w:firstLine="480" w:firstLineChars="200"/>
              <w:rPr>
                <w:rFonts w:hint="eastAsia" w:ascii="Times New Roman" w:hAnsi="Times New Roman" w:eastAsia="宋体" w:cs="Times New Roman"/>
              </w:rPr>
            </w:pPr>
            <w:r>
              <w:rPr>
                <w:rFonts w:hint="eastAsia" w:ascii="Times New Roman" w:hAnsi="Times New Roman" w:eastAsia="宋体" w:cs="Times New Roman"/>
                <w:lang w:val="en-US" w:eastAsia="zh-CN"/>
              </w:rPr>
              <w:t>本工程在穿越生态保护红线、公益林时，通过优化杆塔设计，选用跟开较小的塔型以减少塔基占地；采取塔基定位避让、</w:t>
            </w:r>
            <w:r>
              <w:rPr>
                <w:rFonts w:hint="eastAsia" w:ascii="Times New Roman" w:hAnsi="Times New Roman" w:eastAsia="宋体" w:cs="Times New Roman"/>
                <w:i w:val="0"/>
                <w:iCs w:val="0"/>
                <w:caps w:val="0"/>
                <w:spacing w:val="0"/>
                <w:sz w:val="24"/>
                <w:szCs w:val="20"/>
                <w:shd w:val="clear"/>
              </w:rPr>
              <w:t>高跨设计、高塔大跨越方式</w:t>
            </w:r>
            <w:r>
              <w:rPr>
                <w:rFonts w:hint="eastAsia" w:ascii="Times New Roman" w:hAnsi="Times New Roman" w:eastAsia="宋体" w:cs="Times New Roman"/>
                <w:lang w:val="en-US" w:eastAsia="zh-CN"/>
              </w:rPr>
              <w:t>控制导线高度等环境保护措施，以减少对公益林及生态红线的占用、减少林木砍伐和植被破坏；结合周边地形</w:t>
            </w:r>
            <w:r>
              <w:rPr>
                <w:rFonts w:ascii="宋体" w:hAnsi="宋体" w:eastAsia="宋体" w:cs="宋体"/>
                <w:sz w:val="24"/>
                <w:szCs w:val="24"/>
              </w:rPr>
              <w:t>优先选用</w:t>
            </w:r>
            <w:r>
              <w:rPr>
                <w:rFonts w:ascii="宋体" w:hAnsi="宋体" w:eastAsia="宋体" w:cs="宋体"/>
                <w:b w:val="0"/>
                <w:bCs w:val="0"/>
                <w:sz w:val="24"/>
                <w:szCs w:val="24"/>
              </w:rPr>
              <w:t>高低腿轻型角钢塔、大跨距悬索式塔、钢管杆</w:t>
            </w:r>
            <w:r>
              <w:rPr>
                <w:rFonts w:ascii="宋体" w:hAnsi="宋体" w:eastAsia="宋体" w:cs="宋体"/>
                <w:sz w:val="24"/>
                <w:szCs w:val="24"/>
              </w:rPr>
              <w:t>，搭配掏挖式</w:t>
            </w:r>
            <w:r>
              <w:rPr>
                <w:rFonts w:hint="eastAsia" w:ascii="宋体" w:hAnsi="宋体" w:eastAsia="宋体" w:cs="宋体"/>
                <w:sz w:val="24"/>
                <w:szCs w:val="24"/>
                <w:lang w:eastAsia="zh-CN"/>
              </w:rPr>
              <w:t>、</w:t>
            </w:r>
            <w:r>
              <w:rPr>
                <w:rFonts w:ascii="宋体" w:hAnsi="宋体" w:eastAsia="宋体" w:cs="宋体"/>
                <w:sz w:val="24"/>
                <w:szCs w:val="24"/>
              </w:rPr>
              <w:t>灌注桩小基础，减少占地、挖填方和植被砍伐，实现“随坡就势、少扰动”。</w:t>
            </w:r>
            <w:r>
              <w:rPr>
                <w:rFonts w:hint="eastAsia" w:ascii="Times New Roman" w:hAnsi="Times New Roman" w:eastAsia="宋体" w:cs="Times New Roman"/>
                <w:i w:val="0"/>
                <w:iCs w:val="0"/>
                <w:caps w:val="0"/>
                <w:spacing w:val="0"/>
                <w:sz w:val="24"/>
                <w:szCs w:val="20"/>
                <w:shd w:val="clear"/>
              </w:rPr>
              <w:t>采用先进的施工技术和设备，灌注桩基础代替开挖式基础，降低对土壤结构和植被的破坏。</w:t>
            </w:r>
            <w:r>
              <w:rPr>
                <w:rFonts w:hint="eastAsia" w:ascii="Times New Roman" w:hAnsi="Times New Roman" w:eastAsia="宋体" w:cs="Times New Roman"/>
                <w:lang w:val="en-US" w:eastAsia="zh-CN"/>
              </w:rPr>
              <w:t>同时塔基处设置护坡、挡土墙等水土保持措施，以减少水土流失；塔基施工主要采取人工开挖方式</w:t>
            </w:r>
            <w:r>
              <w:rPr>
                <w:rFonts w:hint="eastAsia"/>
                <w:lang w:val="en-US" w:eastAsia="zh-CN"/>
              </w:rPr>
              <w:t>并结合无人机进行组装</w:t>
            </w:r>
            <w:r>
              <w:rPr>
                <w:rFonts w:hint="eastAsia" w:ascii="Times New Roman" w:hAnsi="Times New Roman" w:eastAsia="宋体" w:cs="Times New Roman"/>
                <w:lang w:val="en-US" w:eastAsia="zh-CN"/>
              </w:rPr>
              <w:t>，架线施工利用无人机放线方式，以减少破坏植被；施工阶段牵张场的设置避开生态保护红线、公益林及饮用水水源保护区，采用人抬、畜力运送材料</w:t>
            </w:r>
            <w:r>
              <w:rPr>
                <w:rFonts w:hint="eastAsia" w:cs="Times New Roman"/>
                <w:lang w:val="en-US" w:eastAsia="zh-CN"/>
              </w:rPr>
              <w:t>或无人机运输材料</w:t>
            </w:r>
            <w:r>
              <w:rPr>
                <w:rFonts w:hint="eastAsia" w:ascii="Times New Roman" w:hAnsi="Times New Roman" w:eastAsia="宋体" w:cs="Times New Roman"/>
                <w:lang w:val="en-US" w:eastAsia="zh-CN"/>
              </w:rPr>
              <w:t>，尽量优化临时道路路径长度及路宽设计，尽量利用生态保护红线区域内已有道路，以减少临时施工占地面积；线路跨越水体时采取一档跨越方式，塔基设置远离饮用水水源保护区、水体；</w:t>
            </w:r>
            <w:r>
              <w:rPr>
                <w:rFonts w:hint="eastAsia"/>
                <w:lang w:val="en-US" w:eastAsia="zh-CN"/>
              </w:rPr>
              <w:t>架线施工中对交叉跨越情况一般采用占地和扰动均较小的搭建竹木塔架的方法，在需跨越的线路、公路的两侧搭建竹木塔架，竹木塔架高度以不影响其运行为准；</w:t>
            </w:r>
            <w:r>
              <w:rPr>
                <w:rFonts w:hint="eastAsia" w:ascii="Times New Roman" w:hAnsi="Times New Roman" w:eastAsia="宋体" w:cs="Times New Roman"/>
                <w:lang w:val="en-US" w:eastAsia="zh-CN"/>
              </w:rPr>
              <w:t>工程建成后对塔基处进行绿化或复耕，以恢复原有土地功能。</w:t>
            </w:r>
            <w:r>
              <w:rPr>
                <w:rFonts w:hint="eastAsia" w:ascii="Times New Roman" w:hAnsi="Times New Roman" w:eastAsia="宋体" w:cs="Times New Roman"/>
                <w:i w:val="0"/>
                <w:iCs w:val="0"/>
                <w:caps w:val="0"/>
                <w:spacing w:val="0"/>
                <w:sz w:val="24"/>
                <w:szCs w:val="20"/>
                <w:shd w:val="clear"/>
              </w:rPr>
              <w:t>施工场地应选择在非林地或植被稀疏区域，尽量减少对林木的砍伐</w:t>
            </w:r>
            <w:r>
              <w:rPr>
                <w:rFonts w:hint="eastAsia" w:ascii="Times New Roman" w:hAnsi="Times New Roman" w:eastAsia="宋体" w:cs="Times New Roman"/>
                <w:i w:val="0"/>
                <w:iCs w:val="0"/>
                <w:caps w:val="0"/>
                <w:spacing w:val="0"/>
                <w:sz w:val="24"/>
                <w:szCs w:val="20"/>
                <w:shd w:val="clear"/>
                <w:lang w:eastAsia="zh-CN"/>
              </w:rPr>
              <w:t>。</w:t>
            </w:r>
            <w:r>
              <w:rPr>
                <w:rFonts w:hint="eastAsia" w:ascii="Times New Roman" w:hAnsi="Times New Roman" w:eastAsia="宋体" w:cs="Times New Roman"/>
                <w:i w:val="0"/>
                <w:iCs w:val="0"/>
                <w:caps w:val="0"/>
                <w:spacing w:val="0"/>
                <w:sz w:val="24"/>
                <w:szCs w:val="20"/>
                <w:shd w:val="clear"/>
              </w:rPr>
              <w:t>加强对施工人员的生态保护教育，禁止在施工区域内捕猎野生动物、采摘野生植物等破坏生态环境的行为。</w:t>
            </w:r>
            <w:r>
              <w:rPr>
                <w:rFonts w:hint="default" w:ascii="Segoe UI" w:hAnsi="Segoe UI" w:eastAsia="Segoe UI" w:cs="Segoe UI"/>
                <w:i w:val="0"/>
                <w:iCs w:val="0"/>
                <w:caps w:val="0"/>
                <w:spacing w:val="0"/>
                <w:sz w:val="24"/>
                <w:szCs w:val="24"/>
                <w:shd w:val="clear" w:fill="FFFFFF"/>
              </w:rPr>
              <w:t>施工结束后，应及时清理施工场地，拆除临时设施，恢复地表原貌。按照生态保护方案的要求，对占用的林地进行植被恢复，选择适合当地生长的乡土树种进行造林，确保恢复的植被能够适应生态环境，提高成活率。建立生态恢复监测机制，定期对恢复区域的植被生长情况、水土流失情况等进行监测，及时发现问题并采取相应的措施进行整改。接受林业主管部门的监督检查，确保生态恢复工作达到规定的标准和要求。</w:t>
            </w:r>
          </w:p>
          <w:p w14:paraId="10CC6547">
            <w:pPr>
              <w:pStyle w:val="57"/>
              <w:keepNext w:val="0"/>
              <w:keepLines w:val="0"/>
              <w:pageBreakBefore w:val="0"/>
              <w:wordWrap/>
              <w:overflowPunct/>
              <w:topLinePunct w:val="0"/>
              <w:bidi w:val="0"/>
              <w:spacing w:afterLines="0"/>
              <w:ind w:left="0" w:leftChars="0" w:firstLine="480" w:firstLineChars="200"/>
              <w:rPr>
                <w:rFonts w:hint="default"/>
                <w:lang w:val="en-US" w:eastAsia="zh-CN"/>
              </w:rPr>
            </w:pPr>
            <w:r>
              <w:rPr>
                <w:rFonts w:hint="eastAsia"/>
                <w:lang w:val="en-US" w:eastAsia="zh-CN"/>
              </w:rPr>
              <w:t>⑤跨越河流处输电线路施工工艺</w:t>
            </w:r>
          </w:p>
          <w:p w14:paraId="3D7BCD0B">
            <w:pPr>
              <w:pStyle w:val="57"/>
              <w:wordWrap/>
              <w:spacing w:afterLines="0"/>
              <w:ind w:left="0" w:firstLine="480" w:firstLineChars="200"/>
            </w:pPr>
            <w:r>
              <w:rPr>
                <w:rFonts w:hint="eastAsia"/>
                <w:lang w:val="en-US" w:eastAsia="zh-CN"/>
              </w:rPr>
              <w:t>本工程输电线路于金寨县境内涉及跨越梅山水库、白水河、双河、麻河。</w:t>
            </w:r>
            <w:r>
              <w:rPr>
                <w:rFonts w:hint="default" w:ascii="Segoe UI" w:hAnsi="Segoe UI" w:eastAsia="Segoe UI" w:cs="Segoe UI"/>
                <w:i w:val="0"/>
                <w:iCs w:val="0"/>
                <w:caps w:val="0"/>
                <w:spacing w:val="0"/>
                <w:sz w:val="24"/>
                <w:szCs w:val="24"/>
                <w:shd w:val="clear" w:fill="FFFFFF"/>
              </w:rPr>
              <w:t>严格控制施工范围，</w:t>
            </w:r>
            <w:r>
              <w:rPr>
                <w:rFonts w:hint="eastAsia"/>
                <w:lang w:val="en-US" w:eastAsia="zh-CN"/>
              </w:rPr>
              <w:t>河道两侧杆塔基础采用挖孔桩基础，考虑塔基施工外扩的临时场地布置，材料运输路线远离河流，杆塔施工及架线尽量安排在冬季，即非汛期，杆塔施工采用小型机械+人工施工方式，临时土方及材料堆放布置于远离河道一侧，并用彩条布苫盖，施工场地应设置在远离水源地的区域，避免施工废水、生活污水等直接排入水源地。施工场地周边应设置围堰、沉淀池等设施，收集和处理施工过程中产生的废水，确保废水达标排放或回用。优先选用大跨距跨越塔，直接跨越河流，无需扰动水域生态。跨越段架线工程施工将采用牵张机结合无人机展放的方式，临时场地布置远离河道。项目施工阶段注意标识河道范围，塔基施工占地、牵张场及跨越场施工临时占地尽量远离河流，严禁在河流中冲洗施工机械，杜绝向河流内倾倒废弃物、排放废污水及乱丢乱弃各类垃圾。</w:t>
            </w:r>
            <w:r>
              <w:rPr>
                <w:rFonts w:hint="default" w:ascii="Segoe UI" w:hAnsi="Segoe UI" w:eastAsia="Segoe UI" w:cs="Segoe UI"/>
                <w:i w:val="0"/>
                <w:iCs w:val="0"/>
                <w:caps w:val="0"/>
                <w:spacing w:val="0"/>
                <w:sz w:val="24"/>
                <w:szCs w:val="24"/>
                <w:shd w:val="clear" w:fill="FFFFFF"/>
              </w:rPr>
              <w:t>施工结束后，应及时清理施工场地，拆除临时设施，恢复地表原貌。对施工过程中破坏的植被进行恢复，选择适合当地生长的植物进行种植，提高水源地的生态功能。接受生态环境主管部门的监督检查，确保施工后的环境恢复工作达到规定的标准和要求。</w:t>
            </w:r>
          </w:p>
          <w:p w14:paraId="7DDD7C6D">
            <w:pPr>
              <w:pStyle w:val="57"/>
              <w:keepNext w:val="0"/>
              <w:keepLines w:val="0"/>
              <w:pageBreakBefore w:val="0"/>
              <w:wordWrap/>
              <w:overflowPunct/>
              <w:topLinePunct w:val="0"/>
              <w:bidi w:val="0"/>
              <w:spacing w:afterLines="0"/>
              <w:ind w:left="0" w:leftChars="0" w:firstLine="482" w:firstLineChars="200"/>
              <w:rPr>
                <w:b/>
                <w:bCs/>
              </w:rPr>
            </w:pPr>
            <w:r>
              <w:rPr>
                <w:b/>
                <w:bCs/>
              </w:rPr>
              <w:t>2</w:t>
            </w:r>
            <w:r>
              <w:rPr>
                <w:rFonts w:hint="eastAsia"/>
                <w:b/>
                <w:bCs/>
                <w:lang w:val="en-US" w:eastAsia="zh-CN"/>
              </w:rPr>
              <w:t>.11</w:t>
            </w:r>
            <w:r>
              <w:rPr>
                <w:b/>
                <w:bCs/>
              </w:rPr>
              <w:t>、施工时序、建设周期</w:t>
            </w:r>
          </w:p>
          <w:p w14:paraId="2C93F754">
            <w:pPr>
              <w:pStyle w:val="57"/>
              <w:keepNext w:val="0"/>
              <w:keepLines w:val="0"/>
              <w:pageBreakBefore w:val="0"/>
              <w:wordWrap/>
              <w:overflowPunct/>
              <w:topLinePunct w:val="0"/>
              <w:bidi w:val="0"/>
              <w:spacing w:afterLines="0"/>
              <w:ind w:left="0" w:leftChars="0" w:firstLine="480" w:firstLineChars="200"/>
              <w:rPr>
                <w:color w:val="auto"/>
                <w:highlight w:val="none"/>
              </w:rPr>
            </w:pPr>
            <w:r>
              <w:rPr>
                <w:rFonts w:hint="eastAsia"/>
                <w:color w:val="auto"/>
                <w:highlight w:val="none"/>
                <w:lang w:eastAsia="zh-CN"/>
              </w:rPr>
              <w:t>本工程主体工程</w:t>
            </w:r>
            <w:r>
              <w:rPr>
                <w:color w:val="auto"/>
                <w:highlight w:val="none"/>
              </w:rPr>
              <w:t>拟</w:t>
            </w:r>
            <w:r>
              <w:rPr>
                <w:rFonts w:hint="eastAsia"/>
                <w:color w:val="auto"/>
                <w:highlight w:val="none"/>
                <w:lang w:eastAsia="zh-CN"/>
              </w:rPr>
              <w:t>定于</w:t>
            </w:r>
            <w:r>
              <w:rPr>
                <w:color w:val="auto"/>
                <w:highlight w:val="none"/>
              </w:rPr>
              <w:t>202</w:t>
            </w:r>
            <w:r>
              <w:rPr>
                <w:rFonts w:hint="eastAsia"/>
                <w:color w:val="auto"/>
                <w:highlight w:val="none"/>
                <w:lang w:val="en-US" w:eastAsia="zh-CN"/>
              </w:rPr>
              <w:t>6</w:t>
            </w:r>
            <w:r>
              <w:rPr>
                <w:color w:val="auto"/>
                <w:highlight w:val="none"/>
              </w:rPr>
              <w:t>年</w:t>
            </w:r>
            <w:r>
              <w:rPr>
                <w:rFonts w:hint="eastAsia"/>
                <w:color w:val="auto"/>
                <w:highlight w:val="none"/>
                <w:lang w:val="en-US" w:eastAsia="zh-CN"/>
              </w:rPr>
              <w:t>5</w:t>
            </w:r>
            <w:r>
              <w:rPr>
                <w:color w:val="auto"/>
                <w:highlight w:val="none"/>
              </w:rPr>
              <w:t>月开工建设，至202</w:t>
            </w:r>
            <w:r>
              <w:rPr>
                <w:rFonts w:hint="eastAsia"/>
                <w:color w:val="auto"/>
                <w:highlight w:val="none"/>
                <w:lang w:val="en-US" w:eastAsia="zh-CN"/>
              </w:rPr>
              <w:t>8</w:t>
            </w:r>
            <w:r>
              <w:rPr>
                <w:color w:val="auto"/>
                <w:highlight w:val="none"/>
              </w:rPr>
              <w:t>年</w:t>
            </w:r>
            <w:r>
              <w:rPr>
                <w:rFonts w:hint="eastAsia"/>
                <w:color w:val="auto"/>
                <w:highlight w:val="none"/>
                <w:lang w:val="en-US" w:eastAsia="zh-CN"/>
              </w:rPr>
              <w:t>12</w:t>
            </w:r>
            <w:r>
              <w:rPr>
                <w:color w:val="auto"/>
                <w:highlight w:val="none"/>
              </w:rPr>
              <w:t>月底工程全部建成，总工期为</w:t>
            </w:r>
            <w:r>
              <w:rPr>
                <w:rFonts w:hint="eastAsia"/>
                <w:color w:val="auto"/>
                <w:highlight w:val="none"/>
                <w:lang w:val="en-US" w:eastAsia="zh-CN"/>
              </w:rPr>
              <w:t>19</w:t>
            </w:r>
            <w:r>
              <w:rPr>
                <w:color w:val="auto"/>
                <w:highlight w:val="none"/>
              </w:rPr>
              <w:t>个月</w:t>
            </w:r>
            <w:r>
              <w:rPr>
                <w:rFonts w:hint="eastAsia"/>
                <w:color w:val="auto"/>
                <w:highlight w:val="none"/>
                <w:lang w:eastAsia="zh-CN"/>
              </w:rPr>
              <w:t>；</w:t>
            </w:r>
            <w:r>
              <w:rPr>
                <w:rFonts w:hint="eastAsia"/>
                <w:color w:val="auto"/>
                <w:highlight w:val="none"/>
                <w:lang w:val="en-US" w:eastAsia="zh-CN"/>
              </w:rPr>
              <w:t>若项目未按照原计划取得开工许可，则实际开工时间相应顺延</w:t>
            </w:r>
            <w:r>
              <w:rPr>
                <w:color w:val="auto"/>
                <w:highlight w:val="none"/>
              </w:rPr>
              <w:t>。</w:t>
            </w:r>
          </w:p>
          <w:p w14:paraId="0E88CFCD">
            <w:pPr>
              <w:pStyle w:val="57"/>
              <w:keepNext w:val="0"/>
              <w:keepLines w:val="0"/>
              <w:pageBreakBefore w:val="0"/>
              <w:wordWrap/>
              <w:overflowPunct/>
              <w:topLinePunct w:val="0"/>
              <w:bidi w:val="0"/>
              <w:spacing w:afterLines="0"/>
              <w:ind w:left="0" w:leftChars="0" w:firstLine="482" w:firstLineChars="200"/>
              <w:rPr>
                <w:b/>
                <w:bCs/>
              </w:rPr>
            </w:pPr>
            <w:r>
              <w:rPr>
                <w:rFonts w:hint="eastAsia"/>
                <w:b/>
                <w:bCs/>
                <w:lang w:val="en-US" w:eastAsia="zh-CN"/>
              </w:rPr>
              <w:t>2.12</w:t>
            </w:r>
            <w:r>
              <w:rPr>
                <w:b/>
                <w:bCs/>
              </w:rPr>
              <w:t>、</w:t>
            </w:r>
            <w:r>
              <w:rPr>
                <w:rFonts w:hint="eastAsia"/>
                <w:b/>
                <w:bCs/>
                <w:lang w:eastAsia="zh-CN"/>
              </w:rPr>
              <w:t>施工期</w:t>
            </w:r>
            <w:r>
              <w:rPr>
                <w:b/>
                <w:bCs/>
              </w:rPr>
              <w:t>劳动定员及班制</w:t>
            </w:r>
          </w:p>
          <w:p w14:paraId="3C0042C4">
            <w:pPr>
              <w:pStyle w:val="57"/>
              <w:keepNext w:val="0"/>
              <w:keepLines w:val="0"/>
              <w:pageBreakBefore w:val="0"/>
              <w:wordWrap/>
              <w:overflowPunct/>
              <w:topLinePunct w:val="0"/>
              <w:bidi w:val="0"/>
              <w:spacing w:afterLines="0"/>
              <w:ind w:left="0" w:leftChars="0" w:firstLine="480" w:firstLineChars="200"/>
              <w:rPr>
                <w:color w:val="auto"/>
              </w:rPr>
            </w:pPr>
            <w:r>
              <w:rPr>
                <w:rFonts w:hint="eastAsia"/>
                <w:color w:val="auto"/>
                <w:lang w:eastAsia="zh-CN"/>
              </w:rPr>
              <w:t>施工期</w:t>
            </w:r>
            <w:r>
              <w:rPr>
                <w:color w:val="auto"/>
              </w:rPr>
              <w:t>劳动定员</w:t>
            </w:r>
            <w:r>
              <w:rPr>
                <w:rFonts w:hint="eastAsia"/>
                <w:color w:val="auto"/>
                <w:lang w:val="en-US" w:eastAsia="zh-CN"/>
              </w:rPr>
              <w:t>60</w:t>
            </w:r>
            <w:r>
              <w:rPr>
                <w:color w:val="auto"/>
              </w:rPr>
              <w:t>人，采用</w:t>
            </w:r>
            <w:r>
              <w:rPr>
                <w:rFonts w:hint="eastAsia"/>
                <w:color w:val="auto"/>
                <w:lang w:val="en-US" w:eastAsia="zh-CN"/>
              </w:rPr>
              <w:t>1</w:t>
            </w:r>
            <w:r>
              <w:rPr>
                <w:color w:val="auto"/>
              </w:rPr>
              <w:t>班制。</w:t>
            </w:r>
          </w:p>
        </w:tc>
      </w:tr>
      <w:tr w14:paraId="26729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2" w:hRule="atLeast"/>
          <w:jc w:val="center"/>
        </w:trPr>
        <w:tc>
          <w:tcPr>
            <w:tcW w:w="245" w:type="pct"/>
            <w:vAlign w:val="center"/>
          </w:tcPr>
          <w:p w14:paraId="529D46A1">
            <w:pPr>
              <w:adjustRightInd w:val="0"/>
              <w:snapToGrid w:val="0"/>
              <w:rPr>
                <w:b/>
                <w:bCs/>
                <w:sz w:val="24"/>
                <w:szCs w:val="24"/>
              </w:rPr>
            </w:pPr>
            <w:r>
              <w:rPr>
                <w:b/>
                <w:bCs/>
                <w:sz w:val="24"/>
                <w:szCs w:val="24"/>
              </w:rPr>
              <w:t>其他</w:t>
            </w:r>
          </w:p>
        </w:tc>
        <w:tc>
          <w:tcPr>
            <w:tcW w:w="4754" w:type="pct"/>
            <w:vAlign w:val="center"/>
          </w:tcPr>
          <w:p w14:paraId="77A73471">
            <w:pPr>
              <w:spacing w:line="360" w:lineRule="auto"/>
              <w:jc w:val="center"/>
              <w:rPr>
                <w:b/>
                <w:bCs/>
                <w:sz w:val="24"/>
                <w:szCs w:val="24"/>
              </w:rPr>
            </w:pPr>
            <w:r>
              <w:rPr>
                <w:sz w:val="24"/>
                <w:szCs w:val="24"/>
              </w:rPr>
              <w:t>无</w:t>
            </w:r>
          </w:p>
        </w:tc>
      </w:tr>
    </w:tbl>
    <w:p w14:paraId="3D5B274F">
      <w:pPr>
        <w:sectPr>
          <w:pgSz w:w="11906" w:h="16838"/>
          <w:pgMar w:top="1440" w:right="1106" w:bottom="1440" w:left="1106" w:header="851" w:footer="992" w:gutter="0"/>
          <w:pgNumType w:fmt="decimal"/>
          <w:cols w:space="720" w:num="1"/>
          <w:docGrid w:linePitch="312" w:charSpace="0"/>
        </w:sectPr>
      </w:pPr>
    </w:p>
    <w:bookmarkEnd w:id="37"/>
    <w:bookmarkEnd w:id="38"/>
    <w:p w14:paraId="47BA5BC8">
      <w:pPr>
        <w:pStyle w:val="107"/>
        <w:jc w:val="center"/>
        <w:rPr>
          <w:rFonts w:eastAsia="宋体"/>
        </w:rPr>
      </w:pPr>
      <w:r>
        <w:rPr>
          <w:rFonts w:eastAsia="宋体"/>
        </w:rPr>
        <w:t>三、生态环境现状、保护目标及评价标准</w:t>
      </w:r>
      <w:bookmarkEnd w:id="19"/>
      <w:bookmarkEnd w:id="20"/>
      <w:bookmarkEnd w:id="21"/>
      <w:bookmarkEnd w:id="22"/>
      <w:bookmarkEnd w:id="23"/>
      <w:bookmarkEnd w:id="24"/>
      <w:bookmarkEnd w:id="25"/>
      <w:bookmarkEnd w:id="26"/>
      <w:bookmarkEnd w:id="27"/>
      <w:bookmarkEnd w:id="28"/>
      <w:bookmarkEnd w:id="29"/>
    </w:p>
    <w:tbl>
      <w:tblPr>
        <w:tblStyle w:val="38"/>
        <w:tblW w:w="49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9497"/>
      </w:tblGrid>
      <w:tr w14:paraId="6480F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0" w:hRule="atLeast"/>
          <w:jc w:val="center"/>
        </w:trPr>
        <w:tc>
          <w:tcPr>
            <w:tcW w:w="234" w:type="pct"/>
            <w:vAlign w:val="center"/>
          </w:tcPr>
          <w:p w14:paraId="0B46E253">
            <w:pPr>
              <w:pStyle w:val="122"/>
              <w:ind w:firstLine="0"/>
              <w:rPr>
                <w:w w:val="100"/>
              </w:rPr>
            </w:pPr>
            <w:r>
              <w:rPr>
                <w:b/>
                <w:bCs/>
                <w:w w:val="100"/>
                <w:sz w:val="24"/>
                <w:szCs w:val="24"/>
              </w:rPr>
              <w:t>生态环境现状</w:t>
            </w:r>
          </w:p>
        </w:tc>
        <w:tc>
          <w:tcPr>
            <w:tcW w:w="4765" w:type="pct"/>
          </w:tcPr>
          <w:p w14:paraId="6B53D973">
            <w:pPr>
              <w:keepNext/>
              <w:keepLines/>
              <w:pageBreakBefore/>
              <w:widowControl/>
              <w:topLinePunct/>
              <w:spacing w:line="360" w:lineRule="auto"/>
              <w:ind w:firstLine="480" w:firstLineChars="200"/>
              <w:rPr>
                <w:rFonts w:hint="default" w:ascii="Times New Roman" w:hAnsi="Times New Roman" w:eastAsia="宋体" w:cs="Times New Roman"/>
                <w:b w:val="0"/>
                <w:bCs/>
                <w:sz w:val="24"/>
                <w:szCs w:val="24"/>
              </w:rPr>
            </w:pPr>
            <w:r>
              <w:rPr>
                <w:rFonts w:hint="eastAsia" w:cs="Times New Roman"/>
                <w:b w:val="0"/>
                <w:bCs/>
                <w:sz w:val="24"/>
                <w:szCs w:val="24"/>
                <w:lang w:eastAsia="zh-CN"/>
              </w:rPr>
              <w:t>本工程</w:t>
            </w:r>
            <w:r>
              <w:rPr>
                <w:rFonts w:hint="default" w:ascii="Times New Roman" w:hAnsi="Times New Roman" w:eastAsia="宋体" w:cs="Times New Roman"/>
                <w:b w:val="0"/>
                <w:bCs/>
                <w:sz w:val="24"/>
                <w:szCs w:val="24"/>
                <w:lang w:val="en-US" w:eastAsia="zh-CN"/>
              </w:rPr>
              <w:t>变电站站址位于安徽省六安市金寨县关庙乡银山村沙坪沟道路一侧</w:t>
            </w:r>
            <w:r>
              <w:rPr>
                <w:rFonts w:hint="eastAsia" w:cs="Times New Roman"/>
                <w:b w:val="0"/>
                <w:bCs/>
                <w:sz w:val="24"/>
                <w:szCs w:val="24"/>
                <w:lang w:val="en-US" w:eastAsia="zh-CN"/>
              </w:rPr>
              <w:t>，</w:t>
            </w:r>
            <w:r>
              <w:rPr>
                <w:rFonts w:hint="default"/>
                <w:sz w:val="24"/>
                <w:szCs w:val="24"/>
                <w:lang w:val="en-US" w:eastAsia="zh-CN"/>
              </w:rPr>
              <w:t>线路工程位于金寨县</w:t>
            </w:r>
            <w:r>
              <w:rPr>
                <w:rFonts w:hint="eastAsia"/>
                <w:sz w:val="24"/>
                <w:szCs w:val="24"/>
                <w:lang w:val="en-US" w:eastAsia="zh-CN"/>
              </w:rPr>
              <w:t>双河镇、古碑镇、槐树湾乡、南溪镇、汤家汇镇、关庙乡境内</w:t>
            </w:r>
            <w:r>
              <w:rPr>
                <w:rFonts w:hint="default" w:ascii="Times New Roman" w:hAnsi="Times New Roman" w:eastAsia="宋体" w:cs="Times New Roman"/>
                <w:b w:val="0"/>
                <w:bCs/>
                <w:sz w:val="24"/>
                <w:szCs w:val="24"/>
              </w:rPr>
              <w:t>。总体上不会因</w:t>
            </w:r>
            <w:r>
              <w:rPr>
                <w:rFonts w:hint="eastAsia" w:cs="Times New Roman"/>
                <w:b w:val="0"/>
                <w:bCs/>
                <w:sz w:val="24"/>
                <w:szCs w:val="24"/>
                <w:lang w:val="en-US" w:eastAsia="zh-CN"/>
              </w:rPr>
              <w:t>该</w:t>
            </w:r>
            <w:r>
              <w:rPr>
                <w:rFonts w:hint="default" w:ascii="Times New Roman" w:hAnsi="Times New Roman" w:eastAsia="宋体" w:cs="Times New Roman"/>
                <w:b w:val="0"/>
                <w:bCs/>
                <w:sz w:val="24"/>
                <w:szCs w:val="24"/>
              </w:rPr>
              <w:t>项目的实施而改变区域环境现有功能。</w:t>
            </w:r>
          </w:p>
          <w:p w14:paraId="6A3BAF3F">
            <w:pPr>
              <w:pStyle w:val="57"/>
              <w:ind w:left="0" w:leftChars="0" w:firstLine="0" w:firstLineChars="0"/>
              <w:rPr>
                <w:rFonts w:hint="eastAsia" w:eastAsia="宋体"/>
                <w:b/>
                <w:bCs w:val="0"/>
                <w:lang w:eastAsia="zh-CN"/>
              </w:rPr>
            </w:pPr>
            <w:r>
              <w:rPr>
                <w:rFonts w:hint="eastAsia" w:cs="Times New Roman"/>
                <w:b/>
                <w:bCs w:val="0"/>
                <w:sz w:val="24"/>
                <w:szCs w:val="24"/>
                <w:lang w:val="en-US" w:eastAsia="zh-CN"/>
              </w:rPr>
              <w:t>3.1</w:t>
            </w:r>
            <w:r>
              <w:rPr>
                <w:rFonts w:hint="eastAsia" w:cs="Times New Roman"/>
                <w:b/>
                <w:bCs w:val="0"/>
                <w:sz w:val="24"/>
                <w:szCs w:val="24"/>
                <w:lang w:eastAsia="zh-CN"/>
              </w:rPr>
              <w:t>、生态环境</w:t>
            </w:r>
          </w:p>
          <w:p w14:paraId="3B3E0F6D">
            <w:pPr>
              <w:keepNext/>
              <w:keepLines/>
              <w:pageBreakBefore/>
              <w:widowControl/>
              <w:kinsoku/>
              <w:wordWrap/>
              <w:overflowPunct/>
              <w:topLinePunct/>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sz w:val="24"/>
                <w:szCs w:val="24"/>
              </w:rPr>
            </w:pPr>
            <w:r>
              <w:rPr>
                <w:rFonts w:hint="eastAsia" w:cs="Times New Roman"/>
                <w:b/>
                <w:bCs w:val="0"/>
                <w:sz w:val="24"/>
                <w:szCs w:val="24"/>
                <w:lang w:val="en-US" w:eastAsia="zh-CN"/>
              </w:rPr>
              <w:t>3.1.1</w:t>
            </w:r>
            <w:r>
              <w:rPr>
                <w:rFonts w:hint="default" w:ascii="Times New Roman" w:hAnsi="Times New Roman" w:eastAsia="宋体" w:cs="Times New Roman"/>
                <w:b/>
                <w:bCs w:val="0"/>
                <w:sz w:val="24"/>
                <w:szCs w:val="24"/>
              </w:rPr>
              <w:t>、项目所在地</w:t>
            </w:r>
            <w:r>
              <w:rPr>
                <w:rFonts w:hint="eastAsia" w:cs="Times New Roman"/>
                <w:b/>
                <w:bCs w:val="0"/>
                <w:sz w:val="24"/>
                <w:szCs w:val="24"/>
                <w:lang w:eastAsia="zh-CN"/>
              </w:rPr>
              <w:t>区域主体功能规划</w:t>
            </w:r>
          </w:p>
          <w:p w14:paraId="777B912B">
            <w:pPr>
              <w:keepNext/>
              <w:keepLines/>
              <w:pageBreakBefore/>
              <w:widowControl/>
              <w:kinsoku/>
              <w:wordWrap/>
              <w:overflowPunct/>
              <w:topLinePunct/>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rPr>
              <w:t>根据《安徽省主体功能区规划》（皖政〔2013〕82号），不同区域资源环境承载能力、现有开发强度和发展潜力，统筹考虑未来人口分布、经济布局、国土利用和城镇化格局，将全省国土空间划分为重点开发、限制开发和禁止开发三类主体功能区。</w:t>
            </w:r>
          </w:p>
          <w:p w14:paraId="2BCE1698">
            <w:pPr>
              <w:pStyle w:val="57"/>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b w:val="0"/>
                <w:bCs/>
                <w:sz w:val="24"/>
                <w:szCs w:val="24"/>
                <w:lang w:val="en-US" w:eastAsia="zh-CN"/>
              </w:rPr>
            </w:pPr>
            <w:r>
              <w:rPr>
                <w:rFonts w:hint="eastAsia" w:cs="Times New Roman"/>
                <w:b w:val="0"/>
                <w:bCs/>
                <w:sz w:val="24"/>
                <w:szCs w:val="24"/>
                <w:lang w:eastAsia="zh-CN"/>
              </w:rPr>
              <w:t>本工程</w:t>
            </w:r>
            <w:r>
              <w:rPr>
                <w:rFonts w:hint="default" w:ascii="Times New Roman" w:hAnsi="Times New Roman" w:eastAsia="宋体" w:cs="Times New Roman"/>
                <w:b w:val="0"/>
                <w:bCs/>
                <w:sz w:val="24"/>
                <w:szCs w:val="24"/>
              </w:rPr>
              <w:t>位于</w:t>
            </w:r>
            <w:r>
              <w:rPr>
                <w:rFonts w:hint="eastAsia" w:ascii="宋体" w:hAnsi="宋体" w:eastAsia="宋体" w:cs="宋体"/>
                <w:color w:val="000000"/>
                <w:sz w:val="24"/>
                <w:szCs w:val="24"/>
                <w:highlight w:val="none"/>
                <w:lang w:val="en-US" w:eastAsia="zh-CN"/>
              </w:rPr>
              <w:t>安徽省</w:t>
            </w:r>
            <w:r>
              <w:rPr>
                <w:rFonts w:hint="eastAsia" w:ascii="宋体" w:hAnsi="宋体" w:cs="宋体"/>
                <w:color w:val="000000"/>
                <w:sz w:val="24"/>
                <w:szCs w:val="24"/>
                <w:highlight w:val="none"/>
                <w:lang w:val="en-US" w:eastAsia="zh-CN"/>
              </w:rPr>
              <w:t>六安市金寨县境内</w:t>
            </w:r>
            <w:r>
              <w:rPr>
                <w:rFonts w:hint="default" w:ascii="Times New Roman" w:hAnsi="Times New Roman" w:eastAsia="宋体" w:cs="Times New Roman"/>
                <w:b w:val="0"/>
                <w:bCs/>
                <w:sz w:val="24"/>
                <w:szCs w:val="24"/>
                <w:lang w:val="en-US" w:eastAsia="zh-CN"/>
              </w:rPr>
              <w:t>，属于</w:t>
            </w:r>
            <w:r>
              <w:rPr>
                <w:rFonts w:hint="eastAsia" w:cs="Times New Roman"/>
                <w:b w:val="0"/>
                <w:bCs/>
                <w:sz w:val="24"/>
                <w:szCs w:val="24"/>
                <w:lang w:val="en-US" w:eastAsia="zh-CN"/>
              </w:rPr>
              <w:t>国家重点生态功能区。</w:t>
            </w:r>
            <w:r>
              <w:rPr>
                <w:rFonts w:hint="eastAsia" w:ascii="宋体" w:hAnsi="宋体" w:cs="宋体"/>
                <w:b w:val="0"/>
                <w:bCs/>
                <w:sz w:val="24"/>
                <w:szCs w:val="24"/>
                <w:lang w:val="en-US" w:eastAsia="zh-CN"/>
              </w:rPr>
              <w:t>本工程</w:t>
            </w:r>
            <w:r>
              <w:rPr>
                <w:rFonts w:hint="eastAsia" w:ascii="宋体" w:hAnsi="宋体" w:eastAsia="宋体" w:cs="宋体"/>
                <w:b w:val="0"/>
                <w:bCs/>
                <w:sz w:val="24"/>
                <w:szCs w:val="24"/>
                <w:lang w:val="en-US" w:eastAsia="zh-CN"/>
              </w:rPr>
              <w:t>为</w:t>
            </w:r>
            <w:r>
              <w:rPr>
                <w:rFonts w:hint="eastAsia" w:ascii="宋体" w:hAnsi="宋体" w:cs="宋体"/>
                <w:b w:val="0"/>
                <w:bCs/>
                <w:sz w:val="24"/>
                <w:szCs w:val="24"/>
                <w:lang w:val="en-US" w:eastAsia="zh-CN"/>
              </w:rPr>
              <w:t>输变电类</w:t>
            </w:r>
            <w:r>
              <w:rPr>
                <w:rFonts w:hint="eastAsia" w:ascii="宋体" w:hAnsi="宋体" w:eastAsia="宋体" w:cs="宋体"/>
                <w:b w:val="0"/>
                <w:bCs/>
                <w:sz w:val="24"/>
                <w:szCs w:val="24"/>
                <w:lang w:val="en-US" w:eastAsia="zh-CN"/>
              </w:rPr>
              <w:t>项目，</w:t>
            </w:r>
            <w:r>
              <w:rPr>
                <w:rFonts w:hint="eastAsia" w:cs="Times New Roman"/>
                <w:snapToGrid w:val="0"/>
                <w:color w:val="000000"/>
                <w:spacing w:val="6"/>
                <w:kern w:val="0"/>
                <w:sz w:val="24"/>
                <w:szCs w:val="24"/>
                <w:lang w:val="en-US" w:eastAsia="zh-CN"/>
              </w:rPr>
              <w:t>本工程</w:t>
            </w:r>
            <w:r>
              <w:rPr>
                <w:rFonts w:hint="default" w:ascii="Times New Roman" w:hAnsi="Times New Roman" w:eastAsia="宋体" w:cs="Times New Roman"/>
                <w:snapToGrid w:val="0"/>
                <w:color w:val="000000"/>
                <w:spacing w:val="6"/>
                <w:kern w:val="0"/>
                <w:sz w:val="24"/>
                <w:szCs w:val="24"/>
                <w:lang w:val="en-US" w:eastAsia="zh-CN"/>
              </w:rPr>
              <w:t>拟建线路涉及在</w:t>
            </w:r>
            <w:r>
              <w:rPr>
                <w:rFonts w:hint="eastAsia" w:cs="Times New Roman"/>
                <w:snapToGrid w:val="0"/>
                <w:color w:val="000000"/>
                <w:spacing w:val="6"/>
                <w:kern w:val="0"/>
                <w:sz w:val="24"/>
                <w:szCs w:val="24"/>
                <w:lang w:val="en-US" w:eastAsia="zh-CN"/>
              </w:rPr>
              <w:t>永久</w:t>
            </w:r>
            <w:r>
              <w:rPr>
                <w:rFonts w:hint="default" w:ascii="Times New Roman" w:hAnsi="Times New Roman" w:eastAsia="宋体" w:cs="Times New Roman"/>
                <w:snapToGrid w:val="0"/>
                <w:color w:val="000000"/>
                <w:spacing w:val="6"/>
                <w:kern w:val="0"/>
                <w:sz w:val="24"/>
                <w:szCs w:val="24"/>
                <w:lang w:val="en-US" w:eastAsia="zh-CN"/>
              </w:rPr>
              <w:t>基本农田中立塔，穿越永久基本农田，建设单位在施工前依法做好群众</w:t>
            </w:r>
            <w:r>
              <w:rPr>
                <w:rFonts w:hint="eastAsia" w:cs="Times New Roman"/>
                <w:snapToGrid w:val="0"/>
                <w:color w:val="000000"/>
                <w:spacing w:val="6"/>
                <w:kern w:val="0"/>
                <w:sz w:val="24"/>
                <w:szCs w:val="24"/>
                <w:lang w:val="en-US" w:eastAsia="zh-CN"/>
              </w:rPr>
              <w:t>的</w:t>
            </w:r>
            <w:r>
              <w:rPr>
                <w:rFonts w:hint="default" w:ascii="Times New Roman" w:hAnsi="Times New Roman" w:eastAsia="宋体" w:cs="Times New Roman"/>
                <w:snapToGrid w:val="0"/>
                <w:color w:val="000000"/>
                <w:spacing w:val="6"/>
                <w:kern w:val="0"/>
                <w:sz w:val="24"/>
                <w:szCs w:val="24"/>
                <w:lang w:val="en-US" w:eastAsia="zh-CN"/>
              </w:rPr>
              <w:t>土地补偿工作</w:t>
            </w:r>
            <w:r>
              <w:rPr>
                <w:rFonts w:hint="eastAsia" w:ascii="宋体" w:hAnsi="宋体" w:eastAsia="宋体" w:cs="宋体"/>
                <w:b w:val="0"/>
                <w:bCs/>
                <w:sz w:val="24"/>
                <w:szCs w:val="24"/>
                <w:lang w:val="en-US" w:eastAsia="zh-CN"/>
              </w:rPr>
              <w:t>，</w:t>
            </w:r>
            <w:r>
              <w:rPr>
                <w:rFonts w:hint="default" w:ascii="Times New Roman" w:hAnsi="Times New Roman" w:eastAsia="宋体" w:cs="Times New Roman"/>
                <w:snapToGrid w:val="0"/>
                <w:color w:val="000000"/>
                <w:spacing w:val="6"/>
                <w:kern w:val="0"/>
                <w:sz w:val="24"/>
                <w:szCs w:val="24"/>
                <w:lang w:val="en-US" w:eastAsia="zh-CN"/>
              </w:rPr>
              <w:t>项目路径方案已取得</w:t>
            </w:r>
            <w:r>
              <w:rPr>
                <w:rFonts w:hint="eastAsia" w:cs="Times New Roman"/>
                <w:snapToGrid w:val="0"/>
                <w:color w:val="000000"/>
                <w:spacing w:val="6"/>
                <w:kern w:val="0"/>
                <w:sz w:val="24"/>
                <w:szCs w:val="24"/>
                <w:lang w:val="en-US" w:eastAsia="zh-CN"/>
              </w:rPr>
              <w:t>金寨</w:t>
            </w:r>
            <w:r>
              <w:rPr>
                <w:rFonts w:hint="default" w:ascii="Times New Roman" w:hAnsi="Times New Roman" w:eastAsia="宋体" w:cs="Times New Roman"/>
                <w:snapToGrid w:val="0"/>
                <w:color w:val="000000"/>
                <w:spacing w:val="6"/>
                <w:kern w:val="0"/>
                <w:sz w:val="24"/>
                <w:szCs w:val="24"/>
                <w:lang w:val="en-US" w:eastAsia="zh-CN"/>
              </w:rPr>
              <w:t>县自然资源和规划局的原则同意</w:t>
            </w:r>
            <w:r>
              <w:rPr>
                <w:rFonts w:hint="eastAsia" w:cs="Times New Roman"/>
                <w:snapToGrid w:val="0"/>
                <w:color w:val="000000"/>
                <w:spacing w:val="6"/>
                <w:kern w:val="0"/>
                <w:sz w:val="24"/>
                <w:szCs w:val="24"/>
                <w:lang w:val="en-US" w:eastAsia="zh-CN"/>
              </w:rPr>
              <w:t>，详见附件4。</w:t>
            </w:r>
            <w:r>
              <w:rPr>
                <w:rFonts w:hint="eastAsia" w:ascii="宋体" w:hAnsi="宋体" w:eastAsia="宋体" w:cs="宋体"/>
                <w:b w:val="0"/>
                <w:bCs/>
                <w:sz w:val="24"/>
                <w:szCs w:val="24"/>
                <w:lang w:val="en-US" w:eastAsia="zh-CN"/>
              </w:rPr>
              <w:t>在施工过程中严格按设计要求控制用地规模，减少生态破坏，做好动植物的保护及宣传工作，加强</w:t>
            </w:r>
            <w:r>
              <w:rPr>
                <w:rFonts w:hint="eastAsia" w:ascii="宋体" w:hAnsi="宋体" w:cs="宋体"/>
                <w:b w:val="0"/>
                <w:bCs/>
                <w:sz w:val="24"/>
                <w:szCs w:val="24"/>
                <w:lang w:val="en-US" w:eastAsia="zh-CN"/>
              </w:rPr>
              <w:t>站区</w:t>
            </w:r>
            <w:r>
              <w:rPr>
                <w:rFonts w:hint="eastAsia" w:ascii="宋体" w:hAnsi="宋体" w:eastAsia="宋体" w:cs="宋体"/>
                <w:b w:val="0"/>
                <w:bCs/>
                <w:sz w:val="24"/>
                <w:szCs w:val="24"/>
                <w:lang w:val="en-US" w:eastAsia="zh-CN"/>
              </w:rPr>
              <w:t>绿化，在此基础上，</w:t>
            </w:r>
            <w:r>
              <w:rPr>
                <w:rFonts w:hint="eastAsia" w:ascii="宋体" w:hAnsi="宋体" w:cs="宋体"/>
                <w:b w:val="0"/>
                <w:bCs/>
                <w:sz w:val="24"/>
                <w:szCs w:val="24"/>
                <w:lang w:val="en-US" w:eastAsia="zh-CN"/>
              </w:rPr>
              <w:t>本工程</w:t>
            </w:r>
            <w:r>
              <w:rPr>
                <w:rFonts w:hint="eastAsia" w:ascii="宋体" w:hAnsi="宋体" w:eastAsia="宋体" w:cs="宋体"/>
                <w:b w:val="0"/>
                <w:bCs/>
                <w:sz w:val="24"/>
                <w:szCs w:val="24"/>
                <w:lang w:val="en-US" w:eastAsia="zh-CN"/>
              </w:rPr>
              <w:t>的建设符合《安徽省主体功能区规划》要求。</w:t>
            </w:r>
          </w:p>
          <w:p w14:paraId="3C6FDC6A">
            <w:pPr>
              <w:keepNext/>
              <w:keepLines/>
              <w:pageBreakBefore/>
              <w:widowControl/>
              <w:topLinePunct/>
              <w:spacing w:line="360" w:lineRule="auto"/>
              <w:ind w:firstLine="482" w:firstLineChars="200"/>
              <w:rPr>
                <w:rFonts w:hint="eastAsia" w:ascii="Times New Roman" w:hAnsi="Times New Roman" w:eastAsia="宋体" w:cs="Times New Roman"/>
                <w:b w:val="0"/>
                <w:bCs/>
                <w:sz w:val="24"/>
                <w:szCs w:val="24"/>
                <w:lang w:val="en-US" w:eastAsia="zh-CN"/>
              </w:rPr>
            </w:pPr>
            <w:r>
              <w:rPr>
                <w:rFonts w:hint="eastAsia" w:cs="Times New Roman"/>
                <w:b/>
                <w:bCs w:val="0"/>
                <w:sz w:val="24"/>
                <w:szCs w:val="24"/>
                <w:lang w:val="en-US" w:eastAsia="zh-CN"/>
              </w:rPr>
              <w:t>3.1.</w:t>
            </w:r>
            <w:r>
              <w:rPr>
                <w:rFonts w:hint="default" w:ascii="Times New Roman" w:hAnsi="Times New Roman" w:eastAsia="宋体" w:cs="Times New Roman"/>
                <w:b/>
                <w:bCs w:val="0"/>
                <w:sz w:val="24"/>
                <w:szCs w:val="24"/>
                <w:lang w:val="en-US" w:eastAsia="zh-CN"/>
              </w:rPr>
              <w:t>2、</w:t>
            </w:r>
            <w:r>
              <w:rPr>
                <w:rFonts w:hint="default" w:ascii="Times New Roman" w:hAnsi="Times New Roman" w:eastAsia="宋体" w:cs="Times New Roman"/>
                <w:b/>
                <w:bCs w:val="0"/>
                <w:sz w:val="24"/>
                <w:szCs w:val="24"/>
              </w:rPr>
              <w:t>项目所在地生态功能区规划</w:t>
            </w:r>
          </w:p>
          <w:p w14:paraId="51B9263B">
            <w:pPr>
              <w:keepNext/>
              <w:keepLines/>
              <w:pageBreakBefore w:val="0"/>
              <w:widowControl/>
              <w:topLinePunct/>
              <w:spacing w:line="360" w:lineRule="auto"/>
              <w:ind w:firstLine="480" w:firstLineChars="200"/>
              <w:rPr>
                <w:rFonts w:hint="default" w:ascii="Times New Roman" w:hAnsi="Times New Roman" w:eastAsia="宋体" w:cs="Times New Roman"/>
                <w:b w:val="0"/>
                <w:bCs/>
                <w:sz w:val="24"/>
                <w:szCs w:val="24"/>
                <w:lang w:val="en-US" w:eastAsia="zh-CN"/>
              </w:rPr>
            </w:pPr>
            <w:r>
              <w:rPr>
                <w:rFonts w:hint="eastAsia" w:cs="Times New Roman"/>
                <w:b w:val="0"/>
                <w:bCs/>
                <w:sz w:val="24"/>
                <w:szCs w:val="24"/>
                <w:lang w:val="en-US" w:eastAsia="zh-CN"/>
              </w:rPr>
              <w:t>本工程</w:t>
            </w:r>
            <w:r>
              <w:rPr>
                <w:rFonts w:hint="default" w:ascii="Times New Roman" w:hAnsi="Times New Roman" w:eastAsia="宋体" w:cs="Times New Roman"/>
                <w:b w:val="0"/>
                <w:bCs/>
                <w:sz w:val="24"/>
                <w:szCs w:val="24"/>
                <w:lang w:val="en-US" w:eastAsia="zh-CN"/>
              </w:rPr>
              <w:t>位于</w:t>
            </w:r>
            <w:r>
              <w:rPr>
                <w:rFonts w:hint="eastAsia" w:cs="Times New Roman"/>
                <w:b w:val="0"/>
                <w:bCs/>
                <w:sz w:val="24"/>
                <w:szCs w:val="24"/>
                <w:lang w:val="en-US" w:eastAsia="zh-CN"/>
              </w:rPr>
              <w:t>六安市金寨县境内</w:t>
            </w:r>
            <w:r>
              <w:rPr>
                <w:rFonts w:hint="default" w:ascii="Times New Roman" w:hAnsi="Times New Roman" w:eastAsia="宋体" w:cs="Times New Roman"/>
                <w:b w:val="0"/>
                <w:bCs/>
                <w:sz w:val="24"/>
                <w:szCs w:val="24"/>
                <w:lang w:val="en-US" w:eastAsia="zh-CN"/>
              </w:rPr>
              <w:t>，依据</w:t>
            </w:r>
            <w:r>
              <w:rPr>
                <w:rFonts w:hint="default" w:ascii="Times New Roman" w:hAnsi="Times New Roman" w:eastAsia="宋体" w:cs="Times New Roman"/>
                <w:b w:val="0"/>
                <w:bCs/>
                <w:sz w:val="24"/>
                <w:szCs w:val="24"/>
              </w:rPr>
              <w:t>《安徽省生态功能区划》</w:t>
            </w:r>
            <w:r>
              <w:rPr>
                <w:rFonts w:hint="default" w:ascii="Times New Roman" w:hAnsi="Times New Roman" w:eastAsia="宋体" w:cs="Times New Roman"/>
                <w:b w:val="0"/>
                <w:bCs/>
                <w:sz w:val="24"/>
                <w:szCs w:val="24"/>
                <w:lang w:val="en-US" w:eastAsia="zh-CN"/>
              </w:rPr>
              <w:t>，</w:t>
            </w:r>
            <w:r>
              <w:rPr>
                <w:rFonts w:hint="eastAsia" w:cs="Times New Roman"/>
                <w:b w:val="0"/>
                <w:bCs/>
                <w:sz w:val="24"/>
                <w:szCs w:val="24"/>
                <w:lang w:val="en-US" w:eastAsia="zh-CN"/>
              </w:rPr>
              <w:t>本工程</w:t>
            </w:r>
            <w:r>
              <w:rPr>
                <w:rFonts w:hint="default" w:ascii="Times New Roman" w:hAnsi="Times New Roman" w:eastAsia="宋体" w:cs="Times New Roman"/>
                <w:b w:val="0"/>
                <w:bCs/>
                <w:sz w:val="24"/>
                <w:szCs w:val="24"/>
                <w:lang w:val="en-US" w:eastAsia="zh-CN"/>
              </w:rPr>
              <w:t>所在区域属于</w:t>
            </w:r>
            <w:r>
              <w:rPr>
                <w:rFonts w:hint="eastAsia"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fldChar w:fldCharType="begin"/>
            </w:r>
            <w:r>
              <w:rPr>
                <w:rFonts w:hint="default" w:ascii="Times New Roman" w:hAnsi="Times New Roman" w:eastAsia="宋体" w:cs="Times New Roman"/>
                <w:b w:val="0"/>
                <w:bCs/>
                <w:sz w:val="24"/>
                <w:szCs w:val="24"/>
                <w:lang w:val="en-US" w:eastAsia="zh-CN"/>
              </w:rPr>
              <w:instrText xml:space="preserve"> = 3 \* ROMAN \* MERGEFORMAT </w:instrText>
            </w:r>
            <w:r>
              <w:rPr>
                <w:rFonts w:hint="default" w:ascii="Times New Roman" w:hAnsi="Times New Roman" w:eastAsia="宋体" w:cs="Times New Roman"/>
                <w:b w:val="0"/>
                <w:bCs/>
                <w:sz w:val="24"/>
                <w:szCs w:val="24"/>
                <w:lang w:val="en-US" w:eastAsia="zh-CN"/>
              </w:rPr>
              <w:fldChar w:fldCharType="separate"/>
            </w:r>
            <w:r>
              <w:rPr>
                <w:rFonts w:hint="default"/>
                <w:sz w:val="24"/>
                <w:szCs w:val="24"/>
              </w:rPr>
              <w:t>III</w:t>
            </w:r>
            <w:r>
              <w:rPr>
                <w:rFonts w:hint="default" w:ascii="Times New Roman" w:hAnsi="Times New Roman" w:eastAsia="宋体" w:cs="Times New Roman"/>
                <w:b w:val="0"/>
                <w:bCs/>
                <w:sz w:val="24"/>
                <w:szCs w:val="24"/>
                <w:lang w:val="en-US" w:eastAsia="zh-CN"/>
              </w:rPr>
              <w:fldChar w:fldCharType="end"/>
            </w:r>
            <w:r>
              <w:rPr>
                <w:rFonts w:hint="default" w:ascii="Times New Roman" w:hAnsi="Times New Roman" w:eastAsia="宋体" w:cs="Times New Roman"/>
                <w:b w:val="0"/>
                <w:bCs/>
                <w:sz w:val="24"/>
                <w:szCs w:val="24"/>
                <w:lang w:val="en-US" w:eastAsia="zh-CN"/>
              </w:rPr>
              <w:t>—</w:t>
            </w:r>
            <w:r>
              <w:rPr>
                <w:rFonts w:hint="eastAsia" w:ascii="Times New Roman" w:hAnsi="Times New Roman" w:eastAsia="宋体" w:cs="Times New Roman"/>
                <w:b w:val="0"/>
                <w:bCs/>
                <w:sz w:val="24"/>
                <w:szCs w:val="24"/>
                <w:lang w:val="en-US" w:eastAsia="zh-CN"/>
              </w:rPr>
              <w:t>皖西大别山生态区</w:t>
            </w:r>
            <w:r>
              <w:rPr>
                <w:rFonts w:hint="default"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fldChar w:fldCharType="begin"/>
            </w:r>
            <w:r>
              <w:rPr>
                <w:rFonts w:hint="default" w:ascii="Times New Roman" w:hAnsi="Times New Roman" w:eastAsia="宋体" w:cs="Times New Roman"/>
                <w:b w:val="0"/>
                <w:bCs/>
                <w:sz w:val="24"/>
                <w:szCs w:val="24"/>
                <w:lang w:val="en-US" w:eastAsia="zh-CN"/>
              </w:rPr>
              <w:instrText xml:space="preserve"> = 3 \* ROMAN \* MERGEFORMAT </w:instrText>
            </w:r>
            <w:r>
              <w:rPr>
                <w:rFonts w:hint="default" w:ascii="Times New Roman" w:hAnsi="Times New Roman" w:eastAsia="宋体" w:cs="Times New Roman"/>
                <w:b w:val="0"/>
                <w:bCs/>
                <w:sz w:val="24"/>
                <w:szCs w:val="24"/>
                <w:lang w:val="en-US" w:eastAsia="zh-CN"/>
              </w:rPr>
              <w:fldChar w:fldCharType="separate"/>
            </w:r>
            <w:r>
              <w:rPr>
                <w:rFonts w:hint="default" w:ascii="Times New Roman" w:hAnsi="Times New Roman" w:eastAsia="宋体" w:cs="Times New Roman"/>
                <w:sz w:val="24"/>
                <w:szCs w:val="24"/>
              </w:rPr>
              <w:t>III</w:t>
            </w:r>
            <w:r>
              <w:rPr>
                <w:rFonts w:hint="default" w:ascii="Times New Roman" w:hAnsi="Times New Roman" w:eastAsia="宋体" w:cs="Times New Roman"/>
                <w:b w:val="0"/>
                <w:bCs/>
                <w:sz w:val="24"/>
                <w:szCs w:val="24"/>
                <w:lang w:val="en-US" w:eastAsia="zh-CN"/>
              </w:rPr>
              <w:fldChar w:fldCharType="end"/>
            </w:r>
            <w:r>
              <w:rPr>
                <w:rFonts w:hint="eastAsia" w:ascii="Times New Roman" w:hAnsi="Times New Roman" w:eastAsia="宋体" w:cs="Times New Roman"/>
                <w:b w:val="0"/>
                <w:bCs/>
                <w:sz w:val="24"/>
                <w:szCs w:val="24"/>
                <w:vertAlign w:val="subscript"/>
                <w:lang w:val="en-US" w:eastAsia="zh-CN"/>
              </w:rPr>
              <w:t>1</w:t>
            </w:r>
            <w:r>
              <w:rPr>
                <w:rFonts w:hint="default" w:ascii="Times New Roman" w:hAnsi="Times New Roman" w:eastAsia="宋体" w:cs="Times New Roman"/>
                <w:b w:val="0"/>
                <w:bCs/>
                <w:sz w:val="24"/>
                <w:szCs w:val="24"/>
                <w:lang w:val="en-US" w:eastAsia="zh-CN"/>
              </w:rPr>
              <w:t>大别山北麓山前丘陵岗地农业生态亚区—</w:t>
            </w:r>
            <w:r>
              <w:rPr>
                <w:rFonts w:hint="default" w:ascii="Times New Roman" w:hAnsi="Times New Roman" w:eastAsia="宋体" w:cs="Times New Roman"/>
                <w:b w:val="0"/>
                <w:bCs/>
                <w:sz w:val="24"/>
                <w:szCs w:val="24"/>
                <w:lang w:val="en-US" w:eastAsia="zh-CN"/>
              </w:rPr>
              <w:fldChar w:fldCharType="begin"/>
            </w:r>
            <w:r>
              <w:rPr>
                <w:rFonts w:hint="default" w:ascii="Times New Roman" w:hAnsi="Times New Roman" w:eastAsia="宋体" w:cs="Times New Roman"/>
                <w:b w:val="0"/>
                <w:bCs/>
                <w:sz w:val="24"/>
                <w:szCs w:val="24"/>
                <w:lang w:val="en-US" w:eastAsia="zh-CN"/>
              </w:rPr>
              <w:instrText xml:space="preserve"> = 3 \* ROMAN \* MERGEFORMAT </w:instrText>
            </w:r>
            <w:r>
              <w:rPr>
                <w:rFonts w:hint="default" w:ascii="Times New Roman" w:hAnsi="Times New Roman" w:eastAsia="宋体" w:cs="Times New Roman"/>
                <w:b w:val="0"/>
                <w:bCs/>
                <w:sz w:val="24"/>
                <w:szCs w:val="24"/>
                <w:lang w:val="en-US" w:eastAsia="zh-CN"/>
              </w:rPr>
              <w:fldChar w:fldCharType="separate"/>
            </w:r>
            <w:r>
              <w:rPr>
                <w:rFonts w:hint="default" w:ascii="Times New Roman" w:hAnsi="Times New Roman" w:eastAsia="宋体" w:cs="Times New Roman"/>
                <w:sz w:val="24"/>
                <w:szCs w:val="24"/>
              </w:rPr>
              <w:t>III</w:t>
            </w:r>
            <w:r>
              <w:rPr>
                <w:rFonts w:hint="default" w:ascii="Times New Roman" w:hAnsi="Times New Roman" w:eastAsia="宋体" w:cs="Times New Roman"/>
                <w:b w:val="0"/>
                <w:bCs/>
                <w:sz w:val="24"/>
                <w:szCs w:val="24"/>
                <w:lang w:val="en-US" w:eastAsia="zh-CN"/>
              </w:rPr>
              <w:fldChar w:fldCharType="end"/>
            </w:r>
            <w:r>
              <w:rPr>
                <w:rFonts w:hint="eastAsia" w:ascii="Times New Roman" w:hAnsi="Times New Roman" w:eastAsia="宋体" w:cs="Times New Roman"/>
                <w:b w:val="0"/>
                <w:bCs/>
                <w:sz w:val="24"/>
                <w:szCs w:val="24"/>
                <w:vertAlign w:val="subscript"/>
                <w:lang w:val="en-US" w:eastAsia="zh-CN"/>
              </w:rPr>
              <w:t>1-1</w:t>
            </w:r>
            <w:r>
              <w:rPr>
                <w:rFonts w:hint="default" w:ascii="Times New Roman" w:hAnsi="Times New Roman" w:eastAsia="宋体" w:cs="Times New Roman"/>
                <w:b w:val="0"/>
                <w:bCs/>
                <w:sz w:val="24"/>
                <w:szCs w:val="24"/>
                <w:lang w:val="en-US" w:eastAsia="zh-CN"/>
              </w:rPr>
              <w:t>梅响磨佛水库水源涵养与生物多样性保护生态功能区</w:t>
            </w:r>
            <w:r>
              <w:rPr>
                <w:rFonts w:hint="eastAsia"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w:t>
            </w:r>
          </w:p>
          <w:p w14:paraId="502A64B8">
            <w:pPr>
              <w:keepNext/>
              <w:keepLines/>
              <w:pageBreakBefore w:val="0"/>
              <w:widowControl/>
              <w:topLinePunct/>
              <w:spacing w:line="360" w:lineRule="auto"/>
              <w:ind w:firstLine="480" w:firstLineChars="200"/>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该生态功能区位于本亚区西部，行政区划包括金寨县全部、霍山县大部、六安市辖区西南部地区，面积6746.4km</w:t>
            </w:r>
            <w:r>
              <w:rPr>
                <w:rFonts w:hint="default" w:ascii="Times New Roman" w:hAnsi="Times New Roman" w:eastAsia="宋体" w:cs="Times New Roman"/>
                <w:b w:val="0"/>
                <w:bCs/>
                <w:sz w:val="24"/>
                <w:szCs w:val="24"/>
                <w:vertAlign w:val="superscript"/>
                <w:lang w:val="en-US" w:eastAsia="zh-CN"/>
              </w:rPr>
              <w:t>2</w:t>
            </w:r>
            <w:r>
              <w:rPr>
                <w:rFonts w:hint="default" w:ascii="Times New Roman" w:hAnsi="Times New Roman" w:eastAsia="宋体" w:cs="Times New Roman"/>
                <w:b w:val="0"/>
                <w:bCs/>
                <w:sz w:val="24"/>
                <w:szCs w:val="24"/>
                <w:lang w:val="en-US" w:eastAsia="zh-CN"/>
              </w:rPr>
              <w:t>。该区地貌类型以中低山为主，在山间盆地或谷地中有零星畈区分布，大别山最高峰白马尖分布于本区内。本区属北亚热带湿润性季风气候区，气候温凉，雨水充沛。年平均日照时数为1900~2000小时，年平均气温14.5~15.0℃，中山处年平均气温10～12℃，最热月</w:t>
            </w:r>
            <w:r>
              <w:rPr>
                <w:rFonts w:hint="eastAsia"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7、8月</w:t>
            </w:r>
            <w:r>
              <w:rPr>
                <w:rFonts w:hint="eastAsia" w:cs="Times New Roman"/>
                <w:b w:val="0"/>
                <w:bCs/>
                <w:sz w:val="24"/>
                <w:szCs w:val="24"/>
                <w:lang w:val="en-US" w:eastAsia="zh-CN"/>
              </w:rPr>
              <w:t>）</w:t>
            </w:r>
            <w:r>
              <w:rPr>
                <w:rFonts w:hint="default" w:ascii="Times New Roman" w:hAnsi="Times New Roman" w:eastAsia="宋体" w:cs="Times New Roman"/>
                <w:b w:val="0"/>
                <w:bCs/>
                <w:sz w:val="24"/>
                <w:szCs w:val="24"/>
                <w:lang w:val="en-US" w:eastAsia="zh-CN"/>
              </w:rPr>
              <w:t>气温仅21~23℃，年均相对湿度在80%以上，年均降水1400mm左右，是</w:t>
            </w:r>
            <w:r>
              <w:rPr>
                <w:rFonts w:hint="eastAsia" w:cs="Times New Roman"/>
                <w:b w:val="0"/>
                <w:bCs/>
                <w:sz w:val="24"/>
                <w:szCs w:val="24"/>
                <w:lang w:val="en-US" w:eastAsia="zh-CN"/>
              </w:rPr>
              <w:t>安徽</w:t>
            </w:r>
            <w:r>
              <w:rPr>
                <w:rFonts w:hint="default" w:ascii="Times New Roman" w:hAnsi="Times New Roman" w:eastAsia="宋体" w:cs="Times New Roman"/>
                <w:b w:val="0"/>
                <w:bCs/>
                <w:sz w:val="24"/>
                <w:szCs w:val="24"/>
                <w:lang w:val="en-US" w:eastAsia="zh-CN"/>
              </w:rPr>
              <w:t>省的降水次中心，年蒸发量1400mm以下，无霜期为220天。</w:t>
            </w:r>
          </w:p>
          <w:p w14:paraId="52F18661">
            <w:pPr>
              <w:keepNext/>
              <w:keepLines/>
              <w:pageBreakBefore w:val="0"/>
              <w:widowControl/>
              <w:topLinePunct/>
              <w:spacing w:line="360" w:lineRule="auto"/>
              <w:ind w:firstLine="480" w:firstLineChars="200"/>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lang w:val="en-US" w:eastAsia="zh-CN"/>
              </w:rPr>
              <w:t>本生态功能区以森林生态系统为主，植被类型属暖温带落叶阔叶林向亚热带常绿阔叶林过渡型，植被垂直分布带谱明显，野生动植物资源丰富，区系</w:t>
            </w:r>
            <w:r>
              <w:rPr>
                <w:rFonts w:hint="eastAsia" w:cs="Times New Roman"/>
                <w:b w:val="0"/>
                <w:bCs/>
                <w:sz w:val="24"/>
                <w:szCs w:val="24"/>
                <w:lang w:val="en-US" w:eastAsia="zh-CN"/>
              </w:rPr>
              <w:t>成分</w:t>
            </w:r>
            <w:r>
              <w:rPr>
                <w:rFonts w:hint="default" w:ascii="Times New Roman" w:hAnsi="Times New Roman" w:eastAsia="宋体" w:cs="Times New Roman"/>
                <w:b w:val="0"/>
                <w:bCs/>
                <w:sz w:val="24"/>
                <w:szCs w:val="24"/>
                <w:lang w:val="en-US" w:eastAsia="zh-CN"/>
              </w:rPr>
              <w:t>复杂，特有种多。天马和鹞落坪两处国家级自然保护区内保存了大批珍稀、古老</w:t>
            </w:r>
            <w:r>
              <w:rPr>
                <w:rFonts w:hint="eastAsia" w:cs="Times New Roman"/>
                <w:b w:val="0"/>
                <w:bCs/>
                <w:sz w:val="24"/>
                <w:szCs w:val="24"/>
                <w:lang w:val="en-US" w:eastAsia="zh-CN"/>
              </w:rPr>
              <w:t>孑遗</w:t>
            </w:r>
            <w:r>
              <w:rPr>
                <w:rFonts w:hint="default" w:ascii="Times New Roman" w:hAnsi="Times New Roman" w:eastAsia="宋体" w:cs="Times New Roman"/>
                <w:b w:val="0"/>
                <w:bCs/>
                <w:sz w:val="24"/>
                <w:szCs w:val="24"/>
                <w:lang w:val="en-US" w:eastAsia="zh-CN"/>
              </w:rPr>
              <w:t>物种和典型、多样的生物群落，目前已查明维管束植物有2000多种，陆栖脊椎动物200多</w:t>
            </w:r>
            <w:r>
              <w:rPr>
                <w:rFonts w:hint="eastAsia" w:cs="Times New Roman"/>
                <w:b w:val="0"/>
                <w:bCs/>
                <w:sz w:val="24"/>
                <w:szCs w:val="24"/>
                <w:lang w:val="en-US" w:eastAsia="zh-CN"/>
              </w:rPr>
              <w:t>种</w:t>
            </w:r>
            <w:r>
              <w:rPr>
                <w:rFonts w:hint="default" w:ascii="Times New Roman" w:hAnsi="Times New Roman" w:eastAsia="宋体" w:cs="Times New Roman"/>
                <w:b w:val="0"/>
                <w:bCs/>
                <w:sz w:val="24"/>
                <w:szCs w:val="24"/>
                <w:lang w:val="en-US" w:eastAsia="zh-CN"/>
              </w:rPr>
              <w:t>，其中国家重点保护的野生植物有大别山五针松、香果树、杜仲等25种，而且本区还是香果树、领春木、大别山五针松、连香树、鹅掌楸、金钱松、天女花、厚朴、大鲵、原麝、勺鸡等保护物种的集中分布区，其中中国特有植物13属及地方特有动植物十余种，</w:t>
            </w:r>
            <w:r>
              <w:rPr>
                <w:rFonts w:hint="eastAsia" w:cs="Times New Roman"/>
                <w:b w:val="0"/>
                <w:bCs/>
                <w:sz w:val="24"/>
                <w:szCs w:val="24"/>
                <w:lang w:val="en-US" w:eastAsia="zh-CN"/>
              </w:rPr>
              <w:t>被誉为</w:t>
            </w:r>
            <w:r>
              <w:rPr>
                <w:rFonts w:hint="default" w:ascii="Times New Roman" w:hAnsi="Times New Roman" w:eastAsia="宋体" w:cs="Times New Roman"/>
                <w:b w:val="0"/>
                <w:bCs/>
                <w:sz w:val="24"/>
                <w:szCs w:val="24"/>
                <w:lang w:val="en-US" w:eastAsia="zh-CN"/>
              </w:rPr>
              <w:t>“大别山区的天然物种基因库”。本区还是淮河重要支流史河、淠河的发源地和下游梅山、响洪甸、磨子潭和佛子岭四大水库的水源涵养区。</w:t>
            </w:r>
          </w:p>
          <w:p w14:paraId="7A77327D">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98" w:firstLineChars="200"/>
              <w:textAlignment w:val="auto"/>
              <w:rPr>
                <w:rFonts w:hint="eastAsia" w:ascii="Times New Roman" w:hAnsi="Times New Roman" w:eastAsia="宋体" w:cs="Times New Roman"/>
                <w:b/>
                <w:bCs w:val="0"/>
                <w:sz w:val="24"/>
                <w:szCs w:val="24"/>
                <w:lang w:eastAsia="zh-CN"/>
              </w:rPr>
            </w:pPr>
            <w:r>
              <w:rPr>
                <w:rFonts w:hint="eastAsia" w:ascii="Times New Roman" w:hAnsi="Times New Roman" w:cs="Times New Roman"/>
                <w:b/>
                <w:bCs w:val="0"/>
                <w:sz w:val="24"/>
                <w:szCs w:val="24"/>
                <w:lang w:val="en-US" w:eastAsia="zh-CN"/>
              </w:rPr>
              <w:t>3.1.3</w:t>
            </w:r>
            <w:r>
              <w:rPr>
                <w:rFonts w:hint="default" w:ascii="Times New Roman" w:hAnsi="Times New Roman" w:eastAsia="宋体" w:cs="Times New Roman"/>
                <w:b/>
                <w:bCs w:val="0"/>
                <w:sz w:val="24"/>
                <w:szCs w:val="24"/>
              </w:rPr>
              <w:t>、生态环境</w:t>
            </w:r>
            <w:r>
              <w:rPr>
                <w:rFonts w:hint="eastAsia" w:ascii="Times New Roman" w:hAnsi="Times New Roman" w:cs="Times New Roman"/>
                <w:b/>
                <w:bCs w:val="0"/>
                <w:sz w:val="24"/>
                <w:szCs w:val="24"/>
                <w:lang w:eastAsia="zh-CN"/>
              </w:rPr>
              <w:t>现状</w:t>
            </w:r>
          </w:p>
          <w:p w14:paraId="1A46CF6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本工程拟建110kV变电站及线路位于六安市</w:t>
            </w:r>
            <w:r>
              <w:rPr>
                <w:rFonts w:hint="eastAsia" w:cs="Times New Roman"/>
                <w:color w:val="000000"/>
                <w:kern w:val="0"/>
                <w:sz w:val="24"/>
                <w:szCs w:val="24"/>
                <w:lang w:val="en-US" w:eastAsia="zh-CN" w:bidi="ar"/>
              </w:rPr>
              <w:t>金寨县境内</w:t>
            </w:r>
            <w:r>
              <w:rPr>
                <w:rFonts w:hint="default" w:ascii="Times New Roman" w:hAnsi="Times New Roman" w:cs="Times New Roman"/>
                <w:color w:val="000000"/>
                <w:kern w:val="0"/>
                <w:sz w:val="24"/>
                <w:szCs w:val="24"/>
                <w:lang w:val="en-US" w:eastAsia="zh-CN" w:bidi="ar"/>
              </w:rPr>
              <w:t>，拟建变电站站址现状为</w:t>
            </w:r>
            <w:r>
              <w:rPr>
                <w:rFonts w:hint="eastAsia" w:cs="Times New Roman"/>
                <w:color w:val="000000"/>
                <w:kern w:val="0"/>
                <w:sz w:val="24"/>
                <w:szCs w:val="24"/>
                <w:lang w:val="en-US" w:eastAsia="zh-CN" w:bidi="ar"/>
              </w:rPr>
              <w:t>农用地</w:t>
            </w:r>
            <w:r>
              <w:rPr>
                <w:rFonts w:hint="default" w:ascii="Times New Roman" w:hAnsi="Times New Roman" w:cs="Times New Roman"/>
                <w:color w:val="000000"/>
                <w:kern w:val="0"/>
                <w:sz w:val="24"/>
                <w:szCs w:val="24"/>
                <w:lang w:val="en-US" w:eastAsia="zh-CN" w:bidi="ar"/>
              </w:rPr>
              <w:t>，拟建线路主要沿</w:t>
            </w:r>
            <w:r>
              <w:rPr>
                <w:rFonts w:hint="eastAsia" w:cs="Times New Roman"/>
                <w:color w:val="000000"/>
                <w:kern w:val="0"/>
                <w:sz w:val="24"/>
                <w:szCs w:val="24"/>
                <w:lang w:val="en-US" w:eastAsia="zh-CN" w:bidi="ar"/>
              </w:rPr>
              <w:t>林地</w:t>
            </w:r>
            <w:r>
              <w:rPr>
                <w:rFonts w:hint="default" w:ascii="Times New Roman" w:hAnsi="Times New Roman" w:cs="Times New Roman"/>
                <w:color w:val="000000"/>
                <w:kern w:val="0"/>
                <w:sz w:val="24"/>
                <w:szCs w:val="24"/>
                <w:lang w:val="en-US" w:eastAsia="zh-CN" w:bidi="ar"/>
              </w:rPr>
              <w:t>进行架设。</w:t>
            </w:r>
            <w:r>
              <w:rPr>
                <w:rFonts w:hint="eastAsia" w:cs="Times New Roman"/>
                <w:color w:val="000000"/>
                <w:kern w:val="0"/>
                <w:sz w:val="24"/>
                <w:szCs w:val="24"/>
                <w:lang w:val="en-US" w:eastAsia="zh-CN" w:bidi="ar"/>
              </w:rPr>
              <w:t>本工程</w:t>
            </w:r>
            <w:r>
              <w:rPr>
                <w:rFonts w:hint="default" w:ascii="Times New Roman" w:hAnsi="Times New Roman" w:cs="Times New Roman"/>
                <w:color w:val="000000"/>
                <w:kern w:val="0"/>
                <w:sz w:val="24"/>
                <w:szCs w:val="24"/>
                <w:lang w:val="en-US" w:eastAsia="zh-CN" w:bidi="ar"/>
              </w:rPr>
              <w:t>所在的区域植物区系划分属于泛北极植物区-北方植物亚区-东亚植物区-中国日本森林植物亚区-华东植物地区，华东植物地区植物种类丰富，约有植物2万种以上和90个以上的特有属，评价范围内不涉及重点保护</w:t>
            </w:r>
            <w:r>
              <w:rPr>
                <w:rFonts w:hint="eastAsia" w:cs="Times New Roman"/>
                <w:color w:val="000000"/>
                <w:kern w:val="0"/>
                <w:sz w:val="24"/>
                <w:szCs w:val="24"/>
                <w:lang w:val="en-US" w:eastAsia="zh-CN" w:bidi="ar"/>
              </w:rPr>
              <w:t>动</w:t>
            </w:r>
            <w:r>
              <w:rPr>
                <w:rFonts w:hint="default" w:ascii="Times New Roman" w:hAnsi="Times New Roman" w:cs="Times New Roman"/>
                <w:color w:val="000000"/>
                <w:kern w:val="0"/>
                <w:sz w:val="24"/>
                <w:szCs w:val="24"/>
                <w:lang w:val="en-US" w:eastAsia="zh-CN" w:bidi="ar"/>
              </w:rPr>
              <w:t>植物。</w:t>
            </w:r>
          </w:p>
          <w:p w14:paraId="03ECC4A6">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bCs/>
                <w:spacing w:val="4"/>
                <w:sz w:val="24"/>
                <w:szCs w:val="24"/>
                <w:lang w:val="en-US" w:eastAsia="zh-CN" w:bidi="ar-SA"/>
              </w:rPr>
            </w:pPr>
            <w:r>
              <w:rPr>
                <w:rFonts w:hint="default" w:ascii="Times New Roman" w:hAnsi="Times New Roman" w:eastAsia="宋体" w:cs="Times New Roman"/>
                <w:b w:val="0"/>
                <w:bCs/>
                <w:sz w:val="24"/>
                <w:szCs w:val="24"/>
              </w:rPr>
              <w:t>（1）土地利用现状：</w:t>
            </w:r>
            <w:r>
              <w:rPr>
                <w:rFonts w:hint="eastAsia" w:cs="Times New Roman"/>
                <w:b w:val="0"/>
                <w:bCs/>
                <w:sz w:val="24"/>
                <w:szCs w:val="24"/>
                <w:lang w:val="en-US" w:eastAsia="zh-CN"/>
              </w:rPr>
              <w:t>项目变电站</w:t>
            </w:r>
            <w:r>
              <w:rPr>
                <w:rFonts w:hint="default" w:ascii="Times New Roman" w:hAnsi="Times New Roman" w:eastAsia="宋体" w:cs="Times New Roman"/>
                <w:spacing w:val="4"/>
                <w:sz w:val="24"/>
                <w:szCs w:val="24"/>
              </w:rPr>
              <w:t>站址总占地面积为</w:t>
            </w:r>
            <w:r>
              <w:rPr>
                <w:rFonts w:hint="eastAsia" w:cs="Times New Roman"/>
                <w:spacing w:val="4"/>
                <w:sz w:val="24"/>
                <w:szCs w:val="24"/>
                <w:lang w:val="en-US" w:eastAsia="zh-CN"/>
              </w:rPr>
              <w:t>4352</w:t>
            </w:r>
            <w:r>
              <w:rPr>
                <w:rFonts w:hint="default" w:ascii="Times New Roman" w:hAnsi="Times New Roman" w:eastAsia="宋体" w:cs="Times New Roman"/>
                <w:spacing w:val="4"/>
                <w:sz w:val="24"/>
                <w:szCs w:val="24"/>
              </w:rPr>
              <w:t>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spacing w:val="4"/>
                <w:sz w:val="24"/>
                <w:szCs w:val="24"/>
              </w:rPr>
              <w:t>，围墙内</w:t>
            </w:r>
            <w:r>
              <w:rPr>
                <w:rFonts w:hint="eastAsia" w:cs="Times New Roman"/>
                <w:spacing w:val="4"/>
                <w:sz w:val="24"/>
                <w:szCs w:val="24"/>
                <w:lang w:eastAsia="zh-CN"/>
              </w:rPr>
              <w:t>总</w:t>
            </w:r>
            <w:r>
              <w:rPr>
                <w:rFonts w:hint="default" w:ascii="Times New Roman" w:hAnsi="Times New Roman" w:eastAsia="宋体" w:cs="Times New Roman"/>
                <w:spacing w:val="4"/>
                <w:sz w:val="24"/>
                <w:szCs w:val="24"/>
              </w:rPr>
              <w:t>面积</w:t>
            </w:r>
            <w:r>
              <w:rPr>
                <w:rFonts w:hint="eastAsia" w:cs="Times New Roman"/>
                <w:spacing w:val="4"/>
                <w:sz w:val="24"/>
                <w:szCs w:val="24"/>
                <w:lang w:val="en-US" w:eastAsia="zh-CN"/>
              </w:rPr>
              <w:t>3752</w:t>
            </w:r>
            <w:r>
              <w:rPr>
                <w:rFonts w:hint="default" w:ascii="Times New Roman" w:hAnsi="Times New Roman" w:eastAsia="宋体" w:cs="Times New Roman"/>
                <w:spacing w:val="4"/>
                <w:sz w:val="24"/>
                <w:szCs w:val="24"/>
              </w:rPr>
              <w:t>m</w:t>
            </w:r>
            <w:r>
              <w:rPr>
                <w:rFonts w:hint="default" w:ascii="Times New Roman" w:hAnsi="Times New Roman" w:eastAsia="宋体" w:cs="Times New Roman"/>
                <w:spacing w:val="4"/>
                <w:sz w:val="24"/>
                <w:szCs w:val="24"/>
                <w:vertAlign w:val="superscript"/>
              </w:rPr>
              <w:t>2</w:t>
            </w:r>
            <w:r>
              <w:rPr>
                <w:rFonts w:hint="default" w:ascii="Times New Roman" w:hAnsi="Times New Roman" w:eastAsia="宋体" w:cs="Times New Roman"/>
                <w:b w:val="0"/>
                <w:bCs/>
                <w:spacing w:val="4"/>
                <w:sz w:val="24"/>
                <w:szCs w:val="24"/>
                <w:lang w:val="en-US" w:eastAsia="zh-CN" w:bidi="ar-SA"/>
              </w:rPr>
              <w:t>。</w:t>
            </w:r>
            <w:r>
              <w:rPr>
                <w:rFonts w:hint="default" w:ascii="Times New Roman" w:hAnsi="Times New Roman" w:eastAsia="宋体" w:cs="Times New Roman"/>
                <w:sz w:val="24"/>
                <w:szCs w:val="24"/>
                <w:lang w:val="en-US" w:eastAsia="zh-CN"/>
              </w:rPr>
              <w:t>塔基区永久占地面积约</w:t>
            </w:r>
            <w:r>
              <w:rPr>
                <w:rFonts w:hint="eastAsia" w:cs="Times New Roman"/>
                <w:sz w:val="24"/>
                <w:szCs w:val="24"/>
                <w:lang w:val="en-US" w:eastAsia="zh-CN"/>
              </w:rPr>
              <w:t>13400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，塔基不征地。</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临时占地</w:t>
            </w:r>
            <w:r>
              <w:rPr>
                <w:rFonts w:hint="eastAsia" w:cs="Times New Roman"/>
                <w:sz w:val="24"/>
                <w:szCs w:val="24"/>
                <w:lang w:val="en-US" w:eastAsia="zh-CN"/>
              </w:rPr>
              <w:t>主要为塔基施工区、</w:t>
            </w:r>
            <w:r>
              <w:rPr>
                <w:rFonts w:hint="eastAsia" w:cs="Times New Roman"/>
                <w:color w:val="auto"/>
                <w:sz w:val="24"/>
                <w:lang w:val="en-US" w:eastAsia="zh-CN"/>
              </w:rPr>
              <w:t>施工生产生活区</w:t>
            </w:r>
            <w:r>
              <w:rPr>
                <w:rFonts w:hint="default" w:ascii="Times New Roman" w:hAnsi="Times New Roman" w:eastAsia="宋体" w:cs="Times New Roman"/>
                <w:sz w:val="24"/>
                <w:szCs w:val="24"/>
                <w:lang w:val="en-US" w:eastAsia="zh-CN"/>
              </w:rPr>
              <w:t>、</w:t>
            </w:r>
            <w:r>
              <w:rPr>
                <w:rFonts w:hint="default" w:ascii="Times New Roman" w:hAnsi="Times New Roman" w:cs="Times New Roman"/>
                <w:color w:val="auto"/>
                <w:sz w:val="24"/>
                <w:lang w:val="en-US" w:eastAsia="zh-CN"/>
              </w:rPr>
              <w:t>牵张场及跨越场区</w:t>
            </w:r>
            <w:r>
              <w:rPr>
                <w:rFonts w:hint="default" w:ascii="Times New Roman" w:hAnsi="Times New Roman" w:eastAsia="宋体" w:cs="Times New Roman"/>
                <w:sz w:val="24"/>
                <w:szCs w:val="24"/>
                <w:lang w:val="en-US" w:eastAsia="zh-CN"/>
              </w:rPr>
              <w:t>、</w:t>
            </w:r>
            <w:r>
              <w:rPr>
                <w:rFonts w:hint="eastAsia" w:cs="Times New Roman"/>
                <w:color w:val="auto"/>
                <w:sz w:val="24"/>
                <w:lang w:val="en-US" w:eastAsia="zh-CN"/>
              </w:rPr>
              <w:t>施工临时道路</w:t>
            </w:r>
            <w:r>
              <w:rPr>
                <w:rFonts w:hint="default" w:ascii="Times New Roman" w:hAnsi="Times New Roman" w:eastAsia="宋体" w:cs="Times New Roman"/>
                <w:sz w:val="24"/>
                <w:szCs w:val="24"/>
                <w:lang w:val="en-US" w:eastAsia="zh-CN"/>
              </w:rPr>
              <w:t>等，临时占地面积共约</w:t>
            </w:r>
            <w:r>
              <w:rPr>
                <w:rFonts w:hint="eastAsia" w:cs="Times New Roman"/>
                <w:sz w:val="24"/>
                <w:szCs w:val="24"/>
                <w:lang w:val="en-US" w:eastAsia="zh-CN"/>
              </w:rPr>
              <w:t>61100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。本工程拟建</w:t>
            </w:r>
            <w:r>
              <w:rPr>
                <w:rFonts w:hint="eastAsia" w:cs="Times New Roman"/>
                <w:sz w:val="24"/>
                <w:szCs w:val="24"/>
                <w:lang w:val="en-US" w:eastAsia="zh-CN"/>
              </w:rPr>
              <w:t>变电站和</w:t>
            </w:r>
            <w:r>
              <w:rPr>
                <w:rFonts w:hint="default" w:ascii="Times New Roman" w:hAnsi="Times New Roman" w:eastAsia="宋体" w:cs="Times New Roman"/>
                <w:sz w:val="24"/>
                <w:szCs w:val="24"/>
                <w:lang w:val="en-US" w:eastAsia="zh-CN"/>
              </w:rPr>
              <w:t>输电线路</w:t>
            </w:r>
            <w:r>
              <w:rPr>
                <w:rFonts w:hint="eastAsia" w:cs="Times New Roman"/>
                <w:sz w:val="24"/>
                <w:szCs w:val="24"/>
                <w:lang w:val="en-US" w:eastAsia="zh-CN"/>
              </w:rPr>
              <w:t>主要</w:t>
            </w:r>
            <w:r>
              <w:rPr>
                <w:rFonts w:hint="default" w:ascii="Times New Roman" w:hAnsi="Times New Roman" w:eastAsia="宋体" w:cs="Times New Roman"/>
                <w:sz w:val="24"/>
                <w:szCs w:val="24"/>
                <w:lang w:val="en-US" w:eastAsia="zh-CN"/>
              </w:rPr>
              <w:t>位于</w:t>
            </w:r>
            <w:r>
              <w:rPr>
                <w:rFonts w:hint="eastAsia" w:cs="Times New Roman"/>
                <w:sz w:val="24"/>
                <w:szCs w:val="24"/>
                <w:lang w:val="en-US" w:eastAsia="zh-CN"/>
              </w:rPr>
              <w:t>林地、旱地（耕地）、草地。</w:t>
            </w:r>
          </w:p>
          <w:p w14:paraId="5A843FD9">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sz w:val="24"/>
                <w:szCs w:val="24"/>
              </w:rPr>
              <w:t>（2）植被：</w:t>
            </w:r>
            <w:r>
              <w:rPr>
                <w:rFonts w:hint="default" w:ascii="Times New Roman" w:hAnsi="Times New Roman" w:eastAsia="宋体" w:cs="Times New Roman"/>
                <w:b w:val="0"/>
                <w:bCs/>
                <w:color w:val="auto"/>
                <w:sz w:val="24"/>
                <w:szCs w:val="24"/>
                <w:highlight w:val="none"/>
                <w:lang w:val="en-US" w:eastAsia="zh-CN"/>
              </w:rPr>
              <w:t>输电线路沿线主要为林地及</w:t>
            </w:r>
            <w:r>
              <w:rPr>
                <w:rFonts w:hint="eastAsia" w:cs="Times New Roman"/>
                <w:b w:val="0"/>
                <w:bCs/>
                <w:color w:val="auto"/>
                <w:sz w:val="24"/>
                <w:szCs w:val="24"/>
                <w:highlight w:val="none"/>
                <w:lang w:val="en-US" w:eastAsia="zh-CN"/>
              </w:rPr>
              <w:t>山地，</w:t>
            </w:r>
            <w:r>
              <w:rPr>
                <w:rFonts w:hint="default" w:ascii="Times New Roman" w:hAnsi="Times New Roman" w:cs="Times New Roman"/>
                <w:color w:val="000000"/>
                <w:kern w:val="0"/>
                <w:sz w:val="24"/>
                <w:szCs w:val="24"/>
                <w:lang w:val="en-US" w:eastAsia="zh-CN" w:bidi="ar"/>
              </w:rPr>
              <w:t>本区域为典型的北亚热带常绿、落叶阔叶混交林，分布少量人工植被林，如毛竹、茶园、针叶林等，区内地域性植被分布明显，植物种类主要以青冈、苦槠、麻栎、枸骨、细齿叶柃、山胡椒、樟树、胡枝子、枫杨、山矾、化香、杨树及栎类等为主组成的常绿和落叶阔叶林。针叶树木以喜温属性的马尾松、杉木等树种组成。</w:t>
            </w:r>
          </w:p>
          <w:p w14:paraId="226570B1">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rPr>
              <w:t>（3）动物：评价区动物现状有两栖动物如无尾目蟾蜍科蟾蜍、黑斑蛙等，哺乳动物有东方田鼠、黑线姬鼠、褐家鼠等，周边地区鸟类如普通夜鹰、斑嘴鸭、麻雀，以雀形目鸟类最多。</w:t>
            </w:r>
            <w:r>
              <w:rPr>
                <w:rFonts w:hint="default" w:ascii="Times New Roman" w:hAnsi="Times New Roman" w:eastAsia="宋体" w:cs="Times New Roman"/>
                <w:b w:val="0"/>
                <w:bCs/>
                <w:sz w:val="24"/>
                <w:szCs w:val="24"/>
                <w:lang w:val="en-US" w:eastAsia="zh-CN"/>
              </w:rPr>
              <w:t>评价范围内不涉及重点保护动物的集中栖息地、繁殖区以及野生动物迁徙通道等重要生境。</w:t>
            </w:r>
          </w:p>
          <w:p w14:paraId="656B44A8">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val="0"/>
                <w:bCs/>
                <w:sz w:val="24"/>
                <w:szCs w:val="24"/>
              </w:rPr>
              <w:t>（4）重点保护野生动植物情况：经查阅相关资料和现场踏勘，</w:t>
            </w:r>
            <w:r>
              <w:rPr>
                <w:rFonts w:hint="eastAsia" w:cs="Times New Roman"/>
                <w:b w:val="0"/>
                <w:bCs/>
                <w:sz w:val="24"/>
                <w:szCs w:val="24"/>
                <w:lang w:eastAsia="zh-CN"/>
              </w:rPr>
              <w:t>本工程</w:t>
            </w:r>
            <w:r>
              <w:rPr>
                <w:rFonts w:hint="default" w:ascii="Times New Roman" w:hAnsi="Times New Roman" w:eastAsia="宋体" w:cs="Times New Roman"/>
                <w:b w:val="0"/>
                <w:bCs/>
                <w:sz w:val="24"/>
                <w:szCs w:val="24"/>
              </w:rPr>
              <w:t>评价范围内未发现有重点保护野生动植物分布。</w:t>
            </w:r>
          </w:p>
          <w:p w14:paraId="2877B347">
            <w:pPr>
              <w:rPr>
                <w:rFonts w:hint="default" w:ascii="Times New Roman" w:hAnsi="Times New Roman" w:eastAsia="宋体" w:cs="Times New Roman"/>
                <w:b w:val="0"/>
                <w:bCs/>
                <w:sz w:val="24"/>
                <w:szCs w:val="24"/>
              </w:rPr>
            </w:pPr>
          </w:p>
          <w:p w14:paraId="6F60BA70">
            <w:pPr>
              <w:rPr>
                <w:rFonts w:hint="default" w:ascii="Times New Roman" w:hAnsi="Times New Roman" w:eastAsia="宋体" w:cs="Times New Roman"/>
                <w:b w:val="0"/>
                <w:bCs/>
                <w:sz w:val="24"/>
                <w:szCs w:val="24"/>
              </w:rPr>
            </w:pPr>
          </w:p>
          <w:p w14:paraId="117B0FCB">
            <w:pPr>
              <w:rPr>
                <w:rFonts w:hint="default" w:ascii="Times New Roman" w:hAnsi="Times New Roman" w:eastAsia="宋体" w:cs="Times New Roman"/>
                <w:b w:val="0"/>
                <w:bCs/>
                <w:sz w:val="24"/>
                <w:szCs w:val="24"/>
              </w:rPr>
            </w:pPr>
          </w:p>
          <w:p w14:paraId="56D21CD8">
            <w:pPr>
              <w:rPr>
                <w:rFonts w:hint="default" w:ascii="Times New Roman" w:hAnsi="Times New Roman" w:eastAsia="宋体" w:cs="Times New Roman"/>
                <w:b w:val="0"/>
                <w:bCs/>
                <w:sz w:val="24"/>
                <w:szCs w:val="24"/>
              </w:rPr>
            </w:pPr>
          </w:p>
          <w:tbl>
            <w:tblPr>
              <w:tblStyle w:val="38"/>
              <w:tblpPr w:leftFromText="180" w:rightFromText="180" w:vertAnchor="text" w:horzAnchor="page" w:tblpX="282" w:tblpY="157"/>
              <w:tblOverlap w:val="never"/>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39"/>
              <w:gridCol w:w="4640"/>
            </w:tblGrid>
            <w:tr w14:paraId="36B431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2C8640C4">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eastAsia" w:ascii="Times New Roman" w:hAnsi="Times New Roman" w:eastAsia="宋体" w:cs="Times New Roman"/>
                      <w:b w:val="0"/>
                      <w:bCs/>
                      <w:sz w:val="24"/>
                      <w:szCs w:val="24"/>
                      <w:lang w:eastAsia="zh-CN"/>
                    </w:rPr>
                  </w:pPr>
                  <w:r>
                    <w:drawing>
                      <wp:inline distT="0" distB="0" distL="114300" distR="114300">
                        <wp:extent cx="2749550" cy="2065020"/>
                        <wp:effectExtent l="0" t="0" r="12700" b="11430"/>
                        <wp:docPr id="12" name="图片 12" descr="17449399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744939920513"/>
                                <pic:cNvPicPr>
                                  <a:picLocks noChangeAspect="1"/>
                                </pic:cNvPicPr>
                              </pic:nvPicPr>
                              <pic:blipFill>
                                <a:blip r:embed="rId18"/>
                                <a:stretch>
                                  <a:fillRect/>
                                </a:stretch>
                              </pic:blipFill>
                              <pic:spPr>
                                <a:xfrm>
                                  <a:off x="0" y="0"/>
                                  <a:ext cx="2749550" cy="2065020"/>
                                </a:xfrm>
                                <a:prstGeom prst="rect">
                                  <a:avLst/>
                                </a:prstGeom>
                              </pic:spPr>
                            </pic:pic>
                          </a:graphicData>
                        </a:graphic>
                      </wp:inline>
                    </w:drawing>
                  </w:r>
                </w:p>
              </w:tc>
              <w:tc>
                <w:tcPr>
                  <w:tcW w:w="4552" w:type="dxa"/>
                  <w:vAlign w:val="top"/>
                </w:tcPr>
                <w:p w14:paraId="13B4FF74">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eastAsia" w:ascii="Times New Roman" w:hAnsi="Times New Roman" w:eastAsia="宋体" w:cs="Times New Roman"/>
                      <w:b w:val="0"/>
                      <w:bCs/>
                      <w:sz w:val="24"/>
                      <w:szCs w:val="24"/>
                      <w:lang w:eastAsia="zh-CN"/>
                    </w:rPr>
                  </w:pPr>
                  <w:r>
                    <w:rPr>
                      <w:rFonts w:hint="default" w:ascii="Times New Roman" w:hAnsi="Times New Roman" w:eastAsia="宋体" w:cs="Times New Roman"/>
                      <w:b w:val="0"/>
                      <w:bCs/>
                      <w:sz w:val="21"/>
                      <w:szCs w:val="21"/>
                      <w:lang w:eastAsia="zh-CN"/>
                    </w:rPr>
                    <w:drawing>
                      <wp:inline distT="0" distB="0" distL="114300" distR="114300">
                        <wp:extent cx="2749550" cy="2065020"/>
                        <wp:effectExtent l="0" t="0" r="12700" b="11430"/>
                        <wp:docPr id="16" name="图片 16" descr="17449399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744939920506"/>
                                <pic:cNvPicPr>
                                  <a:picLocks noChangeAspect="1"/>
                                </pic:cNvPicPr>
                              </pic:nvPicPr>
                              <pic:blipFill>
                                <a:blip r:embed="rId19"/>
                                <a:stretch>
                                  <a:fillRect/>
                                </a:stretch>
                              </pic:blipFill>
                              <pic:spPr>
                                <a:xfrm>
                                  <a:off x="0" y="0"/>
                                  <a:ext cx="2749550" cy="2065020"/>
                                </a:xfrm>
                                <a:prstGeom prst="rect">
                                  <a:avLst/>
                                </a:prstGeom>
                              </pic:spPr>
                            </pic:pic>
                          </a:graphicData>
                        </a:graphic>
                      </wp:inline>
                    </w:drawing>
                  </w:r>
                </w:p>
              </w:tc>
            </w:tr>
            <w:tr w14:paraId="74F7F6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04" w:type="dxa"/>
                  <w:gridSpan w:val="2"/>
                  <w:vAlign w:val="top"/>
                </w:tcPr>
                <w:p w14:paraId="6F3BEBA8">
                  <w:pPr>
                    <w:jc w:val="center"/>
                    <w:rPr>
                      <w:rFonts w:hint="default" w:ascii="Times New Roman" w:hAnsi="Times New Roman" w:eastAsia="宋体" w:cs="Times New Roman"/>
                      <w:b w:val="0"/>
                      <w:bCs/>
                      <w:sz w:val="24"/>
                      <w:szCs w:val="24"/>
                      <w:lang w:val="en-US"/>
                    </w:rPr>
                  </w:pPr>
                  <w:r>
                    <w:rPr>
                      <w:rFonts w:hint="default" w:ascii="Times New Roman" w:hAnsi="Times New Roman" w:eastAsia="宋体" w:cs="Times New Roman"/>
                      <w:b w:val="0"/>
                      <w:bCs/>
                      <w:sz w:val="21"/>
                      <w:szCs w:val="21"/>
                      <w:lang w:eastAsia="zh-CN"/>
                    </w:rPr>
                    <w:t>项目区现状</w:t>
                  </w:r>
                </w:p>
              </w:tc>
            </w:tr>
            <w:tr w14:paraId="0A86A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730D4F59">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743200" cy="2057400"/>
                        <wp:effectExtent l="0" t="0" r="0" b="0"/>
                        <wp:docPr id="19" name="图片 19" descr="174493992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44939920448"/>
                                <pic:cNvPicPr>
                                  <a:picLocks noChangeAspect="1"/>
                                </pic:cNvPicPr>
                              </pic:nvPicPr>
                              <pic:blipFill>
                                <a:blip r:embed="rId20"/>
                                <a:stretch>
                                  <a:fillRect/>
                                </a:stretch>
                              </pic:blipFill>
                              <pic:spPr>
                                <a:xfrm>
                                  <a:off x="0" y="0"/>
                                  <a:ext cx="2743200" cy="2057400"/>
                                </a:xfrm>
                                <a:prstGeom prst="rect">
                                  <a:avLst/>
                                </a:prstGeom>
                              </pic:spPr>
                            </pic:pic>
                          </a:graphicData>
                        </a:graphic>
                      </wp:inline>
                    </w:drawing>
                  </w:r>
                </w:p>
              </w:tc>
              <w:tc>
                <w:tcPr>
                  <w:tcW w:w="4552" w:type="dxa"/>
                  <w:vAlign w:val="top"/>
                </w:tcPr>
                <w:p w14:paraId="4D812619">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drawing>
                      <wp:inline distT="0" distB="0" distL="114300" distR="114300">
                        <wp:extent cx="2722245" cy="2051050"/>
                        <wp:effectExtent l="0" t="0" r="1905" b="6350"/>
                        <wp:docPr id="26" name="图片 26" descr="17449399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44939920499"/>
                                <pic:cNvPicPr>
                                  <a:picLocks noChangeAspect="1"/>
                                </pic:cNvPicPr>
                              </pic:nvPicPr>
                              <pic:blipFill>
                                <a:blip r:embed="rId21"/>
                                <a:srcRect t="20273" b="23129"/>
                                <a:stretch>
                                  <a:fillRect/>
                                </a:stretch>
                              </pic:blipFill>
                              <pic:spPr>
                                <a:xfrm>
                                  <a:off x="0" y="0"/>
                                  <a:ext cx="2722245" cy="2051050"/>
                                </a:xfrm>
                                <a:prstGeom prst="rect">
                                  <a:avLst/>
                                </a:prstGeom>
                              </pic:spPr>
                            </pic:pic>
                          </a:graphicData>
                        </a:graphic>
                      </wp:inline>
                    </w:drawing>
                  </w:r>
                </w:p>
              </w:tc>
            </w:tr>
            <w:tr w14:paraId="1C601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6642D6A9">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rPr>
                      <w:rFonts w:hint="eastAsia" w:cs="Times New Roman"/>
                      <w:b w:val="0"/>
                      <w:bCs/>
                      <w:sz w:val="21"/>
                      <w:szCs w:val="21"/>
                      <w:lang w:val="en-US" w:eastAsia="zh-CN"/>
                    </w:rPr>
                    <w:t>项目区航拍图</w:t>
                  </w:r>
                </w:p>
              </w:tc>
              <w:tc>
                <w:tcPr>
                  <w:tcW w:w="4552" w:type="dxa"/>
                  <w:vAlign w:val="top"/>
                </w:tcPr>
                <w:p w14:paraId="1BAB2847">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t>项目区</w:t>
                  </w:r>
                  <w:r>
                    <w:rPr>
                      <w:rFonts w:hint="eastAsia" w:cs="Times New Roman"/>
                      <w:b w:val="0"/>
                      <w:bCs/>
                      <w:sz w:val="21"/>
                      <w:szCs w:val="21"/>
                      <w:lang w:val="en-US" w:eastAsia="zh-CN"/>
                    </w:rPr>
                    <w:t>东北侧农村道路</w:t>
                  </w:r>
                </w:p>
              </w:tc>
            </w:tr>
            <w:tr w14:paraId="02991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gridSpan w:val="2"/>
                </w:tcPr>
                <w:p w14:paraId="0B0BEFB6">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bCs w:val="0"/>
                      <w:sz w:val="20"/>
                      <w:szCs w:val="20"/>
                    </w:rPr>
                    <w:t>图3-1项目</w:t>
                  </w:r>
                  <w:r>
                    <w:rPr>
                      <w:rFonts w:hint="eastAsia" w:cs="Times New Roman"/>
                      <w:b/>
                      <w:bCs w:val="0"/>
                      <w:sz w:val="20"/>
                      <w:szCs w:val="20"/>
                      <w:lang w:eastAsia="zh-CN"/>
                    </w:rPr>
                    <w:t>区域及</w:t>
                  </w:r>
                  <w:r>
                    <w:rPr>
                      <w:rFonts w:hint="default" w:ascii="Times New Roman" w:hAnsi="Times New Roman" w:eastAsia="宋体" w:cs="Times New Roman"/>
                      <w:b/>
                      <w:bCs w:val="0"/>
                      <w:sz w:val="20"/>
                      <w:szCs w:val="20"/>
                    </w:rPr>
                    <w:t>周边现状</w:t>
                  </w:r>
                </w:p>
              </w:tc>
            </w:tr>
          </w:tbl>
          <w:p w14:paraId="0DA1959A">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default" w:ascii="Times New Roman" w:hAnsi="Times New Roman" w:eastAsia="宋体" w:cs="Times New Roman"/>
                <w:b w:val="0"/>
                <w:bCs/>
                <w:sz w:val="24"/>
                <w:szCs w:val="24"/>
              </w:rPr>
            </w:pPr>
            <w:r>
              <w:rPr>
                <w:rFonts w:hint="eastAsia" w:cs="Times New Roman"/>
                <w:b w:val="0"/>
                <w:bCs/>
                <w:sz w:val="24"/>
                <w:szCs w:val="24"/>
                <w:lang w:val="en-US" w:eastAsia="zh-CN"/>
              </w:rPr>
              <w:t>本工程</w:t>
            </w:r>
            <w:r>
              <w:rPr>
                <w:rFonts w:hint="default" w:ascii="Times New Roman" w:hAnsi="Times New Roman" w:eastAsia="宋体" w:cs="Times New Roman"/>
                <w:b w:val="0"/>
                <w:bCs/>
                <w:sz w:val="24"/>
                <w:szCs w:val="24"/>
              </w:rPr>
              <w:t>未穿越自然保护区和森林公园。项目周边评价区域内未发现珍稀、濒危植物，未见挂牌名木古树，周边未发现珍稀、濒危动物，陆生动物以</w:t>
            </w:r>
            <w:r>
              <w:rPr>
                <w:rFonts w:hint="default" w:ascii="Times New Roman" w:hAnsi="Times New Roman" w:eastAsia="宋体" w:cs="Times New Roman"/>
                <w:b w:val="0"/>
                <w:bCs/>
                <w:sz w:val="24"/>
                <w:szCs w:val="24"/>
                <w:lang w:val="en-US" w:eastAsia="zh-CN"/>
              </w:rPr>
              <w:t>田鼠等啮齿类动物以及以麻雀等为代表的鸟类</w:t>
            </w:r>
            <w:r>
              <w:rPr>
                <w:rFonts w:hint="default" w:ascii="Times New Roman" w:hAnsi="Times New Roman" w:eastAsia="宋体" w:cs="Times New Roman"/>
                <w:b w:val="0"/>
                <w:bCs/>
                <w:sz w:val="24"/>
                <w:szCs w:val="24"/>
              </w:rPr>
              <w:t>。</w:t>
            </w:r>
          </w:p>
          <w:p w14:paraId="4E49069A">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rPr>
                <w:rFonts w:hint="eastAsia" w:ascii="Times New Roman" w:hAnsi="Times New Roman" w:eastAsia="宋体" w:cs="Times New Roman"/>
                <w:b/>
                <w:bCs w:val="0"/>
                <w:sz w:val="24"/>
                <w:szCs w:val="24"/>
                <w:lang w:val="en-US" w:eastAsia="zh-CN"/>
              </w:rPr>
            </w:pPr>
            <w:r>
              <w:rPr>
                <w:rFonts w:hint="eastAsia" w:cs="Times New Roman"/>
                <w:b/>
                <w:bCs w:val="0"/>
                <w:sz w:val="24"/>
                <w:szCs w:val="24"/>
                <w:lang w:val="en-US" w:eastAsia="zh-CN"/>
              </w:rPr>
              <w:t>3.2</w:t>
            </w:r>
            <w:r>
              <w:rPr>
                <w:rFonts w:hint="default" w:ascii="Times New Roman" w:hAnsi="Times New Roman" w:eastAsia="宋体" w:cs="Times New Roman"/>
                <w:b/>
                <w:bCs w:val="0"/>
                <w:sz w:val="24"/>
                <w:szCs w:val="24"/>
              </w:rPr>
              <w:t>、</w:t>
            </w:r>
            <w:r>
              <w:rPr>
                <w:rFonts w:hint="eastAsia" w:cs="Times New Roman"/>
                <w:b/>
                <w:bCs w:val="0"/>
                <w:sz w:val="24"/>
                <w:szCs w:val="24"/>
                <w:lang w:eastAsia="zh-CN"/>
              </w:rPr>
              <w:t>大气</w:t>
            </w:r>
            <w:r>
              <w:rPr>
                <w:rFonts w:hint="default" w:ascii="Times New Roman" w:hAnsi="Times New Roman" w:eastAsia="宋体" w:cs="Times New Roman"/>
                <w:b/>
                <w:bCs w:val="0"/>
                <w:sz w:val="24"/>
                <w:szCs w:val="24"/>
              </w:rPr>
              <w:t>环境</w:t>
            </w:r>
            <w:r>
              <w:rPr>
                <w:rFonts w:hint="eastAsia" w:cs="Times New Roman"/>
                <w:b/>
                <w:bCs w:val="0"/>
                <w:sz w:val="24"/>
                <w:szCs w:val="24"/>
                <w:lang w:val="en-US" w:eastAsia="zh-CN"/>
              </w:rPr>
              <w:t>现状</w:t>
            </w:r>
          </w:p>
          <w:p w14:paraId="4EE71E94">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szCs w:val="24"/>
              </w:rPr>
              <w:t>根据</w:t>
            </w:r>
            <w:r>
              <w:rPr>
                <w:rFonts w:hint="eastAsia" w:ascii="Times New Roman" w:hAnsi="Times New Roman" w:cs="Times New Roman"/>
                <w:szCs w:val="24"/>
                <w:lang w:val="en-US" w:eastAsia="zh-CN"/>
              </w:rPr>
              <w:t>六安市金寨县</w:t>
            </w:r>
            <w:r>
              <w:rPr>
                <w:rFonts w:hint="default" w:ascii="Times New Roman" w:hAnsi="Times New Roman" w:eastAsia="宋体" w:cs="Times New Roman"/>
                <w:szCs w:val="24"/>
                <w:lang w:eastAsia="zh-CN"/>
              </w:rPr>
              <w:t>生态环境</w:t>
            </w:r>
            <w:r>
              <w:rPr>
                <w:rFonts w:hint="eastAsia" w:ascii="Times New Roman" w:hAnsi="Times New Roman" w:cs="Times New Roman"/>
                <w:szCs w:val="24"/>
                <w:lang w:val="en-US" w:eastAsia="zh-CN"/>
              </w:rPr>
              <w:t>分局</w:t>
            </w:r>
            <w:r>
              <w:rPr>
                <w:rFonts w:hint="default" w:ascii="Times New Roman" w:hAnsi="Times New Roman" w:eastAsia="宋体" w:cs="Times New Roman"/>
                <w:szCs w:val="24"/>
                <w:lang w:eastAsia="zh-CN"/>
              </w:rPr>
              <w:t>发布的</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202</w:t>
            </w:r>
            <w:r>
              <w:rPr>
                <w:rFonts w:hint="eastAsia" w:ascii="Times New Roman" w:hAnsi="Times New Roman" w:cs="Times New Roman"/>
                <w:kern w:val="0"/>
                <w:sz w:val="24"/>
                <w:szCs w:val="24"/>
                <w:lang w:val="en-US" w:eastAsia="zh-CN"/>
              </w:rPr>
              <w:t>4</w:t>
            </w:r>
            <w:r>
              <w:rPr>
                <w:rFonts w:hint="eastAsia" w:ascii="Times New Roman" w:hAnsi="Times New Roman" w:eastAsia="宋体" w:cs="Times New Roman"/>
                <w:kern w:val="0"/>
                <w:sz w:val="24"/>
                <w:szCs w:val="24"/>
                <w:lang w:eastAsia="zh-CN"/>
              </w:rPr>
              <w:t>年</w:t>
            </w:r>
            <w:r>
              <w:rPr>
                <w:rFonts w:hint="eastAsia" w:ascii="Times New Roman" w:hAnsi="Times New Roman" w:cs="Times New Roman"/>
                <w:kern w:val="0"/>
                <w:sz w:val="24"/>
                <w:szCs w:val="24"/>
                <w:lang w:val="en-US" w:eastAsia="zh-CN"/>
              </w:rPr>
              <w:t>金寨县</w:t>
            </w:r>
            <w:r>
              <w:rPr>
                <w:rFonts w:hint="eastAsia" w:ascii="Times New Roman" w:hAnsi="Times New Roman" w:eastAsia="宋体" w:cs="Times New Roman"/>
                <w:kern w:val="0"/>
                <w:sz w:val="24"/>
                <w:szCs w:val="24"/>
                <w:lang w:eastAsia="zh-CN"/>
              </w:rPr>
              <w:t>环境质量公报</w:t>
            </w:r>
            <w:r>
              <w:rPr>
                <w:rFonts w:hint="default" w:ascii="Times New Roman" w:hAnsi="Times New Roman" w:eastAsia="宋体" w:cs="Times New Roman"/>
                <w:kern w:val="0"/>
                <w:sz w:val="24"/>
                <w:szCs w:val="24"/>
              </w:rPr>
              <w:t>》，2024年</w:t>
            </w:r>
            <w:r>
              <w:rPr>
                <w:rFonts w:hint="eastAsia" w:ascii="Times New Roman" w:hAnsi="Times New Roman" w:cs="Times New Roman"/>
                <w:kern w:val="0"/>
                <w:sz w:val="24"/>
                <w:szCs w:val="24"/>
                <w:lang w:val="en-US" w:eastAsia="zh-CN"/>
              </w:rPr>
              <w:t>金寨县</w:t>
            </w:r>
            <w:r>
              <w:rPr>
                <w:rFonts w:hint="default" w:ascii="Times New Roman" w:hAnsi="Times New Roman" w:eastAsia="宋体" w:cs="Times New Roman"/>
                <w:kern w:val="0"/>
                <w:sz w:val="24"/>
                <w:szCs w:val="24"/>
              </w:rPr>
              <w:t>环境空气质量优良天数比例为</w:t>
            </w:r>
            <w:r>
              <w:rPr>
                <w:rFonts w:hint="eastAsia" w:ascii="Times New Roman" w:hAnsi="Times New Roman" w:cs="Times New Roman"/>
                <w:kern w:val="0"/>
                <w:sz w:val="24"/>
                <w:szCs w:val="24"/>
                <w:lang w:val="en-US" w:eastAsia="zh-CN"/>
              </w:rPr>
              <w:t>91.8</w:t>
            </w:r>
            <w:r>
              <w:rPr>
                <w:rFonts w:hint="default" w:ascii="Times New Roman" w:hAnsi="Times New Roman" w:eastAsia="宋体" w:cs="Times New Roman"/>
                <w:kern w:val="0"/>
                <w:sz w:val="24"/>
                <w:szCs w:val="24"/>
              </w:rPr>
              <w:t>%（有效天数366天，优良天数为336天）。可吸入颗粒物（PM</w:t>
            </w:r>
            <w:r>
              <w:rPr>
                <w:rFonts w:hint="default" w:ascii="Times New Roman" w:hAnsi="Times New Roman" w:eastAsia="宋体" w:cs="Times New Roman"/>
                <w:kern w:val="0"/>
                <w:sz w:val="24"/>
                <w:szCs w:val="24"/>
                <w:vertAlign w:val="subscript"/>
              </w:rPr>
              <w:t>10</w:t>
            </w:r>
            <w:r>
              <w:rPr>
                <w:rFonts w:hint="default" w:ascii="Times New Roman" w:hAnsi="Times New Roman" w:eastAsia="宋体" w:cs="Times New Roman"/>
                <w:kern w:val="0"/>
                <w:sz w:val="24"/>
                <w:szCs w:val="24"/>
              </w:rPr>
              <w:t>）、细颗粒物（PM</w:t>
            </w:r>
            <w:r>
              <w:rPr>
                <w:rFonts w:hint="default" w:ascii="Times New Roman" w:hAnsi="Times New Roman" w:eastAsia="宋体" w:cs="Times New Roman"/>
                <w:kern w:val="0"/>
                <w:sz w:val="24"/>
                <w:szCs w:val="24"/>
                <w:vertAlign w:val="subscript"/>
              </w:rPr>
              <w:t>2.5</w:t>
            </w:r>
            <w:r>
              <w:rPr>
                <w:rFonts w:hint="default" w:ascii="Times New Roman" w:hAnsi="Times New Roman" w:eastAsia="宋体" w:cs="Times New Roman"/>
                <w:kern w:val="0"/>
                <w:sz w:val="24"/>
                <w:szCs w:val="24"/>
              </w:rPr>
              <w:t>）、二氧化硫</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SO</w:t>
            </w:r>
            <w:r>
              <w:rPr>
                <w:rFonts w:hint="default" w:ascii="Times New Roman" w:hAnsi="Times New Roman" w:eastAsia="宋体" w:cs="Times New Roman"/>
                <w:kern w:val="0"/>
                <w:sz w:val="24"/>
                <w:szCs w:val="24"/>
                <w:vertAlign w:val="subscript"/>
              </w:rPr>
              <w:t>2</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和二氧化氮</w:t>
            </w:r>
            <w:r>
              <w:rPr>
                <w:rFonts w:hint="eastAsia" w:ascii="Times New Roman" w:hAnsi="Times New Roman" w:cs="Times New Roman"/>
                <w:kern w:val="0"/>
                <w:sz w:val="24"/>
                <w:szCs w:val="24"/>
                <w:lang w:eastAsia="zh-CN"/>
              </w:rPr>
              <w:t>（</w:t>
            </w:r>
            <w:r>
              <w:rPr>
                <w:rFonts w:hint="default" w:ascii="Times New Roman" w:hAnsi="Times New Roman" w:eastAsia="宋体" w:cs="Times New Roman"/>
                <w:kern w:val="0"/>
                <w:sz w:val="24"/>
                <w:szCs w:val="24"/>
              </w:rPr>
              <w:t>NO</w:t>
            </w:r>
            <w:r>
              <w:rPr>
                <w:rFonts w:hint="default" w:ascii="Times New Roman" w:hAnsi="Times New Roman" w:eastAsia="宋体" w:cs="Times New Roman"/>
                <w:kern w:val="0"/>
                <w:sz w:val="24"/>
                <w:szCs w:val="24"/>
                <w:vertAlign w:val="subscript"/>
              </w:rPr>
              <w:t>2</w:t>
            </w:r>
            <w:r>
              <w:rPr>
                <w:rFonts w:hint="eastAsia" w:ascii="Times New Roman" w:hAnsi="Times New Roman" w:cs="Times New Roman"/>
                <w:kern w:val="0"/>
                <w:sz w:val="24"/>
                <w:szCs w:val="24"/>
                <w:vertAlign w:val="subscript"/>
                <w:lang w:eastAsia="zh-CN"/>
              </w:rPr>
              <w:t>）</w:t>
            </w:r>
            <w:r>
              <w:rPr>
                <w:rFonts w:hint="default" w:ascii="Times New Roman" w:hAnsi="Times New Roman" w:eastAsia="宋体" w:cs="Times New Roman"/>
                <w:kern w:val="0"/>
                <w:sz w:val="24"/>
                <w:szCs w:val="24"/>
              </w:rPr>
              <w:t>年平均浓度分别为</w:t>
            </w:r>
            <w:r>
              <w:rPr>
                <w:rFonts w:hint="eastAsia" w:ascii="Times New Roman" w:hAnsi="Times New Roman" w:cs="Times New Roman"/>
                <w:kern w:val="0"/>
                <w:sz w:val="24"/>
                <w:szCs w:val="24"/>
                <w:lang w:val="en-US" w:eastAsia="zh-CN"/>
              </w:rPr>
              <w:t>49</w:t>
            </w:r>
            <w:r>
              <w:rPr>
                <w:rFonts w:hint="default" w:ascii="Times New Roman" w:hAnsi="Times New Roman" w:eastAsia="宋体" w:cs="Times New Roman"/>
                <w:kern w:val="0"/>
                <w:sz w:val="24"/>
                <w:szCs w:val="24"/>
              </w:rPr>
              <w:t>微克/立方米、3</w:t>
            </w:r>
            <w:r>
              <w:rPr>
                <w:rFonts w:hint="eastAsia" w:ascii="Times New Roman" w:hAnsi="Times New Roman" w:cs="Times New Roman"/>
                <w:kern w:val="0"/>
                <w:sz w:val="24"/>
                <w:szCs w:val="24"/>
                <w:lang w:val="en-US" w:eastAsia="zh-CN"/>
              </w:rPr>
              <w:t>1</w:t>
            </w:r>
            <w:r>
              <w:rPr>
                <w:rFonts w:hint="default" w:ascii="Times New Roman" w:hAnsi="Times New Roman" w:eastAsia="宋体" w:cs="Times New Roman"/>
                <w:kern w:val="0"/>
                <w:sz w:val="24"/>
                <w:szCs w:val="24"/>
              </w:rPr>
              <w:t>微克/立方米、5微克/立方米和1</w:t>
            </w:r>
            <w:r>
              <w:rPr>
                <w:rFonts w:hint="eastAsia" w:ascii="Times New Roman" w:hAnsi="Times New Roman" w:cs="Times New Roman"/>
                <w:kern w:val="0"/>
                <w:sz w:val="24"/>
                <w:szCs w:val="24"/>
                <w:lang w:val="en-US" w:eastAsia="zh-CN"/>
              </w:rPr>
              <w:t>5</w:t>
            </w:r>
            <w:r>
              <w:rPr>
                <w:rFonts w:hint="default" w:ascii="Times New Roman" w:hAnsi="Times New Roman" w:eastAsia="宋体" w:cs="Times New Roman"/>
                <w:kern w:val="0"/>
                <w:sz w:val="24"/>
                <w:szCs w:val="24"/>
              </w:rPr>
              <w:t>微克/立方米；一氧化碳（CO）日均值第95百分位数为0.8毫克/立方米，臭氧（O</w:t>
            </w:r>
            <w:r>
              <w:rPr>
                <w:rFonts w:hint="default" w:ascii="Times New Roman" w:hAnsi="Times New Roman" w:eastAsia="宋体" w:cs="Times New Roman"/>
                <w:kern w:val="0"/>
                <w:sz w:val="24"/>
                <w:szCs w:val="24"/>
                <w:vertAlign w:val="subscript"/>
              </w:rPr>
              <w:t>3</w:t>
            </w:r>
            <w:r>
              <w:rPr>
                <w:rFonts w:hint="default" w:ascii="Times New Roman" w:hAnsi="Times New Roman" w:eastAsia="宋体" w:cs="Times New Roman"/>
                <w:kern w:val="0"/>
                <w:sz w:val="24"/>
                <w:szCs w:val="24"/>
              </w:rPr>
              <w:t>）日最大8小时平均第90百分位数为</w:t>
            </w:r>
            <w:r>
              <w:rPr>
                <w:rFonts w:hint="eastAsia" w:ascii="Times New Roman" w:hAnsi="Times New Roman" w:cs="Times New Roman"/>
                <w:kern w:val="0"/>
                <w:sz w:val="24"/>
                <w:szCs w:val="24"/>
                <w:lang w:val="en-US" w:eastAsia="zh-CN"/>
              </w:rPr>
              <w:t>138</w:t>
            </w:r>
            <w:r>
              <w:rPr>
                <w:rFonts w:hint="default" w:ascii="Times New Roman" w:hAnsi="Times New Roman" w:eastAsia="宋体" w:cs="Times New Roman"/>
                <w:kern w:val="0"/>
                <w:sz w:val="24"/>
                <w:szCs w:val="24"/>
              </w:rPr>
              <w:t>微克/立方米。</w:t>
            </w:r>
          </w:p>
          <w:p w14:paraId="6F505CC5">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88"/>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kern w:val="0"/>
                <w:sz w:val="24"/>
                <w:szCs w:val="24"/>
              </w:rPr>
              <w:t>与上年相比，空气质量优良天数比例上升0.3个百分点。臭氧日最大8小时平均第90百分位数、细颗粒物等年均浓度分别上升1.5%、3.3%；二氧化硫和可吸入颗粒物、CO日均值第95百分位数年均浓度均有所下降，降幅分别为16.7%、12.5%和11.1%；二氧化氮无变化。</w:t>
            </w:r>
          </w:p>
          <w:p w14:paraId="539222ED">
            <w:pPr>
              <w:pStyle w:val="21"/>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96" w:firstLineChars="200"/>
              <w:textAlignment w:val="auto"/>
              <w:rPr>
                <w:rFonts w:hint="eastAsia"/>
                <w:lang w:val="en-US" w:eastAsia="zh-CN"/>
              </w:rPr>
            </w:pPr>
            <w:r>
              <w:rPr>
                <w:rFonts w:hint="eastAsia" w:ascii="Times New Roman" w:hAnsi="Times New Roman" w:cs="Times New Roman"/>
                <w:szCs w:val="24"/>
                <w:lang w:val="en-US" w:eastAsia="zh-CN"/>
              </w:rPr>
              <w:t>金寨县</w:t>
            </w:r>
            <w:r>
              <w:rPr>
                <w:rFonts w:hint="default" w:ascii="Times New Roman" w:hAnsi="Times New Roman" w:eastAsia="宋体" w:cs="Times New Roman"/>
                <w:szCs w:val="24"/>
                <w:lang w:val="en-US" w:eastAsia="zh-CN"/>
              </w:rPr>
              <w:t>202</w:t>
            </w:r>
            <w:r>
              <w:rPr>
                <w:rFonts w:hint="eastAsia" w:ascii="Times New Roman" w:hAnsi="Times New Roman" w:cs="Times New Roman"/>
                <w:szCs w:val="24"/>
                <w:lang w:val="en-US" w:eastAsia="zh-CN"/>
              </w:rPr>
              <w:t>4</w:t>
            </w:r>
            <w:r>
              <w:rPr>
                <w:rFonts w:hint="default" w:ascii="Times New Roman" w:hAnsi="Times New Roman" w:eastAsia="宋体" w:cs="Times New Roman"/>
                <w:szCs w:val="24"/>
                <w:lang w:val="en-US" w:eastAsia="zh-CN"/>
              </w:rPr>
              <w:t>年可吸入颗粒物（PM</w:t>
            </w:r>
            <w:r>
              <w:rPr>
                <w:rFonts w:hint="default" w:ascii="Times New Roman" w:hAnsi="Times New Roman" w:eastAsia="宋体" w:cs="Times New Roman"/>
                <w:szCs w:val="24"/>
                <w:vertAlign w:val="subscript"/>
                <w:lang w:val="en-US" w:eastAsia="zh-CN"/>
              </w:rPr>
              <w:t>10</w:t>
            </w:r>
            <w:r>
              <w:rPr>
                <w:rFonts w:hint="default" w:ascii="Times New Roman" w:hAnsi="Times New Roman" w:eastAsia="宋体" w:cs="Times New Roman"/>
                <w:szCs w:val="24"/>
                <w:lang w:val="en-US" w:eastAsia="zh-CN"/>
              </w:rPr>
              <w:t>）、细颗粒物（PM</w:t>
            </w:r>
            <w:r>
              <w:rPr>
                <w:rFonts w:hint="default" w:ascii="Times New Roman" w:hAnsi="Times New Roman" w:eastAsia="宋体" w:cs="Times New Roman"/>
                <w:szCs w:val="24"/>
                <w:vertAlign w:val="subscript"/>
                <w:lang w:val="en-US" w:eastAsia="zh-CN"/>
              </w:rPr>
              <w:t>2.5</w:t>
            </w:r>
            <w:r>
              <w:rPr>
                <w:rFonts w:hint="default" w:ascii="Times New Roman" w:hAnsi="Times New Roman" w:eastAsia="宋体" w:cs="Times New Roman"/>
                <w:szCs w:val="24"/>
                <w:lang w:val="en-US" w:eastAsia="zh-CN"/>
              </w:rPr>
              <w:t>）</w:t>
            </w:r>
            <w:r>
              <w:rPr>
                <w:rFonts w:hint="eastAsia" w:ascii="Times New Roman" w:hAnsi="Times New Roman" w:cs="Times New Roman"/>
                <w:szCs w:val="24"/>
                <w:lang w:val="en-US" w:eastAsia="zh-CN"/>
              </w:rPr>
              <w:t>、</w:t>
            </w:r>
            <w:r>
              <w:rPr>
                <w:rFonts w:hint="default" w:ascii="Times New Roman" w:hAnsi="Times New Roman" w:eastAsia="宋体" w:cs="Times New Roman"/>
                <w:szCs w:val="24"/>
                <w:lang w:val="en-US" w:eastAsia="zh-CN"/>
              </w:rPr>
              <w:t>二氧化硫（SO</w:t>
            </w:r>
            <w:r>
              <w:rPr>
                <w:rFonts w:hint="default" w:ascii="Times New Roman" w:hAnsi="Times New Roman" w:eastAsia="宋体" w:cs="Times New Roman"/>
                <w:szCs w:val="24"/>
                <w:vertAlign w:val="subscript"/>
                <w:lang w:val="en-US" w:eastAsia="zh-CN"/>
              </w:rPr>
              <w:t>2</w:t>
            </w:r>
            <w:r>
              <w:rPr>
                <w:rFonts w:hint="default" w:ascii="Times New Roman" w:hAnsi="Times New Roman" w:eastAsia="宋体" w:cs="Times New Roman"/>
                <w:szCs w:val="24"/>
                <w:lang w:val="en-US" w:eastAsia="zh-CN"/>
              </w:rPr>
              <w:t>）、二氧化氮（NO</w:t>
            </w:r>
            <w:r>
              <w:rPr>
                <w:rFonts w:hint="default" w:ascii="Times New Roman" w:hAnsi="Times New Roman" w:eastAsia="宋体" w:cs="Times New Roman"/>
                <w:szCs w:val="24"/>
                <w:vertAlign w:val="subscript"/>
                <w:lang w:val="en-US" w:eastAsia="zh-CN"/>
              </w:rPr>
              <w:t>2</w:t>
            </w:r>
            <w:r>
              <w:rPr>
                <w:rFonts w:hint="eastAsia" w:ascii="Times New Roman" w:hAnsi="Times New Roman" w:cs="Times New Roman"/>
                <w:szCs w:val="24"/>
                <w:vertAlign w:val="baseline"/>
                <w:lang w:val="en-US" w:eastAsia="zh-CN"/>
              </w:rPr>
              <w:t>）</w:t>
            </w:r>
            <w:r>
              <w:rPr>
                <w:rFonts w:hint="default" w:ascii="Times New Roman" w:hAnsi="Times New Roman" w:eastAsia="宋体" w:cs="Times New Roman"/>
                <w:szCs w:val="24"/>
                <w:lang w:val="en-US" w:eastAsia="zh-CN"/>
              </w:rPr>
              <w:t>、一氧化碳（CO）、臭氧（O</w:t>
            </w:r>
            <w:r>
              <w:rPr>
                <w:rFonts w:hint="default" w:ascii="Times New Roman" w:hAnsi="Times New Roman" w:eastAsia="宋体" w:cs="Times New Roman"/>
                <w:szCs w:val="24"/>
                <w:vertAlign w:val="subscript"/>
                <w:lang w:val="en-US" w:eastAsia="zh-CN"/>
              </w:rPr>
              <w:t>3</w:t>
            </w:r>
            <w:r>
              <w:rPr>
                <w:rFonts w:hint="default" w:ascii="Times New Roman" w:hAnsi="Times New Roman" w:eastAsia="宋体" w:cs="Times New Roman"/>
                <w:szCs w:val="24"/>
                <w:lang w:val="en-US" w:eastAsia="zh-CN"/>
              </w:rPr>
              <w:t>）均符合《环境空气质量标准》（GB3095-2012）二级标准</w:t>
            </w:r>
            <w:r>
              <w:rPr>
                <w:rFonts w:hint="eastAsia" w:ascii="Times New Roman" w:hAnsi="Times New Roman" w:cs="Times New Roman"/>
                <w:szCs w:val="24"/>
                <w:lang w:val="en-US" w:eastAsia="zh-CN"/>
              </w:rPr>
              <w:t>。</w:t>
            </w:r>
          </w:p>
          <w:p w14:paraId="6E5B102F">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rPr>
                <w:rFonts w:hint="eastAsia" w:cs="Times New Roman"/>
                <w:b w:val="0"/>
                <w:bCs/>
                <w:sz w:val="24"/>
                <w:szCs w:val="24"/>
                <w:lang w:val="en-US" w:eastAsia="zh-CN"/>
              </w:rPr>
            </w:pPr>
            <w:r>
              <w:rPr>
                <w:rFonts w:hint="eastAsia" w:cs="Times New Roman"/>
                <w:b w:val="0"/>
                <w:bCs/>
                <w:sz w:val="24"/>
                <w:szCs w:val="24"/>
                <w:lang w:val="en-US" w:eastAsia="zh-CN"/>
              </w:rPr>
              <w:t>综上所述，</w:t>
            </w:r>
            <w:r>
              <w:rPr>
                <w:rFonts w:hint="eastAsia" w:cs="Times New Roman"/>
                <w:b w:val="0"/>
                <w:bCs/>
                <w:sz w:val="24"/>
                <w:szCs w:val="24"/>
                <w:highlight w:val="none"/>
                <w:lang w:val="en-US" w:eastAsia="zh-CN"/>
              </w:rPr>
              <w:t>可以判断本工程所在区域大气环境质量现状为达标区域</w:t>
            </w:r>
            <w:r>
              <w:rPr>
                <w:rFonts w:hint="eastAsia" w:cs="Times New Roman"/>
                <w:b w:val="0"/>
                <w:bCs/>
                <w:sz w:val="24"/>
                <w:szCs w:val="24"/>
                <w:lang w:val="en-US" w:eastAsia="zh-CN"/>
              </w:rPr>
              <w:t>。</w:t>
            </w:r>
          </w:p>
          <w:p w14:paraId="417367EF">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rPr>
                <w:rFonts w:hint="eastAsia" w:cs="Times New Roman"/>
                <w:b/>
                <w:bCs w:val="0"/>
                <w:sz w:val="24"/>
                <w:szCs w:val="24"/>
                <w:lang w:val="en-US" w:eastAsia="zh-CN"/>
              </w:rPr>
            </w:pPr>
            <w:r>
              <w:rPr>
                <w:rFonts w:hint="eastAsia" w:cs="Times New Roman"/>
                <w:b/>
                <w:bCs w:val="0"/>
                <w:sz w:val="24"/>
                <w:szCs w:val="24"/>
                <w:lang w:val="en-US" w:eastAsia="zh-CN"/>
              </w:rPr>
              <w:t>3.3、地表水环境现状</w:t>
            </w:r>
          </w:p>
          <w:p w14:paraId="01A280B1">
            <w:pPr>
              <w:pStyle w:val="21"/>
              <w:spacing w:line="360" w:lineRule="auto"/>
              <w:ind w:left="0" w:leftChars="0" w:firstLine="496" w:firstLineChars="200"/>
              <w:rPr>
                <w:rFonts w:hint="default" w:ascii="Times New Roman" w:hAnsi="Times New Roman" w:cs="Times New Roman"/>
                <w:szCs w:val="24"/>
              </w:rPr>
            </w:pPr>
            <w:r>
              <w:rPr>
                <w:rFonts w:hint="eastAsia" w:cs="Times New Roman"/>
                <w:b w:val="0"/>
                <w:bCs/>
                <w:sz w:val="24"/>
                <w:szCs w:val="24"/>
                <w:lang w:eastAsia="zh-CN"/>
              </w:rPr>
              <w:t>本工程位于</w:t>
            </w:r>
            <w:r>
              <w:rPr>
                <w:rFonts w:hint="eastAsia" w:ascii="宋体" w:hAnsi="宋体" w:eastAsia="宋体" w:cs="宋体"/>
                <w:color w:val="000000"/>
                <w:sz w:val="24"/>
                <w:szCs w:val="24"/>
                <w:highlight w:val="none"/>
                <w:lang w:val="en-US" w:eastAsia="zh-CN"/>
              </w:rPr>
              <w:t>安徽省</w:t>
            </w:r>
            <w:r>
              <w:rPr>
                <w:rFonts w:hint="eastAsia" w:cs="宋体"/>
                <w:color w:val="000000"/>
                <w:sz w:val="24"/>
                <w:szCs w:val="24"/>
                <w:highlight w:val="none"/>
                <w:lang w:val="en-US" w:eastAsia="zh-CN"/>
              </w:rPr>
              <w:t>六安市金寨县境内</w:t>
            </w:r>
            <w:r>
              <w:rPr>
                <w:rFonts w:hint="eastAsia" w:cs="Times New Roman"/>
                <w:b w:val="0"/>
                <w:bCs/>
                <w:sz w:val="24"/>
                <w:szCs w:val="24"/>
                <w:lang w:eastAsia="zh-CN"/>
              </w:rPr>
              <w:t>，</w:t>
            </w:r>
            <w:r>
              <w:rPr>
                <w:rFonts w:hint="default" w:ascii="Times New Roman" w:hAnsi="Times New Roman" w:eastAsia="宋体" w:cs="Times New Roman"/>
                <w:szCs w:val="24"/>
              </w:rPr>
              <w:t>根据</w:t>
            </w:r>
            <w:r>
              <w:rPr>
                <w:rFonts w:hint="eastAsia" w:ascii="Times New Roman" w:hAnsi="Times New Roman" w:cs="Times New Roman"/>
                <w:szCs w:val="24"/>
                <w:lang w:val="en-US" w:eastAsia="zh-CN"/>
              </w:rPr>
              <w:t>金寨县生态环境分局</w:t>
            </w:r>
            <w:r>
              <w:rPr>
                <w:rFonts w:hint="default" w:ascii="Times New Roman" w:hAnsi="Times New Roman" w:eastAsia="宋体" w:cs="Times New Roman"/>
                <w:szCs w:val="24"/>
                <w:lang w:eastAsia="zh-CN"/>
              </w:rPr>
              <w:t>发布的</w:t>
            </w:r>
            <w:r>
              <w:rPr>
                <w:rFonts w:hint="default" w:ascii="Times New Roman" w:hAnsi="Times New Roman" w:eastAsia="宋体" w:cs="Times New Roman"/>
                <w:kern w:val="0"/>
                <w:sz w:val="24"/>
                <w:szCs w:val="24"/>
              </w:rPr>
              <w:t>《</w:t>
            </w:r>
            <w:r>
              <w:rPr>
                <w:rFonts w:hint="eastAsia" w:ascii="Times New Roman" w:hAnsi="Times New Roman" w:eastAsia="宋体" w:cs="Times New Roman"/>
                <w:kern w:val="0"/>
                <w:sz w:val="24"/>
                <w:szCs w:val="24"/>
                <w:lang w:eastAsia="zh-CN"/>
              </w:rPr>
              <w:t>202</w:t>
            </w:r>
            <w:r>
              <w:rPr>
                <w:rFonts w:hint="eastAsia" w:ascii="Times New Roman" w:hAnsi="Times New Roman" w:cs="Times New Roman"/>
                <w:kern w:val="0"/>
                <w:sz w:val="24"/>
                <w:szCs w:val="24"/>
                <w:lang w:val="en-US" w:eastAsia="zh-CN"/>
              </w:rPr>
              <w:t>4</w:t>
            </w:r>
            <w:r>
              <w:rPr>
                <w:rFonts w:hint="eastAsia" w:ascii="Times New Roman" w:hAnsi="Times New Roman" w:eastAsia="宋体" w:cs="Times New Roman"/>
                <w:kern w:val="0"/>
                <w:sz w:val="24"/>
                <w:szCs w:val="24"/>
                <w:lang w:eastAsia="zh-CN"/>
              </w:rPr>
              <w:t>年</w:t>
            </w:r>
            <w:r>
              <w:rPr>
                <w:rFonts w:hint="eastAsia" w:ascii="Times New Roman" w:hAnsi="Times New Roman" w:cs="Times New Roman"/>
                <w:kern w:val="0"/>
                <w:sz w:val="24"/>
                <w:szCs w:val="24"/>
                <w:lang w:val="en-US" w:eastAsia="zh-CN"/>
              </w:rPr>
              <w:t>金寨县</w:t>
            </w:r>
            <w:r>
              <w:rPr>
                <w:rFonts w:hint="eastAsia" w:ascii="Times New Roman" w:hAnsi="Times New Roman" w:eastAsia="宋体" w:cs="Times New Roman"/>
                <w:kern w:val="0"/>
                <w:sz w:val="24"/>
                <w:szCs w:val="24"/>
                <w:lang w:eastAsia="zh-CN"/>
              </w:rPr>
              <w:t>环境质量公报</w:t>
            </w:r>
            <w:r>
              <w:rPr>
                <w:rFonts w:hint="default" w:ascii="Times New Roman" w:hAnsi="Times New Roman" w:eastAsia="宋体" w:cs="Times New Roman"/>
                <w:kern w:val="0"/>
                <w:sz w:val="24"/>
                <w:szCs w:val="24"/>
              </w:rPr>
              <w:t>》</w:t>
            </w:r>
            <w:r>
              <w:rPr>
                <w:rFonts w:hint="default" w:ascii="Times New Roman" w:hAnsi="Times New Roman" w:cs="Times New Roman"/>
                <w:szCs w:val="24"/>
              </w:rPr>
              <w:t>，2024年金寨县国控监测断面共5个，总体水质状况良好，水质年均达到Ⅱ类，均达到考核目标要求</w:t>
            </w:r>
            <w:r>
              <w:rPr>
                <w:rFonts w:hint="eastAsia" w:ascii="Times New Roman" w:hAnsi="Times New Roman" w:cs="Times New Roman"/>
                <w:szCs w:val="24"/>
                <w:lang w:eastAsia="zh-CN"/>
              </w:rPr>
              <w:t>；</w:t>
            </w:r>
            <w:r>
              <w:rPr>
                <w:rFonts w:hint="default" w:ascii="Times New Roman" w:hAnsi="Times New Roman" w:cs="Times New Roman"/>
                <w:szCs w:val="24"/>
              </w:rPr>
              <w:t>2024年金寨县省控监测断面共1个，总体水质状况良好，水质年均达到Ⅱ类，达到考核目标要求。</w:t>
            </w:r>
          </w:p>
          <w:p w14:paraId="732EEF13">
            <w:pPr>
              <w:pStyle w:val="21"/>
              <w:spacing w:line="360" w:lineRule="auto"/>
              <w:ind w:left="0" w:leftChars="0" w:firstLine="496" w:firstLineChars="200"/>
              <w:rPr>
                <w:rFonts w:hint="default" w:ascii="Times New Roman" w:hAnsi="Times New Roman" w:cs="Times New Roman"/>
                <w:szCs w:val="24"/>
              </w:rPr>
            </w:pPr>
            <w:r>
              <w:rPr>
                <w:rFonts w:hint="default" w:ascii="Times New Roman" w:hAnsi="Times New Roman" w:cs="Times New Roman"/>
                <w:szCs w:val="24"/>
              </w:rPr>
              <w:t>2024年，金寨县城镇集中式饮用水源地梅山水库水质各项监测指标均达到《地表水环境质量标准》（GB3838-2002）Ⅲ类标准，水质达标率为100％。10个农村集中式饮用水源地水质各项监测指标均达到《地表水环境质量标准》（GB3838-2002）Ⅲ类标准，达标率为100％。</w:t>
            </w:r>
          </w:p>
          <w:p w14:paraId="245E34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36"/>
                <w:lang w:val="en-US" w:eastAsia="zh-CN"/>
              </w:rPr>
            </w:pPr>
            <w:r>
              <w:rPr>
                <w:rFonts w:hint="eastAsia" w:cs="Times New Roman"/>
                <w:b w:val="0"/>
                <w:bCs/>
                <w:spacing w:val="0"/>
                <w:sz w:val="24"/>
                <w:szCs w:val="24"/>
                <w:lang w:val="en-US" w:eastAsia="zh-CN" w:bidi="ar-SA"/>
              </w:rPr>
              <w:t>本工程涉及的</w:t>
            </w:r>
            <w:r>
              <w:rPr>
                <w:rFonts w:hint="eastAsia" w:ascii="Times New Roman" w:hAnsi="Times New Roman" w:cs="Times New Roman"/>
                <w:sz w:val="24"/>
                <w:szCs w:val="24"/>
                <w:lang w:val="en-US" w:eastAsia="zh-CN"/>
              </w:rPr>
              <w:t>地表水水体</w:t>
            </w:r>
            <w:r>
              <w:rPr>
                <w:rFonts w:hint="default" w:ascii="Times New Roman" w:hAnsi="Times New Roman" w:cs="Times New Roman"/>
                <w:sz w:val="24"/>
                <w:szCs w:val="24"/>
                <w:lang w:val="en-US" w:eastAsia="zh-CN"/>
              </w:rPr>
              <w:t>为</w:t>
            </w:r>
            <w:r>
              <w:rPr>
                <w:rFonts w:hint="eastAsia" w:ascii="Times New Roman" w:hAnsi="Times New Roman" w:cs="Times New Roman"/>
                <w:sz w:val="24"/>
                <w:szCs w:val="24"/>
                <w:lang w:val="en-US" w:eastAsia="zh-CN"/>
              </w:rPr>
              <w:t>白水河、梅山水库</w:t>
            </w:r>
            <w:r>
              <w:rPr>
                <w:rFonts w:hint="eastAsia" w:cs="Times New Roman"/>
                <w:sz w:val="24"/>
                <w:szCs w:val="24"/>
                <w:lang w:val="en-US" w:eastAsia="zh-CN"/>
              </w:rPr>
              <w:t>、麻河、双河</w:t>
            </w:r>
            <w:r>
              <w:rPr>
                <w:rFonts w:hint="default" w:ascii="Times New Roman" w:hAnsi="Times New Roman" w:eastAsia="宋体" w:cs="Times New Roman"/>
                <w:b w:val="0"/>
                <w:bCs/>
                <w:spacing w:val="0"/>
                <w:sz w:val="24"/>
                <w:szCs w:val="24"/>
                <w:lang w:val="en-US" w:eastAsia="zh-CN" w:bidi="ar-SA"/>
              </w:rPr>
              <w:t>，</w:t>
            </w:r>
            <w:r>
              <w:rPr>
                <w:rFonts w:hint="default" w:ascii="Times New Roman" w:hAnsi="Times New Roman" w:cs="Times New Roman"/>
                <w:color w:val="auto"/>
                <w:sz w:val="24"/>
                <w:szCs w:val="24"/>
                <w:lang w:val="en-US" w:eastAsia="zh-CN"/>
              </w:rPr>
              <w:t>满足</w:t>
            </w:r>
            <w:r>
              <w:rPr>
                <w:rFonts w:ascii="Times New Roman" w:hAnsi="Times New Roman"/>
                <w:kern w:val="0"/>
                <w:sz w:val="24"/>
                <w:szCs w:val="24"/>
              </w:rPr>
              <w:t>《地表水环境质量标准》（GB3838-2002）Ⅲ类标准</w:t>
            </w:r>
            <w:r>
              <w:rPr>
                <w:rFonts w:hint="default" w:ascii="Times New Roman" w:hAnsi="Times New Roman"/>
                <w:kern w:val="0"/>
                <w:sz w:val="24"/>
                <w:szCs w:val="24"/>
                <w:lang w:eastAsia="zh-CN"/>
              </w:rPr>
              <w:t>。</w:t>
            </w:r>
            <w:r>
              <w:rPr>
                <w:rFonts w:hint="eastAsia" w:cs="Times New Roman"/>
                <w:sz w:val="24"/>
                <w:szCs w:val="36"/>
                <w:lang w:val="en-US" w:eastAsia="zh-CN"/>
              </w:rPr>
              <w:t>本工程架空输电线路涉及跨越</w:t>
            </w:r>
            <w:r>
              <w:rPr>
                <w:rFonts w:hint="eastAsia" w:ascii="Times New Roman" w:hAnsi="Times New Roman" w:cs="Times New Roman"/>
                <w:sz w:val="24"/>
                <w:szCs w:val="36"/>
                <w:lang w:val="en-US" w:eastAsia="zh-CN"/>
              </w:rPr>
              <w:t>梅山水库、白水河、双河、麻河。</w:t>
            </w:r>
            <w:r>
              <w:rPr>
                <w:rFonts w:hint="eastAsia" w:cs="Times New Roman"/>
                <w:sz w:val="24"/>
                <w:szCs w:val="36"/>
                <w:lang w:val="en-US" w:eastAsia="zh-CN"/>
              </w:rPr>
              <w:t>项目跨越水体位置及示意图见下图。</w:t>
            </w:r>
          </w:p>
          <w:tbl>
            <w:tblPr>
              <w:tblStyle w:val="38"/>
              <w:tblpPr w:leftFromText="180" w:rightFromText="180" w:vertAnchor="text" w:horzAnchor="page" w:tblpX="282" w:tblpY="157"/>
              <w:tblOverlap w:val="never"/>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7"/>
              <w:gridCol w:w="4632"/>
            </w:tblGrid>
            <w:tr w14:paraId="3F0D8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3EA9409F">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eastAsia" w:ascii="Times New Roman" w:hAnsi="Times New Roman" w:eastAsia="宋体" w:cs="Times New Roman"/>
                      <w:b w:val="0"/>
                      <w:bCs/>
                      <w:sz w:val="24"/>
                      <w:szCs w:val="24"/>
                      <w:lang w:eastAsia="zh-CN"/>
                    </w:rPr>
                  </w:pPr>
                  <w:r>
                    <w:drawing>
                      <wp:inline distT="0" distB="0" distL="114300" distR="114300">
                        <wp:extent cx="2750820" cy="2625725"/>
                        <wp:effectExtent l="0" t="0" r="0" b="0"/>
                        <wp:docPr id="5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pic:cNvPicPr>
                                  <a:picLocks noChangeAspect="1"/>
                                </pic:cNvPicPr>
                              </pic:nvPicPr>
                              <pic:blipFill>
                                <a:blip r:embed="rId22"/>
                                <a:srcRect b="934"/>
                                <a:stretch>
                                  <a:fillRect/>
                                </a:stretch>
                              </pic:blipFill>
                              <pic:spPr>
                                <a:xfrm>
                                  <a:off x="0" y="0"/>
                                  <a:ext cx="2750820" cy="2625725"/>
                                </a:xfrm>
                                <a:prstGeom prst="rect">
                                  <a:avLst/>
                                </a:prstGeom>
                                <a:noFill/>
                                <a:ln>
                                  <a:noFill/>
                                </a:ln>
                              </pic:spPr>
                            </pic:pic>
                          </a:graphicData>
                        </a:graphic>
                      </wp:inline>
                    </w:drawing>
                  </w:r>
                </w:p>
              </w:tc>
              <w:tc>
                <w:tcPr>
                  <w:tcW w:w="4552" w:type="dxa"/>
                  <w:vAlign w:val="top"/>
                </w:tcPr>
                <w:p w14:paraId="140FA938">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textAlignment w:val="auto"/>
                    <w:rPr>
                      <w:rFonts w:hint="eastAsia" w:ascii="Times New Roman" w:hAnsi="Times New Roman" w:eastAsia="宋体" w:cs="Times New Roman"/>
                      <w:b w:val="0"/>
                      <w:bCs/>
                      <w:sz w:val="24"/>
                      <w:szCs w:val="24"/>
                      <w:lang w:eastAsia="zh-CN"/>
                    </w:rPr>
                  </w:pPr>
                  <w:r>
                    <w:drawing>
                      <wp:inline distT="0" distB="0" distL="114300" distR="114300">
                        <wp:extent cx="2752090" cy="2673350"/>
                        <wp:effectExtent l="0" t="0" r="0" b="0"/>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pic:cNvPicPr>
                              </pic:nvPicPr>
                              <pic:blipFill>
                                <a:blip r:embed="rId23"/>
                                <a:srcRect t="7411" b="2670"/>
                                <a:stretch>
                                  <a:fillRect/>
                                </a:stretch>
                              </pic:blipFill>
                              <pic:spPr>
                                <a:xfrm>
                                  <a:off x="0" y="0"/>
                                  <a:ext cx="2752090" cy="2673350"/>
                                </a:xfrm>
                                <a:prstGeom prst="rect">
                                  <a:avLst/>
                                </a:prstGeom>
                                <a:noFill/>
                                <a:ln>
                                  <a:noFill/>
                                </a:ln>
                              </pic:spPr>
                            </pic:pic>
                          </a:graphicData>
                        </a:graphic>
                      </wp:inline>
                    </w:drawing>
                  </w:r>
                </w:p>
              </w:tc>
            </w:tr>
            <w:tr w14:paraId="3C03E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04" w:type="dxa"/>
                  <w:gridSpan w:val="2"/>
                  <w:vAlign w:val="top"/>
                </w:tcPr>
                <w:p w14:paraId="0A102ACD">
                  <w:pPr>
                    <w:jc w:val="center"/>
                    <w:rPr>
                      <w:rFonts w:hint="default" w:ascii="Times New Roman" w:hAnsi="Times New Roman" w:eastAsia="宋体" w:cs="Times New Roman"/>
                      <w:b w:val="0"/>
                      <w:bCs/>
                      <w:sz w:val="24"/>
                      <w:szCs w:val="24"/>
                      <w:lang w:val="en-US"/>
                    </w:rPr>
                  </w:pPr>
                  <w:r>
                    <w:rPr>
                      <w:rFonts w:hint="eastAsia" w:cs="Times New Roman"/>
                      <w:b w:val="0"/>
                      <w:bCs/>
                      <w:sz w:val="21"/>
                      <w:szCs w:val="21"/>
                      <w:lang w:val="en-US" w:eastAsia="zh-CN"/>
                    </w:rPr>
                    <w:t>古碑-钼矿输电线路穿越白水河</w:t>
                  </w:r>
                </w:p>
              </w:tc>
            </w:tr>
            <w:tr w14:paraId="15F6A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04" w:type="dxa"/>
                  <w:gridSpan w:val="2"/>
                  <w:vAlign w:val="top"/>
                </w:tcPr>
                <w:p w14:paraId="737EED17">
                  <w:pPr>
                    <w:jc w:val="center"/>
                    <w:rPr>
                      <w:rFonts w:hint="eastAsia" w:cs="Times New Roman"/>
                      <w:b w:val="0"/>
                      <w:bCs/>
                      <w:sz w:val="21"/>
                      <w:szCs w:val="21"/>
                      <w:lang w:val="en-US" w:eastAsia="zh-CN"/>
                    </w:rPr>
                  </w:pPr>
                  <w:r>
                    <w:drawing>
                      <wp:inline distT="0" distB="0" distL="114300" distR="114300">
                        <wp:extent cx="2914015" cy="1851660"/>
                        <wp:effectExtent l="0" t="0" r="635" b="15240"/>
                        <wp:docPr id="5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2"/>
                                <pic:cNvPicPr>
                                  <a:picLocks noChangeAspect="1"/>
                                </pic:cNvPicPr>
                              </pic:nvPicPr>
                              <pic:blipFill>
                                <a:blip r:embed="rId24"/>
                                <a:stretch>
                                  <a:fillRect/>
                                </a:stretch>
                              </pic:blipFill>
                              <pic:spPr>
                                <a:xfrm>
                                  <a:off x="0" y="0"/>
                                  <a:ext cx="2914015" cy="1851660"/>
                                </a:xfrm>
                                <a:prstGeom prst="rect">
                                  <a:avLst/>
                                </a:prstGeom>
                                <a:noFill/>
                                <a:ln>
                                  <a:noFill/>
                                </a:ln>
                              </pic:spPr>
                            </pic:pic>
                          </a:graphicData>
                        </a:graphic>
                      </wp:inline>
                    </w:drawing>
                  </w:r>
                </w:p>
              </w:tc>
            </w:tr>
            <w:tr w14:paraId="4DD46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04" w:type="dxa"/>
                  <w:gridSpan w:val="2"/>
                  <w:vAlign w:val="top"/>
                </w:tcPr>
                <w:p w14:paraId="56439043">
                  <w:pPr>
                    <w:jc w:val="center"/>
                    <w:rPr>
                      <w:rFonts w:hint="default" w:cs="Times New Roman"/>
                      <w:b w:val="0"/>
                      <w:bCs/>
                      <w:sz w:val="21"/>
                      <w:szCs w:val="21"/>
                      <w:lang w:val="en-US" w:eastAsia="zh-CN"/>
                    </w:rPr>
                  </w:pPr>
                  <w:r>
                    <w:rPr>
                      <w:rFonts w:hint="eastAsia" w:cs="Times New Roman"/>
                      <w:b w:val="0"/>
                      <w:bCs/>
                      <w:sz w:val="21"/>
                      <w:szCs w:val="21"/>
                      <w:lang w:val="en-US" w:eastAsia="zh-CN"/>
                    </w:rPr>
                    <w:t>古碑-钼矿输电线路穿越梅山水库</w:t>
                  </w:r>
                </w:p>
              </w:tc>
            </w:tr>
            <w:tr w14:paraId="7C98D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60065850">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drawing>
                      <wp:inline distT="0" distB="0" distL="114300" distR="114300">
                        <wp:extent cx="2750185" cy="1881505"/>
                        <wp:effectExtent l="0" t="0" r="12065" b="4445"/>
                        <wp:docPr id="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4"/>
                                <pic:cNvPicPr>
                                  <a:picLocks noChangeAspect="1"/>
                                </pic:cNvPicPr>
                              </pic:nvPicPr>
                              <pic:blipFill>
                                <a:blip r:embed="rId25"/>
                                <a:stretch>
                                  <a:fillRect/>
                                </a:stretch>
                              </pic:blipFill>
                              <pic:spPr>
                                <a:xfrm>
                                  <a:off x="0" y="0"/>
                                  <a:ext cx="2750185" cy="1881505"/>
                                </a:xfrm>
                                <a:prstGeom prst="rect">
                                  <a:avLst/>
                                </a:prstGeom>
                                <a:noFill/>
                                <a:ln>
                                  <a:noFill/>
                                </a:ln>
                              </pic:spPr>
                            </pic:pic>
                          </a:graphicData>
                        </a:graphic>
                      </wp:inline>
                    </w:drawing>
                  </w:r>
                </w:p>
              </w:tc>
              <w:tc>
                <w:tcPr>
                  <w:tcW w:w="4552" w:type="dxa"/>
                  <w:vAlign w:val="top"/>
                </w:tcPr>
                <w:p w14:paraId="721CC60A">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drawing>
                      <wp:inline distT="0" distB="0" distL="114300" distR="114300">
                        <wp:extent cx="2749550" cy="1884045"/>
                        <wp:effectExtent l="0" t="0" r="0" b="0"/>
                        <wp:docPr id="5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5"/>
                                <pic:cNvPicPr>
                                  <a:picLocks noChangeAspect="1"/>
                                </pic:cNvPicPr>
                              </pic:nvPicPr>
                              <pic:blipFill>
                                <a:blip r:embed="rId26"/>
                                <a:srcRect t="7235" b="4066"/>
                                <a:stretch>
                                  <a:fillRect/>
                                </a:stretch>
                              </pic:blipFill>
                              <pic:spPr>
                                <a:xfrm>
                                  <a:off x="0" y="0"/>
                                  <a:ext cx="2749550" cy="1884045"/>
                                </a:xfrm>
                                <a:prstGeom prst="rect">
                                  <a:avLst/>
                                </a:prstGeom>
                                <a:noFill/>
                                <a:ln>
                                  <a:noFill/>
                                </a:ln>
                              </pic:spPr>
                            </pic:pic>
                          </a:graphicData>
                        </a:graphic>
                      </wp:inline>
                    </w:drawing>
                  </w:r>
                </w:p>
              </w:tc>
            </w:tr>
            <w:tr w14:paraId="07C481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52" w:type="dxa"/>
                  <w:vAlign w:val="top"/>
                </w:tcPr>
                <w:p w14:paraId="06C4402D">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双河-钼矿输电线路穿越麻河</w:t>
                  </w:r>
                </w:p>
              </w:tc>
              <w:tc>
                <w:tcPr>
                  <w:tcW w:w="4552" w:type="dxa"/>
                  <w:vAlign w:val="top"/>
                </w:tcPr>
                <w:p w14:paraId="5D856B84">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1"/>
                      <w:szCs w:val="21"/>
                      <w:lang w:eastAsia="zh-CN"/>
                    </w:rPr>
                  </w:pPr>
                  <w:r>
                    <w:rPr>
                      <w:rFonts w:hint="eastAsia" w:cs="Times New Roman"/>
                      <w:b w:val="0"/>
                      <w:bCs/>
                      <w:sz w:val="21"/>
                      <w:szCs w:val="21"/>
                      <w:lang w:val="en-US" w:eastAsia="zh-CN"/>
                    </w:rPr>
                    <w:t>双河-钼矿输电线路穿越双河</w:t>
                  </w:r>
                </w:p>
              </w:tc>
            </w:tr>
            <w:tr w14:paraId="43528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gridSpan w:val="2"/>
                </w:tcPr>
                <w:p w14:paraId="75025478">
                  <w:pPr>
                    <w:pStyle w:val="36"/>
                    <w:keepNext w:val="0"/>
                    <w:keepLines w:val="0"/>
                    <w:pageBreakBefore w:val="0"/>
                    <w:widowControl w:val="0"/>
                    <w:kinsoku/>
                    <w:wordWrap/>
                    <w:overflowPunct/>
                    <w:topLinePunct w:val="0"/>
                    <w:autoSpaceDE/>
                    <w:autoSpaceDN/>
                    <w:bidi w:val="0"/>
                    <w:adjustRightInd/>
                    <w:snapToGrid w:val="0"/>
                    <w:spacing w:before="0" w:after="0" w:line="240" w:lineRule="auto"/>
                    <w:ind w:left="0" w:leftChars="0" w:firstLine="0" w:firstLineChars="0"/>
                    <w:jc w:val="center"/>
                    <w:textAlignment w:val="auto"/>
                    <w:rPr>
                      <w:rFonts w:hint="default" w:ascii="Times New Roman" w:hAnsi="Times New Roman" w:eastAsia="宋体" w:cs="Times New Roman"/>
                      <w:b w:val="0"/>
                      <w:bCs/>
                      <w:sz w:val="24"/>
                      <w:szCs w:val="24"/>
                    </w:rPr>
                  </w:pPr>
                  <w:r>
                    <w:rPr>
                      <w:rFonts w:hint="default" w:ascii="Times New Roman" w:hAnsi="Times New Roman" w:eastAsia="宋体" w:cs="Times New Roman"/>
                      <w:b/>
                      <w:bCs w:val="0"/>
                      <w:sz w:val="20"/>
                      <w:szCs w:val="20"/>
                    </w:rPr>
                    <w:t>图3-</w:t>
                  </w:r>
                  <w:r>
                    <w:rPr>
                      <w:rFonts w:hint="eastAsia" w:cs="Times New Roman"/>
                      <w:b/>
                      <w:bCs w:val="0"/>
                      <w:sz w:val="20"/>
                      <w:szCs w:val="20"/>
                      <w:lang w:val="en-US" w:eastAsia="zh-CN"/>
                    </w:rPr>
                    <w:t>2  项目跨越水体位置及示意图</w:t>
                  </w:r>
                </w:p>
              </w:tc>
            </w:tr>
          </w:tbl>
          <w:p w14:paraId="07431192">
            <w:pPr>
              <w:pStyle w:val="36"/>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0" w:firstLineChars="0"/>
              <w:textAlignment w:val="auto"/>
              <w:rPr>
                <w:rFonts w:hint="default" w:ascii="Times New Roman" w:hAnsi="Times New Roman" w:eastAsia="宋体" w:cs="Times New Roman"/>
                <w:b/>
                <w:bCs w:val="0"/>
                <w:sz w:val="24"/>
                <w:szCs w:val="24"/>
              </w:rPr>
            </w:pPr>
            <w:r>
              <w:rPr>
                <w:rFonts w:hint="eastAsia" w:cs="Times New Roman"/>
                <w:b/>
                <w:bCs w:val="0"/>
                <w:sz w:val="24"/>
                <w:szCs w:val="24"/>
                <w:lang w:val="en-US" w:eastAsia="zh-CN"/>
              </w:rPr>
              <w:t>3.4</w:t>
            </w:r>
            <w:r>
              <w:rPr>
                <w:rFonts w:hint="default" w:ascii="Times New Roman" w:hAnsi="Times New Roman" w:eastAsia="宋体" w:cs="Times New Roman"/>
                <w:b/>
                <w:bCs w:val="0"/>
                <w:sz w:val="24"/>
                <w:szCs w:val="24"/>
              </w:rPr>
              <w:t>、声环境</w:t>
            </w:r>
            <w:r>
              <w:rPr>
                <w:rFonts w:hint="eastAsia" w:cs="Times New Roman"/>
                <w:b/>
                <w:bCs w:val="0"/>
                <w:sz w:val="24"/>
                <w:szCs w:val="24"/>
                <w:lang w:val="en-US" w:eastAsia="zh-CN"/>
              </w:rPr>
              <w:t>现状</w:t>
            </w:r>
          </w:p>
          <w:p w14:paraId="01085754">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根据踏勘现</w:t>
            </w:r>
            <w:r>
              <w:rPr>
                <w:rFonts w:hint="eastAsia" w:ascii="Times New Roman" w:hAnsi="Times New Roman" w:eastAsia="宋体" w:cs="Times New Roman"/>
                <w:color w:val="auto"/>
                <w:sz w:val="24"/>
                <w:szCs w:val="24"/>
                <w:lang w:val="en-US" w:eastAsia="zh-CN"/>
              </w:rPr>
              <w:t>场情况可知，</w:t>
            </w:r>
            <w:r>
              <w:rPr>
                <w:rFonts w:hint="eastAsia" w:ascii="Times New Roman" w:hAnsi="Times New Roman" w:eastAsia="宋体" w:cs="Times New Roman"/>
                <w:color w:val="auto"/>
                <w:sz w:val="24"/>
                <w:szCs w:val="24"/>
                <w:lang w:eastAsia="zh-CN"/>
              </w:rPr>
              <w:t>项目</w:t>
            </w:r>
            <w:r>
              <w:rPr>
                <w:rFonts w:hint="eastAsia" w:ascii="Times New Roman" w:hAnsi="Times New Roman" w:eastAsia="宋体" w:cs="Times New Roman"/>
                <w:color w:val="auto"/>
                <w:sz w:val="24"/>
                <w:szCs w:val="24"/>
                <w:lang w:val="en-US" w:eastAsia="zh-CN"/>
              </w:rPr>
              <w:t>变电站</w:t>
            </w:r>
            <w:r>
              <w:rPr>
                <w:rFonts w:hint="eastAsia" w:ascii="Times New Roman" w:hAnsi="Times New Roman" w:eastAsia="宋体" w:cs="Times New Roman"/>
                <w:color w:val="auto"/>
                <w:sz w:val="24"/>
                <w:szCs w:val="24"/>
              </w:rPr>
              <w:t>厂界</w:t>
            </w:r>
            <w:r>
              <w:rPr>
                <w:rFonts w:hint="eastAsia" w:ascii="Times New Roman" w:hAnsi="Times New Roman" w:eastAsia="宋体" w:cs="Times New Roman"/>
                <w:color w:val="auto"/>
                <w:sz w:val="24"/>
                <w:szCs w:val="24"/>
                <w:lang w:val="en-US" w:eastAsia="zh-CN"/>
              </w:rPr>
              <w:t>200</w:t>
            </w:r>
            <w:r>
              <w:rPr>
                <w:rFonts w:hint="eastAsia" w:ascii="Times New Roman" w:hAnsi="Times New Roman" w:eastAsia="宋体" w:cs="Times New Roman"/>
                <w:color w:val="auto"/>
                <w:sz w:val="24"/>
                <w:szCs w:val="24"/>
              </w:rPr>
              <w:t>m范围</w:t>
            </w:r>
            <w:r>
              <w:rPr>
                <w:rFonts w:hint="eastAsia" w:ascii="Times New Roman" w:hAnsi="Times New Roman" w:eastAsia="宋体" w:cs="Times New Roman"/>
                <w:color w:val="auto"/>
                <w:sz w:val="24"/>
                <w:szCs w:val="24"/>
                <w:lang w:val="en-US" w:eastAsia="zh-CN"/>
              </w:rPr>
              <w:t>内有3处居民点</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选取距离变电站最近的东侧活动板房和北侧的</w:t>
            </w:r>
            <w:r>
              <w:rPr>
                <w:rFonts w:hint="eastAsia" w:ascii="Times New Roman" w:hAnsi="Times New Roman" w:eastAsia="宋体" w:cs="Times New Roman"/>
                <w:i w:val="0"/>
                <w:iCs w:val="0"/>
                <w:caps w:val="0"/>
                <w:color w:val="auto"/>
                <w:spacing w:val="4"/>
                <w:kern w:val="0"/>
                <w:sz w:val="24"/>
                <w:szCs w:val="24"/>
                <w:shd w:val="clear"/>
              </w:rPr>
              <w:t>詹家塆</w:t>
            </w:r>
            <w:r>
              <w:rPr>
                <w:rFonts w:hint="eastAsia" w:ascii="Times New Roman" w:hAnsi="Times New Roman" w:eastAsia="宋体" w:cs="Times New Roman"/>
                <w:color w:val="auto"/>
                <w:sz w:val="24"/>
                <w:szCs w:val="24"/>
                <w:lang w:val="en-US" w:eastAsia="zh-CN"/>
              </w:rPr>
              <w:t>作为监测点；线路工程沿线选取了9个具有代表性的敏感点作为监测点</w:t>
            </w:r>
            <w:r>
              <w:rPr>
                <w:rFonts w:hint="eastAsia" w:ascii="Times New Roman" w:hAnsi="Times New Roman" w:eastAsia="宋体" w:cs="Times New Roman"/>
                <w:color w:val="auto"/>
                <w:sz w:val="24"/>
                <w:szCs w:val="24"/>
              </w:rPr>
              <w:t>。</w:t>
            </w:r>
          </w:p>
          <w:p w14:paraId="51375F12">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监测时间及天气</w:t>
            </w:r>
          </w:p>
          <w:p w14:paraId="7671EE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表3-1  本工程监测时间及天气情况一览表</w:t>
            </w:r>
          </w:p>
          <w:tbl>
            <w:tblPr>
              <w:tblStyle w:val="38"/>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5"/>
              <w:gridCol w:w="3161"/>
              <w:gridCol w:w="3162"/>
            </w:tblGrid>
            <w:tr w14:paraId="0CEBE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1" w:hRule="atLeast"/>
                <w:jc w:val="center"/>
              </w:trPr>
              <w:tc>
                <w:tcPr>
                  <w:tcW w:w="2745" w:type="dxa"/>
                  <w:vAlign w:val="center"/>
                </w:tcPr>
                <w:p w14:paraId="1903DE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监测时间</w:t>
                  </w:r>
                </w:p>
              </w:tc>
              <w:tc>
                <w:tcPr>
                  <w:tcW w:w="3161" w:type="dxa"/>
                  <w:vAlign w:val="center"/>
                </w:tcPr>
                <w:p w14:paraId="76141D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风速（m/s）</w:t>
                  </w:r>
                </w:p>
              </w:tc>
              <w:tc>
                <w:tcPr>
                  <w:tcW w:w="3162" w:type="dxa"/>
                  <w:vAlign w:val="center"/>
                </w:tcPr>
                <w:p w14:paraId="2A83B8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天气状况</w:t>
                  </w:r>
                </w:p>
              </w:tc>
            </w:tr>
            <w:tr w14:paraId="24DD9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2CE61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olor w:val="000000"/>
                      <w:szCs w:val="21"/>
                    </w:rPr>
                    <w:t>202</w:t>
                  </w:r>
                  <w:r>
                    <w:rPr>
                      <w:rFonts w:hint="eastAsia"/>
                      <w:color w:val="000000"/>
                      <w:szCs w:val="21"/>
                      <w:lang w:val="en-US" w:eastAsia="zh-CN"/>
                    </w:rPr>
                    <w:t>5</w:t>
                  </w:r>
                  <w:r>
                    <w:rPr>
                      <w:rFonts w:hint="eastAsia"/>
                      <w:color w:val="000000"/>
                      <w:szCs w:val="21"/>
                    </w:rPr>
                    <w:t>年</w:t>
                  </w:r>
                  <w:r>
                    <w:rPr>
                      <w:rFonts w:hint="eastAsia"/>
                      <w:color w:val="000000"/>
                      <w:szCs w:val="21"/>
                      <w:lang w:val="en-US" w:eastAsia="zh-CN"/>
                    </w:rPr>
                    <w:t>5</w:t>
                  </w:r>
                  <w:r>
                    <w:rPr>
                      <w:rFonts w:hint="eastAsia"/>
                      <w:color w:val="000000"/>
                      <w:szCs w:val="21"/>
                    </w:rPr>
                    <w:t>月</w:t>
                  </w:r>
                  <w:r>
                    <w:rPr>
                      <w:rFonts w:hint="eastAsia"/>
                      <w:color w:val="000000"/>
                      <w:szCs w:val="21"/>
                      <w:lang w:val="en-US" w:eastAsia="zh-CN"/>
                    </w:rPr>
                    <w:t>26</w:t>
                  </w:r>
                  <w:r>
                    <w:rPr>
                      <w:rFonts w:hint="eastAsia"/>
                      <w:color w:val="000000"/>
                      <w:szCs w:val="21"/>
                    </w:rPr>
                    <w:t>日</w:t>
                  </w:r>
                  <w:r>
                    <w:rPr>
                      <w:rFonts w:hint="eastAsia"/>
                      <w:color w:val="000000"/>
                      <w:szCs w:val="21"/>
                      <w:lang w:val="en-US" w:eastAsia="zh-CN"/>
                    </w:rPr>
                    <w:t>昼间</w:t>
                  </w:r>
                </w:p>
              </w:tc>
              <w:tc>
                <w:tcPr>
                  <w:tcW w:w="3161" w:type="dxa"/>
                  <w:vAlign w:val="center"/>
                </w:tcPr>
                <w:p w14:paraId="1D9A3F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cs="Times New Roman"/>
                      <w:color w:val="000000"/>
                      <w:sz w:val="21"/>
                      <w:szCs w:val="21"/>
                      <w:lang w:val="en-US" w:eastAsia="zh-CN"/>
                    </w:rPr>
                    <w:t>0.8</w:t>
                  </w:r>
                </w:p>
              </w:tc>
              <w:tc>
                <w:tcPr>
                  <w:tcW w:w="3162" w:type="dxa"/>
                  <w:vAlign w:val="center"/>
                </w:tcPr>
                <w:p w14:paraId="3CE937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vertAlign w:val="baseline"/>
                      <w:lang w:val="en-US" w:eastAsia="zh-CN"/>
                    </w:rPr>
                  </w:pPr>
                  <w:r>
                    <w:rPr>
                      <w:rFonts w:hint="eastAsia" w:hAnsi="宋体"/>
                      <w:szCs w:val="21"/>
                      <w:lang w:val="en-US" w:eastAsia="zh-CN"/>
                    </w:rPr>
                    <w:t>晴</w:t>
                  </w:r>
                </w:p>
              </w:tc>
            </w:tr>
            <w:tr w14:paraId="17CC8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06A8592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olor w:val="000000"/>
                      <w:szCs w:val="21"/>
                    </w:rPr>
                    <w:t>202</w:t>
                  </w:r>
                  <w:r>
                    <w:rPr>
                      <w:rFonts w:hint="eastAsia"/>
                      <w:color w:val="000000"/>
                      <w:szCs w:val="21"/>
                      <w:lang w:val="en-US" w:eastAsia="zh-CN"/>
                    </w:rPr>
                    <w:t>5</w:t>
                  </w:r>
                  <w:r>
                    <w:rPr>
                      <w:rFonts w:hint="eastAsia"/>
                      <w:color w:val="000000"/>
                      <w:szCs w:val="21"/>
                    </w:rPr>
                    <w:t>年</w:t>
                  </w:r>
                  <w:r>
                    <w:rPr>
                      <w:rFonts w:hint="eastAsia"/>
                      <w:color w:val="000000"/>
                      <w:szCs w:val="21"/>
                      <w:lang w:val="en-US" w:eastAsia="zh-CN"/>
                    </w:rPr>
                    <w:t>5</w:t>
                  </w:r>
                  <w:r>
                    <w:rPr>
                      <w:rFonts w:hint="eastAsia"/>
                      <w:color w:val="000000"/>
                      <w:szCs w:val="21"/>
                    </w:rPr>
                    <w:t>月</w:t>
                  </w:r>
                  <w:r>
                    <w:rPr>
                      <w:rFonts w:hint="eastAsia"/>
                      <w:color w:val="000000"/>
                      <w:szCs w:val="21"/>
                      <w:lang w:val="en-US" w:eastAsia="zh-CN"/>
                    </w:rPr>
                    <w:t>26</w:t>
                  </w:r>
                  <w:r>
                    <w:rPr>
                      <w:rFonts w:hint="eastAsia"/>
                      <w:color w:val="000000"/>
                      <w:szCs w:val="21"/>
                    </w:rPr>
                    <w:t>日</w:t>
                  </w:r>
                  <w:r>
                    <w:rPr>
                      <w:rFonts w:hint="eastAsia"/>
                      <w:color w:val="000000"/>
                      <w:szCs w:val="21"/>
                      <w:lang w:val="en-US" w:eastAsia="zh-CN"/>
                    </w:rPr>
                    <w:t>夜间</w:t>
                  </w:r>
                </w:p>
              </w:tc>
              <w:tc>
                <w:tcPr>
                  <w:tcW w:w="3161" w:type="dxa"/>
                  <w:vAlign w:val="center"/>
                </w:tcPr>
                <w:p w14:paraId="618956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s="Times New Roman"/>
                      <w:color w:val="000000"/>
                      <w:sz w:val="21"/>
                      <w:szCs w:val="21"/>
                      <w:lang w:val="en-US" w:eastAsia="zh-CN"/>
                    </w:rPr>
                    <w:t>1.0</w:t>
                  </w:r>
                </w:p>
              </w:tc>
              <w:tc>
                <w:tcPr>
                  <w:tcW w:w="3162" w:type="dxa"/>
                  <w:vAlign w:val="center"/>
                </w:tcPr>
                <w:p w14:paraId="5BC21C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hAnsi="宋体"/>
                      <w:szCs w:val="21"/>
                      <w:lang w:val="en-US" w:eastAsia="zh-CN"/>
                    </w:rPr>
                    <w:t>晴</w:t>
                  </w:r>
                </w:p>
              </w:tc>
            </w:tr>
            <w:tr w14:paraId="1A6A4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6F4334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olor w:val="000000"/>
                      <w:szCs w:val="21"/>
                    </w:rPr>
                    <w:t>202</w:t>
                  </w:r>
                  <w:r>
                    <w:rPr>
                      <w:rFonts w:hint="eastAsia"/>
                      <w:color w:val="000000"/>
                      <w:szCs w:val="21"/>
                      <w:lang w:val="en-US" w:eastAsia="zh-CN"/>
                    </w:rPr>
                    <w:t>5</w:t>
                  </w:r>
                  <w:r>
                    <w:rPr>
                      <w:rFonts w:hint="eastAsia"/>
                      <w:color w:val="000000"/>
                      <w:szCs w:val="21"/>
                    </w:rPr>
                    <w:t>年</w:t>
                  </w:r>
                  <w:r>
                    <w:rPr>
                      <w:rFonts w:hint="eastAsia"/>
                      <w:color w:val="000000"/>
                      <w:szCs w:val="21"/>
                      <w:lang w:val="en-US" w:eastAsia="zh-CN"/>
                    </w:rPr>
                    <w:t>5</w:t>
                  </w:r>
                  <w:r>
                    <w:rPr>
                      <w:rFonts w:hint="eastAsia"/>
                      <w:color w:val="000000"/>
                      <w:szCs w:val="21"/>
                    </w:rPr>
                    <w:t>月</w:t>
                  </w:r>
                  <w:r>
                    <w:rPr>
                      <w:rFonts w:hint="eastAsia"/>
                      <w:color w:val="000000"/>
                      <w:szCs w:val="21"/>
                      <w:lang w:val="en-US" w:eastAsia="zh-CN"/>
                    </w:rPr>
                    <w:t>27</w:t>
                  </w:r>
                  <w:r>
                    <w:rPr>
                      <w:rFonts w:hint="eastAsia"/>
                      <w:color w:val="000000"/>
                      <w:szCs w:val="21"/>
                    </w:rPr>
                    <w:t>日</w:t>
                  </w:r>
                  <w:r>
                    <w:rPr>
                      <w:rFonts w:hint="eastAsia"/>
                      <w:color w:val="000000"/>
                      <w:szCs w:val="21"/>
                      <w:lang w:val="en-US" w:eastAsia="zh-CN"/>
                    </w:rPr>
                    <w:t>昼间</w:t>
                  </w:r>
                </w:p>
              </w:tc>
              <w:tc>
                <w:tcPr>
                  <w:tcW w:w="3161" w:type="dxa"/>
                  <w:vAlign w:val="center"/>
                </w:tcPr>
                <w:p w14:paraId="4EC1FA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s="Times New Roman"/>
                      <w:color w:val="000000"/>
                      <w:sz w:val="21"/>
                      <w:szCs w:val="21"/>
                      <w:lang w:val="en-US" w:eastAsia="zh-CN"/>
                    </w:rPr>
                    <w:t>1.2</w:t>
                  </w:r>
                </w:p>
              </w:tc>
              <w:tc>
                <w:tcPr>
                  <w:tcW w:w="3162" w:type="dxa"/>
                  <w:vAlign w:val="center"/>
                </w:tcPr>
                <w:p w14:paraId="18F802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hAnsi="宋体"/>
                      <w:szCs w:val="21"/>
                      <w:lang w:val="en-US" w:eastAsia="zh-CN"/>
                    </w:rPr>
                    <w:t>晴</w:t>
                  </w:r>
                </w:p>
              </w:tc>
            </w:tr>
            <w:tr w14:paraId="72201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19B06E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olor w:val="000000"/>
                      <w:szCs w:val="21"/>
                    </w:rPr>
                    <w:t>202</w:t>
                  </w:r>
                  <w:r>
                    <w:rPr>
                      <w:rFonts w:hint="eastAsia"/>
                      <w:color w:val="000000"/>
                      <w:szCs w:val="21"/>
                      <w:lang w:val="en-US" w:eastAsia="zh-CN"/>
                    </w:rPr>
                    <w:t>5</w:t>
                  </w:r>
                  <w:r>
                    <w:rPr>
                      <w:rFonts w:hint="eastAsia"/>
                      <w:color w:val="000000"/>
                      <w:szCs w:val="21"/>
                    </w:rPr>
                    <w:t>年</w:t>
                  </w:r>
                  <w:r>
                    <w:rPr>
                      <w:rFonts w:hint="eastAsia"/>
                      <w:color w:val="000000"/>
                      <w:szCs w:val="21"/>
                      <w:lang w:val="en-US" w:eastAsia="zh-CN"/>
                    </w:rPr>
                    <w:t>5</w:t>
                  </w:r>
                  <w:r>
                    <w:rPr>
                      <w:rFonts w:hint="eastAsia"/>
                      <w:color w:val="000000"/>
                      <w:szCs w:val="21"/>
                    </w:rPr>
                    <w:t>月</w:t>
                  </w:r>
                  <w:r>
                    <w:rPr>
                      <w:rFonts w:hint="eastAsia"/>
                      <w:color w:val="000000"/>
                      <w:szCs w:val="21"/>
                      <w:lang w:val="en-US" w:eastAsia="zh-CN"/>
                    </w:rPr>
                    <w:t>27</w:t>
                  </w:r>
                  <w:r>
                    <w:rPr>
                      <w:rFonts w:hint="eastAsia"/>
                      <w:color w:val="000000"/>
                      <w:szCs w:val="21"/>
                    </w:rPr>
                    <w:t>日</w:t>
                  </w:r>
                  <w:r>
                    <w:rPr>
                      <w:rFonts w:hint="eastAsia"/>
                      <w:color w:val="000000"/>
                      <w:szCs w:val="21"/>
                      <w:lang w:val="en-US" w:eastAsia="zh-CN"/>
                    </w:rPr>
                    <w:t>夜间</w:t>
                  </w:r>
                </w:p>
              </w:tc>
              <w:tc>
                <w:tcPr>
                  <w:tcW w:w="3161" w:type="dxa"/>
                  <w:vAlign w:val="center"/>
                </w:tcPr>
                <w:p w14:paraId="5C2670F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rPr>
                  </w:pPr>
                  <w:r>
                    <w:rPr>
                      <w:rFonts w:hint="eastAsia" w:cs="Times New Roman"/>
                      <w:color w:val="000000"/>
                      <w:sz w:val="21"/>
                      <w:szCs w:val="21"/>
                      <w:lang w:val="en-US" w:eastAsia="zh-CN"/>
                    </w:rPr>
                    <w:t>1.0</w:t>
                  </w:r>
                </w:p>
              </w:tc>
              <w:tc>
                <w:tcPr>
                  <w:tcW w:w="3162" w:type="dxa"/>
                  <w:vAlign w:val="center"/>
                </w:tcPr>
                <w:p w14:paraId="7DC29E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rPr>
                  </w:pPr>
                  <w:r>
                    <w:rPr>
                      <w:rFonts w:hint="eastAsia" w:hAnsi="宋体"/>
                      <w:szCs w:val="21"/>
                      <w:lang w:val="en-US" w:eastAsia="zh-CN"/>
                    </w:rPr>
                    <w:t>晴</w:t>
                  </w:r>
                </w:p>
              </w:tc>
            </w:tr>
            <w:tr w14:paraId="30CD5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8704C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hint="eastAsia"/>
                      <w:color w:val="000000"/>
                      <w:szCs w:val="21"/>
                    </w:rPr>
                    <w:t>202</w:t>
                  </w:r>
                  <w:r>
                    <w:rPr>
                      <w:rFonts w:hint="eastAsia"/>
                      <w:color w:val="000000"/>
                      <w:szCs w:val="21"/>
                      <w:lang w:val="en-US" w:eastAsia="zh-CN"/>
                    </w:rPr>
                    <w:t>5</w:t>
                  </w:r>
                  <w:r>
                    <w:rPr>
                      <w:rFonts w:hint="eastAsia"/>
                      <w:color w:val="000000"/>
                      <w:szCs w:val="21"/>
                    </w:rPr>
                    <w:t>年</w:t>
                  </w:r>
                  <w:r>
                    <w:rPr>
                      <w:rFonts w:hint="eastAsia"/>
                      <w:color w:val="000000"/>
                      <w:szCs w:val="21"/>
                      <w:lang w:val="en-US" w:eastAsia="zh-CN"/>
                    </w:rPr>
                    <w:t>5</w:t>
                  </w:r>
                  <w:r>
                    <w:rPr>
                      <w:rFonts w:hint="eastAsia"/>
                      <w:color w:val="000000"/>
                      <w:szCs w:val="21"/>
                    </w:rPr>
                    <w:t>月</w:t>
                  </w:r>
                  <w:r>
                    <w:rPr>
                      <w:rFonts w:hint="eastAsia"/>
                      <w:color w:val="000000"/>
                      <w:szCs w:val="21"/>
                      <w:lang w:val="en-US" w:eastAsia="zh-CN"/>
                    </w:rPr>
                    <w:t>28</w:t>
                  </w:r>
                  <w:r>
                    <w:rPr>
                      <w:rFonts w:hint="eastAsia"/>
                      <w:color w:val="000000"/>
                      <w:szCs w:val="21"/>
                    </w:rPr>
                    <w:t>日</w:t>
                  </w:r>
                  <w:r>
                    <w:rPr>
                      <w:rFonts w:hint="eastAsia"/>
                      <w:color w:val="000000"/>
                      <w:szCs w:val="21"/>
                      <w:lang w:val="en-US" w:eastAsia="zh-CN"/>
                    </w:rPr>
                    <w:t>夜间</w:t>
                  </w:r>
                </w:p>
              </w:tc>
              <w:tc>
                <w:tcPr>
                  <w:tcW w:w="3161" w:type="dxa"/>
                  <w:vAlign w:val="center"/>
                </w:tcPr>
                <w:p w14:paraId="7F1875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cs="Times New Roman"/>
                      <w:color w:val="000000"/>
                      <w:sz w:val="21"/>
                      <w:szCs w:val="21"/>
                      <w:lang w:val="en-US" w:eastAsia="zh-CN"/>
                    </w:rPr>
                    <w:t>1.0</w:t>
                  </w:r>
                </w:p>
              </w:tc>
              <w:tc>
                <w:tcPr>
                  <w:tcW w:w="3162" w:type="dxa"/>
                  <w:vAlign w:val="center"/>
                </w:tcPr>
                <w:p w14:paraId="0C440D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lang w:val="en-US" w:eastAsia="zh-CN"/>
                    </w:rPr>
                  </w:pPr>
                  <w:r>
                    <w:rPr>
                      <w:rFonts w:hint="eastAsia" w:hAnsi="宋体"/>
                      <w:szCs w:val="21"/>
                      <w:lang w:val="en-US" w:eastAsia="zh-CN"/>
                    </w:rPr>
                    <w:t>晴</w:t>
                  </w:r>
                </w:p>
              </w:tc>
            </w:tr>
            <w:tr w14:paraId="3EF5A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B9C10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szCs w:val="21"/>
                    </w:rPr>
                  </w:pPr>
                  <w:r>
                    <w:rPr>
                      <w:rFonts w:hint="eastAsia"/>
                      <w:color w:val="000000"/>
                      <w:sz w:val="20"/>
                      <w:szCs w:val="20"/>
                      <w:highlight w:val="none"/>
                    </w:rPr>
                    <w:t>202</w:t>
                  </w:r>
                  <w:r>
                    <w:rPr>
                      <w:rFonts w:hint="eastAsia"/>
                      <w:color w:val="000000"/>
                      <w:sz w:val="20"/>
                      <w:szCs w:val="20"/>
                      <w:highlight w:val="none"/>
                      <w:lang w:val="en-US" w:eastAsia="zh-CN"/>
                    </w:rPr>
                    <w:t>6</w:t>
                  </w:r>
                  <w:r>
                    <w:rPr>
                      <w:rFonts w:hint="eastAsia"/>
                      <w:color w:val="000000"/>
                      <w:sz w:val="20"/>
                      <w:szCs w:val="20"/>
                      <w:highlight w:val="none"/>
                    </w:rPr>
                    <w:t>年</w:t>
                  </w:r>
                  <w:r>
                    <w:rPr>
                      <w:rFonts w:hint="eastAsia"/>
                      <w:color w:val="000000"/>
                      <w:sz w:val="20"/>
                      <w:szCs w:val="20"/>
                      <w:highlight w:val="none"/>
                      <w:lang w:val="en-US" w:eastAsia="zh-CN"/>
                    </w:rPr>
                    <w:t>1</w:t>
                  </w:r>
                  <w:r>
                    <w:rPr>
                      <w:rFonts w:hint="eastAsia"/>
                      <w:color w:val="000000"/>
                      <w:sz w:val="20"/>
                      <w:szCs w:val="20"/>
                      <w:highlight w:val="none"/>
                    </w:rPr>
                    <w:t>月</w:t>
                  </w:r>
                  <w:r>
                    <w:rPr>
                      <w:rFonts w:hint="eastAsia"/>
                      <w:color w:val="000000"/>
                      <w:sz w:val="20"/>
                      <w:szCs w:val="20"/>
                      <w:highlight w:val="none"/>
                      <w:lang w:val="en-US" w:eastAsia="zh-CN"/>
                    </w:rPr>
                    <w:t>5</w:t>
                  </w:r>
                  <w:r>
                    <w:rPr>
                      <w:rFonts w:hint="eastAsia"/>
                      <w:color w:val="000000"/>
                      <w:sz w:val="20"/>
                      <w:szCs w:val="20"/>
                      <w:highlight w:val="none"/>
                    </w:rPr>
                    <w:t>日</w:t>
                  </w:r>
                  <w:r>
                    <w:rPr>
                      <w:rFonts w:hint="eastAsia"/>
                      <w:color w:val="000000"/>
                      <w:sz w:val="20"/>
                      <w:szCs w:val="20"/>
                      <w:highlight w:val="none"/>
                      <w:lang w:val="en-US" w:eastAsia="zh-CN"/>
                    </w:rPr>
                    <w:t>昼间</w:t>
                  </w:r>
                </w:p>
              </w:tc>
              <w:tc>
                <w:tcPr>
                  <w:tcW w:w="3161" w:type="dxa"/>
                  <w:vAlign w:val="center"/>
                </w:tcPr>
                <w:p w14:paraId="13EF18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sz w:val="21"/>
                      <w:szCs w:val="21"/>
                      <w:lang w:val="en-US" w:eastAsia="zh-CN"/>
                    </w:rPr>
                  </w:pPr>
                  <w:r>
                    <w:rPr>
                      <w:rFonts w:hint="eastAsia" w:cs="Times New Roman"/>
                      <w:color w:val="000000"/>
                      <w:sz w:val="20"/>
                      <w:szCs w:val="20"/>
                      <w:highlight w:val="none"/>
                      <w:lang w:val="en-US" w:eastAsia="zh-CN"/>
                    </w:rPr>
                    <w:t>1.4</w:t>
                  </w:r>
                </w:p>
              </w:tc>
              <w:tc>
                <w:tcPr>
                  <w:tcW w:w="3162" w:type="dxa"/>
                  <w:vAlign w:val="center"/>
                </w:tcPr>
                <w:p w14:paraId="13F078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szCs w:val="21"/>
                      <w:lang w:val="en-US" w:eastAsia="zh-CN"/>
                    </w:rPr>
                  </w:pPr>
                  <w:r>
                    <w:rPr>
                      <w:rFonts w:hint="eastAsia" w:hAnsi="宋体"/>
                      <w:sz w:val="20"/>
                      <w:szCs w:val="20"/>
                      <w:highlight w:val="none"/>
                      <w:lang w:val="en-US" w:eastAsia="zh-CN"/>
                    </w:rPr>
                    <w:t>多云</w:t>
                  </w:r>
                </w:p>
              </w:tc>
            </w:tr>
            <w:tr w14:paraId="29ECE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517687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szCs w:val="21"/>
                    </w:rPr>
                  </w:pPr>
                  <w:r>
                    <w:rPr>
                      <w:rFonts w:hint="eastAsia"/>
                      <w:color w:val="000000"/>
                      <w:sz w:val="20"/>
                      <w:szCs w:val="20"/>
                      <w:highlight w:val="none"/>
                    </w:rPr>
                    <w:t>202</w:t>
                  </w:r>
                  <w:r>
                    <w:rPr>
                      <w:rFonts w:hint="eastAsia"/>
                      <w:color w:val="000000"/>
                      <w:sz w:val="20"/>
                      <w:szCs w:val="20"/>
                      <w:highlight w:val="none"/>
                      <w:lang w:val="en-US" w:eastAsia="zh-CN"/>
                    </w:rPr>
                    <w:t>6</w:t>
                  </w:r>
                  <w:r>
                    <w:rPr>
                      <w:rFonts w:hint="eastAsia"/>
                      <w:color w:val="000000"/>
                      <w:sz w:val="20"/>
                      <w:szCs w:val="20"/>
                      <w:highlight w:val="none"/>
                    </w:rPr>
                    <w:t>年</w:t>
                  </w:r>
                  <w:r>
                    <w:rPr>
                      <w:rFonts w:hint="eastAsia"/>
                      <w:color w:val="000000"/>
                      <w:sz w:val="20"/>
                      <w:szCs w:val="20"/>
                      <w:highlight w:val="none"/>
                      <w:lang w:val="en-US" w:eastAsia="zh-CN"/>
                    </w:rPr>
                    <w:t>1</w:t>
                  </w:r>
                  <w:r>
                    <w:rPr>
                      <w:rFonts w:hint="eastAsia"/>
                      <w:color w:val="000000"/>
                      <w:sz w:val="20"/>
                      <w:szCs w:val="20"/>
                      <w:highlight w:val="none"/>
                    </w:rPr>
                    <w:t>月</w:t>
                  </w:r>
                  <w:r>
                    <w:rPr>
                      <w:rFonts w:hint="eastAsia"/>
                      <w:color w:val="000000"/>
                      <w:sz w:val="20"/>
                      <w:szCs w:val="20"/>
                      <w:highlight w:val="none"/>
                      <w:lang w:val="en-US" w:eastAsia="zh-CN"/>
                    </w:rPr>
                    <w:t>5</w:t>
                  </w:r>
                  <w:r>
                    <w:rPr>
                      <w:rFonts w:hint="eastAsia"/>
                      <w:color w:val="000000"/>
                      <w:sz w:val="20"/>
                      <w:szCs w:val="20"/>
                      <w:highlight w:val="none"/>
                    </w:rPr>
                    <w:t>日</w:t>
                  </w:r>
                  <w:r>
                    <w:rPr>
                      <w:rFonts w:hint="eastAsia"/>
                      <w:color w:val="000000"/>
                      <w:sz w:val="20"/>
                      <w:szCs w:val="20"/>
                      <w:highlight w:val="none"/>
                      <w:lang w:val="en-US" w:eastAsia="zh-CN"/>
                    </w:rPr>
                    <w:t>夜间至1月6日凌晨</w:t>
                  </w:r>
                </w:p>
              </w:tc>
              <w:tc>
                <w:tcPr>
                  <w:tcW w:w="3161" w:type="dxa"/>
                  <w:vAlign w:val="center"/>
                </w:tcPr>
                <w:p w14:paraId="2F55A0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sz w:val="21"/>
                      <w:szCs w:val="21"/>
                      <w:lang w:val="en-US" w:eastAsia="zh-CN"/>
                    </w:rPr>
                  </w:pPr>
                  <w:r>
                    <w:rPr>
                      <w:rFonts w:hint="eastAsia" w:cs="Times New Roman"/>
                      <w:color w:val="000000"/>
                      <w:sz w:val="20"/>
                      <w:szCs w:val="20"/>
                      <w:highlight w:val="none"/>
                      <w:lang w:val="en-US" w:eastAsia="zh-CN"/>
                    </w:rPr>
                    <w:t>1.0</w:t>
                  </w:r>
                </w:p>
              </w:tc>
              <w:tc>
                <w:tcPr>
                  <w:tcW w:w="3162" w:type="dxa"/>
                  <w:vAlign w:val="center"/>
                </w:tcPr>
                <w:p w14:paraId="546C6E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szCs w:val="21"/>
                      <w:lang w:val="en-US" w:eastAsia="zh-CN"/>
                    </w:rPr>
                  </w:pPr>
                  <w:r>
                    <w:rPr>
                      <w:rFonts w:hint="eastAsia" w:hAnsi="宋体"/>
                      <w:sz w:val="20"/>
                      <w:szCs w:val="20"/>
                      <w:highlight w:val="none"/>
                      <w:lang w:val="en-US" w:eastAsia="zh-CN"/>
                    </w:rPr>
                    <w:t>多云</w:t>
                  </w:r>
                </w:p>
              </w:tc>
            </w:tr>
            <w:tr w14:paraId="4D94A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7113A8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szCs w:val="21"/>
                    </w:rPr>
                  </w:pPr>
                  <w:r>
                    <w:rPr>
                      <w:rFonts w:hint="eastAsia"/>
                      <w:color w:val="000000"/>
                      <w:sz w:val="20"/>
                      <w:szCs w:val="20"/>
                      <w:highlight w:val="none"/>
                    </w:rPr>
                    <w:t>202</w:t>
                  </w:r>
                  <w:r>
                    <w:rPr>
                      <w:rFonts w:hint="eastAsia"/>
                      <w:color w:val="000000"/>
                      <w:sz w:val="20"/>
                      <w:szCs w:val="20"/>
                      <w:highlight w:val="none"/>
                      <w:lang w:val="en-US" w:eastAsia="zh-CN"/>
                    </w:rPr>
                    <w:t>6</w:t>
                  </w:r>
                  <w:r>
                    <w:rPr>
                      <w:rFonts w:hint="eastAsia"/>
                      <w:color w:val="000000"/>
                      <w:sz w:val="20"/>
                      <w:szCs w:val="20"/>
                      <w:highlight w:val="none"/>
                    </w:rPr>
                    <w:t>年</w:t>
                  </w:r>
                  <w:r>
                    <w:rPr>
                      <w:rFonts w:hint="eastAsia"/>
                      <w:color w:val="000000"/>
                      <w:sz w:val="20"/>
                      <w:szCs w:val="20"/>
                      <w:highlight w:val="none"/>
                      <w:lang w:val="en-US" w:eastAsia="zh-CN"/>
                    </w:rPr>
                    <w:t>1</w:t>
                  </w:r>
                  <w:r>
                    <w:rPr>
                      <w:rFonts w:hint="eastAsia"/>
                      <w:color w:val="000000"/>
                      <w:sz w:val="20"/>
                      <w:szCs w:val="20"/>
                      <w:highlight w:val="none"/>
                    </w:rPr>
                    <w:t>月</w:t>
                  </w:r>
                  <w:r>
                    <w:rPr>
                      <w:rFonts w:hint="eastAsia"/>
                      <w:color w:val="000000"/>
                      <w:sz w:val="20"/>
                      <w:szCs w:val="20"/>
                      <w:highlight w:val="none"/>
                      <w:lang w:val="en-US" w:eastAsia="zh-CN"/>
                    </w:rPr>
                    <w:t>6</w:t>
                  </w:r>
                  <w:r>
                    <w:rPr>
                      <w:rFonts w:hint="eastAsia"/>
                      <w:color w:val="000000"/>
                      <w:sz w:val="20"/>
                      <w:szCs w:val="20"/>
                      <w:highlight w:val="none"/>
                    </w:rPr>
                    <w:t>日</w:t>
                  </w:r>
                  <w:r>
                    <w:rPr>
                      <w:rFonts w:hint="eastAsia"/>
                      <w:color w:val="000000"/>
                      <w:sz w:val="20"/>
                      <w:szCs w:val="20"/>
                      <w:highlight w:val="none"/>
                      <w:lang w:val="en-US" w:eastAsia="zh-CN"/>
                    </w:rPr>
                    <w:t>昼间</w:t>
                  </w:r>
                </w:p>
              </w:tc>
              <w:tc>
                <w:tcPr>
                  <w:tcW w:w="3161" w:type="dxa"/>
                  <w:vAlign w:val="center"/>
                </w:tcPr>
                <w:p w14:paraId="623CED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sz w:val="21"/>
                      <w:szCs w:val="21"/>
                      <w:lang w:val="en-US" w:eastAsia="zh-CN"/>
                    </w:rPr>
                  </w:pPr>
                  <w:r>
                    <w:rPr>
                      <w:rFonts w:hint="eastAsia" w:cs="Times New Roman"/>
                      <w:color w:val="000000"/>
                      <w:sz w:val="20"/>
                      <w:szCs w:val="20"/>
                      <w:highlight w:val="none"/>
                      <w:lang w:val="en-US" w:eastAsia="zh-CN"/>
                    </w:rPr>
                    <w:t>1.8</w:t>
                  </w:r>
                </w:p>
              </w:tc>
              <w:tc>
                <w:tcPr>
                  <w:tcW w:w="3162" w:type="dxa"/>
                  <w:vAlign w:val="center"/>
                </w:tcPr>
                <w:p w14:paraId="6C56DE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szCs w:val="21"/>
                      <w:lang w:val="en-US" w:eastAsia="zh-CN"/>
                    </w:rPr>
                  </w:pPr>
                  <w:r>
                    <w:rPr>
                      <w:rFonts w:hint="eastAsia" w:hAnsi="宋体"/>
                      <w:sz w:val="20"/>
                      <w:szCs w:val="20"/>
                      <w:highlight w:val="none"/>
                      <w:lang w:val="en-US" w:eastAsia="zh-CN"/>
                    </w:rPr>
                    <w:t>晴</w:t>
                  </w:r>
                </w:p>
              </w:tc>
            </w:tr>
            <w:tr w14:paraId="15FC0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45" w:type="dxa"/>
                  <w:vAlign w:val="center"/>
                </w:tcPr>
                <w:p w14:paraId="1CFDE0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000000"/>
                      <w:szCs w:val="21"/>
                    </w:rPr>
                  </w:pPr>
                  <w:r>
                    <w:rPr>
                      <w:rFonts w:hint="eastAsia"/>
                      <w:color w:val="000000"/>
                      <w:sz w:val="20"/>
                      <w:szCs w:val="20"/>
                      <w:highlight w:val="none"/>
                    </w:rPr>
                    <w:t>202</w:t>
                  </w:r>
                  <w:r>
                    <w:rPr>
                      <w:rFonts w:hint="eastAsia"/>
                      <w:color w:val="000000"/>
                      <w:sz w:val="20"/>
                      <w:szCs w:val="20"/>
                      <w:highlight w:val="none"/>
                      <w:lang w:val="en-US" w:eastAsia="zh-CN"/>
                    </w:rPr>
                    <w:t>6</w:t>
                  </w:r>
                  <w:r>
                    <w:rPr>
                      <w:rFonts w:hint="eastAsia"/>
                      <w:color w:val="000000"/>
                      <w:sz w:val="20"/>
                      <w:szCs w:val="20"/>
                      <w:highlight w:val="none"/>
                    </w:rPr>
                    <w:t>年</w:t>
                  </w:r>
                  <w:r>
                    <w:rPr>
                      <w:rFonts w:hint="eastAsia"/>
                      <w:color w:val="000000"/>
                      <w:sz w:val="20"/>
                      <w:szCs w:val="20"/>
                      <w:highlight w:val="none"/>
                      <w:lang w:val="en-US" w:eastAsia="zh-CN"/>
                    </w:rPr>
                    <w:t>1</w:t>
                  </w:r>
                  <w:r>
                    <w:rPr>
                      <w:rFonts w:hint="eastAsia"/>
                      <w:color w:val="000000"/>
                      <w:sz w:val="20"/>
                      <w:szCs w:val="20"/>
                      <w:highlight w:val="none"/>
                    </w:rPr>
                    <w:t>月</w:t>
                  </w:r>
                  <w:r>
                    <w:rPr>
                      <w:rFonts w:hint="eastAsia"/>
                      <w:color w:val="000000"/>
                      <w:sz w:val="20"/>
                      <w:szCs w:val="20"/>
                      <w:highlight w:val="none"/>
                      <w:lang w:val="en-US" w:eastAsia="zh-CN"/>
                    </w:rPr>
                    <w:t>6</w:t>
                  </w:r>
                  <w:r>
                    <w:rPr>
                      <w:rFonts w:hint="eastAsia"/>
                      <w:color w:val="000000"/>
                      <w:sz w:val="20"/>
                      <w:szCs w:val="20"/>
                      <w:highlight w:val="none"/>
                    </w:rPr>
                    <w:t>日</w:t>
                  </w:r>
                  <w:r>
                    <w:rPr>
                      <w:rFonts w:hint="eastAsia"/>
                      <w:color w:val="000000"/>
                      <w:sz w:val="20"/>
                      <w:szCs w:val="20"/>
                      <w:highlight w:val="none"/>
                      <w:lang w:val="en-US" w:eastAsia="zh-CN"/>
                    </w:rPr>
                    <w:t>夜间至1月7日凌晨</w:t>
                  </w:r>
                </w:p>
              </w:tc>
              <w:tc>
                <w:tcPr>
                  <w:tcW w:w="3161" w:type="dxa"/>
                  <w:vAlign w:val="center"/>
                </w:tcPr>
                <w:p w14:paraId="2EC372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000000"/>
                      <w:sz w:val="21"/>
                      <w:szCs w:val="21"/>
                      <w:lang w:val="en-US" w:eastAsia="zh-CN"/>
                    </w:rPr>
                  </w:pPr>
                  <w:r>
                    <w:rPr>
                      <w:rFonts w:hint="eastAsia" w:cs="Times New Roman"/>
                      <w:color w:val="000000"/>
                      <w:sz w:val="20"/>
                      <w:szCs w:val="20"/>
                      <w:highlight w:val="none"/>
                      <w:lang w:val="en-US" w:eastAsia="zh-CN"/>
                    </w:rPr>
                    <w:t>1.2</w:t>
                  </w:r>
                </w:p>
              </w:tc>
              <w:tc>
                <w:tcPr>
                  <w:tcW w:w="3162" w:type="dxa"/>
                  <w:vAlign w:val="center"/>
                </w:tcPr>
                <w:p w14:paraId="32E6BE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hAnsi="宋体"/>
                      <w:szCs w:val="21"/>
                      <w:lang w:val="en-US" w:eastAsia="zh-CN"/>
                    </w:rPr>
                  </w:pPr>
                  <w:r>
                    <w:rPr>
                      <w:rFonts w:hint="eastAsia" w:hAnsi="宋体"/>
                      <w:sz w:val="20"/>
                      <w:szCs w:val="20"/>
                      <w:highlight w:val="none"/>
                      <w:lang w:val="en-US" w:eastAsia="zh-CN"/>
                    </w:rPr>
                    <w:t>晴</w:t>
                  </w:r>
                </w:p>
              </w:tc>
            </w:tr>
          </w:tbl>
          <w:p w14:paraId="40B1AC1C">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（2）监测因子</w:t>
            </w:r>
          </w:p>
          <w:p w14:paraId="5ACFDC72">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噪声（等效连续A声级）</w:t>
            </w:r>
          </w:p>
          <w:p w14:paraId="2009558A">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（3）监测点位</w:t>
            </w:r>
          </w:p>
          <w:p w14:paraId="04E27DC5">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拟建变电站站址</w:t>
            </w:r>
            <w:r>
              <w:rPr>
                <w:rFonts w:hint="eastAsia" w:ascii="Times New Roman" w:hAnsi="Times New Roman" w:cs="Times New Roman"/>
                <w:color w:val="auto"/>
                <w:sz w:val="24"/>
                <w:szCs w:val="24"/>
                <w:lang w:val="en-US" w:eastAsia="zh-CN"/>
              </w:rPr>
              <w:t>及线路工程周围</w:t>
            </w:r>
            <w:r>
              <w:rPr>
                <w:rFonts w:hint="default" w:ascii="Times New Roman" w:hAnsi="Times New Roman" w:cs="Times New Roman"/>
                <w:color w:val="auto"/>
                <w:sz w:val="24"/>
                <w:szCs w:val="24"/>
              </w:rPr>
              <w:t>声环境保护目标建筑物外1米处距地面高度1.2m处监测昼、夜间噪声值，测量昼、夜间噪声值。</w:t>
            </w:r>
          </w:p>
          <w:p w14:paraId="035DB1F0">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（4）监测单位</w:t>
            </w:r>
          </w:p>
          <w:p w14:paraId="1E238FA8">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本次监测单位阜阳三达环境检测有限公司已通过CMA计量认证，具备相应的检测资质和检测能力；检测仪器均在刻度/校准的有效期内。</w:t>
            </w:r>
          </w:p>
          <w:p w14:paraId="373F5CB9">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（5）监测方法</w:t>
            </w:r>
          </w:p>
          <w:p w14:paraId="68CEF359">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《声环境质量标准》（GB3096-2008）</w:t>
            </w:r>
          </w:p>
          <w:p w14:paraId="7E70EB7D">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（6）监测仪器</w:t>
            </w:r>
          </w:p>
          <w:p w14:paraId="198E99E9">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噪声监测仪器见</w:t>
            </w:r>
            <w:r>
              <w:rPr>
                <w:rFonts w:hint="eastAsia" w:ascii="Times New Roman" w:hAnsi="Times New Roman" w:cs="Times New Roman"/>
                <w:color w:val="auto"/>
                <w:sz w:val="24"/>
                <w:szCs w:val="24"/>
                <w:lang w:val="en-US" w:eastAsia="zh-CN"/>
              </w:rPr>
              <w:t>下表</w:t>
            </w:r>
            <w:r>
              <w:rPr>
                <w:rFonts w:hint="default" w:ascii="Times New Roman" w:hAnsi="Times New Roman" w:cs="Times New Roman"/>
                <w:color w:val="auto"/>
                <w:sz w:val="24"/>
                <w:szCs w:val="24"/>
              </w:rPr>
              <w:t>。</w:t>
            </w:r>
          </w:p>
          <w:p w14:paraId="78FC89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 xml:space="preserve">表3-2  </w:t>
            </w:r>
            <w:r>
              <w:rPr>
                <w:b/>
                <w:bCs/>
                <w:spacing w:val="6"/>
                <w:sz w:val="20"/>
                <w:szCs w:val="20"/>
              </w:rPr>
              <w:t>本工程使用噪声监测仪器</w:t>
            </w:r>
            <w:r>
              <w:rPr>
                <w:rFonts w:hint="eastAsia"/>
                <w:b/>
                <w:bCs/>
                <w:spacing w:val="6"/>
                <w:sz w:val="20"/>
                <w:szCs w:val="20"/>
                <w:lang w:val="en-US" w:eastAsia="zh-CN"/>
              </w:rPr>
              <w:t>一览表</w:t>
            </w:r>
          </w:p>
          <w:tbl>
            <w:tblPr>
              <w:tblStyle w:val="38"/>
              <w:tblW w:w="90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1295"/>
              <w:gridCol w:w="1309"/>
              <w:gridCol w:w="1077"/>
              <w:gridCol w:w="696"/>
              <w:gridCol w:w="1827"/>
              <w:gridCol w:w="1801"/>
            </w:tblGrid>
            <w:tr w14:paraId="53848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63" w:type="dxa"/>
                  <w:vAlign w:val="center"/>
                </w:tcPr>
                <w:p w14:paraId="68E30BF3">
                  <w:pPr>
                    <w:spacing w:after="0" w:afterLine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rPr>
                    <w:t>仪器设备名称</w:t>
                  </w:r>
                </w:p>
              </w:tc>
              <w:tc>
                <w:tcPr>
                  <w:tcW w:w="1295" w:type="dxa"/>
                  <w:vAlign w:val="center"/>
                </w:tcPr>
                <w:p w14:paraId="4E5E5206">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型号</w:t>
                  </w:r>
                </w:p>
              </w:tc>
              <w:tc>
                <w:tcPr>
                  <w:tcW w:w="1309" w:type="dxa"/>
                  <w:vAlign w:val="center"/>
                </w:tcPr>
                <w:p w14:paraId="41BC9C55">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生产厂家</w:t>
                  </w:r>
                </w:p>
              </w:tc>
              <w:tc>
                <w:tcPr>
                  <w:tcW w:w="1077" w:type="dxa"/>
                  <w:vAlign w:val="center"/>
                </w:tcPr>
                <w:p w14:paraId="7B103135">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出厂编号</w:t>
                  </w:r>
                </w:p>
              </w:tc>
              <w:tc>
                <w:tcPr>
                  <w:tcW w:w="696" w:type="dxa"/>
                  <w:vAlign w:val="center"/>
                </w:tcPr>
                <w:p w14:paraId="5613D9F0">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受控编号</w:t>
                  </w:r>
                </w:p>
              </w:tc>
              <w:tc>
                <w:tcPr>
                  <w:tcW w:w="1827" w:type="dxa"/>
                  <w:vAlign w:val="center"/>
                </w:tcPr>
                <w:p w14:paraId="09350641">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技术指标</w:t>
                  </w:r>
                </w:p>
              </w:tc>
              <w:tc>
                <w:tcPr>
                  <w:tcW w:w="1801" w:type="dxa"/>
                  <w:vAlign w:val="center"/>
                </w:tcPr>
                <w:p w14:paraId="08AD6B84">
                  <w:pPr>
                    <w:spacing w:after="0" w:afterLines="0"/>
                    <w:jc w:val="center"/>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rPr>
                    <w:t>校准/检定证书编号及有效期</w:t>
                  </w:r>
                </w:p>
              </w:tc>
            </w:tr>
            <w:tr w14:paraId="0AB8E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3" w:type="dxa"/>
                  <w:vAlign w:val="center"/>
                </w:tcPr>
                <w:p w14:paraId="51379317">
                  <w:pPr>
                    <w:spacing w:after="0"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sz w:val="21"/>
                      <w:szCs w:val="21"/>
                    </w:rPr>
                    <w:t>声校准器</w:t>
                  </w:r>
                </w:p>
              </w:tc>
              <w:tc>
                <w:tcPr>
                  <w:tcW w:w="1295" w:type="dxa"/>
                  <w:vAlign w:val="center"/>
                </w:tcPr>
                <w:p w14:paraId="756BC110">
                  <w:pPr>
                    <w:spacing w:after="0" w:afterLine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color w:val="000000"/>
                      <w:sz w:val="21"/>
                      <w:szCs w:val="21"/>
                    </w:rPr>
                    <w:t>AWA6022A</w:t>
                  </w:r>
                </w:p>
              </w:tc>
              <w:tc>
                <w:tcPr>
                  <w:tcW w:w="1309" w:type="dxa"/>
                  <w:vAlign w:val="center"/>
                </w:tcPr>
                <w:p w14:paraId="311678BE">
                  <w:pPr>
                    <w:spacing w:after="0" w:afterLine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rPr>
                    <w:t>杭州爱华仪器有限公司</w:t>
                  </w:r>
                </w:p>
              </w:tc>
              <w:tc>
                <w:tcPr>
                  <w:tcW w:w="1077" w:type="dxa"/>
                  <w:vAlign w:val="center"/>
                </w:tcPr>
                <w:p w14:paraId="5D14878A">
                  <w:pPr>
                    <w:spacing w:after="0" w:afterLine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rPr>
                    <w:t>2011383</w:t>
                  </w:r>
                </w:p>
              </w:tc>
              <w:tc>
                <w:tcPr>
                  <w:tcW w:w="696" w:type="dxa"/>
                  <w:vAlign w:val="center"/>
                </w:tcPr>
                <w:p w14:paraId="701F21EC">
                  <w:pPr>
                    <w:spacing w:afterLines="0"/>
                    <w:jc w:val="center"/>
                    <w:rPr>
                      <w:rFonts w:hint="default" w:ascii="Times New Roman" w:hAnsi="Times New Roman" w:eastAsia="宋体" w:cs="Times New Roman"/>
                      <w:sz w:val="21"/>
                      <w:szCs w:val="21"/>
                      <w:vertAlign w:val="baseline"/>
                      <w:lang w:val="en-US" w:eastAsia="zh-CN"/>
                    </w:rPr>
                  </w:pPr>
                  <w:r>
                    <w:rPr>
                      <w:rStyle w:val="213"/>
                      <w:rFonts w:hint="default" w:ascii="Times New Roman" w:hAnsi="Times New Roman" w:eastAsia="宋体" w:cs="Times New Roman"/>
                      <w:color w:val="000000"/>
                      <w:sz w:val="21"/>
                      <w:szCs w:val="21"/>
                      <w:lang w:val="en-US" w:eastAsia="zh-CN"/>
                    </w:rPr>
                    <w:t>A004</w:t>
                  </w:r>
                </w:p>
              </w:tc>
              <w:tc>
                <w:tcPr>
                  <w:tcW w:w="1827" w:type="dxa"/>
                  <w:vAlign w:val="center"/>
                </w:tcPr>
                <w:p w14:paraId="526F6275">
                  <w:pPr>
                    <w:keepNext w:val="0"/>
                    <w:keepLines w:val="0"/>
                    <w:pageBreakBefore w:val="0"/>
                    <w:widowControl w:val="0"/>
                    <w:kinsoku/>
                    <w:wordWrap/>
                    <w:overflowPunct/>
                    <w:topLinePunct w:val="0"/>
                    <w:autoSpaceDE/>
                    <w:autoSpaceDN/>
                    <w:bidi w:val="0"/>
                    <w:adjustRightInd/>
                    <w:snapToGrid/>
                    <w:spacing w:afterLines="0"/>
                    <w:jc w:val="center"/>
                    <w:textAlignment w:val="auto"/>
                    <w:rPr>
                      <w:rFonts w:hint="default" w:ascii="Times New Roman" w:hAnsi="Times New Roman" w:eastAsia="宋体" w:cs="Times New Roman"/>
                      <w:sz w:val="21"/>
                      <w:szCs w:val="21"/>
                      <w:vertAlign w:val="baseline"/>
                      <w:lang w:val="en-US" w:eastAsia="zh-CN"/>
                    </w:rPr>
                  </w:pPr>
                  <w:r>
                    <w:rPr>
                      <w:rStyle w:val="213"/>
                      <w:rFonts w:hint="default" w:ascii="Times New Roman" w:hAnsi="Times New Roman" w:eastAsia="宋体" w:cs="Times New Roman"/>
                      <w:color w:val="000000"/>
                      <w:sz w:val="21"/>
                      <w:szCs w:val="21"/>
                      <w:lang w:val="en-US" w:eastAsia="zh-CN"/>
                    </w:rPr>
                    <w:t>标准声压级</w:t>
                  </w:r>
                  <w:r>
                    <w:rPr>
                      <w:rStyle w:val="213"/>
                      <w:rFonts w:hint="eastAsia" w:cs="Times New Roman"/>
                      <w:color w:val="000000"/>
                      <w:sz w:val="21"/>
                      <w:szCs w:val="21"/>
                      <w:lang w:val="en-US" w:eastAsia="zh-CN"/>
                    </w:rPr>
                    <w:t>：</w:t>
                  </w:r>
                  <w:r>
                    <w:rPr>
                      <w:rStyle w:val="213"/>
                      <w:rFonts w:hint="default" w:ascii="Times New Roman" w:hAnsi="Times New Roman" w:eastAsia="宋体" w:cs="Times New Roman"/>
                      <w:color w:val="000000"/>
                      <w:sz w:val="21"/>
                      <w:szCs w:val="21"/>
                      <w:lang w:val="en-US" w:eastAsia="zh-CN"/>
                    </w:rPr>
                    <w:t>94dB(A) 频率范围</w:t>
                  </w:r>
                  <w:r>
                    <w:rPr>
                      <w:rStyle w:val="213"/>
                      <w:rFonts w:hint="eastAsia" w:cs="Times New Roman"/>
                      <w:color w:val="000000"/>
                      <w:sz w:val="21"/>
                      <w:szCs w:val="21"/>
                      <w:lang w:val="en-US" w:eastAsia="zh-CN"/>
                    </w:rPr>
                    <w:t>：</w:t>
                  </w:r>
                  <w:r>
                    <w:rPr>
                      <w:rStyle w:val="213"/>
                      <w:rFonts w:hint="default" w:ascii="Times New Roman" w:hAnsi="Times New Roman" w:eastAsia="宋体" w:cs="Times New Roman"/>
                      <w:color w:val="000000"/>
                      <w:sz w:val="21"/>
                      <w:szCs w:val="21"/>
                      <w:lang w:val="en-US" w:eastAsia="zh-CN"/>
                    </w:rPr>
                    <w:t>1000Hz</w:t>
                  </w:r>
                </w:p>
              </w:tc>
              <w:tc>
                <w:tcPr>
                  <w:tcW w:w="1801" w:type="dxa"/>
                  <w:vAlign w:val="center"/>
                </w:tcPr>
                <w:p w14:paraId="6E24C0FB">
                  <w:pPr>
                    <w:pStyle w:val="15"/>
                    <w:spacing w:after="0" w:afterLines="0"/>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XZJS-20251250877有效期至2026年12月11日</w:t>
                  </w:r>
                </w:p>
              </w:tc>
            </w:tr>
            <w:tr w14:paraId="5B16E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3" w:type="dxa"/>
                  <w:vAlign w:val="center"/>
                </w:tcPr>
                <w:p w14:paraId="26322F06">
                  <w:pPr>
                    <w:spacing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highlight w:val="none"/>
                    </w:rPr>
                    <w:t>多功能声级计</w:t>
                  </w:r>
                </w:p>
              </w:tc>
              <w:tc>
                <w:tcPr>
                  <w:tcW w:w="1295" w:type="dxa"/>
                  <w:vAlign w:val="center"/>
                </w:tcPr>
                <w:p w14:paraId="763032AD">
                  <w:pPr>
                    <w:spacing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highlight w:val="none"/>
                    </w:rPr>
                    <w:t>AWA5688</w:t>
                  </w:r>
                </w:p>
              </w:tc>
              <w:tc>
                <w:tcPr>
                  <w:tcW w:w="1309" w:type="dxa"/>
                  <w:vAlign w:val="center"/>
                </w:tcPr>
                <w:p w14:paraId="2659CD82">
                  <w:pPr>
                    <w:spacing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highlight w:val="none"/>
                    </w:rPr>
                    <w:t>杭州爱华仪器有限公司</w:t>
                  </w:r>
                </w:p>
              </w:tc>
              <w:tc>
                <w:tcPr>
                  <w:tcW w:w="1077" w:type="dxa"/>
                  <w:vAlign w:val="center"/>
                </w:tcPr>
                <w:p w14:paraId="0B735A09">
                  <w:pPr>
                    <w:spacing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highlight w:val="none"/>
                    </w:rPr>
                    <w:t>10352588</w:t>
                  </w:r>
                </w:p>
              </w:tc>
              <w:tc>
                <w:tcPr>
                  <w:tcW w:w="696" w:type="dxa"/>
                  <w:vAlign w:val="center"/>
                </w:tcPr>
                <w:p w14:paraId="6A7E9750">
                  <w:pPr>
                    <w:widowControl/>
                    <w:spacing w:afterLines="0"/>
                    <w:jc w:val="center"/>
                    <w:rPr>
                      <w:rFonts w:hint="default" w:ascii="Times New Roman" w:hAnsi="Times New Roman" w:eastAsia="宋体" w:cs="Times New Roman"/>
                      <w:sz w:val="21"/>
                      <w:szCs w:val="21"/>
                      <w:vertAlign w:val="baseline"/>
                    </w:rPr>
                  </w:pPr>
                  <w:r>
                    <w:rPr>
                      <w:rStyle w:val="213"/>
                      <w:rFonts w:hint="default" w:ascii="Times New Roman" w:hAnsi="Times New Roman" w:eastAsia="宋体" w:cs="Times New Roman"/>
                      <w:color w:val="000000"/>
                      <w:sz w:val="21"/>
                      <w:szCs w:val="21"/>
                      <w:highlight w:val="none"/>
                    </w:rPr>
                    <w:t>A0</w:t>
                  </w:r>
                  <w:r>
                    <w:rPr>
                      <w:rStyle w:val="213"/>
                      <w:rFonts w:hint="default" w:ascii="Times New Roman" w:hAnsi="Times New Roman" w:eastAsia="宋体" w:cs="Times New Roman"/>
                      <w:color w:val="000000"/>
                      <w:sz w:val="21"/>
                      <w:szCs w:val="21"/>
                      <w:highlight w:val="none"/>
                      <w:lang w:val="en-US" w:eastAsia="zh-CN"/>
                    </w:rPr>
                    <w:t>19</w:t>
                  </w:r>
                </w:p>
              </w:tc>
              <w:tc>
                <w:tcPr>
                  <w:tcW w:w="1827" w:type="dxa"/>
                  <w:vAlign w:val="center"/>
                </w:tcPr>
                <w:p w14:paraId="51947638">
                  <w:pPr>
                    <w:keepNext w:val="0"/>
                    <w:keepLines w:val="0"/>
                    <w:pageBreakBefore w:val="0"/>
                    <w:widowControl/>
                    <w:kinsoku/>
                    <w:wordWrap/>
                    <w:overflowPunct/>
                    <w:topLinePunct w:val="0"/>
                    <w:autoSpaceDE/>
                    <w:autoSpaceDN/>
                    <w:bidi w:val="0"/>
                    <w:adjustRightInd/>
                    <w:snapToGrid/>
                    <w:spacing w:afterLines="0"/>
                    <w:jc w:val="center"/>
                    <w:textAlignment w:val="auto"/>
                    <w:rPr>
                      <w:rStyle w:val="213"/>
                      <w:rFonts w:hint="default" w:ascii="Times New Roman" w:hAnsi="Times New Roman" w:eastAsia="宋体" w:cs="Times New Roman"/>
                      <w:color w:val="000000"/>
                      <w:sz w:val="21"/>
                      <w:szCs w:val="21"/>
                      <w:highlight w:val="none"/>
                    </w:rPr>
                  </w:pPr>
                  <w:r>
                    <w:rPr>
                      <w:rStyle w:val="213"/>
                      <w:rFonts w:hint="default" w:ascii="Times New Roman" w:hAnsi="Times New Roman" w:eastAsia="宋体" w:cs="Times New Roman"/>
                      <w:color w:val="000000"/>
                      <w:sz w:val="21"/>
                      <w:szCs w:val="21"/>
                      <w:highlight w:val="none"/>
                    </w:rPr>
                    <w:t>测量范围</w:t>
                  </w:r>
                  <w:r>
                    <w:rPr>
                      <w:rStyle w:val="213"/>
                      <w:rFonts w:hint="eastAsia" w:cs="Times New Roman"/>
                      <w:color w:val="000000"/>
                      <w:sz w:val="21"/>
                      <w:szCs w:val="21"/>
                      <w:highlight w:val="none"/>
                      <w:lang w:eastAsia="zh-CN"/>
                    </w:rPr>
                    <w:t>：</w:t>
                  </w:r>
                  <w:r>
                    <w:rPr>
                      <w:rStyle w:val="213"/>
                      <w:rFonts w:hint="default" w:ascii="Times New Roman" w:hAnsi="Times New Roman" w:eastAsia="宋体" w:cs="Times New Roman"/>
                      <w:color w:val="000000"/>
                      <w:sz w:val="21"/>
                      <w:szCs w:val="21"/>
                      <w:highlight w:val="none"/>
                    </w:rPr>
                    <w:t>35dB~130dB(A)</w:t>
                  </w:r>
                </w:p>
                <w:p w14:paraId="0D28D230">
                  <w:pPr>
                    <w:keepNext w:val="0"/>
                    <w:keepLines w:val="0"/>
                    <w:pageBreakBefore w:val="0"/>
                    <w:widowControl/>
                    <w:kinsoku/>
                    <w:wordWrap/>
                    <w:overflowPunct/>
                    <w:topLinePunct w:val="0"/>
                    <w:autoSpaceDE/>
                    <w:autoSpaceDN/>
                    <w:bidi w:val="0"/>
                    <w:adjustRightInd/>
                    <w:snapToGrid/>
                    <w:spacing w:afterLines="0"/>
                    <w:jc w:val="center"/>
                    <w:textAlignment w:val="auto"/>
                    <w:rPr>
                      <w:rStyle w:val="213"/>
                      <w:rFonts w:hint="default" w:ascii="Times New Roman" w:hAnsi="Times New Roman" w:eastAsia="宋体" w:cs="Times New Roman"/>
                      <w:color w:val="000000"/>
                      <w:sz w:val="21"/>
                      <w:szCs w:val="21"/>
                      <w:highlight w:val="none"/>
                    </w:rPr>
                  </w:pPr>
                  <w:r>
                    <w:rPr>
                      <w:rStyle w:val="213"/>
                      <w:rFonts w:hint="default" w:ascii="Times New Roman" w:hAnsi="Times New Roman" w:eastAsia="宋体" w:cs="Times New Roman"/>
                      <w:color w:val="000000"/>
                      <w:sz w:val="21"/>
                      <w:szCs w:val="21"/>
                      <w:highlight w:val="none"/>
                    </w:rPr>
                    <w:t>频率范围</w:t>
                  </w:r>
                  <w:r>
                    <w:rPr>
                      <w:rStyle w:val="213"/>
                      <w:rFonts w:hint="eastAsia" w:cs="Times New Roman"/>
                      <w:color w:val="000000"/>
                      <w:sz w:val="21"/>
                      <w:szCs w:val="21"/>
                      <w:highlight w:val="none"/>
                      <w:lang w:eastAsia="zh-CN"/>
                    </w:rPr>
                    <w:t>：</w:t>
                  </w:r>
                  <w:r>
                    <w:rPr>
                      <w:rStyle w:val="213"/>
                      <w:rFonts w:hint="default" w:ascii="Times New Roman" w:hAnsi="Times New Roman" w:eastAsia="宋体" w:cs="Times New Roman"/>
                      <w:color w:val="000000"/>
                      <w:sz w:val="21"/>
                      <w:szCs w:val="21"/>
                      <w:highlight w:val="none"/>
                    </w:rPr>
                    <w:t>20Hz~12.5kHz</w:t>
                  </w:r>
                </w:p>
                <w:p w14:paraId="1865CA1F">
                  <w:pPr>
                    <w:keepNext w:val="0"/>
                    <w:keepLines w:val="0"/>
                    <w:pageBreakBefore w:val="0"/>
                    <w:widowControl/>
                    <w:kinsoku/>
                    <w:wordWrap/>
                    <w:overflowPunct/>
                    <w:topLinePunct w:val="0"/>
                    <w:autoSpaceDE/>
                    <w:autoSpaceDN/>
                    <w:bidi w:val="0"/>
                    <w:adjustRightInd/>
                    <w:snapToGrid/>
                    <w:spacing w:afterLines="0"/>
                    <w:jc w:val="center"/>
                    <w:textAlignment w:val="auto"/>
                    <w:rPr>
                      <w:rFonts w:hint="default" w:ascii="Times New Roman" w:hAnsi="Times New Roman" w:eastAsia="宋体" w:cs="Times New Roman"/>
                      <w:sz w:val="21"/>
                      <w:szCs w:val="21"/>
                      <w:vertAlign w:val="baseline"/>
                    </w:rPr>
                  </w:pPr>
                  <w:r>
                    <w:rPr>
                      <w:rStyle w:val="213"/>
                      <w:rFonts w:hint="default" w:ascii="Times New Roman" w:hAnsi="Times New Roman" w:eastAsia="宋体" w:cs="Times New Roman"/>
                      <w:color w:val="000000"/>
                      <w:sz w:val="21"/>
                      <w:szCs w:val="21"/>
                      <w:highlight w:val="none"/>
                    </w:rPr>
                    <w:t>测量精确度</w:t>
                  </w:r>
                  <w:r>
                    <w:rPr>
                      <w:rStyle w:val="213"/>
                      <w:rFonts w:hint="eastAsia" w:cs="Times New Roman"/>
                      <w:color w:val="000000"/>
                      <w:sz w:val="21"/>
                      <w:szCs w:val="21"/>
                      <w:highlight w:val="none"/>
                      <w:lang w:eastAsia="zh-CN"/>
                    </w:rPr>
                    <w:t>：</w:t>
                  </w:r>
                  <w:r>
                    <w:rPr>
                      <w:rStyle w:val="213"/>
                      <w:rFonts w:hint="default" w:ascii="Times New Roman" w:hAnsi="Times New Roman" w:eastAsia="宋体" w:cs="Times New Roman"/>
                      <w:color w:val="000000"/>
                      <w:sz w:val="21"/>
                      <w:szCs w:val="21"/>
                      <w:highlight w:val="none"/>
                    </w:rPr>
                    <w:t>≤0.5dB</w:t>
                  </w:r>
                </w:p>
              </w:tc>
              <w:tc>
                <w:tcPr>
                  <w:tcW w:w="1801" w:type="dxa"/>
                  <w:vAlign w:val="center"/>
                </w:tcPr>
                <w:p w14:paraId="0997042B">
                  <w:pPr>
                    <w:pStyle w:val="15"/>
                    <w:spacing w:after="0" w:afterLines="0"/>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sz w:val="21"/>
                      <w:szCs w:val="21"/>
                      <w:vertAlign w:val="baseline"/>
                    </w:rPr>
                    <w:t>XZJS-20250250796有效期至2026年2月25日</w:t>
                  </w:r>
                </w:p>
              </w:tc>
            </w:tr>
          </w:tbl>
          <w:p w14:paraId="5C9F2B82">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（7）监测结果</w:t>
            </w:r>
          </w:p>
          <w:p w14:paraId="5367A0EF">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本工程声环境监测见</w:t>
            </w:r>
            <w:r>
              <w:rPr>
                <w:rFonts w:hint="eastAsia" w:ascii="Times New Roman" w:hAnsi="Times New Roman" w:cs="Times New Roman"/>
                <w:color w:val="auto"/>
                <w:sz w:val="24"/>
                <w:szCs w:val="24"/>
                <w:lang w:val="en-US" w:eastAsia="zh-CN"/>
              </w:rPr>
              <w:t>下表</w:t>
            </w:r>
            <w:r>
              <w:rPr>
                <w:rFonts w:hint="default" w:ascii="Times New Roman" w:hAnsi="Times New Roman" w:cs="Times New Roman"/>
                <w:color w:val="auto"/>
                <w:sz w:val="24"/>
                <w:szCs w:val="24"/>
              </w:rPr>
              <w:t>。</w:t>
            </w:r>
          </w:p>
          <w:p w14:paraId="04674B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表3-3  本工程噪声监测结果一览表    单位：dB(A)</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2928"/>
              <w:gridCol w:w="1854"/>
              <w:gridCol w:w="1854"/>
              <w:gridCol w:w="1858"/>
            </w:tblGrid>
            <w:tr w14:paraId="54D34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3E2A1C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点位编号</w:t>
                  </w:r>
                </w:p>
              </w:tc>
              <w:tc>
                <w:tcPr>
                  <w:tcW w:w="2881" w:type="dxa"/>
                  <w:vMerge w:val="restart"/>
                  <w:vAlign w:val="center"/>
                </w:tcPr>
                <w:p w14:paraId="1D715B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监测点位</w:t>
                  </w:r>
                </w:p>
              </w:tc>
              <w:tc>
                <w:tcPr>
                  <w:tcW w:w="1824" w:type="dxa"/>
                  <w:vMerge w:val="restart"/>
                  <w:vAlign w:val="center"/>
                </w:tcPr>
                <w:p w14:paraId="464EF1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lang w:val="en-US" w:eastAsia="zh-CN"/>
                    </w:rPr>
                  </w:pPr>
                  <w:r>
                    <w:rPr>
                      <w:rFonts w:hint="eastAsia" w:cs="Times New Roman"/>
                      <w:b/>
                      <w:bCs/>
                      <w:sz w:val="21"/>
                      <w:szCs w:val="21"/>
                      <w:vertAlign w:val="baseline"/>
                      <w:lang w:val="en-US" w:eastAsia="zh-CN"/>
                    </w:rPr>
                    <w:t>检测日期</w:t>
                  </w:r>
                </w:p>
              </w:tc>
              <w:tc>
                <w:tcPr>
                  <w:tcW w:w="3652" w:type="dxa"/>
                  <w:gridSpan w:val="2"/>
                  <w:vAlign w:val="center"/>
                </w:tcPr>
                <w:p w14:paraId="10BB02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rPr>
                  </w:pPr>
                  <w:r>
                    <w:rPr>
                      <w:rFonts w:hint="eastAsia" w:cs="Times New Roman"/>
                      <w:b/>
                      <w:bCs/>
                      <w:sz w:val="21"/>
                      <w:szCs w:val="21"/>
                      <w:vertAlign w:val="baseline"/>
                      <w:lang w:val="en-US" w:eastAsia="zh-CN"/>
                    </w:rPr>
                    <w:t>监测结果</w:t>
                  </w:r>
                </w:p>
              </w:tc>
            </w:tr>
            <w:tr w14:paraId="49849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07ECF1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sz w:val="21"/>
                      <w:szCs w:val="21"/>
                      <w:vertAlign w:val="baseline"/>
                    </w:rPr>
                  </w:pPr>
                </w:p>
              </w:tc>
              <w:tc>
                <w:tcPr>
                  <w:tcW w:w="2881" w:type="dxa"/>
                  <w:vMerge w:val="continue"/>
                  <w:vAlign w:val="center"/>
                </w:tcPr>
                <w:p w14:paraId="264735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1"/>
                      <w:szCs w:val="21"/>
                      <w:vertAlign w:val="baseline"/>
                      <w:lang w:val="en-US" w:eastAsia="zh-CN"/>
                    </w:rPr>
                  </w:pPr>
                </w:p>
              </w:tc>
              <w:tc>
                <w:tcPr>
                  <w:tcW w:w="1824" w:type="dxa"/>
                  <w:vMerge w:val="continue"/>
                  <w:vAlign w:val="center"/>
                </w:tcPr>
                <w:p w14:paraId="15F3EA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sz w:val="21"/>
                      <w:szCs w:val="21"/>
                      <w:vertAlign w:val="baseline"/>
                      <w:lang w:val="en-US" w:eastAsia="zh-CN"/>
                    </w:rPr>
                  </w:pPr>
                </w:p>
              </w:tc>
              <w:tc>
                <w:tcPr>
                  <w:tcW w:w="1824" w:type="dxa"/>
                  <w:vAlign w:val="center"/>
                </w:tcPr>
                <w:p w14:paraId="6B61E0B2">
                  <w:pPr>
                    <w:jc w:val="center"/>
                    <w:rPr>
                      <w:rFonts w:hint="eastAsia" w:ascii="Times New Roman" w:hAnsi="Times New Roman" w:eastAsia="宋体" w:cs="Times New Roman"/>
                      <w:b/>
                      <w:bCs/>
                      <w:sz w:val="21"/>
                      <w:szCs w:val="21"/>
                      <w:vertAlign w:val="baseline"/>
                      <w:lang w:val="en-US" w:eastAsia="zh-CN"/>
                    </w:rPr>
                  </w:pPr>
                  <w:r>
                    <w:rPr>
                      <w:b/>
                      <w:bCs/>
                      <w:color w:val="000000"/>
                      <w:sz w:val="21"/>
                      <w:szCs w:val="21"/>
                    </w:rPr>
                    <w:t>昼间</w:t>
                  </w:r>
                  <w:r>
                    <w:rPr>
                      <w:rFonts w:hint="default" w:ascii="Times New Roman" w:hAnsi="Times New Roman" w:cs="Times New Roman"/>
                      <w:b/>
                      <w:bCs/>
                      <w:color w:val="000000"/>
                      <w:sz w:val="21"/>
                      <w:szCs w:val="21"/>
                    </w:rPr>
                    <w:t>Leq</w:t>
                  </w:r>
                  <w:r>
                    <w:rPr>
                      <w:b/>
                      <w:bCs/>
                      <w:color w:val="000000"/>
                      <w:sz w:val="21"/>
                      <w:szCs w:val="21"/>
                    </w:rPr>
                    <w:t>[dB(A)]</w:t>
                  </w:r>
                </w:p>
              </w:tc>
              <w:tc>
                <w:tcPr>
                  <w:tcW w:w="1828" w:type="dxa"/>
                  <w:vAlign w:val="center"/>
                </w:tcPr>
                <w:p w14:paraId="3423B8E8">
                  <w:pPr>
                    <w:jc w:val="center"/>
                    <w:rPr>
                      <w:rFonts w:hint="eastAsia" w:ascii="Times New Roman" w:hAnsi="Times New Roman" w:eastAsia="宋体" w:cs="Times New Roman"/>
                      <w:b/>
                      <w:bCs/>
                      <w:sz w:val="21"/>
                      <w:szCs w:val="21"/>
                      <w:vertAlign w:val="baseline"/>
                      <w:lang w:val="en-US" w:eastAsia="zh-CN"/>
                    </w:rPr>
                  </w:pPr>
                  <w:r>
                    <w:rPr>
                      <w:rFonts w:hint="eastAsia"/>
                      <w:b/>
                      <w:bCs/>
                      <w:color w:val="000000"/>
                      <w:sz w:val="21"/>
                      <w:szCs w:val="21"/>
                      <w:lang w:val="en-US" w:eastAsia="zh-CN"/>
                    </w:rPr>
                    <w:t>夜</w:t>
                  </w:r>
                  <w:r>
                    <w:rPr>
                      <w:b/>
                      <w:bCs/>
                      <w:color w:val="000000"/>
                      <w:sz w:val="21"/>
                      <w:szCs w:val="21"/>
                    </w:rPr>
                    <w:t>间</w:t>
                  </w:r>
                  <w:r>
                    <w:rPr>
                      <w:rFonts w:hint="default" w:ascii="Times New Roman" w:hAnsi="Times New Roman" w:cs="Times New Roman"/>
                      <w:b/>
                      <w:bCs/>
                      <w:color w:val="000000"/>
                      <w:sz w:val="21"/>
                      <w:szCs w:val="21"/>
                    </w:rPr>
                    <w:t>Leq</w:t>
                  </w:r>
                  <w:r>
                    <w:rPr>
                      <w:b/>
                      <w:bCs/>
                      <w:color w:val="000000"/>
                      <w:sz w:val="21"/>
                      <w:szCs w:val="21"/>
                    </w:rPr>
                    <w:t>[dB(A)]</w:t>
                  </w:r>
                </w:p>
              </w:tc>
            </w:tr>
            <w:tr w14:paraId="3DC59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705D37D6">
                  <w:pPr>
                    <w:spacing w:after="0"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kern w:val="2"/>
                      <w:sz w:val="21"/>
                      <w:szCs w:val="21"/>
                      <w:lang w:val="en-US" w:eastAsia="zh-CN"/>
                    </w:rPr>
                    <w:t>N1</w:t>
                  </w:r>
                </w:p>
              </w:tc>
              <w:tc>
                <w:tcPr>
                  <w:tcW w:w="2881" w:type="dxa"/>
                  <w:vMerge w:val="restart"/>
                  <w:vAlign w:val="center"/>
                </w:tcPr>
                <w:p w14:paraId="2476DD8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变电站东侧活动板房</w:t>
                  </w:r>
                </w:p>
              </w:tc>
              <w:tc>
                <w:tcPr>
                  <w:tcW w:w="1824" w:type="dxa"/>
                  <w:vAlign w:val="center"/>
                </w:tcPr>
                <w:p w14:paraId="476BFFA9">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2025.05.26</w:t>
                  </w:r>
                </w:p>
              </w:tc>
              <w:tc>
                <w:tcPr>
                  <w:tcW w:w="1824" w:type="dxa"/>
                  <w:vAlign w:val="center"/>
                </w:tcPr>
                <w:p w14:paraId="6872D289">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46.9</w:t>
                  </w:r>
                </w:p>
              </w:tc>
              <w:tc>
                <w:tcPr>
                  <w:tcW w:w="1828" w:type="dxa"/>
                  <w:vAlign w:val="center"/>
                </w:tcPr>
                <w:p w14:paraId="7BD8E6C9">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40.6</w:t>
                  </w:r>
                </w:p>
              </w:tc>
            </w:tr>
            <w:tr w14:paraId="72517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67BA14A2">
                  <w:pPr>
                    <w:spacing w:after="0"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68761D2D">
                  <w:pPr>
                    <w:spacing w:after="0" w:line="240" w:lineRule="auto"/>
                    <w:jc w:val="center"/>
                    <w:rPr>
                      <w:rFonts w:hint="default" w:ascii="Times New Roman" w:hAnsi="Times New Roman" w:eastAsia="宋体" w:cs="Times New Roman"/>
                      <w:sz w:val="21"/>
                      <w:szCs w:val="21"/>
                      <w:vertAlign w:val="baseline"/>
                    </w:rPr>
                  </w:pPr>
                </w:p>
              </w:tc>
              <w:tc>
                <w:tcPr>
                  <w:tcW w:w="1824" w:type="dxa"/>
                  <w:vAlign w:val="center"/>
                </w:tcPr>
                <w:p w14:paraId="1B39ED1D">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2025.05.27</w:t>
                  </w:r>
                </w:p>
              </w:tc>
              <w:tc>
                <w:tcPr>
                  <w:tcW w:w="1824" w:type="dxa"/>
                  <w:vAlign w:val="center"/>
                </w:tcPr>
                <w:p w14:paraId="70C9C626">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47.0</w:t>
                  </w:r>
                </w:p>
              </w:tc>
              <w:tc>
                <w:tcPr>
                  <w:tcW w:w="1828" w:type="dxa"/>
                  <w:vAlign w:val="center"/>
                </w:tcPr>
                <w:p w14:paraId="095E5DF2">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40.2</w:t>
                  </w:r>
                </w:p>
              </w:tc>
            </w:tr>
            <w:tr w14:paraId="3CF00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4F6F76E3">
                  <w:pPr>
                    <w:spacing w:after="0"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kern w:val="2"/>
                      <w:sz w:val="21"/>
                      <w:szCs w:val="21"/>
                      <w:lang w:val="en-US" w:eastAsia="zh-CN"/>
                    </w:rPr>
                    <w:t>N</w:t>
                  </w:r>
                  <w:r>
                    <w:rPr>
                      <w:rFonts w:hint="eastAsia" w:cs="Times New Roman"/>
                      <w:b w:val="0"/>
                      <w:bCs w:val="0"/>
                      <w:kern w:val="2"/>
                      <w:sz w:val="21"/>
                      <w:szCs w:val="21"/>
                      <w:lang w:val="en-US" w:eastAsia="zh-CN"/>
                    </w:rPr>
                    <w:t>2</w:t>
                  </w:r>
                </w:p>
              </w:tc>
              <w:tc>
                <w:tcPr>
                  <w:tcW w:w="2881" w:type="dxa"/>
                  <w:vMerge w:val="restart"/>
                  <w:vAlign w:val="center"/>
                </w:tcPr>
                <w:p w14:paraId="180CA35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rPr>
                  </w:pPr>
                  <w:r>
                    <w:rPr>
                      <w:rFonts w:hint="eastAsia" w:ascii="Times New Roman" w:hAnsi="Times New Roman" w:cs="Times New Roman"/>
                      <w:color w:val="auto"/>
                      <w:sz w:val="21"/>
                      <w:szCs w:val="21"/>
                      <w:lang w:val="en-US" w:eastAsia="zh-CN"/>
                    </w:rPr>
                    <w:t>古碑-钼矿架空线路沿线南溪镇曹畈</w:t>
                  </w:r>
                  <w:r>
                    <w:rPr>
                      <w:rFonts w:hint="eastAsia" w:cs="Times New Roman"/>
                      <w:color w:val="auto"/>
                      <w:sz w:val="21"/>
                      <w:szCs w:val="21"/>
                      <w:lang w:val="en-US" w:eastAsia="zh-CN"/>
                    </w:rPr>
                    <w:t>村</w:t>
                  </w:r>
                  <w:r>
                    <w:rPr>
                      <w:rFonts w:hint="eastAsia" w:ascii="Times New Roman" w:hAnsi="Times New Roman" w:cs="Times New Roman"/>
                      <w:color w:val="auto"/>
                      <w:sz w:val="21"/>
                      <w:szCs w:val="21"/>
                      <w:lang w:val="en-US" w:eastAsia="zh-CN"/>
                    </w:rPr>
                    <w:t>G1</w:t>
                  </w:r>
                  <w:r>
                    <w:rPr>
                      <w:rFonts w:hint="eastAsia" w:cs="Times New Roman"/>
                      <w:color w:val="auto"/>
                      <w:sz w:val="21"/>
                      <w:szCs w:val="21"/>
                      <w:lang w:val="en-US" w:eastAsia="zh-CN"/>
                    </w:rPr>
                    <w:t>（金寨县南溪镇曹畈村）</w:t>
                  </w:r>
                </w:p>
              </w:tc>
              <w:tc>
                <w:tcPr>
                  <w:tcW w:w="1824" w:type="dxa"/>
                  <w:vAlign w:val="center"/>
                </w:tcPr>
                <w:p w14:paraId="4E958124">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2025.05.26</w:t>
                  </w:r>
                </w:p>
              </w:tc>
              <w:tc>
                <w:tcPr>
                  <w:tcW w:w="1824" w:type="dxa"/>
                  <w:vAlign w:val="center"/>
                </w:tcPr>
                <w:p w14:paraId="1E1DE88D">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41.1</w:t>
                  </w:r>
                </w:p>
              </w:tc>
              <w:tc>
                <w:tcPr>
                  <w:tcW w:w="1828" w:type="dxa"/>
                  <w:vAlign w:val="center"/>
                </w:tcPr>
                <w:p w14:paraId="39D26558">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38.4</w:t>
                  </w:r>
                </w:p>
              </w:tc>
            </w:tr>
            <w:tr w14:paraId="06E72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2417582D">
                  <w:pPr>
                    <w:spacing w:after="0"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23B6D5F5">
                  <w:pPr>
                    <w:spacing w:after="0" w:line="240" w:lineRule="auto"/>
                    <w:jc w:val="center"/>
                    <w:rPr>
                      <w:rFonts w:hint="default" w:ascii="Times New Roman" w:hAnsi="Times New Roman" w:eastAsia="宋体" w:cs="Times New Roman"/>
                      <w:sz w:val="21"/>
                      <w:szCs w:val="21"/>
                      <w:vertAlign w:val="baseline"/>
                    </w:rPr>
                  </w:pPr>
                </w:p>
              </w:tc>
              <w:tc>
                <w:tcPr>
                  <w:tcW w:w="1824" w:type="dxa"/>
                  <w:vAlign w:val="center"/>
                </w:tcPr>
                <w:p w14:paraId="0039A6DE">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2025.05.27</w:t>
                  </w:r>
                </w:p>
              </w:tc>
              <w:tc>
                <w:tcPr>
                  <w:tcW w:w="1824" w:type="dxa"/>
                  <w:vAlign w:val="center"/>
                </w:tcPr>
                <w:p w14:paraId="33178DF2">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43.4</w:t>
                  </w:r>
                </w:p>
              </w:tc>
              <w:tc>
                <w:tcPr>
                  <w:tcW w:w="1828" w:type="dxa"/>
                  <w:vAlign w:val="center"/>
                </w:tcPr>
                <w:p w14:paraId="5E790E85">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38.7</w:t>
                  </w:r>
                </w:p>
              </w:tc>
            </w:tr>
            <w:tr w14:paraId="60064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7DB0DE51">
                  <w:pPr>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kern w:val="2"/>
                      <w:sz w:val="21"/>
                      <w:szCs w:val="21"/>
                      <w:lang w:val="en-US" w:eastAsia="zh-CN"/>
                    </w:rPr>
                    <w:t>N</w:t>
                  </w:r>
                  <w:r>
                    <w:rPr>
                      <w:rFonts w:hint="eastAsia" w:cs="Times New Roman"/>
                      <w:b w:val="0"/>
                      <w:bCs w:val="0"/>
                      <w:kern w:val="2"/>
                      <w:sz w:val="21"/>
                      <w:szCs w:val="21"/>
                      <w:lang w:val="en-US" w:eastAsia="zh-CN"/>
                    </w:rPr>
                    <w:t>3</w:t>
                  </w:r>
                </w:p>
              </w:tc>
              <w:tc>
                <w:tcPr>
                  <w:tcW w:w="2881" w:type="dxa"/>
                  <w:vMerge w:val="restart"/>
                  <w:vAlign w:val="center"/>
                </w:tcPr>
                <w:p w14:paraId="12F434F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sz w:val="21"/>
                      <w:szCs w:val="21"/>
                      <w:vertAlign w:val="baseline"/>
                    </w:rPr>
                  </w:pPr>
                  <w:r>
                    <w:rPr>
                      <w:rFonts w:hint="eastAsia" w:ascii="Times New Roman" w:hAnsi="Times New Roman" w:cs="Times New Roman"/>
                      <w:color w:val="auto"/>
                      <w:sz w:val="21"/>
                      <w:szCs w:val="21"/>
                      <w:lang w:val="en-US" w:eastAsia="zh-CN"/>
                    </w:rPr>
                    <w:t>架空线路沿线南溪镇大竹园G3</w:t>
                  </w:r>
                  <w:r>
                    <w:rPr>
                      <w:rFonts w:hint="eastAsia" w:cs="Times New Roman"/>
                      <w:color w:val="auto"/>
                      <w:sz w:val="21"/>
                      <w:szCs w:val="21"/>
                      <w:lang w:val="en-US" w:eastAsia="zh-CN"/>
                    </w:rPr>
                    <w:t>（金寨县</w:t>
                  </w:r>
                  <w:r>
                    <w:rPr>
                      <w:rFonts w:hint="eastAsia" w:ascii="Times New Roman" w:hAnsi="Times New Roman" w:cs="Times New Roman"/>
                      <w:color w:val="auto"/>
                      <w:sz w:val="21"/>
                      <w:szCs w:val="21"/>
                      <w:lang w:val="en-US" w:eastAsia="zh-CN"/>
                    </w:rPr>
                    <w:t>南溪镇大竹园</w:t>
                  </w:r>
                  <w:r>
                    <w:rPr>
                      <w:rFonts w:hint="eastAsia" w:cs="Times New Roman"/>
                      <w:color w:val="auto"/>
                      <w:sz w:val="21"/>
                      <w:szCs w:val="21"/>
                      <w:lang w:val="en-US" w:eastAsia="zh-CN"/>
                    </w:rPr>
                    <w:t>）</w:t>
                  </w:r>
                </w:p>
              </w:tc>
              <w:tc>
                <w:tcPr>
                  <w:tcW w:w="1824" w:type="dxa"/>
                  <w:vAlign w:val="center"/>
                </w:tcPr>
                <w:p w14:paraId="64FB8FA8">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2025.05.26</w:t>
                  </w:r>
                </w:p>
              </w:tc>
              <w:tc>
                <w:tcPr>
                  <w:tcW w:w="1824" w:type="dxa"/>
                  <w:vAlign w:val="center"/>
                </w:tcPr>
                <w:p w14:paraId="006FD49B">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40.5</w:t>
                  </w:r>
                </w:p>
              </w:tc>
              <w:tc>
                <w:tcPr>
                  <w:tcW w:w="1828" w:type="dxa"/>
                  <w:vAlign w:val="center"/>
                </w:tcPr>
                <w:p w14:paraId="057AD0B4">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38.0</w:t>
                  </w:r>
                </w:p>
              </w:tc>
            </w:tr>
            <w:tr w14:paraId="7099C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6ED9B8AE">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00DECFE9">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5E8A2583">
                  <w:pPr>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2025.05.27</w:t>
                  </w:r>
                </w:p>
              </w:tc>
              <w:tc>
                <w:tcPr>
                  <w:tcW w:w="1824" w:type="dxa"/>
                  <w:vAlign w:val="center"/>
                </w:tcPr>
                <w:p w14:paraId="5B07BCCF">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41.9</w:t>
                  </w:r>
                </w:p>
              </w:tc>
              <w:tc>
                <w:tcPr>
                  <w:tcW w:w="1828" w:type="dxa"/>
                  <w:vAlign w:val="center"/>
                </w:tcPr>
                <w:p w14:paraId="79A8B8A4">
                  <w:pPr>
                    <w:adjustRightInd w:val="0"/>
                    <w:snapToGrid w:val="0"/>
                    <w:spacing w:line="240" w:lineRule="auto"/>
                    <w:jc w:val="center"/>
                    <w:rPr>
                      <w:rFonts w:hint="default" w:ascii="Times New Roman" w:hAnsi="Times New Roman" w:eastAsia="宋体" w:cs="Times New Roman"/>
                      <w:sz w:val="21"/>
                      <w:szCs w:val="21"/>
                      <w:vertAlign w:val="baseline"/>
                    </w:rPr>
                  </w:pPr>
                  <w:r>
                    <w:rPr>
                      <w:rFonts w:hint="eastAsia"/>
                      <w:color w:val="000000"/>
                      <w:sz w:val="21"/>
                      <w:szCs w:val="21"/>
                      <w:lang w:val="en-US" w:eastAsia="zh-CN"/>
                    </w:rPr>
                    <w:t>38.8</w:t>
                  </w:r>
                </w:p>
              </w:tc>
            </w:tr>
            <w:tr w14:paraId="38C64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010C07FD">
                  <w:pPr>
                    <w:spacing w:line="240" w:lineRule="auto"/>
                    <w:jc w:val="center"/>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kern w:val="2"/>
                      <w:sz w:val="21"/>
                      <w:szCs w:val="21"/>
                      <w:lang w:val="en-US" w:eastAsia="zh-CN"/>
                    </w:rPr>
                    <w:t>N</w:t>
                  </w:r>
                  <w:r>
                    <w:rPr>
                      <w:rFonts w:hint="eastAsia" w:cs="Times New Roman"/>
                      <w:b w:val="0"/>
                      <w:bCs w:val="0"/>
                      <w:kern w:val="2"/>
                      <w:sz w:val="21"/>
                      <w:szCs w:val="21"/>
                      <w:lang w:val="en-US" w:eastAsia="zh-CN"/>
                    </w:rPr>
                    <w:t>4</w:t>
                  </w:r>
                </w:p>
              </w:tc>
              <w:tc>
                <w:tcPr>
                  <w:tcW w:w="2881" w:type="dxa"/>
                  <w:vMerge w:val="restart"/>
                  <w:vAlign w:val="center"/>
                </w:tcPr>
                <w:p w14:paraId="0DC0EB34">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r>
                    <w:rPr>
                      <w:rFonts w:hint="eastAsia" w:ascii="Times New Roman" w:hAnsi="Times New Roman" w:cs="Times New Roman"/>
                      <w:color w:val="auto"/>
                      <w:sz w:val="21"/>
                      <w:szCs w:val="21"/>
                      <w:lang w:val="en-US" w:eastAsia="zh-CN"/>
                    </w:rPr>
                    <w:t>双河-钼矿架空线路沿线南溪镇</w:t>
                  </w:r>
                  <w:r>
                    <w:rPr>
                      <w:rFonts w:hint="eastAsia" w:cs="Times New Roman"/>
                      <w:color w:val="auto"/>
                      <w:sz w:val="21"/>
                      <w:szCs w:val="21"/>
                      <w:lang w:val="en-US" w:eastAsia="zh-CN"/>
                    </w:rPr>
                    <w:t>坳口</w:t>
                  </w:r>
                  <w:r>
                    <w:rPr>
                      <w:rFonts w:hint="eastAsia" w:ascii="Times New Roman" w:hAnsi="Times New Roman" w:cs="Times New Roman"/>
                      <w:color w:val="auto"/>
                      <w:sz w:val="21"/>
                      <w:szCs w:val="21"/>
                      <w:lang w:val="en-US" w:eastAsia="zh-CN"/>
                    </w:rPr>
                    <w:t>G2</w:t>
                  </w:r>
                  <w:r>
                    <w:rPr>
                      <w:rFonts w:hint="eastAsia" w:cs="Times New Roman"/>
                      <w:color w:val="auto"/>
                      <w:sz w:val="21"/>
                      <w:szCs w:val="21"/>
                      <w:lang w:val="en-US" w:eastAsia="zh-CN"/>
                    </w:rPr>
                    <w:t>（金寨县南溪镇坳口）</w:t>
                  </w:r>
                </w:p>
              </w:tc>
              <w:tc>
                <w:tcPr>
                  <w:tcW w:w="1824" w:type="dxa"/>
                  <w:vAlign w:val="center"/>
                </w:tcPr>
                <w:p w14:paraId="3DFFE003">
                  <w:pPr>
                    <w:jc w:val="center"/>
                    <w:rPr>
                      <w:rFonts w:hint="eastAsia"/>
                      <w:color w:val="000000"/>
                      <w:sz w:val="21"/>
                      <w:szCs w:val="21"/>
                      <w:lang w:val="en-US" w:eastAsia="zh-CN"/>
                    </w:rPr>
                  </w:pPr>
                  <w:r>
                    <w:rPr>
                      <w:rFonts w:hint="eastAsia"/>
                      <w:color w:val="000000"/>
                      <w:sz w:val="21"/>
                      <w:szCs w:val="21"/>
                      <w:lang w:val="en-US" w:eastAsia="zh-CN"/>
                    </w:rPr>
                    <w:t>2025.05.26-2025.05.27</w:t>
                  </w:r>
                </w:p>
              </w:tc>
              <w:tc>
                <w:tcPr>
                  <w:tcW w:w="1824" w:type="dxa"/>
                  <w:vAlign w:val="center"/>
                </w:tcPr>
                <w:p w14:paraId="0C0E0F9E">
                  <w:pPr>
                    <w:adjustRightInd w:val="0"/>
                    <w:snapToGrid w:val="0"/>
                    <w:spacing w:line="240" w:lineRule="auto"/>
                    <w:jc w:val="center"/>
                    <w:rPr>
                      <w:rFonts w:hint="eastAsia"/>
                      <w:color w:val="000000"/>
                      <w:sz w:val="21"/>
                      <w:szCs w:val="21"/>
                      <w:lang w:val="en-US" w:eastAsia="zh-CN"/>
                    </w:rPr>
                  </w:pPr>
                  <w:r>
                    <w:rPr>
                      <w:rFonts w:hint="eastAsia"/>
                      <w:color w:val="000000"/>
                      <w:sz w:val="21"/>
                      <w:szCs w:val="21"/>
                      <w:lang w:val="en-US" w:eastAsia="zh-CN"/>
                    </w:rPr>
                    <w:t>47.0</w:t>
                  </w:r>
                </w:p>
              </w:tc>
              <w:tc>
                <w:tcPr>
                  <w:tcW w:w="1828" w:type="dxa"/>
                  <w:vAlign w:val="center"/>
                </w:tcPr>
                <w:p w14:paraId="3E2DDDC1">
                  <w:pPr>
                    <w:adjustRightInd w:val="0"/>
                    <w:snapToGrid w:val="0"/>
                    <w:spacing w:line="240" w:lineRule="auto"/>
                    <w:jc w:val="center"/>
                    <w:rPr>
                      <w:rFonts w:hint="eastAsia"/>
                      <w:color w:val="000000"/>
                      <w:sz w:val="21"/>
                      <w:szCs w:val="21"/>
                      <w:lang w:val="en-US" w:eastAsia="zh-CN"/>
                    </w:rPr>
                  </w:pPr>
                  <w:r>
                    <w:rPr>
                      <w:rFonts w:hint="eastAsia"/>
                      <w:color w:val="000000"/>
                      <w:sz w:val="21"/>
                      <w:szCs w:val="21"/>
                      <w:lang w:val="en-US" w:eastAsia="zh-CN"/>
                    </w:rPr>
                    <w:t>41.1</w:t>
                  </w:r>
                </w:p>
              </w:tc>
            </w:tr>
            <w:tr w14:paraId="27649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2A65B9BC">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681DF7ED">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32DC5D1C">
                  <w:pPr>
                    <w:jc w:val="center"/>
                    <w:rPr>
                      <w:rFonts w:hint="eastAsia"/>
                      <w:color w:val="000000"/>
                      <w:sz w:val="21"/>
                      <w:szCs w:val="21"/>
                      <w:lang w:val="en-US" w:eastAsia="zh-CN"/>
                    </w:rPr>
                  </w:pPr>
                  <w:r>
                    <w:rPr>
                      <w:rFonts w:hint="eastAsia"/>
                      <w:color w:val="000000"/>
                      <w:sz w:val="21"/>
                      <w:szCs w:val="21"/>
                      <w:lang w:val="en-US" w:eastAsia="zh-CN"/>
                    </w:rPr>
                    <w:t>2025.05.27-2025.05.28</w:t>
                  </w:r>
                </w:p>
              </w:tc>
              <w:tc>
                <w:tcPr>
                  <w:tcW w:w="1824" w:type="dxa"/>
                  <w:vAlign w:val="center"/>
                </w:tcPr>
                <w:p w14:paraId="5939DDFF">
                  <w:pPr>
                    <w:adjustRightInd w:val="0"/>
                    <w:snapToGrid w:val="0"/>
                    <w:spacing w:line="240" w:lineRule="auto"/>
                    <w:jc w:val="center"/>
                    <w:rPr>
                      <w:rFonts w:hint="eastAsia"/>
                      <w:color w:val="000000"/>
                      <w:sz w:val="21"/>
                      <w:szCs w:val="21"/>
                      <w:lang w:val="en-US" w:eastAsia="zh-CN"/>
                    </w:rPr>
                  </w:pPr>
                  <w:r>
                    <w:rPr>
                      <w:rFonts w:hint="eastAsia"/>
                      <w:color w:val="000000"/>
                      <w:sz w:val="21"/>
                      <w:szCs w:val="21"/>
                      <w:lang w:val="en-US" w:eastAsia="zh-CN"/>
                    </w:rPr>
                    <w:t>45.9</w:t>
                  </w:r>
                </w:p>
              </w:tc>
              <w:tc>
                <w:tcPr>
                  <w:tcW w:w="1828" w:type="dxa"/>
                  <w:vAlign w:val="center"/>
                </w:tcPr>
                <w:p w14:paraId="12BCAB44">
                  <w:pPr>
                    <w:adjustRightInd w:val="0"/>
                    <w:snapToGrid w:val="0"/>
                    <w:spacing w:line="240" w:lineRule="auto"/>
                    <w:jc w:val="center"/>
                    <w:rPr>
                      <w:rFonts w:hint="eastAsia"/>
                      <w:color w:val="000000"/>
                      <w:sz w:val="21"/>
                      <w:szCs w:val="21"/>
                      <w:lang w:val="en-US" w:eastAsia="zh-CN"/>
                    </w:rPr>
                  </w:pPr>
                  <w:r>
                    <w:rPr>
                      <w:rFonts w:hint="eastAsia"/>
                      <w:color w:val="000000"/>
                      <w:sz w:val="21"/>
                      <w:szCs w:val="21"/>
                      <w:lang w:val="en-US" w:eastAsia="zh-CN"/>
                    </w:rPr>
                    <w:t>40.4</w:t>
                  </w:r>
                </w:p>
              </w:tc>
            </w:tr>
            <w:tr w14:paraId="09E63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4BFDFB69">
                  <w:pPr>
                    <w:spacing w:line="240" w:lineRule="auto"/>
                    <w:jc w:val="center"/>
                    <w:rPr>
                      <w:rFonts w:hint="default" w:ascii="Times New Roman" w:hAnsi="Times New Roman" w:eastAsia="宋体" w:cs="Times New Roman"/>
                      <w:sz w:val="21"/>
                      <w:szCs w:val="21"/>
                      <w:vertAlign w:val="baseline"/>
                    </w:rPr>
                  </w:pPr>
                  <w:r>
                    <w:rPr>
                      <w:rFonts w:hint="eastAsia" w:ascii="Times New Roman" w:hAnsi="Times New Roman" w:eastAsia="宋体" w:cs="Times New Roman"/>
                      <w:kern w:val="2"/>
                      <w:sz w:val="21"/>
                      <w:szCs w:val="21"/>
                      <w:lang w:val="en-US" w:eastAsia="zh-CN" w:bidi="ar-SA"/>
                    </w:rPr>
                    <w:t>N5</w:t>
                  </w:r>
                </w:p>
              </w:tc>
              <w:tc>
                <w:tcPr>
                  <w:tcW w:w="2881" w:type="dxa"/>
                  <w:vMerge w:val="restart"/>
                  <w:vAlign w:val="center"/>
                </w:tcPr>
                <w:p w14:paraId="7D4A0834">
                  <w:pPr>
                    <w:snapToGrid w:val="0"/>
                    <w:ind w:firstLine="0" w:firstLineChars="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古碑-钼矿架空线路沿线槐树湾乡笔架塆</w:t>
                  </w:r>
                </w:p>
              </w:tc>
              <w:tc>
                <w:tcPr>
                  <w:tcW w:w="1824" w:type="dxa"/>
                  <w:vAlign w:val="center"/>
                </w:tcPr>
                <w:p w14:paraId="08325CE0">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6104EEFA">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017A5D2C">
                  <w:pPr>
                    <w:jc w:val="center"/>
                    <w:rPr>
                      <w:rFonts w:hint="eastAsia"/>
                      <w:color w:val="000000"/>
                      <w:sz w:val="21"/>
                      <w:szCs w:val="21"/>
                      <w:lang w:val="en-US" w:eastAsia="zh-CN"/>
                    </w:rPr>
                  </w:pPr>
                  <w:r>
                    <w:rPr>
                      <w:rFonts w:hint="eastAsia" w:cs="Times New Roman"/>
                      <w:color w:val="000000"/>
                      <w:sz w:val="21"/>
                      <w:szCs w:val="21"/>
                      <w:lang w:val="en-US" w:eastAsia="zh-CN"/>
                    </w:rPr>
                    <w:t>45.6</w:t>
                  </w:r>
                </w:p>
              </w:tc>
              <w:tc>
                <w:tcPr>
                  <w:tcW w:w="1828" w:type="dxa"/>
                  <w:vAlign w:val="center"/>
                </w:tcPr>
                <w:p w14:paraId="2F0BC4FF">
                  <w:pPr>
                    <w:jc w:val="center"/>
                    <w:rPr>
                      <w:rFonts w:hint="eastAsia"/>
                      <w:color w:val="000000"/>
                      <w:sz w:val="21"/>
                      <w:szCs w:val="21"/>
                      <w:lang w:val="en-US" w:eastAsia="zh-CN"/>
                    </w:rPr>
                  </w:pPr>
                  <w:r>
                    <w:rPr>
                      <w:rFonts w:hint="eastAsia" w:cs="Times New Roman"/>
                      <w:color w:val="000000"/>
                      <w:sz w:val="21"/>
                      <w:szCs w:val="21"/>
                      <w:lang w:val="en-US" w:eastAsia="zh-CN"/>
                    </w:rPr>
                    <w:t>37.6</w:t>
                  </w:r>
                </w:p>
              </w:tc>
            </w:tr>
            <w:tr w14:paraId="00FF7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788F121A">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113801D0">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4FC58406">
                  <w:pPr>
                    <w:jc w:val="center"/>
                    <w:rPr>
                      <w:rFonts w:hint="eastAsia" w:cs="Times New Roman"/>
                      <w:color w:val="000000"/>
                      <w:sz w:val="21"/>
                      <w:szCs w:val="21"/>
                      <w:lang w:val="en-US" w:eastAsia="zh-CN"/>
                    </w:rPr>
                  </w:pPr>
                  <w:r>
                    <w:rPr>
                      <w:rFonts w:hint="eastAsia" w:cs="Times New Roman"/>
                      <w:color w:val="000000"/>
                      <w:sz w:val="21"/>
                      <w:szCs w:val="21"/>
                      <w:lang w:val="en-US" w:eastAsia="zh-CN"/>
                    </w:rPr>
                    <w:t>2026.01.06-</w:t>
                  </w:r>
                </w:p>
                <w:p w14:paraId="4D9633AD">
                  <w:pPr>
                    <w:jc w:val="center"/>
                    <w:rPr>
                      <w:rFonts w:hint="eastAsia"/>
                      <w:color w:val="000000"/>
                      <w:sz w:val="21"/>
                      <w:szCs w:val="21"/>
                      <w:lang w:val="en-US" w:eastAsia="zh-CN"/>
                    </w:rPr>
                  </w:pPr>
                  <w:r>
                    <w:rPr>
                      <w:rFonts w:hint="eastAsia" w:cs="Times New Roman"/>
                      <w:color w:val="000000"/>
                      <w:sz w:val="21"/>
                      <w:szCs w:val="21"/>
                      <w:lang w:val="en-US" w:eastAsia="zh-CN"/>
                    </w:rPr>
                    <w:t>2026.01.07</w:t>
                  </w:r>
                </w:p>
              </w:tc>
              <w:tc>
                <w:tcPr>
                  <w:tcW w:w="1824" w:type="dxa"/>
                  <w:vAlign w:val="center"/>
                </w:tcPr>
                <w:p w14:paraId="5B4FFD4C">
                  <w:pPr>
                    <w:jc w:val="center"/>
                    <w:rPr>
                      <w:rFonts w:hint="eastAsia"/>
                      <w:color w:val="000000"/>
                      <w:sz w:val="21"/>
                      <w:szCs w:val="21"/>
                      <w:lang w:val="en-US" w:eastAsia="zh-CN"/>
                    </w:rPr>
                  </w:pPr>
                  <w:r>
                    <w:rPr>
                      <w:rFonts w:hint="eastAsia" w:cs="Times New Roman"/>
                      <w:color w:val="000000"/>
                      <w:sz w:val="21"/>
                      <w:szCs w:val="21"/>
                      <w:lang w:val="en-US" w:eastAsia="zh-CN"/>
                    </w:rPr>
                    <w:t>44.5</w:t>
                  </w:r>
                </w:p>
              </w:tc>
              <w:tc>
                <w:tcPr>
                  <w:tcW w:w="1828" w:type="dxa"/>
                  <w:vAlign w:val="center"/>
                </w:tcPr>
                <w:p w14:paraId="7F0DDD17">
                  <w:pPr>
                    <w:jc w:val="center"/>
                    <w:rPr>
                      <w:rFonts w:hint="eastAsia"/>
                      <w:color w:val="000000"/>
                      <w:sz w:val="21"/>
                      <w:szCs w:val="21"/>
                      <w:lang w:val="en-US" w:eastAsia="zh-CN"/>
                    </w:rPr>
                  </w:pPr>
                  <w:r>
                    <w:rPr>
                      <w:rFonts w:hint="eastAsia" w:cs="Times New Roman"/>
                      <w:color w:val="000000"/>
                      <w:sz w:val="21"/>
                      <w:szCs w:val="21"/>
                      <w:lang w:val="en-US" w:eastAsia="zh-CN"/>
                    </w:rPr>
                    <w:t>37.3</w:t>
                  </w:r>
                </w:p>
              </w:tc>
            </w:tr>
            <w:tr w14:paraId="596BB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12766B6A">
                  <w:pPr>
                    <w:spacing w:line="240" w:lineRule="auto"/>
                    <w:jc w:val="center"/>
                    <w:rPr>
                      <w:rFonts w:hint="default" w:ascii="Times New Roman" w:hAnsi="Times New Roman" w:eastAsia="宋体" w:cs="Times New Roman"/>
                      <w:sz w:val="21"/>
                      <w:szCs w:val="21"/>
                      <w:vertAlign w:val="baseline"/>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6</w:t>
                  </w:r>
                </w:p>
              </w:tc>
              <w:tc>
                <w:tcPr>
                  <w:tcW w:w="2881" w:type="dxa"/>
                  <w:vMerge w:val="restart"/>
                  <w:vAlign w:val="center"/>
                </w:tcPr>
                <w:p w14:paraId="2D851DC9">
                  <w:pPr>
                    <w:pStyle w:val="218"/>
                    <w:widowControl w:val="0"/>
                    <w:bidi w:val="0"/>
                    <w:ind w:firstLine="0" w:firstLineChars="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古碑-钼矿架空线路沿线南溪镇吕大院</w:t>
                  </w:r>
                </w:p>
              </w:tc>
              <w:tc>
                <w:tcPr>
                  <w:tcW w:w="1824" w:type="dxa"/>
                  <w:vAlign w:val="center"/>
                </w:tcPr>
                <w:p w14:paraId="2F3781F1">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7F93439C">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77227C95">
                  <w:pPr>
                    <w:jc w:val="center"/>
                    <w:rPr>
                      <w:rFonts w:hint="eastAsia"/>
                      <w:color w:val="000000"/>
                      <w:sz w:val="21"/>
                      <w:szCs w:val="21"/>
                      <w:lang w:val="en-US" w:eastAsia="zh-CN"/>
                    </w:rPr>
                  </w:pPr>
                  <w:r>
                    <w:rPr>
                      <w:rFonts w:hint="eastAsia" w:cs="Times New Roman"/>
                      <w:color w:val="000000"/>
                      <w:sz w:val="21"/>
                      <w:szCs w:val="21"/>
                      <w:lang w:val="en-US" w:eastAsia="zh-CN"/>
                    </w:rPr>
                    <w:t>50.9</w:t>
                  </w:r>
                </w:p>
              </w:tc>
              <w:tc>
                <w:tcPr>
                  <w:tcW w:w="1828" w:type="dxa"/>
                  <w:vAlign w:val="center"/>
                </w:tcPr>
                <w:p w14:paraId="3702CF05">
                  <w:pPr>
                    <w:jc w:val="center"/>
                    <w:rPr>
                      <w:rFonts w:hint="eastAsia"/>
                      <w:color w:val="000000"/>
                      <w:sz w:val="21"/>
                      <w:szCs w:val="21"/>
                      <w:lang w:val="en-US" w:eastAsia="zh-CN"/>
                    </w:rPr>
                  </w:pPr>
                  <w:r>
                    <w:rPr>
                      <w:rFonts w:hint="eastAsia" w:cs="Times New Roman"/>
                      <w:color w:val="000000"/>
                      <w:sz w:val="21"/>
                      <w:szCs w:val="21"/>
                      <w:lang w:val="en-US" w:eastAsia="zh-CN"/>
                    </w:rPr>
                    <w:t>38.9</w:t>
                  </w:r>
                </w:p>
              </w:tc>
            </w:tr>
            <w:tr w14:paraId="44BDC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16DC82AB">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1F18C753">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79D81A5E">
                  <w:pPr>
                    <w:jc w:val="center"/>
                    <w:rPr>
                      <w:rFonts w:hint="eastAsia" w:cs="Times New Roman"/>
                      <w:color w:val="000000"/>
                      <w:sz w:val="21"/>
                      <w:szCs w:val="21"/>
                      <w:lang w:val="en-US" w:eastAsia="zh-CN"/>
                    </w:rPr>
                  </w:pPr>
                  <w:r>
                    <w:rPr>
                      <w:rFonts w:hint="eastAsia" w:cs="Times New Roman"/>
                      <w:color w:val="000000"/>
                      <w:sz w:val="21"/>
                      <w:szCs w:val="21"/>
                      <w:lang w:val="en-US" w:eastAsia="zh-CN"/>
                    </w:rPr>
                    <w:t>2026.01.06-</w:t>
                  </w:r>
                </w:p>
                <w:p w14:paraId="660D1A73">
                  <w:pPr>
                    <w:jc w:val="center"/>
                    <w:rPr>
                      <w:rFonts w:hint="eastAsia"/>
                      <w:color w:val="000000"/>
                      <w:sz w:val="21"/>
                      <w:szCs w:val="21"/>
                      <w:lang w:val="en-US" w:eastAsia="zh-CN"/>
                    </w:rPr>
                  </w:pPr>
                  <w:r>
                    <w:rPr>
                      <w:rFonts w:hint="eastAsia" w:cs="Times New Roman"/>
                      <w:color w:val="000000"/>
                      <w:sz w:val="21"/>
                      <w:szCs w:val="21"/>
                      <w:lang w:val="en-US" w:eastAsia="zh-CN"/>
                    </w:rPr>
                    <w:t>2026.01.07</w:t>
                  </w:r>
                </w:p>
              </w:tc>
              <w:tc>
                <w:tcPr>
                  <w:tcW w:w="1824" w:type="dxa"/>
                  <w:vAlign w:val="center"/>
                </w:tcPr>
                <w:p w14:paraId="17DEC28A">
                  <w:pPr>
                    <w:jc w:val="center"/>
                    <w:rPr>
                      <w:rFonts w:hint="eastAsia"/>
                      <w:color w:val="000000"/>
                      <w:sz w:val="21"/>
                      <w:szCs w:val="21"/>
                      <w:lang w:val="en-US" w:eastAsia="zh-CN"/>
                    </w:rPr>
                  </w:pPr>
                  <w:r>
                    <w:rPr>
                      <w:rFonts w:hint="eastAsia" w:cs="Times New Roman"/>
                      <w:color w:val="000000"/>
                      <w:sz w:val="21"/>
                      <w:szCs w:val="21"/>
                      <w:lang w:val="en-US" w:eastAsia="zh-CN"/>
                    </w:rPr>
                    <w:t>50.1</w:t>
                  </w:r>
                </w:p>
              </w:tc>
              <w:tc>
                <w:tcPr>
                  <w:tcW w:w="1828" w:type="dxa"/>
                  <w:vAlign w:val="center"/>
                </w:tcPr>
                <w:p w14:paraId="2FB7C5CF">
                  <w:pPr>
                    <w:jc w:val="center"/>
                    <w:rPr>
                      <w:rFonts w:hint="eastAsia"/>
                      <w:color w:val="000000"/>
                      <w:sz w:val="21"/>
                      <w:szCs w:val="21"/>
                      <w:lang w:val="en-US" w:eastAsia="zh-CN"/>
                    </w:rPr>
                  </w:pPr>
                  <w:r>
                    <w:rPr>
                      <w:rFonts w:hint="eastAsia" w:cs="Times New Roman"/>
                      <w:color w:val="000000"/>
                      <w:sz w:val="21"/>
                      <w:szCs w:val="21"/>
                      <w:lang w:val="en-US" w:eastAsia="zh-CN"/>
                    </w:rPr>
                    <w:t>38.4</w:t>
                  </w:r>
                </w:p>
              </w:tc>
            </w:tr>
            <w:tr w14:paraId="1854C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55A6D05D">
                  <w:pPr>
                    <w:spacing w:line="240" w:lineRule="auto"/>
                    <w:jc w:val="center"/>
                    <w:rPr>
                      <w:rFonts w:hint="default" w:ascii="Times New Roman" w:hAnsi="Times New Roman" w:eastAsia="宋体" w:cs="Times New Roman"/>
                      <w:sz w:val="21"/>
                      <w:szCs w:val="21"/>
                      <w:vertAlign w:val="baseline"/>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7</w:t>
                  </w:r>
                </w:p>
              </w:tc>
              <w:tc>
                <w:tcPr>
                  <w:tcW w:w="2881" w:type="dxa"/>
                  <w:vMerge w:val="restart"/>
                  <w:vAlign w:val="center"/>
                </w:tcPr>
                <w:p w14:paraId="630A7254">
                  <w:pPr>
                    <w:pStyle w:val="218"/>
                    <w:widowControl w:val="0"/>
                    <w:bidi w:val="0"/>
                    <w:ind w:firstLine="0" w:firstLineChars="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古碑-钼矿架空线路沿线南溪镇麦岭</w:t>
                  </w:r>
                </w:p>
              </w:tc>
              <w:tc>
                <w:tcPr>
                  <w:tcW w:w="1824" w:type="dxa"/>
                  <w:vAlign w:val="center"/>
                </w:tcPr>
                <w:p w14:paraId="0C038116">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080F5EBE">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0698AFF8">
                  <w:pPr>
                    <w:jc w:val="center"/>
                    <w:rPr>
                      <w:rFonts w:hint="eastAsia"/>
                      <w:color w:val="000000"/>
                      <w:sz w:val="21"/>
                      <w:szCs w:val="21"/>
                      <w:lang w:val="en-US" w:eastAsia="zh-CN"/>
                    </w:rPr>
                  </w:pPr>
                  <w:r>
                    <w:rPr>
                      <w:rFonts w:hint="eastAsia" w:cs="Times New Roman"/>
                      <w:color w:val="000000"/>
                      <w:sz w:val="21"/>
                      <w:szCs w:val="21"/>
                      <w:lang w:val="en-US" w:eastAsia="zh-CN"/>
                    </w:rPr>
                    <w:t>49.7</w:t>
                  </w:r>
                </w:p>
              </w:tc>
              <w:tc>
                <w:tcPr>
                  <w:tcW w:w="1828" w:type="dxa"/>
                  <w:vAlign w:val="center"/>
                </w:tcPr>
                <w:p w14:paraId="0AFCB9B3">
                  <w:pPr>
                    <w:jc w:val="center"/>
                    <w:rPr>
                      <w:rFonts w:hint="eastAsia"/>
                      <w:color w:val="000000"/>
                      <w:sz w:val="21"/>
                      <w:szCs w:val="21"/>
                      <w:lang w:val="en-US" w:eastAsia="zh-CN"/>
                    </w:rPr>
                  </w:pPr>
                  <w:r>
                    <w:rPr>
                      <w:rFonts w:hint="eastAsia" w:cs="Times New Roman"/>
                      <w:color w:val="000000"/>
                      <w:sz w:val="21"/>
                      <w:szCs w:val="21"/>
                      <w:lang w:val="en-US" w:eastAsia="zh-CN"/>
                    </w:rPr>
                    <w:t>37.9</w:t>
                  </w:r>
                </w:p>
              </w:tc>
            </w:tr>
            <w:tr w14:paraId="21FD7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4D3E91A0">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224AA70E">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2781D39F">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67891856">
                  <w:pPr>
                    <w:jc w:val="center"/>
                    <w:rPr>
                      <w:rFonts w:hint="eastAsia"/>
                      <w:color w:val="000000"/>
                      <w:sz w:val="21"/>
                      <w:szCs w:val="21"/>
                      <w:lang w:val="en-US" w:eastAsia="zh-CN"/>
                    </w:rPr>
                  </w:pPr>
                  <w:r>
                    <w:rPr>
                      <w:rFonts w:hint="eastAsia" w:cs="Times New Roman"/>
                      <w:color w:val="000000"/>
                      <w:sz w:val="21"/>
                      <w:szCs w:val="21"/>
                      <w:lang w:val="en-US" w:eastAsia="zh-CN"/>
                    </w:rPr>
                    <w:t>46.3</w:t>
                  </w:r>
                </w:p>
              </w:tc>
              <w:tc>
                <w:tcPr>
                  <w:tcW w:w="1828" w:type="dxa"/>
                  <w:vAlign w:val="center"/>
                </w:tcPr>
                <w:p w14:paraId="422946E2">
                  <w:pPr>
                    <w:jc w:val="center"/>
                    <w:rPr>
                      <w:rFonts w:hint="eastAsia"/>
                      <w:color w:val="000000"/>
                      <w:sz w:val="21"/>
                      <w:szCs w:val="21"/>
                      <w:lang w:val="en-US" w:eastAsia="zh-CN"/>
                    </w:rPr>
                  </w:pPr>
                  <w:r>
                    <w:rPr>
                      <w:rFonts w:hint="eastAsia" w:cs="Times New Roman"/>
                      <w:color w:val="000000"/>
                      <w:sz w:val="21"/>
                      <w:szCs w:val="21"/>
                      <w:lang w:val="en-US" w:eastAsia="zh-CN"/>
                    </w:rPr>
                    <w:t>38.6</w:t>
                  </w:r>
                </w:p>
              </w:tc>
            </w:tr>
            <w:tr w14:paraId="7F7E0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05C836EC">
                  <w:pPr>
                    <w:spacing w:line="240" w:lineRule="auto"/>
                    <w:jc w:val="center"/>
                    <w:rPr>
                      <w:rFonts w:hint="default" w:ascii="Times New Roman" w:hAnsi="Times New Roman" w:eastAsia="宋体" w:cs="Times New Roman"/>
                      <w:sz w:val="21"/>
                      <w:szCs w:val="21"/>
                      <w:vertAlign w:val="baseline"/>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8</w:t>
                  </w:r>
                </w:p>
              </w:tc>
              <w:tc>
                <w:tcPr>
                  <w:tcW w:w="2881" w:type="dxa"/>
                  <w:vMerge w:val="restart"/>
                  <w:vAlign w:val="center"/>
                </w:tcPr>
                <w:p w14:paraId="58543658">
                  <w:pPr>
                    <w:pStyle w:val="218"/>
                    <w:widowControl w:val="0"/>
                    <w:bidi w:val="0"/>
                    <w:ind w:firstLine="0" w:firstLineChars="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双河-钼矿架空线路沿线双河镇吕大塆</w:t>
                  </w:r>
                </w:p>
              </w:tc>
              <w:tc>
                <w:tcPr>
                  <w:tcW w:w="1824" w:type="dxa"/>
                  <w:vAlign w:val="center"/>
                </w:tcPr>
                <w:p w14:paraId="4FE5DF25">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063D4D24">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48931262">
                  <w:pPr>
                    <w:jc w:val="center"/>
                    <w:rPr>
                      <w:rFonts w:hint="eastAsia"/>
                      <w:color w:val="000000"/>
                      <w:sz w:val="21"/>
                      <w:szCs w:val="21"/>
                      <w:lang w:val="en-US" w:eastAsia="zh-CN"/>
                    </w:rPr>
                  </w:pPr>
                  <w:r>
                    <w:rPr>
                      <w:rFonts w:hint="eastAsia" w:cs="Times New Roman"/>
                      <w:color w:val="000000"/>
                      <w:sz w:val="21"/>
                      <w:szCs w:val="21"/>
                      <w:lang w:val="en-US" w:eastAsia="zh-CN"/>
                    </w:rPr>
                    <w:t>38.3</w:t>
                  </w:r>
                </w:p>
              </w:tc>
              <w:tc>
                <w:tcPr>
                  <w:tcW w:w="1828" w:type="dxa"/>
                  <w:vAlign w:val="center"/>
                </w:tcPr>
                <w:p w14:paraId="3E65D0F5">
                  <w:pPr>
                    <w:jc w:val="center"/>
                    <w:rPr>
                      <w:rFonts w:hint="eastAsia"/>
                      <w:color w:val="000000"/>
                      <w:sz w:val="21"/>
                      <w:szCs w:val="21"/>
                      <w:lang w:val="en-US" w:eastAsia="zh-CN"/>
                    </w:rPr>
                  </w:pPr>
                  <w:r>
                    <w:rPr>
                      <w:rFonts w:hint="eastAsia" w:cs="Times New Roman"/>
                      <w:color w:val="000000"/>
                      <w:sz w:val="21"/>
                      <w:szCs w:val="21"/>
                      <w:lang w:val="en-US" w:eastAsia="zh-CN"/>
                    </w:rPr>
                    <w:t>38.0</w:t>
                  </w:r>
                </w:p>
              </w:tc>
            </w:tr>
            <w:tr w14:paraId="4629D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1F16FBEA">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0D1D4098">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5A0F5E6F">
                  <w:pPr>
                    <w:jc w:val="center"/>
                    <w:rPr>
                      <w:rFonts w:hint="eastAsia" w:cs="Times New Roman"/>
                      <w:color w:val="000000"/>
                      <w:sz w:val="21"/>
                      <w:szCs w:val="21"/>
                      <w:lang w:val="en-US" w:eastAsia="zh-CN"/>
                    </w:rPr>
                  </w:pPr>
                  <w:r>
                    <w:rPr>
                      <w:rFonts w:hint="eastAsia" w:cs="Times New Roman"/>
                      <w:color w:val="000000"/>
                      <w:sz w:val="21"/>
                      <w:szCs w:val="21"/>
                      <w:lang w:val="en-US" w:eastAsia="zh-CN"/>
                    </w:rPr>
                    <w:t>2026.01.06-</w:t>
                  </w:r>
                </w:p>
                <w:p w14:paraId="59C8A3E1">
                  <w:pPr>
                    <w:jc w:val="center"/>
                    <w:rPr>
                      <w:rFonts w:hint="eastAsia"/>
                      <w:color w:val="000000"/>
                      <w:sz w:val="21"/>
                      <w:szCs w:val="21"/>
                      <w:lang w:val="en-US" w:eastAsia="zh-CN"/>
                    </w:rPr>
                  </w:pPr>
                  <w:r>
                    <w:rPr>
                      <w:rFonts w:hint="eastAsia" w:cs="Times New Roman"/>
                      <w:color w:val="000000"/>
                      <w:sz w:val="21"/>
                      <w:szCs w:val="21"/>
                      <w:lang w:val="en-US" w:eastAsia="zh-CN"/>
                    </w:rPr>
                    <w:t>2026.01.07</w:t>
                  </w:r>
                </w:p>
              </w:tc>
              <w:tc>
                <w:tcPr>
                  <w:tcW w:w="1824" w:type="dxa"/>
                  <w:vAlign w:val="center"/>
                </w:tcPr>
                <w:p w14:paraId="4BFF8D4A">
                  <w:pPr>
                    <w:jc w:val="center"/>
                    <w:rPr>
                      <w:rFonts w:hint="eastAsia"/>
                      <w:color w:val="000000"/>
                      <w:sz w:val="21"/>
                      <w:szCs w:val="21"/>
                      <w:lang w:val="en-US" w:eastAsia="zh-CN"/>
                    </w:rPr>
                  </w:pPr>
                  <w:r>
                    <w:rPr>
                      <w:rFonts w:hint="eastAsia" w:cs="Times New Roman"/>
                      <w:color w:val="000000"/>
                      <w:sz w:val="21"/>
                      <w:szCs w:val="21"/>
                      <w:lang w:val="en-US" w:eastAsia="zh-CN"/>
                    </w:rPr>
                    <w:t>39.2</w:t>
                  </w:r>
                </w:p>
              </w:tc>
              <w:tc>
                <w:tcPr>
                  <w:tcW w:w="1828" w:type="dxa"/>
                  <w:vAlign w:val="center"/>
                </w:tcPr>
                <w:p w14:paraId="662DAE30">
                  <w:pPr>
                    <w:jc w:val="center"/>
                    <w:rPr>
                      <w:rFonts w:hint="eastAsia"/>
                      <w:color w:val="000000"/>
                      <w:sz w:val="21"/>
                      <w:szCs w:val="21"/>
                      <w:lang w:val="en-US" w:eastAsia="zh-CN"/>
                    </w:rPr>
                  </w:pPr>
                  <w:r>
                    <w:rPr>
                      <w:rFonts w:hint="eastAsia" w:cs="Times New Roman"/>
                      <w:color w:val="000000"/>
                      <w:sz w:val="21"/>
                      <w:szCs w:val="21"/>
                      <w:lang w:val="en-US" w:eastAsia="zh-CN"/>
                    </w:rPr>
                    <w:t>37.8</w:t>
                  </w:r>
                </w:p>
              </w:tc>
            </w:tr>
            <w:tr w14:paraId="35781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706F604C">
                  <w:pPr>
                    <w:spacing w:line="240" w:lineRule="auto"/>
                    <w:jc w:val="center"/>
                    <w:rPr>
                      <w:rFonts w:hint="default" w:ascii="Times New Roman" w:hAnsi="Times New Roman" w:eastAsia="宋体" w:cs="Times New Roman"/>
                      <w:sz w:val="21"/>
                      <w:szCs w:val="21"/>
                      <w:vertAlign w:val="baseline"/>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9</w:t>
                  </w:r>
                </w:p>
              </w:tc>
              <w:tc>
                <w:tcPr>
                  <w:tcW w:w="2881" w:type="dxa"/>
                  <w:vMerge w:val="restart"/>
                  <w:vAlign w:val="center"/>
                </w:tcPr>
                <w:p w14:paraId="20E0D857">
                  <w:pPr>
                    <w:keepNext w:val="0"/>
                    <w:keepLines w:val="0"/>
                    <w:widowControl/>
                    <w:suppressLineNumbers w:val="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双河-钼矿架空线路沿线南溪镇店房</w:t>
                  </w:r>
                </w:p>
              </w:tc>
              <w:tc>
                <w:tcPr>
                  <w:tcW w:w="1824" w:type="dxa"/>
                  <w:vAlign w:val="center"/>
                </w:tcPr>
                <w:p w14:paraId="62D5620A">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2AC1D906">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17ED00A6">
                  <w:pPr>
                    <w:jc w:val="center"/>
                    <w:rPr>
                      <w:rFonts w:hint="eastAsia"/>
                      <w:color w:val="000000"/>
                      <w:sz w:val="21"/>
                      <w:szCs w:val="21"/>
                      <w:lang w:val="en-US" w:eastAsia="zh-CN"/>
                    </w:rPr>
                  </w:pPr>
                  <w:r>
                    <w:rPr>
                      <w:rFonts w:hint="eastAsia" w:cs="Times New Roman"/>
                      <w:color w:val="000000"/>
                      <w:sz w:val="21"/>
                      <w:szCs w:val="21"/>
                      <w:lang w:val="en-US" w:eastAsia="zh-CN"/>
                    </w:rPr>
                    <w:t>40.3</w:t>
                  </w:r>
                </w:p>
              </w:tc>
              <w:tc>
                <w:tcPr>
                  <w:tcW w:w="1828" w:type="dxa"/>
                  <w:vAlign w:val="center"/>
                </w:tcPr>
                <w:p w14:paraId="35BB90AB">
                  <w:pPr>
                    <w:jc w:val="center"/>
                    <w:rPr>
                      <w:rFonts w:hint="eastAsia"/>
                      <w:color w:val="000000"/>
                      <w:sz w:val="21"/>
                      <w:szCs w:val="21"/>
                      <w:lang w:val="en-US" w:eastAsia="zh-CN"/>
                    </w:rPr>
                  </w:pPr>
                  <w:r>
                    <w:rPr>
                      <w:rFonts w:hint="eastAsia" w:cs="Times New Roman"/>
                      <w:color w:val="000000"/>
                      <w:sz w:val="21"/>
                      <w:szCs w:val="21"/>
                      <w:lang w:val="en-US" w:eastAsia="zh-CN"/>
                    </w:rPr>
                    <w:t>36.6</w:t>
                  </w:r>
                </w:p>
              </w:tc>
            </w:tr>
            <w:tr w14:paraId="62155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13CCA720">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20B5A2A1">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31A759A4">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79526778">
                  <w:pPr>
                    <w:jc w:val="center"/>
                    <w:rPr>
                      <w:rFonts w:hint="eastAsia"/>
                      <w:color w:val="000000"/>
                      <w:sz w:val="21"/>
                      <w:szCs w:val="21"/>
                      <w:lang w:val="en-US" w:eastAsia="zh-CN"/>
                    </w:rPr>
                  </w:pPr>
                  <w:r>
                    <w:rPr>
                      <w:rFonts w:hint="eastAsia" w:cs="Times New Roman"/>
                      <w:color w:val="000000"/>
                      <w:sz w:val="21"/>
                      <w:szCs w:val="21"/>
                      <w:lang w:val="en-US" w:eastAsia="zh-CN"/>
                    </w:rPr>
                    <w:t>46.3</w:t>
                  </w:r>
                </w:p>
              </w:tc>
              <w:tc>
                <w:tcPr>
                  <w:tcW w:w="1828" w:type="dxa"/>
                  <w:vAlign w:val="center"/>
                </w:tcPr>
                <w:p w14:paraId="28B8ECDF">
                  <w:pPr>
                    <w:jc w:val="center"/>
                    <w:rPr>
                      <w:rFonts w:hint="eastAsia"/>
                      <w:color w:val="000000"/>
                      <w:sz w:val="21"/>
                      <w:szCs w:val="21"/>
                      <w:lang w:val="en-US" w:eastAsia="zh-CN"/>
                    </w:rPr>
                  </w:pPr>
                  <w:r>
                    <w:rPr>
                      <w:rFonts w:hint="eastAsia" w:cs="Times New Roman"/>
                      <w:color w:val="000000"/>
                      <w:sz w:val="21"/>
                      <w:szCs w:val="21"/>
                      <w:lang w:val="en-US" w:eastAsia="zh-CN"/>
                    </w:rPr>
                    <w:t>37.5</w:t>
                  </w:r>
                </w:p>
              </w:tc>
            </w:tr>
            <w:tr w14:paraId="1B4A0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restart"/>
                  <w:vAlign w:val="center"/>
                </w:tcPr>
                <w:p w14:paraId="6B74E398">
                  <w:pPr>
                    <w:spacing w:line="240" w:lineRule="auto"/>
                    <w:jc w:val="center"/>
                    <w:rPr>
                      <w:rFonts w:hint="default" w:ascii="Times New Roman" w:hAnsi="Times New Roman" w:eastAsia="宋体" w:cs="Times New Roman"/>
                      <w:sz w:val="21"/>
                      <w:szCs w:val="21"/>
                      <w:vertAlign w:val="baseline"/>
                      <w:lang w:val="en-US"/>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10</w:t>
                  </w:r>
                </w:p>
              </w:tc>
              <w:tc>
                <w:tcPr>
                  <w:tcW w:w="2881" w:type="dxa"/>
                  <w:vMerge w:val="restart"/>
                  <w:vAlign w:val="center"/>
                </w:tcPr>
                <w:p w14:paraId="627F9EB4">
                  <w:pPr>
                    <w:pStyle w:val="218"/>
                    <w:widowControl w:val="0"/>
                    <w:bidi w:val="0"/>
                    <w:ind w:firstLine="0" w:firstLineChars="0"/>
                    <w:jc w:val="center"/>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双河-钼矿架空线路沿线南溪镇新家塆</w:t>
                  </w:r>
                </w:p>
              </w:tc>
              <w:tc>
                <w:tcPr>
                  <w:tcW w:w="1824" w:type="dxa"/>
                  <w:vAlign w:val="center"/>
                </w:tcPr>
                <w:p w14:paraId="5363F180">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787C3728">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23BD4429">
                  <w:pPr>
                    <w:jc w:val="center"/>
                    <w:rPr>
                      <w:rFonts w:hint="eastAsia"/>
                      <w:color w:val="000000"/>
                      <w:sz w:val="21"/>
                      <w:szCs w:val="21"/>
                      <w:lang w:val="en-US" w:eastAsia="zh-CN"/>
                    </w:rPr>
                  </w:pPr>
                  <w:r>
                    <w:rPr>
                      <w:rFonts w:hint="eastAsia" w:cs="Times New Roman"/>
                      <w:color w:val="000000"/>
                      <w:sz w:val="21"/>
                      <w:szCs w:val="21"/>
                      <w:lang w:val="en-US" w:eastAsia="zh-CN"/>
                    </w:rPr>
                    <w:t>40.8</w:t>
                  </w:r>
                </w:p>
              </w:tc>
              <w:tc>
                <w:tcPr>
                  <w:tcW w:w="1828" w:type="dxa"/>
                  <w:vAlign w:val="center"/>
                </w:tcPr>
                <w:p w14:paraId="3E608999">
                  <w:pPr>
                    <w:jc w:val="center"/>
                    <w:rPr>
                      <w:rFonts w:hint="eastAsia"/>
                      <w:color w:val="000000"/>
                      <w:sz w:val="21"/>
                      <w:szCs w:val="21"/>
                      <w:lang w:val="en-US" w:eastAsia="zh-CN"/>
                    </w:rPr>
                  </w:pPr>
                  <w:r>
                    <w:rPr>
                      <w:rFonts w:hint="eastAsia" w:cs="Times New Roman"/>
                      <w:color w:val="000000"/>
                      <w:sz w:val="21"/>
                      <w:szCs w:val="21"/>
                      <w:lang w:val="en-US" w:eastAsia="zh-CN"/>
                    </w:rPr>
                    <w:t>37.5</w:t>
                  </w:r>
                </w:p>
              </w:tc>
            </w:tr>
            <w:tr w14:paraId="78E1C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0179F27C">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0A3B7A32">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631A09DC">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5AA83B2E">
                  <w:pPr>
                    <w:jc w:val="center"/>
                    <w:rPr>
                      <w:rFonts w:hint="eastAsia"/>
                      <w:color w:val="000000"/>
                      <w:sz w:val="21"/>
                      <w:szCs w:val="21"/>
                      <w:lang w:val="en-US" w:eastAsia="zh-CN"/>
                    </w:rPr>
                  </w:pPr>
                  <w:r>
                    <w:rPr>
                      <w:rFonts w:hint="eastAsia" w:cs="Times New Roman"/>
                      <w:color w:val="000000"/>
                      <w:sz w:val="21"/>
                      <w:szCs w:val="21"/>
                      <w:lang w:val="en-US" w:eastAsia="zh-CN"/>
                    </w:rPr>
                    <w:t>43.6</w:t>
                  </w:r>
                </w:p>
              </w:tc>
              <w:tc>
                <w:tcPr>
                  <w:tcW w:w="1828" w:type="dxa"/>
                  <w:vAlign w:val="center"/>
                </w:tcPr>
                <w:p w14:paraId="75A7D3FE">
                  <w:pPr>
                    <w:jc w:val="center"/>
                    <w:rPr>
                      <w:rFonts w:hint="eastAsia"/>
                      <w:color w:val="000000"/>
                      <w:sz w:val="21"/>
                      <w:szCs w:val="21"/>
                      <w:lang w:val="en-US" w:eastAsia="zh-CN"/>
                    </w:rPr>
                  </w:pPr>
                  <w:r>
                    <w:rPr>
                      <w:rFonts w:hint="eastAsia" w:cs="Times New Roman"/>
                      <w:color w:val="000000"/>
                      <w:sz w:val="21"/>
                      <w:szCs w:val="21"/>
                      <w:lang w:val="en-US" w:eastAsia="zh-CN"/>
                    </w:rPr>
                    <w:t>38.4</w:t>
                  </w:r>
                </w:p>
              </w:tc>
            </w:tr>
            <w:tr w14:paraId="5DD1F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65" w:type="dxa"/>
                  <w:vMerge w:val="restart"/>
                  <w:vAlign w:val="center"/>
                </w:tcPr>
                <w:p w14:paraId="42640587">
                  <w:pPr>
                    <w:spacing w:line="240" w:lineRule="auto"/>
                    <w:jc w:val="center"/>
                    <w:rPr>
                      <w:rFonts w:hint="default" w:ascii="Times New Roman" w:hAnsi="Times New Roman" w:eastAsia="宋体" w:cs="Times New Roman"/>
                      <w:sz w:val="21"/>
                      <w:szCs w:val="21"/>
                      <w:vertAlign w:val="baseline"/>
                      <w:lang w:val="en-US"/>
                    </w:rPr>
                  </w:pPr>
                  <w:r>
                    <w:rPr>
                      <w:rFonts w:hint="eastAsia" w:ascii="Times New Roman" w:hAnsi="Times New Roman" w:eastAsia="宋体" w:cs="Times New Roman"/>
                      <w:kern w:val="2"/>
                      <w:sz w:val="21"/>
                      <w:szCs w:val="21"/>
                      <w:lang w:val="en-US" w:eastAsia="zh-CN" w:bidi="ar-SA"/>
                    </w:rPr>
                    <w:t>N</w:t>
                  </w:r>
                  <w:r>
                    <w:rPr>
                      <w:rFonts w:hint="eastAsia" w:ascii="Times New Roman" w:hAnsi="Times New Roman" w:cs="Times New Roman"/>
                      <w:kern w:val="2"/>
                      <w:sz w:val="21"/>
                      <w:szCs w:val="21"/>
                      <w:lang w:val="en-US" w:eastAsia="zh-CN" w:bidi="ar-SA"/>
                    </w:rPr>
                    <w:t>11</w:t>
                  </w:r>
                </w:p>
              </w:tc>
              <w:tc>
                <w:tcPr>
                  <w:tcW w:w="2881" w:type="dxa"/>
                  <w:vMerge w:val="restart"/>
                  <w:vAlign w:val="center"/>
                </w:tcPr>
                <w:p w14:paraId="619819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vertAlign w:val="baseline"/>
                    </w:rPr>
                  </w:pPr>
                  <w:r>
                    <w:rPr>
                      <w:rFonts w:ascii="Helvetica" w:hAnsi="Helvetica" w:eastAsia="Helvetica" w:cs="Helvetica"/>
                      <w:i w:val="0"/>
                      <w:iCs w:val="0"/>
                      <w:caps w:val="0"/>
                      <w:color w:val="333333"/>
                      <w:spacing w:val="0"/>
                      <w:kern w:val="0"/>
                      <w:sz w:val="21"/>
                      <w:szCs w:val="21"/>
                      <w:shd w:val="clear" w:fill="FFFFFF"/>
                    </w:rPr>
                    <w:t>金寨县关庙乡詹家塆</w:t>
                  </w:r>
                </w:p>
              </w:tc>
              <w:tc>
                <w:tcPr>
                  <w:tcW w:w="1824" w:type="dxa"/>
                  <w:vAlign w:val="center"/>
                </w:tcPr>
                <w:p w14:paraId="71694123">
                  <w:pPr>
                    <w:jc w:val="center"/>
                    <w:rPr>
                      <w:rFonts w:hint="eastAsia"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202</w:t>
                  </w:r>
                  <w:r>
                    <w:rPr>
                      <w:rFonts w:hint="eastAsia" w:cs="Times New Roman"/>
                      <w:color w:val="000000"/>
                      <w:sz w:val="21"/>
                      <w:szCs w:val="21"/>
                      <w:lang w:val="en-US" w:eastAsia="zh-CN"/>
                    </w:rPr>
                    <w:t>6.01.05-</w:t>
                  </w:r>
                </w:p>
                <w:p w14:paraId="3F1173C2">
                  <w:pPr>
                    <w:jc w:val="center"/>
                    <w:rPr>
                      <w:rFonts w:hint="eastAsia"/>
                      <w:color w:val="000000"/>
                      <w:sz w:val="21"/>
                      <w:szCs w:val="21"/>
                      <w:lang w:val="en-US" w:eastAsia="zh-CN"/>
                    </w:rPr>
                  </w:pPr>
                  <w:r>
                    <w:rPr>
                      <w:rFonts w:hint="eastAsia" w:cs="Times New Roman"/>
                      <w:color w:val="000000"/>
                      <w:sz w:val="21"/>
                      <w:szCs w:val="21"/>
                      <w:lang w:val="en-US" w:eastAsia="zh-CN"/>
                    </w:rPr>
                    <w:t>2026.01.06</w:t>
                  </w:r>
                </w:p>
              </w:tc>
              <w:tc>
                <w:tcPr>
                  <w:tcW w:w="1824" w:type="dxa"/>
                  <w:vAlign w:val="center"/>
                </w:tcPr>
                <w:p w14:paraId="07A1877D">
                  <w:pPr>
                    <w:jc w:val="center"/>
                    <w:rPr>
                      <w:rFonts w:hint="eastAsia"/>
                      <w:color w:val="000000"/>
                      <w:sz w:val="21"/>
                      <w:szCs w:val="21"/>
                      <w:lang w:val="en-US" w:eastAsia="zh-CN"/>
                    </w:rPr>
                  </w:pPr>
                  <w:r>
                    <w:rPr>
                      <w:rFonts w:hint="eastAsia" w:cs="Times New Roman"/>
                      <w:color w:val="000000"/>
                      <w:sz w:val="21"/>
                      <w:szCs w:val="21"/>
                      <w:lang w:val="en-US" w:eastAsia="zh-CN"/>
                    </w:rPr>
                    <w:t>42.8</w:t>
                  </w:r>
                </w:p>
              </w:tc>
              <w:tc>
                <w:tcPr>
                  <w:tcW w:w="1828" w:type="dxa"/>
                  <w:vAlign w:val="center"/>
                </w:tcPr>
                <w:p w14:paraId="440B2D74">
                  <w:pPr>
                    <w:jc w:val="center"/>
                    <w:rPr>
                      <w:rFonts w:hint="eastAsia"/>
                      <w:color w:val="000000"/>
                      <w:sz w:val="21"/>
                      <w:szCs w:val="21"/>
                      <w:lang w:val="en-US" w:eastAsia="zh-CN"/>
                    </w:rPr>
                  </w:pPr>
                  <w:r>
                    <w:rPr>
                      <w:rFonts w:hint="eastAsia" w:cs="Times New Roman"/>
                      <w:color w:val="000000"/>
                      <w:sz w:val="21"/>
                      <w:szCs w:val="21"/>
                      <w:lang w:val="en-US" w:eastAsia="zh-CN"/>
                    </w:rPr>
                    <w:t>39.9</w:t>
                  </w:r>
                </w:p>
              </w:tc>
            </w:tr>
            <w:tr w14:paraId="47BD0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5" w:type="dxa"/>
                  <w:vMerge w:val="continue"/>
                  <w:vAlign w:val="center"/>
                </w:tcPr>
                <w:p w14:paraId="63FCE6ED">
                  <w:pPr>
                    <w:spacing w:line="240" w:lineRule="auto"/>
                    <w:jc w:val="center"/>
                    <w:rPr>
                      <w:rFonts w:hint="default" w:ascii="Times New Roman" w:hAnsi="Times New Roman" w:eastAsia="宋体" w:cs="Times New Roman"/>
                      <w:sz w:val="21"/>
                      <w:szCs w:val="21"/>
                      <w:vertAlign w:val="baseline"/>
                    </w:rPr>
                  </w:pPr>
                </w:p>
              </w:tc>
              <w:tc>
                <w:tcPr>
                  <w:tcW w:w="2881" w:type="dxa"/>
                  <w:vMerge w:val="continue"/>
                  <w:vAlign w:val="center"/>
                </w:tcPr>
                <w:p w14:paraId="1F441288">
                  <w:pPr>
                    <w:pStyle w:val="218"/>
                    <w:widowControl w:val="0"/>
                    <w:bidi w:val="0"/>
                    <w:spacing w:line="240" w:lineRule="auto"/>
                    <w:ind w:firstLine="0" w:firstLineChars="0"/>
                    <w:jc w:val="center"/>
                    <w:rPr>
                      <w:rFonts w:hint="default" w:ascii="Times New Roman" w:hAnsi="Times New Roman" w:eastAsia="宋体" w:cs="Times New Roman"/>
                      <w:sz w:val="21"/>
                      <w:szCs w:val="21"/>
                      <w:vertAlign w:val="baseline"/>
                    </w:rPr>
                  </w:pPr>
                </w:p>
              </w:tc>
              <w:tc>
                <w:tcPr>
                  <w:tcW w:w="1824" w:type="dxa"/>
                  <w:vAlign w:val="center"/>
                </w:tcPr>
                <w:p w14:paraId="2ACDAF2D">
                  <w:pPr>
                    <w:jc w:val="center"/>
                    <w:rPr>
                      <w:rFonts w:hint="eastAsia" w:cs="Times New Roman"/>
                      <w:color w:val="000000"/>
                      <w:sz w:val="21"/>
                      <w:szCs w:val="21"/>
                      <w:lang w:val="en-US" w:eastAsia="zh-CN"/>
                    </w:rPr>
                  </w:pPr>
                  <w:r>
                    <w:rPr>
                      <w:rFonts w:hint="eastAsia" w:cs="Times New Roman"/>
                      <w:color w:val="000000"/>
                      <w:sz w:val="21"/>
                      <w:szCs w:val="21"/>
                      <w:lang w:val="en-US" w:eastAsia="zh-CN"/>
                    </w:rPr>
                    <w:t>2026.01.06-</w:t>
                  </w:r>
                </w:p>
                <w:p w14:paraId="6211197E">
                  <w:pPr>
                    <w:jc w:val="center"/>
                    <w:rPr>
                      <w:rFonts w:hint="eastAsia"/>
                      <w:color w:val="000000"/>
                      <w:sz w:val="21"/>
                      <w:szCs w:val="21"/>
                      <w:lang w:val="en-US" w:eastAsia="zh-CN"/>
                    </w:rPr>
                  </w:pPr>
                  <w:r>
                    <w:rPr>
                      <w:rFonts w:hint="eastAsia" w:cs="Times New Roman"/>
                      <w:color w:val="000000"/>
                      <w:sz w:val="21"/>
                      <w:szCs w:val="21"/>
                      <w:lang w:val="en-US" w:eastAsia="zh-CN"/>
                    </w:rPr>
                    <w:t>2026.01.07</w:t>
                  </w:r>
                </w:p>
              </w:tc>
              <w:tc>
                <w:tcPr>
                  <w:tcW w:w="1824" w:type="dxa"/>
                  <w:vAlign w:val="center"/>
                </w:tcPr>
                <w:p w14:paraId="369A1594">
                  <w:pPr>
                    <w:jc w:val="center"/>
                    <w:rPr>
                      <w:rFonts w:hint="eastAsia"/>
                      <w:color w:val="000000"/>
                      <w:sz w:val="21"/>
                      <w:szCs w:val="21"/>
                      <w:lang w:val="en-US" w:eastAsia="zh-CN"/>
                    </w:rPr>
                  </w:pPr>
                  <w:r>
                    <w:rPr>
                      <w:rFonts w:hint="eastAsia" w:cs="Times New Roman"/>
                      <w:color w:val="000000"/>
                      <w:sz w:val="21"/>
                      <w:szCs w:val="21"/>
                      <w:lang w:val="en-US" w:eastAsia="zh-CN"/>
                    </w:rPr>
                    <w:t>42.1</w:t>
                  </w:r>
                </w:p>
              </w:tc>
              <w:tc>
                <w:tcPr>
                  <w:tcW w:w="1828" w:type="dxa"/>
                  <w:vAlign w:val="center"/>
                </w:tcPr>
                <w:p w14:paraId="2488945E">
                  <w:pPr>
                    <w:jc w:val="center"/>
                    <w:rPr>
                      <w:rFonts w:hint="eastAsia"/>
                      <w:color w:val="000000"/>
                      <w:sz w:val="21"/>
                      <w:szCs w:val="21"/>
                      <w:lang w:val="en-US" w:eastAsia="zh-CN"/>
                    </w:rPr>
                  </w:pPr>
                  <w:r>
                    <w:rPr>
                      <w:rFonts w:hint="eastAsia" w:cs="Times New Roman"/>
                      <w:color w:val="000000"/>
                      <w:sz w:val="21"/>
                      <w:szCs w:val="21"/>
                      <w:lang w:val="en-US" w:eastAsia="zh-CN"/>
                    </w:rPr>
                    <w:t>38.0</w:t>
                  </w:r>
                </w:p>
              </w:tc>
            </w:tr>
          </w:tbl>
          <w:p w14:paraId="6EDF92E1">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根据监测结果分析：</w:t>
            </w:r>
          </w:p>
          <w:p w14:paraId="069ABFD6">
            <w:pPr>
              <w:pStyle w:val="21"/>
              <w:keepNext w:val="0"/>
              <w:keepLines w:val="0"/>
              <w:pageBreakBefore w:val="0"/>
              <w:widowControl w:val="0"/>
              <w:kinsoku/>
              <w:wordWrap/>
              <w:overflowPunct/>
              <w:topLinePunct w:val="0"/>
              <w:autoSpaceDE/>
              <w:autoSpaceDN/>
              <w:bidi w:val="0"/>
              <w:adjustRightInd/>
              <w:snapToGrid w:val="0"/>
              <w:spacing w:before="0" w:line="360" w:lineRule="auto"/>
              <w:ind w:left="0" w:leftChars="0" w:firstLine="496"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拟建变电站及</w:t>
            </w:r>
            <w:r>
              <w:rPr>
                <w:rFonts w:hint="eastAsia" w:ascii="Times New Roman" w:hAnsi="Times New Roman" w:cs="Times New Roman"/>
                <w:color w:val="auto"/>
                <w:sz w:val="24"/>
                <w:szCs w:val="24"/>
                <w:lang w:val="en-US" w:eastAsia="zh-CN"/>
              </w:rPr>
              <w:t>架空</w:t>
            </w:r>
            <w:r>
              <w:rPr>
                <w:rFonts w:hint="default" w:ascii="Times New Roman" w:hAnsi="Times New Roman" w:cs="Times New Roman"/>
                <w:color w:val="auto"/>
                <w:sz w:val="24"/>
                <w:szCs w:val="24"/>
              </w:rPr>
              <w:t>线路沿线声环境保护目标测点处的昼间噪声监测值在</w:t>
            </w:r>
            <w:r>
              <w:rPr>
                <w:rFonts w:hint="eastAsia" w:ascii="Times New Roman" w:hAnsi="Times New Roman" w:cs="Times New Roman"/>
                <w:color w:val="auto"/>
                <w:sz w:val="24"/>
                <w:szCs w:val="24"/>
                <w:lang w:val="en-US" w:eastAsia="zh-CN"/>
              </w:rPr>
              <w:t>38.3</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val="en-US" w:eastAsia="zh-CN"/>
              </w:rPr>
              <w:t>50.9</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之间，夜间噪声监测值在</w:t>
            </w:r>
            <w:r>
              <w:rPr>
                <w:rFonts w:hint="eastAsia" w:ascii="Times New Roman" w:hAnsi="Times New Roman" w:cs="Times New Roman"/>
                <w:color w:val="auto"/>
                <w:sz w:val="24"/>
                <w:szCs w:val="24"/>
                <w:lang w:val="en-US" w:eastAsia="zh-CN"/>
              </w:rPr>
              <w:t>36.6</w:t>
            </w:r>
            <w:r>
              <w:rPr>
                <w:rFonts w:hint="default" w:ascii="Times New Roman" w:hAnsi="Times New Roman" w:cs="Times New Roman"/>
                <w:color w:val="auto"/>
                <w:sz w:val="24"/>
                <w:szCs w:val="24"/>
              </w:rPr>
              <w:t>dB(A)~41</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dB(A</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之间，满足《声环境质量标准》（GB3096-2008）中</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类标准限值要求。</w:t>
            </w:r>
          </w:p>
          <w:p w14:paraId="7A364421">
            <w:pPr>
              <w:rPr>
                <w:rFonts w:hint="default"/>
              </w:rPr>
            </w:pPr>
            <w:r>
              <w:drawing>
                <wp:anchor distT="0" distB="0" distL="114300" distR="114300" simplePos="0" relativeHeight="251671552" behindDoc="0" locked="0" layoutInCell="1" allowOverlap="1">
                  <wp:simplePos x="0" y="0"/>
                  <wp:positionH relativeFrom="column">
                    <wp:posOffset>5177790</wp:posOffset>
                  </wp:positionH>
                  <wp:positionV relativeFrom="paragraph">
                    <wp:posOffset>1905</wp:posOffset>
                  </wp:positionV>
                  <wp:extent cx="744220" cy="664210"/>
                  <wp:effectExtent l="0" t="0" r="17780" b="2540"/>
                  <wp:wrapNone/>
                  <wp:docPr id="3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7"/>
                          <pic:cNvPicPr>
                            <a:picLocks noChangeAspect="1"/>
                          </pic:cNvPicPr>
                        </pic:nvPicPr>
                        <pic:blipFill>
                          <a:blip r:embed="rId27"/>
                          <a:stretch>
                            <a:fillRect/>
                          </a:stretch>
                        </pic:blipFill>
                        <pic:spPr>
                          <a:xfrm>
                            <a:off x="0" y="0"/>
                            <a:ext cx="744220" cy="664210"/>
                          </a:xfrm>
                          <a:prstGeom prst="rect">
                            <a:avLst/>
                          </a:prstGeom>
                          <a:noFill/>
                          <a:ln>
                            <a:noFill/>
                          </a:ln>
                        </pic:spPr>
                      </pic:pic>
                    </a:graphicData>
                  </a:graphic>
                </wp:anchor>
              </w:drawing>
            </w:r>
            <w:r>
              <w:rPr>
                <w:sz w:val="20"/>
              </w:rPr>
              <mc:AlternateContent>
                <mc:Choice Requires="wps">
                  <w:drawing>
                    <wp:anchor distT="0" distB="0" distL="114300" distR="114300" simplePos="0" relativeHeight="251670528" behindDoc="0" locked="0" layoutInCell="1" allowOverlap="1">
                      <wp:simplePos x="0" y="0"/>
                      <wp:positionH relativeFrom="column">
                        <wp:posOffset>6350</wp:posOffset>
                      </wp:positionH>
                      <wp:positionV relativeFrom="paragraph">
                        <wp:posOffset>2477135</wp:posOffset>
                      </wp:positionV>
                      <wp:extent cx="1506855" cy="814070"/>
                      <wp:effectExtent l="4445" t="4445" r="12700" b="19685"/>
                      <wp:wrapNone/>
                      <wp:docPr id="39" name="文本框 39"/>
                      <wp:cNvGraphicFramePr/>
                      <a:graphic xmlns:a="http://schemas.openxmlformats.org/drawingml/2006/main">
                        <a:graphicData uri="http://schemas.microsoft.com/office/word/2010/wordprocessingShape">
                          <wps:wsp>
                            <wps:cNvSpPr txBox="1"/>
                            <wps:spPr>
                              <a:xfrm>
                                <a:off x="0" y="0"/>
                                <a:ext cx="1506855" cy="814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E726354">
                                  <w:pPr>
                                    <w:jc w:val="center"/>
                                    <w:rPr>
                                      <w:rFonts w:hint="eastAsia"/>
                                      <w:color w:val="auto"/>
                                      <w:sz w:val="28"/>
                                      <w:szCs w:val="28"/>
                                      <w:lang w:val="en-US" w:eastAsia="zh-CN"/>
                                    </w:rPr>
                                  </w:pPr>
                                  <w:r>
                                    <w:rPr>
                                      <w:rFonts w:hint="eastAsia"/>
                                      <w:color w:val="auto"/>
                                      <w:sz w:val="28"/>
                                      <w:szCs w:val="28"/>
                                      <w:lang w:val="en-US" w:eastAsia="zh-CN"/>
                                    </w:rPr>
                                    <w:t>图例</w:t>
                                  </w:r>
                                </w:p>
                                <w:p w14:paraId="6C8948C9">
                                  <w:pPr>
                                    <w:jc w:val="both"/>
                                    <w:rPr>
                                      <w:rFonts w:hint="eastAsia"/>
                                      <w:color w:val="auto"/>
                                      <w:lang w:val="en-US" w:eastAsia="zh-CN"/>
                                    </w:rPr>
                                  </w:pPr>
                                  <w:r>
                                    <w:rPr>
                                      <w:color w:val="auto"/>
                                    </w:rPr>
                                    <w:drawing>
                                      <wp:inline distT="0" distB="0" distL="114300" distR="114300">
                                        <wp:extent cx="136525" cy="198755"/>
                                        <wp:effectExtent l="0" t="0" r="15875" b="10795"/>
                                        <wp:docPr id="4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8"/>
                                                <pic:cNvPicPr>
                                                  <a:picLocks noChangeAspect="1"/>
                                                </pic:cNvPicPr>
                                              </pic:nvPicPr>
                                              <pic:blipFill>
                                                <a:blip r:embed="rId28"/>
                                                <a:stretch>
                                                  <a:fillRect/>
                                                </a:stretch>
                                              </pic:blipFill>
                                              <pic:spPr>
                                                <a:xfrm>
                                                  <a:off x="0" y="0"/>
                                                  <a:ext cx="136525" cy="198755"/>
                                                </a:xfrm>
                                                <a:prstGeom prst="rect">
                                                  <a:avLst/>
                                                </a:prstGeom>
                                                <a:noFill/>
                                                <a:ln>
                                                  <a:noFill/>
                                                </a:ln>
                                              </pic:spPr>
                                            </pic:pic>
                                          </a:graphicData>
                                        </a:graphic>
                                      </wp:inline>
                                    </w:drawing>
                                  </w:r>
                                  <w:r>
                                    <w:rPr>
                                      <w:rFonts w:hint="eastAsia"/>
                                      <w:color w:val="auto"/>
                                      <w:lang w:val="en-US" w:eastAsia="zh-CN"/>
                                    </w:rPr>
                                    <w:t>第一次监测点位</w:t>
                                  </w:r>
                                </w:p>
                                <w:p w14:paraId="4E8E7058">
                                  <w:pPr>
                                    <w:jc w:val="both"/>
                                    <w:rPr>
                                      <w:rFonts w:hint="eastAsia" w:eastAsia="宋体"/>
                                      <w:color w:val="auto"/>
                                      <w:lang w:val="en-US" w:eastAsia="zh-CN"/>
                                    </w:rPr>
                                  </w:pPr>
                                  <w:r>
                                    <w:drawing>
                                      <wp:inline distT="0" distB="0" distL="114300" distR="114300">
                                        <wp:extent cx="135255" cy="205740"/>
                                        <wp:effectExtent l="0" t="0" r="17145" b="3810"/>
                                        <wp:docPr id="4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0"/>
                                                <pic:cNvPicPr>
                                                  <a:picLocks noChangeAspect="1"/>
                                                </pic:cNvPicPr>
                                              </pic:nvPicPr>
                                              <pic:blipFill>
                                                <a:blip r:embed="rId29"/>
                                                <a:stretch>
                                                  <a:fillRect/>
                                                </a:stretch>
                                              </pic:blipFill>
                                              <pic:spPr>
                                                <a:xfrm>
                                                  <a:off x="0" y="0"/>
                                                  <a:ext cx="135255" cy="205740"/>
                                                </a:xfrm>
                                                <a:prstGeom prst="rect">
                                                  <a:avLst/>
                                                </a:prstGeom>
                                                <a:noFill/>
                                                <a:ln>
                                                  <a:noFill/>
                                                </a:ln>
                                              </pic:spPr>
                                            </pic:pic>
                                          </a:graphicData>
                                        </a:graphic>
                                      </wp:inline>
                                    </w:drawing>
                                  </w:r>
                                  <w:r>
                                    <w:rPr>
                                      <w:rFonts w:hint="eastAsia"/>
                                      <w:color w:val="auto"/>
                                      <w:lang w:val="en-US" w:eastAsia="zh-CN"/>
                                    </w:rPr>
                                    <w:t>补充监测点位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pt;margin-top:195.05pt;height:64.1pt;width:118.65pt;z-index:251670528;mso-width-relative:page;mso-height-relative:page;" fillcolor="#FFFFFF [3201]" filled="t" stroked="t" coordsize="21600,21600" o:gfxdata="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tThcHV&#10;AAAACQEAAA8AAAAAAAAAAQAgAAAAIgAAAGRycy9kb3ducmV2LnhtbFBLAQIUABQAAAAIAIdO4kAH&#10;NzWmXAIAALkEAAAOAAAAAAAAAAEAIAAAACQBAABkcnMvZTJvRG9jLnhtbFBLBQYAAAAABgAGAFkB&#10;AADyBQAAAAA=&#10;">
                      <v:fill on="t" focussize="0,0"/>
                      <v:stroke weight="0.5pt" color="#000000 [3204]" joinstyle="round"/>
                      <v:imagedata o:title=""/>
                      <o:lock v:ext="edit" aspectratio="f"/>
                      <v:textbox>
                        <w:txbxContent>
                          <w:p w14:paraId="0E726354">
                            <w:pPr>
                              <w:jc w:val="center"/>
                              <w:rPr>
                                <w:rFonts w:hint="eastAsia"/>
                                <w:color w:val="auto"/>
                                <w:sz w:val="28"/>
                                <w:szCs w:val="28"/>
                                <w:lang w:val="en-US" w:eastAsia="zh-CN"/>
                              </w:rPr>
                            </w:pPr>
                            <w:r>
                              <w:rPr>
                                <w:rFonts w:hint="eastAsia"/>
                                <w:color w:val="auto"/>
                                <w:sz w:val="28"/>
                                <w:szCs w:val="28"/>
                                <w:lang w:val="en-US" w:eastAsia="zh-CN"/>
                              </w:rPr>
                              <w:t>图例</w:t>
                            </w:r>
                          </w:p>
                          <w:p w14:paraId="6C8948C9">
                            <w:pPr>
                              <w:jc w:val="both"/>
                              <w:rPr>
                                <w:rFonts w:hint="eastAsia"/>
                                <w:color w:val="auto"/>
                                <w:lang w:val="en-US" w:eastAsia="zh-CN"/>
                              </w:rPr>
                            </w:pPr>
                            <w:r>
                              <w:rPr>
                                <w:color w:val="auto"/>
                              </w:rPr>
                              <w:drawing>
                                <wp:inline distT="0" distB="0" distL="114300" distR="114300">
                                  <wp:extent cx="136525" cy="198755"/>
                                  <wp:effectExtent l="0" t="0" r="15875" b="10795"/>
                                  <wp:docPr id="4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8"/>
                                          <pic:cNvPicPr>
                                            <a:picLocks noChangeAspect="1"/>
                                          </pic:cNvPicPr>
                                        </pic:nvPicPr>
                                        <pic:blipFill>
                                          <a:blip r:embed="rId28"/>
                                          <a:stretch>
                                            <a:fillRect/>
                                          </a:stretch>
                                        </pic:blipFill>
                                        <pic:spPr>
                                          <a:xfrm>
                                            <a:off x="0" y="0"/>
                                            <a:ext cx="136525" cy="198755"/>
                                          </a:xfrm>
                                          <a:prstGeom prst="rect">
                                            <a:avLst/>
                                          </a:prstGeom>
                                          <a:noFill/>
                                          <a:ln>
                                            <a:noFill/>
                                          </a:ln>
                                        </pic:spPr>
                                      </pic:pic>
                                    </a:graphicData>
                                  </a:graphic>
                                </wp:inline>
                              </w:drawing>
                            </w:r>
                            <w:r>
                              <w:rPr>
                                <w:rFonts w:hint="eastAsia"/>
                                <w:color w:val="auto"/>
                                <w:lang w:val="en-US" w:eastAsia="zh-CN"/>
                              </w:rPr>
                              <w:t>第一次监测点位</w:t>
                            </w:r>
                          </w:p>
                          <w:p w14:paraId="4E8E7058">
                            <w:pPr>
                              <w:jc w:val="both"/>
                              <w:rPr>
                                <w:rFonts w:hint="eastAsia" w:eastAsia="宋体"/>
                                <w:color w:val="auto"/>
                                <w:lang w:val="en-US" w:eastAsia="zh-CN"/>
                              </w:rPr>
                            </w:pPr>
                            <w:r>
                              <w:drawing>
                                <wp:inline distT="0" distB="0" distL="114300" distR="114300">
                                  <wp:extent cx="135255" cy="205740"/>
                                  <wp:effectExtent l="0" t="0" r="17145" b="3810"/>
                                  <wp:docPr id="4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0"/>
                                          <pic:cNvPicPr>
                                            <a:picLocks noChangeAspect="1"/>
                                          </pic:cNvPicPr>
                                        </pic:nvPicPr>
                                        <pic:blipFill>
                                          <a:blip r:embed="rId29"/>
                                          <a:stretch>
                                            <a:fillRect/>
                                          </a:stretch>
                                        </pic:blipFill>
                                        <pic:spPr>
                                          <a:xfrm>
                                            <a:off x="0" y="0"/>
                                            <a:ext cx="135255" cy="205740"/>
                                          </a:xfrm>
                                          <a:prstGeom prst="rect">
                                            <a:avLst/>
                                          </a:prstGeom>
                                          <a:noFill/>
                                          <a:ln>
                                            <a:noFill/>
                                          </a:ln>
                                        </pic:spPr>
                                      </pic:pic>
                                    </a:graphicData>
                                  </a:graphic>
                                </wp:inline>
                              </w:drawing>
                            </w:r>
                            <w:r>
                              <w:rPr>
                                <w:rFonts w:hint="eastAsia"/>
                                <w:color w:val="auto"/>
                                <w:lang w:val="en-US" w:eastAsia="zh-CN"/>
                              </w:rPr>
                              <w:t>补充监测点位</w:t>
                            </w:r>
                          </w:p>
                        </w:txbxContent>
                      </v:textbox>
                    </v:shape>
                  </w:pict>
                </mc:Fallback>
              </mc:AlternateContent>
            </w:r>
            <w:r>
              <w:drawing>
                <wp:inline distT="0" distB="0" distL="114300" distR="114300">
                  <wp:extent cx="5938520" cy="3301365"/>
                  <wp:effectExtent l="0" t="0" r="5080" b="13335"/>
                  <wp:docPr id="2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8"/>
                          <pic:cNvPicPr>
                            <a:picLocks noChangeAspect="1"/>
                          </pic:cNvPicPr>
                        </pic:nvPicPr>
                        <pic:blipFill>
                          <a:blip r:embed="rId30"/>
                          <a:stretch>
                            <a:fillRect/>
                          </a:stretch>
                        </pic:blipFill>
                        <pic:spPr>
                          <a:xfrm>
                            <a:off x="0" y="0"/>
                            <a:ext cx="5938520" cy="3301365"/>
                          </a:xfrm>
                          <a:prstGeom prst="rect">
                            <a:avLst/>
                          </a:prstGeom>
                          <a:noFill/>
                          <a:ln>
                            <a:noFill/>
                          </a:ln>
                        </pic:spPr>
                      </pic:pic>
                    </a:graphicData>
                  </a:graphic>
                </wp:inline>
              </w:drawing>
            </w:r>
          </w:p>
          <w:p w14:paraId="5DB0BB38">
            <w:pPr>
              <w:numPr>
                <w:ilvl w:val="0"/>
                <w:numId w:val="0"/>
              </w:numPr>
              <w:snapToGrid/>
              <w:spacing w:before="0" w:beforeLines="0" w:line="240" w:lineRule="auto"/>
              <w:jc w:val="center"/>
              <w:rPr>
                <w:rFonts w:hint="eastAsia" w:cs="Times New Roman"/>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lang w:val="en-US" w:eastAsia="zh-CN"/>
                <w14:textFill>
                  <w14:solidFill>
                    <w14:schemeClr w14:val="tx1">
                      <w14:lumMod w14:val="95000"/>
                      <w14:lumOff w14:val="5000"/>
                    </w14:schemeClr>
                  </w14:solidFill>
                </w14:textFill>
              </w:rPr>
              <w:t>图3-3   噪声监测点位图</w:t>
            </w:r>
          </w:p>
          <w:p w14:paraId="67A94866">
            <w:pPr>
              <w:pStyle w:val="36"/>
              <w:keepNext w:val="0"/>
              <w:keepLines w:val="0"/>
              <w:pageBreakBefore w:val="0"/>
              <w:widowControl w:val="0"/>
              <w:kinsoku/>
              <w:wordWrap/>
              <w:overflowPunct/>
              <w:topLinePunct w:val="0"/>
              <w:autoSpaceDE/>
              <w:autoSpaceDN/>
              <w:bidi w:val="0"/>
              <w:adjustRightInd/>
              <w:snapToGrid w:val="0"/>
              <w:spacing w:before="157" w:beforeLines="50" w:after="0" w:line="360" w:lineRule="auto"/>
              <w:ind w:left="0" w:leftChars="0" w:firstLine="0" w:firstLineChars="0"/>
              <w:textAlignment w:val="auto"/>
              <w:rPr>
                <w:rFonts w:hint="eastAsia" w:ascii="Times New Roman" w:hAnsi="Times New Roman" w:eastAsia="宋体" w:cs="Times New Roman"/>
                <w:b w:val="0"/>
                <w:bCs/>
                <w:color w:val="auto"/>
                <w:sz w:val="24"/>
                <w:szCs w:val="24"/>
                <w:lang w:eastAsia="zh-CN"/>
              </w:rPr>
            </w:pPr>
            <w:r>
              <w:rPr>
                <w:rFonts w:hint="eastAsia" w:cs="Times New Roman"/>
                <w:b/>
                <w:bCs w:val="0"/>
                <w:color w:val="auto"/>
                <w:sz w:val="24"/>
                <w:szCs w:val="24"/>
                <w:lang w:val="en-US" w:eastAsia="zh-CN"/>
              </w:rPr>
              <w:t>3.5</w:t>
            </w:r>
            <w:r>
              <w:rPr>
                <w:rFonts w:hint="eastAsia" w:ascii="Times New Roman" w:hAnsi="Times New Roman" w:eastAsia="宋体" w:cs="Times New Roman"/>
                <w:b/>
                <w:bCs w:val="0"/>
                <w:color w:val="auto"/>
                <w:sz w:val="24"/>
                <w:szCs w:val="24"/>
                <w:lang w:eastAsia="zh-CN"/>
              </w:rPr>
              <w:t>、电磁环境质量现状</w:t>
            </w:r>
          </w:p>
          <w:p w14:paraId="1F420420">
            <w:pPr>
              <w:pStyle w:val="36"/>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textAlignment w:val="auto"/>
              <w:rPr>
                <w:rFonts w:hint="eastAsia" w:cs="Times New Roman"/>
                <w:b w:val="0"/>
                <w:bCs/>
                <w:sz w:val="24"/>
                <w:szCs w:val="24"/>
                <w:lang w:val="en-US" w:eastAsia="zh-CN"/>
              </w:rPr>
            </w:pPr>
            <w:r>
              <w:rPr>
                <w:rFonts w:hint="eastAsia" w:cs="Times New Roman"/>
                <w:b w:val="0"/>
                <w:bCs/>
                <w:sz w:val="24"/>
                <w:szCs w:val="24"/>
                <w:lang w:val="en-US" w:eastAsia="zh-CN"/>
              </w:rPr>
              <w:t>根据《环境影响评价技术导则 输变电》（HJ 24-2020）中“4.10.2对于输电线路，其评价范围内具有代表性的电磁环境敏感目标的电磁环境现状应实测，非电磁环境敏感目标处的典型线位电磁环境现状可实测，也可利用评价范围内已有的最近3年内的电磁环境现状监测资料，并对电磁环境现状进行评价。电磁环境影响预测一般采用模式预测的方式，输电线路为地下电缆时，可采用类比监测的方式；对于变电站、换流站、开关站、串补站，其评价范围内临近各侧站界的电磁环境敏感目标的电磁环境现状应实测，站界电磁环境现状可实测，也可利用已有的最近3年内的电磁环境现状监测资料，并对电磁环境现状进行评价。电磁环境影响预测应采用类比监测的方式”。</w:t>
            </w:r>
            <w:r>
              <w:rPr>
                <w:color w:val="0D0D0D" w:themeColor="text1" w:themeTint="F2"/>
                <w14:textFill>
                  <w14:solidFill>
                    <w14:schemeClr w14:val="tx1">
                      <w14:lumMod w14:val="95000"/>
                      <w14:lumOff w14:val="5000"/>
                    </w14:schemeClr>
                  </w14:solidFill>
                </w14:textFill>
              </w:rPr>
              <w:t>为掌握本工程</w:t>
            </w:r>
            <w:r>
              <w:rPr>
                <w:rFonts w:hint="eastAsia"/>
                <w:color w:val="0D0D0D" w:themeColor="text1" w:themeTint="F2"/>
                <w:lang w:val="en-US" w:eastAsia="zh-CN"/>
                <w14:textFill>
                  <w14:solidFill>
                    <w14:schemeClr w14:val="tx1">
                      <w14:lumMod w14:val="95000"/>
                      <w14:lumOff w14:val="5000"/>
                    </w14:schemeClr>
                  </w14:solidFill>
                </w14:textFill>
              </w:rPr>
              <w:t>变电站</w:t>
            </w:r>
            <w:r>
              <w:rPr>
                <w:color w:val="0D0D0D" w:themeColor="text1" w:themeTint="F2"/>
                <w14:textFill>
                  <w14:solidFill>
                    <w14:schemeClr w14:val="tx1">
                      <w14:lumMod w14:val="95000"/>
                      <w14:lumOff w14:val="5000"/>
                    </w14:schemeClr>
                  </w14:solidFill>
                </w14:textFill>
              </w:rPr>
              <w:t>周边电磁环境现状，</w:t>
            </w:r>
            <w:r>
              <w:rPr>
                <w:rFonts w:hint="eastAsia"/>
                <w:color w:val="0D0D0D" w:themeColor="text1" w:themeTint="F2"/>
                <w:lang w:val="en-US" w:eastAsia="zh-CN"/>
                <w14:textFill>
                  <w14:solidFill>
                    <w14:schemeClr w14:val="tx1">
                      <w14:lumMod w14:val="95000"/>
                      <w14:lumOff w14:val="5000"/>
                    </w14:schemeClr>
                  </w14:solidFill>
                </w14:textFill>
              </w:rPr>
              <w:t>环评机构委托阜阳三达环境检测有限公司</w:t>
            </w:r>
            <w:r>
              <w:rPr>
                <w:rFonts w:hint="eastAsia"/>
                <w:color w:val="0D0D0D" w:themeColor="text1" w:themeTint="F2"/>
                <w:lang w:eastAsia="zh-CN"/>
                <w14:textFill>
                  <w14:solidFill>
                    <w14:schemeClr w14:val="tx1">
                      <w14:lumMod w14:val="95000"/>
                      <w14:lumOff w14:val="5000"/>
                    </w14:schemeClr>
                  </w14:solidFill>
                </w14:textFill>
              </w:rPr>
              <w:t>（CMA证书号：</w:t>
            </w:r>
            <w:r>
              <w:rPr>
                <w:rFonts w:hint="eastAsia"/>
                <w:color w:val="0D0D0D" w:themeColor="text1" w:themeTint="F2"/>
                <w:lang w:val="en-US" w:eastAsia="zh-CN"/>
                <w14:textFill>
                  <w14:solidFill>
                    <w14:schemeClr w14:val="tx1">
                      <w14:lumMod w14:val="95000"/>
                      <w14:lumOff w14:val="5000"/>
                    </w14:schemeClr>
                  </w14:solidFill>
                </w14:textFill>
              </w:rPr>
              <w:t>191212051497</w:t>
            </w:r>
            <w:r>
              <w:rPr>
                <w:rFonts w:hint="eastAsia"/>
                <w:color w:val="0D0D0D" w:themeColor="text1" w:themeTint="F2"/>
                <w:lang w:eastAsia="zh-CN"/>
                <w14:textFill>
                  <w14:solidFill>
                    <w14:schemeClr w14:val="tx1">
                      <w14:lumMod w14:val="95000"/>
                      <w14:lumOff w14:val="5000"/>
                    </w14:schemeClr>
                  </w14:solidFill>
                </w14:textFill>
              </w:rPr>
              <w:t>）</w:t>
            </w:r>
            <w:r>
              <w:rPr>
                <w:color w:val="0D0D0D" w:themeColor="text1" w:themeTint="F2"/>
                <w14:textFill>
                  <w14:solidFill>
                    <w14:schemeClr w14:val="tx1">
                      <w14:lumMod w14:val="95000"/>
                      <w14:lumOff w14:val="5000"/>
                    </w14:schemeClr>
                  </w14:solidFill>
                </w14:textFill>
              </w:rPr>
              <w:t>于20</w:t>
            </w:r>
            <w:r>
              <w:rPr>
                <w:rFonts w:hint="eastAsia"/>
                <w:color w:val="0D0D0D" w:themeColor="text1" w:themeTint="F2"/>
                <w14:textFill>
                  <w14:solidFill>
                    <w14:schemeClr w14:val="tx1">
                      <w14:lumMod w14:val="95000"/>
                      <w14:lumOff w14:val="5000"/>
                    </w14:schemeClr>
                  </w14:solidFill>
                </w14:textFill>
              </w:rPr>
              <w:t>2</w:t>
            </w:r>
            <w:r>
              <w:rPr>
                <w:rFonts w:hint="eastAsia"/>
                <w:color w:val="0D0D0D" w:themeColor="text1" w:themeTint="F2"/>
                <w:lang w:val="en-US" w:eastAsia="zh-CN"/>
                <w14:textFill>
                  <w14:solidFill>
                    <w14:schemeClr w14:val="tx1">
                      <w14:lumMod w14:val="95000"/>
                      <w14:lumOff w14:val="5000"/>
                    </w14:schemeClr>
                  </w14:solidFill>
                </w14:textFill>
              </w:rPr>
              <w:t>5</w:t>
            </w:r>
            <w:r>
              <w:rPr>
                <w:color w:val="0D0D0D" w:themeColor="text1" w:themeTint="F2"/>
                <w14:textFill>
                  <w14:solidFill>
                    <w14:schemeClr w14:val="tx1">
                      <w14:lumMod w14:val="95000"/>
                      <w14:lumOff w14:val="5000"/>
                    </w14:schemeClr>
                  </w14:solidFill>
                </w14:textFill>
              </w:rPr>
              <w:t>年</w:t>
            </w:r>
            <w:r>
              <w:rPr>
                <w:rFonts w:hint="eastAsia"/>
                <w:color w:val="0D0D0D" w:themeColor="text1" w:themeTint="F2"/>
                <w:lang w:val="en-US" w:eastAsia="zh-CN"/>
                <w14:textFill>
                  <w14:solidFill>
                    <w14:schemeClr w14:val="tx1">
                      <w14:lumMod w14:val="95000"/>
                      <w14:lumOff w14:val="5000"/>
                    </w14:schemeClr>
                  </w14:solidFill>
                </w14:textFill>
              </w:rPr>
              <w:t>5</w:t>
            </w:r>
            <w:r>
              <w:rPr>
                <w:color w:val="0D0D0D" w:themeColor="text1" w:themeTint="F2"/>
                <w14:textFill>
                  <w14:solidFill>
                    <w14:schemeClr w14:val="tx1">
                      <w14:lumMod w14:val="95000"/>
                      <w14:lumOff w14:val="5000"/>
                    </w14:schemeClr>
                  </w14:solidFill>
                </w14:textFill>
              </w:rPr>
              <w:t>月</w:t>
            </w:r>
            <w:r>
              <w:rPr>
                <w:rFonts w:hint="eastAsia"/>
                <w:color w:val="0D0D0D" w:themeColor="text1" w:themeTint="F2"/>
                <w:lang w:val="en-US" w:eastAsia="zh-CN"/>
                <w14:textFill>
                  <w14:solidFill>
                    <w14:schemeClr w14:val="tx1">
                      <w14:lumMod w14:val="95000"/>
                      <w14:lumOff w14:val="5000"/>
                    </w14:schemeClr>
                  </w14:solidFill>
                </w14:textFill>
              </w:rPr>
              <w:t>27</w:t>
            </w:r>
            <w:r>
              <w:rPr>
                <w:color w:val="0D0D0D" w:themeColor="text1" w:themeTint="F2"/>
                <w14:textFill>
                  <w14:solidFill>
                    <w14:schemeClr w14:val="tx1">
                      <w14:lumMod w14:val="95000"/>
                      <w14:lumOff w14:val="5000"/>
                    </w14:schemeClr>
                  </w14:solidFill>
                </w14:textFill>
              </w:rPr>
              <w:t>日</w:t>
            </w:r>
            <w:r>
              <w:rPr>
                <w:rFonts w:hint="eastAsia"/>
                <w:color w:val="0D0D0D" w:themeColor="text1" w:themeTint="F2"/>
                <w:lang w:val="en-US" w:eastAsia="zh-CN"/>
                <w14:textFill>
                  <w14:solidFill>
                    <w14:schemeClr w14:val="tx1">
                      <w14:lumMod w14:val="95000"/>
                      <w14:lumOff w14:val="5000"/>
                    </w14:schemeClr>
                  </w14:solidFill>
                </w14:textFill>
              </w:rPr>
              <w:t>和2026年1月5日</w:t>
            </w:r>
            <w:r>
              <w:rPr>
                <w:color w:val="0D0D0D" w:themeColor="text1" w:themeTint="F2"/>
                <w14:textFill>
                  <w14:solidFill>
                    <w14:schemeClr w14:val="tx1">
                      <w14:lumMod w14:val="95000"/>
                      <w14:lumOff w14:val="5000"/>
                    </w14:schemeClr>
                  </w14:solidFill>
                </w14:textFill>
              </w:rPr>
              <w:t>对</w:t>
            </w:r>
            <w:r>
              <w:rPr>
                <w:rFonts w:hint="eastAsia"/>
                <w:color w:val="0D0D0D" w:themeColor="text1" w:themeTint="F2"/>
                <w:lang w:val="en-US" w:eastAsia="zh-CN"/>
                <w14:textFill>
                  <w14:solidFill>
                    <w14:schemeClr w14:val="tx1">
                      <w14:lumMod w14:val="95000"/>
                      <w14:lumOff w14:val="5000"/>
                    </w14:schemeClr>
                  </w14:solidFill>
                </w14:textFill>
              </w:rPr>
              <w:t>本工程变电站厂界</w:t>
            </w:r>
            <w:r>
              <w:rPr>
                <w:rFonts w:hint="eastAsia"/>
                <w:color w:val="0D0D0D" w:themeColor="text1" w:themeTint="F2"/>
                <w14:textFill>
                  <w14:solidFill>
                    <w14:schemeClr w14:val="tx1">
                      <w14:lumMod w14:val="95000"/>
                      <w14:lumOff w14:val="5000"/>
                    </w14:schemeClr>
                  </w14:solidFill>
                </w14:textFill>
              </w:rPr>
              <w:t>四周</w:t>
            </w:r>
            <w:r>
              <w:rPr>
                <w:rFonts w:hint="eastAsia"/>
                <w:color w:val="0D0D0D" w:themeColor="text1" w:themeTint="F2"/>
                <w:lang w:val="en-US" w:eastAsia="zh-CN"/>
                <w14:textFill>
                  <w14:solidFill>
                    <w14:schemeClr w14:val="tx1">
                      <w14:lumMod w14:val="95000"/>
                      <w14:lumOff w14:val="5000"/>
                    </w14:schemeClr>
                  </w14:solidFill>
                </w14:textFill>
              </w:rPr>
              <w:t>及敏感点、输电线路沿线具有代表性的敏感点</w:t>
            </w:r>
            <w:r>
              <w:rPr>
                <w:color w:val="0D0D0D" w:themeColor="text1" w:themeTint="F2"/>
                <w14:textFill>
                  <w14:solidFill>
                    <w14:schemeClr w14:val="tx1">
                      <w14:lumMod w14:val="95000"/>
                      <w14:lumOff w14:val="5000"/>
                    </w14:schemeClr>
                  </w14:solidFill>
                </w14:textFill>
              </w:rPr>
              <w:t>进行了电磁环境现状监测</w:t>
            </w:r>
            <w:r>
              <w:rPr>
                <w:rFonts w:hint="eastAsia"/>
                <w:color w:val="0D0D0D" w:themeColor="text1" w:themeTint="F2"/>
                <w:lang w:eastAsia="zh-CN"/>
                <w14:textFill>
                  <w14:solidFill>
                    <w14:schemeClr w14:val="tx1">
                      <w14:lumMod w14:val="95000"/>
                      <w14:lumOff w14:val="5000"/>
                    </w14:schemeClr>
                  </w14:solidFill>
                </w14:textFill>
              </w:rPr>
              <w:t>，</w:t>
            </w:r>
            <w:r>
              <w:rPr>
                <w:rFonts w:hint="eastAsia"/>
                <w:color w:val="0D0D0D" w:themeColor="text1" w:themeTint="F2"/>
                <w:lang w:val="en-US" w:eastAsia="zh-CN"/>
                <w14:textFill>
                  <w14:solidFill>
                    <w14:schemeClr w14:val="tx1">
                      <w14:lumMod w14:val="95000"/>
                      <w14:lumOff w14:val="5000"/>
                    </w14:schemeClr>
                  </w14:solidFill>
                </w14:textFill>
              </w:rPr>
              <w:t>监测报告见附件32-2和32-4，</w:t>
            </w:r>
            <w:r>
              <w:rPr>
                <w:rFonts w:hint="default" w:ascii="Times New Roman" w:hAnsi="Times New Roman" w:cs="Times New Roman"/>
                <w:b w:val="0"/>
                <w:bCs w:val="0"/>
                <w:color w:val="auto"/>
                <w:sz w:val="24"/>
                <w:szCs w:val="24"/>
              </w:rPr>
              <w:t>具体如下：</w:t>
            </w:r>
          </w:p>
          <w:p w14:paraId="4668D3B4">
            <w:pPr>
              <w:pStyle w:val="36"/>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textAlignment w:val="auto"/>
              <w:rPr>
                <w:rFonts w:hint="eastAsia" w:ascii="Times New Roman" w:hAnsi="Times New Roman" w:eastAsia="宋体" w:cs="Times New Roman"/>
                <w:b w:val="0"/>
                <w:bCs/>
                <w:sz w:val="24"/>
                <w:szCs w:val="24"/>
                <w:lang w:eastAsia="zh-CN"/>
              </w:rPr>
            </w:pPr>
            <w:r>
              <w:rPr>
                <w:rFonts w:hint="eastAsia" w:cs="Times New Roman"/>
                <w:b w:val="0"/>
                <w:bCs/>
                <w:sz w:val="24"/>
                <w:szCs w:val="24"/>
                <w:lang w:eastAsia="zh-CN"/>
              </w:rPr>
              <w:t>（</w:t>
            </w:r>
            <w:r>
              <w:rPr>
                <w:rFonts w:hint="eastAsia" w:cs="Times New Roman"/>
                <w:b w:val="0"/>
                <w:bCs/>
                <w:sz w:val="24"/>
                <w:szCs w:val="24"/>
                <w:lang w:val="en-US" w:eastAsia="zh-CN"/>
              </w:rPr>
              <w:t>1</w:t>
            </w:r>
            <w:r>
              <w:rPr>
                <w:rFonts w:hint="eastAsia" w:cs="Times New Roman"/>
                <w:b w:val="0"/>
                <w:bCs/>
                <w:sz w:val="24"/>
                <w:szCs w:val="24"/>
                <w:lang w:eastAsia="zh-CN"/>
              </w:rPr>
              <w:t>）</w:t>
            </w:r>
            <w:r>
              <w:rPr>
                <w:rFonts w:hint="eastAsia" w:ascii="Times New Roman" w:hAnsi="Times New Roman" w:eastAsia="宋体" w:cs="Times New Roman"/>
                <w:b w:val="0"/>
                <w:bCs/>
                <w:sz w:val="24"/>
                <w:szCs w:val="24"/>
                <w:lang w:eastAsia="zh-CN"/>
              </w:rPr>
              <w:t>监测项目</w:t>
            </w:r>
          </w:p>
          <w:p w14:paraId="35F096EE">
            <w:pPr>
              <w:pStyle w:val="36"/>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textAlignment w:val="auto"/>
              <w:rPr>
                <w:rFonts w:hint="default" w:ascii="Times New Roman" w:hAnsi="Times New Roman" w:eastAsia="宋体" w:cs="Times New Roman"/>
                <w:b w:val="0"/>
                <w:bCs/>
                <w:sz w:val="24"/>
                <w:szCs w:val="24"/>
                <w:lang w:val="en-US" w:eastAsia="zh-CN"/>
              </w:rPr>
            </w:pPr>
            <w:r>
              <w:rPr>
                <w:color w:val="auto"/>
                <w:szCs w:val="24"/>
              </w:rPr>
              <w:t>工频电场强度、工频磁感应强度：各监测点距离地面1.5m高处的工频电场、工频</w:t>
            </w:r>
            <w:r>
              <w:rPr>
                <w:rFonts w:hint="eastAsia"/>
                <w:color w:val="auto"/>
                <w:szCs w:val="24"/>
                <w:lang w:val="en-US" w:eastAsia="zh-CN"/>
              </w:rPr>
              <w:t>磁感应强度</w:t>
            </w:r>
            <w:r>
              <w:rPr>
                <w:color w:val="auto"/>
                <w:szCs w:val="24"/>
              </w:rPr>
              <w:t>。</w:t>
            </w:r>
            <w:r>
              <w:rPr>
                <w:rFonts w:hint="eastAsia"/>
                <w:color w:val="auto"/>
                <w:szCs w:val="24"/>
                <w:lang w:val="en-US" w:eastAsia="zh-CN"/>
              </w:rPr>
              <w:t>监测点位图详见图3-4和图3-5。</w:t>
            </w:r>
          </w:p>
          <w:p w14:paraId="398D044E">
            <w:pPr>
              <w:widowControl w:val="0"/>
              <w:spacing w:line="360" w:lineRule="auto"/>
              <w:ind w:firstLine="480" w:firstLineChars="200"/>
              <w:jc w:val="both"/>
              <w:rPr>
                <w:rFonts w:hint="eastAsia" w:ascii="Times New Roman" w:hAnsi="Times New Roman" w:eastAsia="宋体" w:cs="Times New Roman"/>
                <w:b/>
                <w:bCs/>
                <w:snapToGrid w:val="0"/>
                <w:color w:val="000000"/>
                <w:kern w:val="0"/>
                <w:sz w:val="24"/>
                <w:szCs w:val="21"/>
                <w:lang w:val="en-US" w:eastAsia="zh-CN" w:bidi="ar-SA"/>
              </w:rPr>
            </w:pPr>
            <w:r>
              <w:rPr>
                <w:rFonts w:hint="eastAsia" w:ascii="Times New Roman" w:hAnsi="Times New Roman" w:eastAsia="宋体" w:cs="Times New Roman"/>
                <w:snapToGrid w:val="0"/>
                <w:color w:val="000000"/>
                <w:kern w:val="0"/>
                <w:sz w:val="24"/>
                <w:szCs w:val="21"/>
                <w:lang w:val="en-US" w:eastAsia="zh-CN" w:bidi="ar-SA"/>
              </w:rPr>
              <w:t>（2）监测仪器与监测依据</w:t>
            </w:r>
          </w:p>
          <w:p w14:paraId="4DD2BFCF">
            <w:pPr>
              <w:widowControl w:val="0"/>
              <w:numPr>
                <w:ilvl w:val="0"/>
                <w:numId w:val="0"/>
              </w:numPr>
              <w:spacing w:line="240" w:lineRule="auto"/>
              <w:ind w:firstLine="422" w:firstLineChars="200"/>
              <w:jc w:val="center"/>
              <w:rPr>
                <w:rFonts w:hint="eastAsia" w:ascii="Times New Roman" w:hAnsi="Times New Roman" w:eastAsia="宋体" w:cs="Times New Roman"/>
                <w:b/>
                <w:bCs/>
                <w:snapToGrid w:val="0"/>
                <w:color w:val="000000"/>
                <w:kern w:val="0"/>
                <w:sz w:val="21"/>
                <w:szCs w:val="18"/>
                <w:lang w:val="en-US" w:eastAsia="zh-CN" w:bidi="ar-SA"/>
              </w:rPr>
            </w:pPr>
            <w:r>
              <w:rPr>
                <w:rFonts w:hint="eastAsia" w:ascii="Times New Roman" w:hAnsi="Times New Roman" w:eastAsia="宋体" w:cs="Times New Roman"/>
                <w:b/>
                <w:bCs/>
                <w:snapToGrid w:val="0"/>
                <w:color w:val="000000"/>
                <w:kern w:val="0"/>
                <w:sz w:val="21"/>
                <w:szCs w:val="18"/>
                <w:lang w:val="en-US" w:eastAsia="zh-CN" w:bidi="ar-SA"/>
              </w:rPr>
              <w:t>表3-</w:t>
            </w:r>
            <w:r>
              <w:rPr>
                <w:rFonts w:hint="eastAsia" w:cs="Times New Roman"/>
                <w:b/>
                <w:bCs/>
                <w:snapToGrid w:val="0"/>
                <w:color w:val="000000"/>
                <w:kern w:val="0"/>
                <w:sz w:val="21"/>
                <w:szCs w:val="18"/>
                <w:lang w:val="en-US" w:eastAsia="zh-CN" w:bidi="ar-SA"/>
              </w:rPr>
              <w:t xml:space="preserve">4 </w:t>
            </w:r>
            <w:r>
              <w:rPr>
                <w:rFonts w:hint="eastAsia" w:ascii="Times New Roman" w:hAnsi="Times New Roman" w:eastAsia="宋体" w:cs="Times New Roman"/>
                <w:b/>
                <w:bCs/>
                <w:snapToGrid w:val="0"/>
                <w:color w:val="000000"/>
                <w:kern w:val="0"/>
                <w:sz w:val="21"/>
                <w:szCs w:val="18"/>
                <w:lang w:val="en-US" w:eastAsia="zh-CN" w:bidi="ar-SA"/>
              </w:rPr>
              <w:t xml:space="preserve"> 监测仪器与监测依据一览表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
              <w:gridCol w:w="1261"/>
              <w:gridCol w:w="1805"/>
              <w:gridCol w:w="3496"/>
              <w:gridCol w:w="1809"/>
            </w:tblGrid>
            <w:tr w14:paraId="76F20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3" w:type="dxa"/>
                  <w:noWrap w:val="0"/>
                  <w:vAlign w:val="center"/>
                </w:tcPr>
                <w:p w14:paraId="62CB576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仪器名称</w:t>
                  </w:r>
                </w:p>
              </w:tc>
              <w:tc>
                <w:tcPr>
                  <w:tcW w:w="968" w:type="dxa"/>
                  <w:noWrap w:val="0"/>
                  <w:vAlign w:val="center"/>
                </w:tcPr>
                <w:p w14:paraId="7204F85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型号</w:t>
                  </w:r>
                </w:p>
              </w:tc>
              <w:tc>
                <w:tcPr>
                  <w:tcW w:w="1132" w:type="dxa"/>
                  <w:noWrap w:val="0"/>
                  <w:vAlign w:val="center"/>
                </w:tcPr>
                <w:p w14:paraId="559C541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出厂编号</w:t>
                  </w:r>
                </w:p>
              </w:tc>
              <w:tc>
                <w:tcPr>
                  <w:tcW w:w="4091" w:type="dxa"/>
                  <w:noWrap w:val="0"/>
                  <w:vAlign w:val="center"/>
                </w:tcPr>
                <w:p w14:paraId="241F7E2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技术指标</w:t>
                  </w:r>
                </w:p>
              </w:tc>
              <w:tc>
                <w:tcPr>
                  <w:tcW w:w="1842" w:type="dxa"/>
                  <w:noWrap w:val="0"/>
                  <w:vAlign w:val="center"/>
                </w:tcPr>
                <w:p w14:paraId="3B33D28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校准/检定证书号及有效期</w:t>
                  </w:r>
                </w:p>
              </w:tc>
            </w:tr>
            <w:tr w14:paraId="5E835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63" w:type="dxa"/>
                  <w:noWrap w:val="0"/>
                  <w:vAlign w:val="center"/>
                </w:tcPr>
                <w:p w14:paraId="222EA7EE">
                  <w:pPr>
                    <w:spacing w:after="120" w:afterLines="50"/>
                    <w:jc w:val="center"/>
                    <w:rPr>
                      <w:rFonts w:hint="default" w:ascii="Times New Roman" w:hAnsi="Times New Roman" w:cs="Times New Roman"/>
                      <w:color w:val="auto"/>
                      <w:sz w:val="21"/>
                      <w:szCs w:val="21"/>
                      <w:lang w:val="en-US" w:eastAsia="zh-CN"/>
                    </w:rPr>
                  </w:pPr>
                  <w:r>
                    <w:rPr>
                      <w:color w:val="000000"/>
                      <w:kern w:val="0"/>
                      <w:szCs w:val="21"/>
                    </w:rPr>
                    <w:t>电磁辐射分析仪</w:t>
                  </w:r>
                </w:p>
              </w:tc>
              <w:tc>
                <w:tcPr>
                  <w:tcW w:w="968" w:type="dxa"/>
                  <w:noWrap w:val="0"/>
                  <w:vAlign w:val="center"/>
                </w:tcPr>
                <w:p w14:paraId="1396E661">
                  <w:pPr>
                    <w:spacing w:after="120" w:afterLines="50"/>
                    <w:jc w:val="center"/>
                    <w:rPr>
                      <w:rFonts w:hint="default" w:ascii="Times New Roman" w:hAnsi="Times New Roman" w:cs="Times New Roman"/>
                      <w:color w:val="auto"/>
                      <w:sz w:val="21"/>
                      <w:szCs w:val="21"/>
                      <w:lang w:val="en-US" w:eastAsia="zh-CN"/>
                    </w:rPr>
                  </w:pPr>
                  <w:r>
                    <w:rPr>
                      <w:szCs w:val="21"/>
                    </w:rPr>
                    <w:t>NBM-550/EHP50F</w:t>
                  </w:r>
                </w:p>
              </w:tc>
              <w:tc>
                <w:tcPr>
                  <w:tcW w:w="1132" w:type="dxa"/>
                  <w:noWrap w:val="0"/>
                  <w:vAlign w:val="center"/>
                </w:tcPr>
                <w:p w14:paraId="2DFF630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szCs w:val="21"/>
                    </w:rPr>
                    <w:t>H-0802/510WY90138</w:t>
                  </w:r>
                </w:p>
              </w:tc>
              <w:tc>
                <w:tcPr>
                  <w:tcW w:w="4091" w:type="dxa"/>
                  <w:noWrap w:val="0"/>
                  <w:vAlign w:val="center"/>
                </w:tcPr>
                <w:p w14:paraId="34A188E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探头频率响应范围：1Hz~400kHz，探头量程：工频电场强度：5mV/m~1kV/m、0.5V/m~100kV/m</w:t>
                  </w:r>
                </w:p>
                <w:p w14:paraId="38BC1DA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工频磁感应强度</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0.3nT~100μT、30nT~10mT</w:t>
                  </w:r>
                </w:p>
              </w:tc>
              <w:tc>
                <w:tcPr>
                  <w:tcW w:w="1842" w:type="dxa"/>
                  <w:noWrap w:val="0"/>
                  <w:vAlign w:val="center"/>
                </w:tcPr>
                <w:p w14:paraId="46E9A86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WWD202501247（EHP50F）</w:t>
                  </w:r>
                </w:p>
                <w:p w14:paraId="50EF08D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有效期至2026年4月20日</w:t>
                  </w:r>
                </w:p>
              </w:tc>
            </w:tr>
          </w:tbl>
          <w:p w14:paraId="6F1F2252">
            <w:pPr>
              <w:pStyle w:val="36"/>
              <w:keepNext w:val="0"/>
              <w:keepLines w:val="0"/>
              <w:pageBreakBefore w:val="0"/>
              <w:widowControl w:val="0"/>
              <w:numPr>
                <w:ilvl w:val="0"/>
                <w:numId w:val="0"/>
              </w:numPr>
              <w:kinsoku/>
              <w:wordWrap/>
              <w:overflowPunct/>
              <w:topLinePunct w:val="0"/>
              <w:autoSpaceDE/>
              <w:autoSpaceDN/>
              <w:bidi w:val="0"/>
              <w:adjustRightInd/>
              <w:snapToGrid w:val="0"/>
              <w:spacing w:before="0" w:after="0" w:line="360" w:lineRule="auto"/>
              <w:ind w:left="0" w:leftChars="0" w:firstLine="480" w:firstLineChars="200"/>
              <w:textAlignment w:val="auto"/>
              <w:rPr>
                <w:rFonts w:hint="eastAsia" w:ascii="Times New Roman" w:hAnsi="Times New Roman" w:eastAsia="宋体" w:cs="Times New Roman"/>
                <w:b w:val="0"/>
                <w:bCs/>
                <w:sz w:val="24"/>
                <w:szCs w:val="24"/>
                <w:lang w:eastAsia="zh-CN"/>
              </w:rPr>
            </w:pPr>
            <w:r>
              <w:rPr>
                <w:rFonts w:hint="eastAsia" w:ascii="Times New Roman" w:hAnsi="Times New Roman" w:eastAsia="宋体" w:cs="Times New Roman"/>
                <w:b w:val="0"/>
                <w:bCs/>
                <w:sz w:val="24"/>
                <w:szCs w:val="24"/>
                <w:lang w:val="en-US" w:eastAsia="zh-CN" w:bidi="ar-SA"/>
              </w:rPr>
              <w:t>（3）</w:t>
            </w:r>
            <w:r>
              <w:rPr>
                <w:rFonts w:hint="eastAsia" w:ascii="Times New Roman" w:hAnsi="Times New Roman" w:eastAsia="宋体" w:cs="Times New Roman"/>
                <w:b w:val="0"/>
                <w:bCs/>
                <w:sz w:val="24"/>
                <w:szCs w:val="24"/>
                <w:lang w:eastAsia="zh-CN"/>
              </w:rPr>
              <w:t>监测结果</w:t>
            </w:r>
          </w:p>
          <w:p w14:paraId="27A99483">
            <w:pPr>
              <w:pStyle w:val="36"/>
              <w:keepNext w:val="0"/>
              <w:keepLines w:val="0"/>
              <w:pageBreakBefore w:val="0"/>
              <w:widowControl w:val="0"/>
              <w:numPr>
                <w:ilvl w:val="0"/>
                <w:numId w:val="0"/>
              </w:numPr>
              <w:kinsoku/>
              <w:wordWrap/>
              <w:overflowPunct/>
              <w:topLinePunct w:val="0"/>
              <w:autoSpaceDE/>
              <w:autoSpaceDN/>
              <w:bidi w:val="0"/>
              <w:adjustRightInd/>
              <w:snapToGrid w:val="0"/>
              <w:spacing w:before="0" w:after="0" w:line="240" w:lineRule="auto"/>
              <w:jc w:val="center"/>
              <w:textAlignment w:val="auto"/>
              <w:rPr>
                <w:rFonts w:hint="eastAsia" w:ascii="Times New Roman" w:hAnsi="Times New Roman" w:eastAsia="宋体" w:cs="Times New Roman"/>
                <w:b/>
                <w:bCs w:val="0"/>
                <w:sz w:val="21"/>
                <w:szCs w:val="21"/>
                <w:lang w:eastAsia="zh-CN"/>
              </w:rPr>
            </w:pPr>
            <w:r>
              <w:rPr>
                <w:rFonts w:hint="eastAsia" w:ascii="Times New Roman" w:hAnsi="Times New Roman" w:eastAsia="宋体" w:cs="Times New Roman"/>
                <w:b/>
                <w:bCs w:val="0"/>
                <w:sz w:val="21"/>
                <w:szCs w:val="21"/>
                <w:lang w:eastAsia="zh-CN"/>
              </w:rPr>
              <w:t>表3-</w:t>
            </w:r>
            <w:r>
              <w:rPr>
                <w:rFonts w:hint="eastAsia" w:cs="Times New Roman"/>
                <w:b/>
                <w:bCs w:val="0"/>
                <w:sz w:val="21"/>
                <w:szCs w:val="21"/>
                <w:lang w:val="en-US" w:eastAsia="zh-CN"/>
              </w:rPr>
              <w:t xml:space="preserve">5  </w:t>
            </w:r>
            <w:r>
              <w:rPr>
                <w:b/>
                <w:bCs/>
                <w:color w:val="auto"/>
                <w:sz w:val="21"/>
                <w:szCs w:val="21"/>
              </w:rPr>
              <w:t>工频电场强度、工频磁感应强度现状监测结果一览表</w:t>
            </w:r>
          </w:p>
          <w:tbl>
            <w:tblPr>
              <w:tblStyle w:val="3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3941"/>
              <w:gridCol w:w="1222"/>
              <w:gridCol w:w="1824"/>
              <w:gridCol w:w="1726"/>
            </w:tblGrid>
            <w:tr w14:paraId="08901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F8802E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序号</w:t>
                  </w:r>
                </w:p>
              </w:tc>
              <w:tc>
                <w:tcPr>
                  <w:tcW w:w="2126" w:type="pct"/>
                  <w:shd w:val="clear" w:color="auto" w:fill="auto"/>
                  <w:vAlign w:val="center"/>
                </w:tcPr>
                <w:p w14:paraId="7A4BA75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监测点位</w:t>
                  </w:r>
                </w:p>
              </w:tc>
              <w:tc>
                <w:tcPr>
                  <w:tcW w:w="659" w:type="pct"/>
                  <w:shd w:val="clear" w:color="auto" w:fill="auto"/>
                  <w:vAlign w:val="center"/>
                </w:tcPr>
                <w:p w14:paraId="3576FDF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rPr>
                    <w:t>检测日期</w:t>
                  </w:r>
                </w:p>
              </w:tc>
              <w:tc>
                <w:tcPr>
                  <w:tcW w:w="984" w:type="pct"/>
                  <w:shd w:val="clear" w:color="auto" w:fill="auto"/>
                  <w:vAlign w:val="center"/>
                </w:tcPr>
                <w:p w14:paraId="111D3B2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1.5m高度处工频电场强度</w:t>
                  </w:r>
                  <w:r>
                    <w:rPr>
                      <w:rFonts w:hint="eastAsia"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V/m</w:t>
                  </w:r>
                  <w:r>
                    <w:rPr>
                      <w:rFonts w:hint="eastAsia" w:cs="Times New Roman"/>
                      <w:b/>
                      <w:bCs/>
                      <w:color w:val="auto"/>
                      <w:sz w:val="21"/>
                      <w:szCs w:val="21"/>
                      <w:lang w:val="en-US" w:eastAsia="zh-CN"/>
                    </w:rPr>
                    <w:t>）</w:t>
                  </w:r>
                </w:p>
              </w:tc>
              <w:tc>
                <w:tcPr>
                  <w:tcW w:w="931" w:type="pct"/>
                  <w:shd w:val="clear" w:color="auto" w:fill="auto"/>
                  <w:vAlign w:val="center"/>
                </w:tcPr>
                <w:p w14:paraId="56FB6C9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1.5m高度处工频磁感应强度</w:t>
                  </w:r>
                  <w:r>
                    <w:rPr>
                      <w:rFonts w:hint="eastAsia" w:cs="Times New Roman"/>
                      <w:b/>
                      <w:bCs/>
                      <w:color w:val="auto"/>
                      <w:sz w:val="21"/>
                      <w:szCs w:val="21"/>
                      <w:lang w:val="en-US" w:eastAsia="zh-CN"/>
                    </w:rPr>
                    <w:t>（</w:t>
                  </w:r>
                  <w:r>
                    <w:rPr>
                      <w:rFonts w:hint="default" w:ascii="Times New Roman" w:hAnsi="Times New Roman" w:cs="Times New Roman"/>
                      <w:b/>
                      <w:bCs/>
                      <w:color w:val="auto"/>
                      <w:sz w:val="21"/>
                      <w:szCs w:val="21"/>
                      <w:lang w:val="en-US" w:eastAsia="zh-CN"/>
                    </w:rPr>
                    <w:t>μT</w:t>
                  </w:r>
                  <w:r>
                    <w:rPr>
                      <w:rFonts w:hint="eastAsia" w:cs="Times New Roman"/>
                      <w:b/>
                      <w:bCs/>
                      <w:color w:val="auto"/>
                      <w:sz w:val="21"/>
                      <w:szCs w:val="21"/>
                      <w:lang w:val="en-US" w:eastAsia="zh-CN"/>
                    </w:rPr>
                    <w:t>）</w:t>
                  </w:r>
                </w:p>
              </w:tc>
            </w:tr>
            <w:tr w14:paraId="31294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53C2774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2126" w:type="pct"/>
                  <w:shd w:val="clear" w:color="auto" w:fill="auto"/>
                  <w:vAlign w:val="center"/>
                </w:tcPr>
                <w:p w14:paraId="3850359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变电站东侧厂界处</w:t>
                  </w:r>
                </w:p>
              </w:tc>
              <w:tc>
                <w:tcPr>
                  <w:tcW w:w="659" w:type="pct"/>
                  <w:vMerge w:val="restart"/>
                  <w:shd w:val="clear" w:color="auto" w:fill="auto"/>
                  <w:vAlign w:val="center"/>
                </w:tcPr>
                <w:p w14:paraId="7E41E7B7">
                  <w:pPr>
                    <w:jc w:val="center"/>
                    <w:rPr>
                      <w:rFonts w:hint="eastAsia"/>
                      <w:color w:val="000000"/>
                      <w:szCs w:val="21"/>
                      <w:lang w:val="en-US" w:eastAsia="zh-CN"/>
                    </w:rPr>
                  </w:pPr>
                  <w:r>
                    <w:rPr>
                      <w:rFonts w:hint="eastAsia"/>
                      <w:color w:val="000000"/>
                      <w:szCs w:val="21"/>
                    </w:rPr>
                    <w:t>2025.0</w:t>
                  </w:r>
                  <w:r>
                    <w:rPr>
                      <w:rFonts w:hint="eastAsia"/>
                      <w:color w:val="000000"/>
                      <w:szCs w:val="21"/>
                      <w:lang w:val="en-US" w:eastAsia="zh-CN"/>
                    </w:rPr>
                    <w:t>5.27</w:t>
                  </w:r>
                </w:p>
              </w:tc>
              <w:tc>
                <w:tcPr>
                  <w:tcW w:w="984" w:type="pct"/>
                  <w:shd w:val="clear" w:color="auto" w:fill="auto"/>
                  <w:vAlign w:val="center"/>
                </w:tcPr>
                <w:p w14:paraId="511447E0">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0.342</w:t>
                  </w:r>
                </w:p>
              </w:tc>
              <w:tc>
                <w:tcPr>
                  <w:tcW w:w="931" w:type="pct"/>
                  <w:shd w:val="clear" w:color="auto" w:fill="auto"/>
                  <w:vAlign w:val="center"/>
                </w:tcPr>
                <w:p w14:paraId="5ABF06D8">
                  <w:pPr>
                    <w:jc w:val="center"/>
                    <w:rPr>
                      <w:rFonts w:hint="default" w:ascii="Times New Roman" w:hAnsi="Times New Roman" w:cs="Times New Roman"/>
                      <w:color w:val="auto"/>
                      <w:sz w:val="21"/>
                      <w:szCs w:val="21"/>
                      <w:lang w:val="en-US" w:eastAsia="zh-CN"/>
                    </w:rPr>
                  </w:pPr>
                  <w:r>
                    <w:rPr>
                      <w:rFonts w:hint="eastAsia" w:cs="Times New Roman"/>
                      <w:kern w:val="2"/>
                      <w:sz w:val="21"/>
                      <w:szCs w:val="24"/>
                      <w:lang w:val="en-US" w:eastAsia="zh-CN" w:bidi="ar-SA"/>
                    </w:rPr>
                    <w:t>0.002</w:t>
                  </w:r>
                </w:p>
              </w:tc>
            </w:tr>
            <w:tr w14:paraId="05011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66B56DA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2126" w:type="pct"/>
                  <w:shd w:val="clear" w:color="auto" w:fill="auto"/>
                  <w:vAlign w:val="center"/>
                </w:tcPr>
                <w:p w14:paraId="43ABBD3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变电站南侧厂界处</w:t>
                  </w:r>
                </w:p>
              </w:tc>
              <w:tc>
                <w:tcPr>
                  <w:tcW w:w="659" w:type="pct"/>
                  <w:vMerge w:val="continue"/>
                  <w:shd w:val="clear" w:color="auto" w:fill="auto"/>
                  <w:vAlign w:val="center"/>
                </w:tcPr>
                <w:p w14:paraId="4BE4A5E3">
                  <w:pPr>
                    <w:jc w:val="center"/>
                    <w:rPr>
                      <w:rFonts w:hint="eastAsia"/>
                      <w:color w:val="000000"/>
                      <w:szCs w:val="21"/>
                      <w:lang w:val="en-US" w:eastAsia="zh-CN"/>
                    </w:rPr>
                  </w:pPr>
                </w:p>
              </w:tc>
              <w:tc>
                <w:tcPr>
                  <w:tcW w:w="984" w:type="pct"/>
                  <w:shd w:val="clear" w:color="auto" w:fill="auto"/>
                  <w:vAlign w:val="center"/>
                </w:tcPr>
                <w:p w14:paraId="6B219C70">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0.117</w:t>
                  </w:r>
                </w:p>
              </w:tc>
              <w:tc>
                <w:tcPr>
                  <w:tcW w:w="931" w:type="pct"/>
                  <w:shd w:val="clear" w:color="auto" w:fill="auto"/>
                  <w:vAlign w:val="center"/>
                </w:tcPr>
                <w:p w14:paraId="583A96D7">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0.002</w:t>
                  </w:r>
                </w:p>
              </w:tc>
            </w:tr>
            <w:tr w14:paraId="7DF4B2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2EE1BF2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2126" w:type="pct"/>
                  <w:shd w:val="clear" w:color="auto" w:fill="auto"/>
                  <w:vAlign w:val="center"/>
                </w:tcPr>
                <w:p w14:paraId="6A306AD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变电站西侧厂界处</w:t>
                  </w:r>
                </w:p>
              </w:tc>
              <w:tc>
                <w:tcPr>
                  <w:tcW w:w="659" w:type="pct"/>
                  <w:vMerge w:val="continue"/>
                  <w:shd w:val="clear" w:color="auto" w:fill="auto"/>
                  <w:vAlign w:val="center"/>
                </w:tcPr>
                <w:p w14:paraId="11FC25D4">
                  <w:pPr>
                    <w:jc w:val="center"/>
                    <w:rPr>
                      <w:rFonts w:hint="eastAsia"/>
                      <w:color w:val="000000"/>
                      <w:szCs w:val="21"/>
                      <w:lang w:val="en-US" w:eastAsia="zh-CN"/>
                    </w:rPr>
                  </w:pPr>
                </w:p>
              </w:tc>
              <w:tc>
                <w:tcPr>
                  <w:tcW w:w="984" w:type="pct"/>
                  <w:shd w:val="clear" w:color="auto" w:fill="auto"/>
                  <w:vAlign w:val="center"/>
                </w:tcPr>
                <w:p w14:paraId="24B8DD2B">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0.103</w:t>
                  </w:r>
                </w:p>
              </w:tc>
              <w:tc>
                <w:tcPr>
                  <w:tcW w:w="931" w:type="pct"/>
                  <w:shd w:val="clear" w:color="auto" w:fill="auto"/>
                  <w:vAlign w:val="center"/>
                </w:tcPr>
                <w:p w14:paraId="56667053">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0.001</w:t>
                  </w:r>
                </w:p>
              </w:tc>
            </w:tr>
            <w:tr w14:paraId="79F4B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065D3A8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2126" w:type="pct"/>
                  <w:shd w:val="clear" w:color="auto" w:fill="auto"/>
                  <w:vAlign w:val="center"/>
                </w:tcPr>
                <w:p w14:paraId="0038250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变电站北侧厂界处</w:t>
                  </w:r>
                </w:p>
              </w:tc>
              <w:tc>
                <w:tcPr>
                  <w:tcW w:w="659" w:type="pct"/>
                  <w:vMerge w:val="continue"/>
                  <w:shd w:val="clear" w:color="auto" w:fill="auto"/>
                  <w:vAlign w:val="center"/>
                </w:tcPr>
                <w:p w14:paraId="354199C7">
                  <w:pPr>
                    <w:jc w:val="center"/>
                    <w:rPr>
                      <w:rFonts w:hint="eastAsia"/>
                      <w:color w:val="000000"/>
                      <w:szCs w:val="21"/>
                      <w:lang w:val="en-US" w:eastAsia="zh-CN"/>
                    </w:rPr>
                  </w:pPr>
                </w:p>
              </w:tc>
              <w:tc>
                <w:tcPr>
                  <w:tcW w:w="984" w:type="pct"/>
                  <w:shd w:val="clear" w:color="auto" w:fill="auto"/>
                  <w:vAlign w:val="center"/>
                </w:tcPr>
                <w:p w14:paraId="5E335A92">
                  <w:pPr>
                    <w:jc w:val="center"/>
                    <w:rPr>
                      <w:rFonts w:hint="default" w:ascii="Times New Roman" w:hAnsi="Times New Roman" w:cs="Times New Roman"/>
                      <w:color w:val="auto"/>
                      <w:sz w:val="21"/>
                      <w:szCs w:val="21"/>
                      <w:lang w:val="en-US" w:eastAsia="zh-CN"/>
                    </w:rPr>
                  </w:pPr>
                  <w:r>
                    <w:rPr>
                      <w:rFonts w:hint="eastAsia"/>
                      <w:color w:val="000000"/>
                      <w:szCs w:val="21"/>
                      <w:lang w:val="en-US" w:eastAsia="zh-CN"/>
                    </w:rPr>
                    <w:t>0.104</w:t>
                  </w:r>
                </w:p>
              </w:tc>
              <w:tc>
                <w:tcPr>
                  <w:tcW w:w="931" w:type="pct"/>
                  <w:shd w:val="clear" w:color="auto" w:fill="auto"/>
                  <w:vAlign w:val="center"/>
                </w:tcPr>
                <w:p w14:paraId="2C860300">
                  <w:pPr>
                    <w:jc w:val="center"/>
                    <w:rPr>
                      <w:rFonts w:hint="default" w:ascii="Times New Roman" w:hAnsi="Times New Roman" w:cs="Times New Roman"/>
                      <w:color w:val="auto"/>
                      <w:sz w:val="21"/>
                      <w:szCs w:val="21"/>
                      <w:lang w:val="en-US" w:eastAsia="zh-CN"/>
                    </w:rPr>
                  </w:pPr>
                  <w:r>
                    <w:rPr>
                      <w:rFonts w:hint="eastAsia"/>
                      <w:lang w:val="en-US" w:eastAsia="zh-CN"/>
                    </w:rPr>
                    <w:t>0.001</w:t>
                  </w:r>
                </w:p>
              </w:tc>
            </w:tr>
            <w:tr w14:paraId="19163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638D8E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5</w:t>
                  </w:r>
                </w:p>
              </w:tc>
              <w:tc>
                <w:tcPr>
                  <w:tcW w:w="2126" w:type="pct"/>
                  <w:shd w:val="clear" w:color="auto" w:fill="auto"/>
                  <w:vAlign w:val="center"/>
                </w:tcPr>
                <w:p w14:paraId="5402F91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拟建</w:t>
                  </w:r>
                  <w:r>
                    <w:rPr>
                      <w:rFonts w:hint="eastAsia" w:ascii="Times New Roman" w:hAnsi="Times New Roman" w:cs="Times New Roman"/>
                      <w:color w:val="auto"/>
                      <w:sz w:val="21"/>
                      <w:szCs w:val="21"/>
                      <w:lang w:val="en-US" w:eastAsia="zh-CN"/>
                    </w:rPr>
                    <w:t>变电站东侧活动板房</w:t>
                  </w:r>
                </w:p>
              </w:tc>
              <w:tc>
                <w:tcPr>
                  <w:tcW w:w="659" w:type="pct"/>
                  <w:vMerge w:val="continue"/>
                  <w:shd w:val="clear" w:color="auto" w:fill="auto"/>
                  <w:vAlign w:val="center"/>
                </w:tcPr>
                <w:p w14:paraId="08905F6C">
                  <w:pPr>
                    <w:jc w:val="center"/>
                    <w:rPr>
                      <w:rFonts w:hint="eastAsia"/>
                      <w:lang w:val="en-US" w:eastAsia="zh-CN"/>
                    </w:rPr>
                  </w:pPr>
                </w:p>
              </w:tc>
              <w:tc>
                <w:tcPr>
                  <w:tcW w:w="984" w:type="pct"/>
                  <w:shd w:val="clear" w:color="auto" w:fill="auto"/>
                  <w:vAlign w:val="center"/>
                </w:tcPr>
                <w:p w14:paraId="6DDF9F75">
                  <w:pPr>
                    <w:jc w:val="center"/>
                    <w:rPr>
                      <w:rFonts w:hint="eastAsia"/>
                      <w:color w:val="000000"/>
                      <w:sz w:val="21"/>
                      <w:szCs w:val="21"/>
                      <w:lang w:val="en-US" w:eastAsia="zh-CN"/>
                    </w:rPr>
                  </w:pPr>
                  <w:r>
                    <w:rPr>
                      <w:rFonts w:hint="eastAsia"/>
                      <w:lang w:val="en-US" w:eastAsia="zh-CN"/>
                    </w:rPr>
                    <w:t>1.77</w:t>
                  </w:r>
                </w:p>
              </w:tc>
              <w:tc>
                <w:tcPr>
                  <w:tcW w:w="931" w:type="pct"/>
                  <w:shd w:val="clear" w:color="auto" w:fill="auto"/>
                  <w:vAlign w:val="center"/>
                </w:tcPr>
                <w:p w14:paraId="61A32F25">
                  <w:pPr>
                    <w:jc w:val="center"/>
                    <w:rPr>
                      <w:rFonts w:hint="eastAsia"/>
                      <w:color w:val="000000"/>
                      <w:sz w:val="21"/>
                      <w:szCs w:val="21"/>
                      <w:lang w:val="en-US" w:eastAsia="zh-CN"/>
                    </w:rPr>
                  </w:pPr>
                  <w:r>
                    <w:rPr>
                      <w:rFonts w:hint="eastAsia"/>
                      <w:lang w:val="en-US" w:eastAsia="zh-CN"/>
                    </w:rPr>
                    <w:t>0.002</w:t>
                  </w:r>
                </w:p>
              </w:tc>
            </w:tr>
            <w:tr w14:paraId="2A0B7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6187D0A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6</w:t>
                  </w:r>
                </w:p>
              </w:tc>
              <w:tc>
                <w:tcPr>
                  <w:tcW w:w="2126" w:type="pct"/>
                  <w:shd w:val="clear" w:color="auto" w:fill="auto"/>
                  <w:vAlign w:val="center"/>
                </w:tcPr>
                <w:p w14:paraId="5463883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古碑-钼矿架空线路沿线南溪镇曹畈</w:t>
                  </w:r>
                  <w:r>
                    <w:rPr>
                      <w:rFonts w:hint="eastAsia" w:cs="Times New Roman"/>
                      <w:color w:val="auto"/>
                      <w:sz w:val="21"/>
                      <w:szCs w:val="21"/>
                      <w:lang w:val="en-US" w:eastAsia="zh-CN"/>
                    </w:rPr>
                    <w:t>村</w:t>
                  </w:r>
                  <w:r>
                    <w:rPr>
                      <w:rFonts w:hint="eastAsia" w:ascii="Times New Roman" w:hAnsi="Times New Roman" w:cs="Times New Roman"/>
                      <w:color w:val="auto"/>
                      <w:sz w:val="21"/>
                      <w:szCs w:val="21"/>
                      <w:lang w:val="en-US" w:eastAsia="zh-CN"/>
                    </w:rPr>
                    <w:t>G1</w:t>
                  </w:r>
                  <w:r>
                    <w:rPr>
                      <w:rFonts w:hint="eastAsia" w:cs="Times New Roman"/>
                      <w:color w:val="auto"/>
                      <w:sz w:val="21"/>
                      <w:szCs w:val="21"/>
                      <w:lang w:val="en-US" w:eastAsia="zh-CN"/>
                    </w:rPr>
                    <w:t>（金寨县南溪镇曹畈村）</w:t>
                  </w:r>
                </w:p>
              </w:tc>
              <w:tc>
                <w:tcPr>
                  <w:tcW w:w="659" w:type="pct"/>
                  <w:vMerge w:val="continue"/>
                  <w:shd w:val="clear" w:color="auto" w:fill="auto"/>
                  <w:vAlign w:val="center"/>
                </w:tcPr>
                <w:p w14:paraId="785A9A5F">
                  <w:pPr>
                    <w:jc w:val="center"/>
                    <w:rPr>
                      <w:rFonts w:hint="eastAsia"/>
                      <w:color w:val="000000"/>
                      <w:szCs w:val="21"/>
                      <w:lang w:val="en-US" w:eastAsia="zh-CN"/>
                    </w:rPr>
                  </w:pPr>
                </w:p>
              </w:tc>
              <w:tc>
                <w:tcPr>
                  <w:tcW w:w="984" w:type="pct"/>
                  <w:shd w:val="clear" w:color="auto" w:fill="auto"/>
                  <w:vAlign w:val="center"/>
                </w:tcPr>
                <w:p w14:paraId="2B6D1B27">
                  <w:pPr>
                    <w:jc w:val="center"/>
                    <w:rPr>
                      <w:rFonts w:hint="eastAsia"/>
                      <w:color w:val="000000"/>
                      <w:sz w:val="21"/>
                      <w:szCs w:val="21"/>
                      <w:lang w:val="en-US" w:eastAsia="zh-CN"/>
                    </w:rPr>
                  </w:pPr>
                  <w:r>
                    <w:rPr>
                      <w:rFonts w:hint="eastAsia"/>
                      <w:color w:val="000000"/>
                      <w:szCs w:val="21"/>
                      <w:lang w:val="en-US" w:eastAsia="zh-CN"/>
                    </w:rPr>
                    <w:t>0.126</w:t>
                  </w:r>
                </w:p>
              </w:tc>
              <w:tc>
                <w:tcPr>
                  <w:tcW w:w="931" w:type="pct"/>
                  <w:shd w:val="clear" w:color="auto" w:fill="auto"/>
                  <w:vAlign w:val="center"/>
                </w:tcPr>
                <w:p w14:paraId="0209E8C9">
                  <w:pPr>
                    <w:jc w:val="center"/>
                    <w:rPr>
                      <w:rFonts w:hint="eastAsia"/>
                      <w:color w:val="000000"/>
                      <w:sz w:val="21"/>
                      <w:szCs w:val="21"/>
                      <w:lang w:val="en-US" w:eastAsia="zh-CN"/>
                    </w:rPr>
                  </w:pPr>
                  <w:r>
                    <w:rPr>
                      <w:rFonts w:hint="eastAsia"/>
                      <w:lang w:val="en-US" w:eastAsia="zh-CN"/>
                    </w:rPr>
                    <w:t>0.002</w:t>
                  </w:r>
                </w:p>
              </w:tc>
            </w:tr>
            <w:tr w14:paraId="720B0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0CED394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w:t>
                  </w:r>
                </w:p>
              </w:tc>
              <w:tc>
                <w:tcPr>
                  <w:tcW w:w="2126" w:type="pct"/>
                  <w:shd w:val="clear" w:color="auto" w:fill="auto"/>
                  <w:vAlign w:val="center"/>
                </w:tcPr>
                <w:p w14:paraId="24D084A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双河-钼矿架空线路沿线南溪镇</w:t>
                  </w:r>
                  <w:r>
                    <w:rPr>
                      <w:rFonts w:hint="eastAsia" w:cs="Times New Roman"/>
                      <w:color w:val="auto"/>
                      <w:sz w:val="21"/>
                      <w:szCs w:val="21"/>
                      <w:lang w:val="en-US" w:eastAsia="zh-CN"/>
                    </w:rPr>
                    <w:t>坳口</w:t>
                  </w:r>
                  <w:r>
                    <w:rPr>
                      <w:rFonts w:hint="eastAsia" w:ascii="Times New Roman" w:hAnsi="Times New Roman" w:cs="Times New Roman"/>
                      <w:color w:val="auto"/>
                      <w:sz w:val="21"/>
                      <w:szCs w:val="21"/>
                      <w:lang w:val="en-US" w:eastAsia="zh-CN"/>
                    </w:rPr>
                    <w:t>G2</w:t>
                  </w:r>
                  <w:r>
                    <w:rPr>
                      <w:rFonts w:hint="eastAsia" w:cs="Times New Roman"/>
                      <w:color w:val="auto"/>
                      <w:sz w:val="21"/>
                      <w:szCs w:val="21"/>
                      <w:lang w:val="en-US" w:eastAsia="zh-CN"/>
                    </w:rPr>
                    <w:t>（金寨县南溪镇坳口）</w:t>
                  </w:r>
                </w:p>
              </w:tc>
              <w:tc>
                <w:tcPr>
                  <w:tcW w:w="659" w:type="pct"/>
                  <w:vMerge w:val="continue"/>
                  <w:shd w:val="clear" w:color="auto" w:fill="auto"/>
                  <w:vAlign w:val="center"/>
                </w:tcPr>
                <w:p w14:paraId="4238F3B5">
                  <w:pPr>
                    <w:jc w:val="center"/>
                    <w:rPr>
                      <w:rFonts w:hint="eastAsia"/>
                      <w:color w:val="000000"/>
                      <w:szCs w:val="21"/>
                      <w:lang w:val="en-US" w:eastAsia="zh-CN"/>
                    </w:rPr>
                  </w:pPr>
                </w:p>
              </w:tc>
              <w:tc>
                <w:tcPr>
                  <w:tcW w:w="984" w:type="pct"/>
                  <w:shd w:val="clear" w:color="auto" w:fill="auto"/>
                  <w:vAlign w:val="center"/>
                </w:tcPr>
                <w:p w14:paraId="57611165">
                  <w:pPr>
                    <w:jc w:val="center"/>
                    <w:rPr>
                      <w:rFonts w:hint="eastAsia"/>
                      <w:color w:val="000000"/>
                      <w:sz w:val="21"/>
                      <w:szCs w:val="21"/>
                      <w:lang w:val="en-US" w:eastAsia="zh-CN"/>
                    </w:rPr>
                  </w:pPr>
                  <w:r>
                    <w:rPr>
                      <w:rFonts w:hint="eastAsia"/>
                      <w:color w:val="000000"/>
                      <w:szCs w:val="21"/>
                      <w:lang w:val="en-US" w:eastAsia="zh-CN"/>
                    </w:rPr>
                    <w:t>4.73</w:t>
                  </w:r>
                </w:p>
              </w:tc>
              <w:tc>
                <w:tcPr>
                  <w:tcW w:w="931" w:type="pct"/>
                  <w:shd w:val="clear" w:color="auto" w:fill="auto"/>
                  <w:vAlign w:val="center"/>
                </w:tcPr>
                <w:p w14:paraId="43B60D47">
                  <w:pPr>
                    <w:jc w:val="center"/>
                    <w:rPr>
                      <w:rFonts w:hint="eastAsia"/>
                      <w:color w:val="000000"/>
                      <w:sz w:val="21"/>
                      <w:szCs w:val="21"/>
                      <w:lang w:val="en-US" w:eastAsia="zh-CN"/>
                    </w:rPr>
                  </w:pPr>
                  <w:r>
                    <w:rPr>
                      <w:rFonts w:hint="eastAsia"/>
                      <w:lang w:val="en-US" w:eastAsia="zh-CN"/>
                    </w:rPr>
                    <w:t>0.088</w:t>
                  </w:r>
                </w:p>
              </w:tc>
            </w:tr>
            <w:tr w14:paraId="2D66F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574B0D7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8</w:t>
                  </w:r>
                </w:p>
              </w:tc>
              <w:tc>
                <w:tcPr>
                  <w:tcW w:w="2126" w:type="pct"/>
                  <w:shd w:val="clear" w:color="auto" w:fill="auto"/>
                  <w:vAlign w:val="center"/>
                </w:tcPr>
                <w:p w14:paraId="0A4E17D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架空线路沿线南溪镇大竹园G3</w:t>
                  </w:r>
                  <w:r>
                    <w:rPr>
                      <w:rFonts w:hint="eastAsia" w:cs="Times New Roman"/>
                      <w:color w:val="auto"/>
                      <w:sz w:val="21"/>
                      <w:szCs w:val="21"/>
                      <w:lang w:val="en-US" w:eastAsia="zh-CN"/>
                    </w:rPr>
                    <w:t>（金寨县</w:t>
                  </w:r>
                  <w:r>
                    <w:rPr>
                      <w:rFonts w:hint="eastAsia" w:ascii="Times New Roman" w:hAnsi="Times New Roman" w:cs="Times New Roman"/>
                      <w:color w:val="auto"/>
                      <w:sz w:val="21"/>
                      <w:szCs w:val="21"/>
                      <w:lang w:val="en-US" w:eastAsia="zh-CN"/>
                    </w:rPr>
                    <w:t>南溪镇大竹园</w:t>
                  </w:r>
                  <w:r>
                    <w:rPr>
                      <w:rFonts w:hint="eastAsia" w:cs="Times New Roman"/>
                      <w:color w:val="auto"/>
                      <w:sz w:val="21"/>
                      <w:szCs w:val="21"/>
                      <w:lang w:val="en-US" w:eastAsia="zh-CN"/>
                    </w:rPr>
                    <w:t>）</w:t>
                  </w:r>
                </w:p>
              </w:tc>
              <w:tc>
                <w:tcPr>
                  <w:tcW w:w="659" w:type="pct"/>
                  <w:vMerge w:val="continue"/>
                  <w:shd w:val="clear" w:color="auto" w:fill="auto"/>
                  <w:vAlign w:val="center"/>
                </w:tcPr>
                <w:p w14:paraId="091409E9">
                  <w:pPr>
                    <w:jc w:val="center"/>
                    <w:rPr>
                      <w:rFonts w:hint="eastAsia"/>
                      <w:color w:val="000000"/>
                      <w:szCs w:val="21"/>
                      <w:lang w:val="en-US" w:eastAsia="zh-CN"/>
                    </w:rPr>
                  </w:pPr>
                </w:p>
              </w:tc>
              <w:tc>
                <w:tcPr>
                  <w:tcW w:w="984" w:type="pct"/>
                  <w:shd w:val="clear" w:color="auto" w:fill="auto"/>
                  <w:vAlign w:val="center"/>
                </w:tcPr>
                <w:p w14:paraId="3DBEA228">
                  <w:pPr>
                    <w:jc w:val="center"/>
                    <w:rPr>
                      <w:rFonts w:hint="eastAsia"/>
                      <w:color w:val="000000"/>
                      <w:sz w:val="21"/>
                      <w:szCs w:val="21"/>
                      <w:lang w:val="en-US" w:eastAsia="zh-CN"/>
                    </w:rPr>
                  </w:pPr>
                  <w:r>
                    <w:rPr>
                      <w:rFonts w:hint="eastAsia"/>
                      <w:color w:val="000000"/>
                      <w:szCs w:val="21"/>
                      <w:lang w:val="en-US" w:eastAsia="zh-CN"/>
                    </w:rPr>
                    <w:t>0.631</w:t>
                  </w:r>
                </w:p>
              </w:tc>
              <w:tc>
                <w:tcPr>
                  <w:tcW w:w="931" w:type="pct"/>
                  <w:shd w:val="clear" w:color="auto" w:fill="auto"/>
                  <w:vAlign w:val="center"/>
                </w:tcPr>
                <w:p w14:paraId="1E4F8CB9">
                  <w:pPr>
                    <w:jc w:val="center"/>
                    <w:rPr>
                      <w:rFonts w:hint="eastAsia"/>
                      <w:color w:val="000000"/>
                      <w:sz w:val="21"/>
                      <w:szCs w:val="21"/>
                      <w:lang w:val="en-US" w:eastAsia="zh-CN"/>
                    </w:rPr>
                  </w:pPr>
                  <w:r>
                    <w:rPr>
                      <w:rFonts w:hint="eastAsia"/>
                      <w:lang w:val="en-US" w:eastAsia="zh-CN"/>
                    </w:rPr>
                    <w:t>0.002</w:t>
                  </w:r>
                </w:p>
              </w:tc>
            </w:tr>
            <w:tr w14:paraId="55972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702C47B">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9</w:t>
                  </w:r>
                </w:p>
              </w:tc>
              <w:tc>
                <w:tcPr>
                  <w:tcW w:w="2126" w:type="pct"/>
                  <w:shd w:val="clear" w:color="auto" w:fill="auto"/>
                  <w:vAlign w:val="center"/>
                </w:tcPr>
                <w:p w14:paraId="69C26130">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古碑镇田家塆</w:t>
                  </w:r>
                </w:p>
              </w:tc>
              <w:tc>
                <w:tcPr>
                  <w:tcW w:w="659" w:type="pct"/>
                  <w:vMerge w:val="restart"/>
                  <w:shd w:val="clear" w:color="auto" w:fill="auto"/>
                  <w:vAlign w:val="center"/>
                </w:tcPr>
                <w:p w14:paraId="3DC47DCB">
                  <w:pPr>
                    <w:jc w:val="center"/>
                    <w:rPr>
                      <w:rFonts w:hint="eastAsia"/>
                      <w:color w:val="000000"/>
                      <w:sz w:val="20"/>
                      <w:szCs w:val="21"/>
                      <w:lang w:val="en-US" w:eastAsia="zh-CN"/>
                    </w:rPr>
                  </w:pPr>
                  <w:r>
                    <w:rPr>
                      <w:rFonts w:hint="eastAsia"/>
                      <w:color w:val="000000"/>
                      <w:sz w:val="20"/>
                      <w:szCs w:val="20"/>
                    </w:rPr>
                    <w:t>202</w:t>
                  </w:r>
                  <w:r>
                    <w:rPr>
                      <w:rFonts w:hint="eastAsia"/>
                      <w:color w:val="000000"/>
                      <w:sz w:val="20"/>
                      <w:szCs w:val="20"/>
                      <w:lang w:val="en-US" w:eastAsia="zh-CN"/>
                    </w:rPr>
                    <w:t>6.01.05</w:t>
                  </w:r>
                </w:p>
              </w:tc>
              <w:tc>
                <w:tcPr>
                  <w:tcW w:w="984" w:type="pct"/>
                  <w:shd w:val="clear" w:color="auto" w:fill="auto"/>
                  <w:vAlign w:val="center"/>
                </w:tcPr>
                <w:p w14:paraId="11ABCBF5">
                  <w:pPr>
                    <w:jc w:val="center"/>
                    <w:rPr>
                      <w:rFonts w:hint="eastAsia"/>
                      <w:color w:val="000000"/>
                      <w:szCs w:val="21"/>
                      <w:lang w:val="en-US" w:eastAsia="zh-CN"/>
                    </w:rPr>
                  </w:pPr>
                  <w:r>
                    <w:rPr>
                      <w:rFonts w:hint="eastAsia"/>
                      <w:color w:val="000000"/>
                      <w:sz w:val="20"/>
                      <w:szCs w:val="21"/>
                      <w:lang w:val="en-US" w:eastAsia="zh-CN"/>
                    </w:rPr>
                    <w:t>16.9</w:t>
                  </w:r>
                </w:p>
              </w:tc>
              <w:tc>
                <w:tcPr>
                  <w:tcW w:w="931" w:type="pct"/>
                  <w:shd w:val="clear" w:color="auto" w:fill="auto"/>
                  <w:vAlign w:val="center"/>
                </w:tcPr>
                <w:p w14:paraId="1DC4FCB0">
                  <w:pPr>
                    <w:jc w:val="center"/>
                    <w:rPr>
                      <w:rFonts w:hint="eastAsia"/>
                      <w:color w:val="000000"/>
                      <w:szCs w:val="21"/>
                      <w:lang w:val="en-US" w:eastAsia="zh-CN"/>
                    </w:rPr>
                  </w:pPr>
                  <w:r>
                    <w:rPr>
                      <w:rFonts w:hint="eastAsia" w:cs="Times New Roman"/>
                      <w:color w:val="000000"/>
                      <w:kern w:val="0"/>
                      <w:sz w:val="20"/>
                      <w:szCs w:val="21"/>
                      <w:lang w:val="en-US" w:eastAsia="zh-CN" w:bidi="ar-SA"/>
                    </w:rPr>
                    <w:t>0.052</w:t>
                  </w:r>
                </w:p>
              </w:tc>
            </w:tr>
            <w:tr w14:paraId="727A7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0135B923">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2126" w:type="pct"/>
                  <w:shd w:val="clear" w:color="auto" w:fill="auto"/>
                  <w:vAlign w:val="center"/>
                </w:tcPr>
                <w:p w14:paraId="2258AC0C">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古碑镇袁家老屋</w:t>
                  </w:r>
                </w:p>
              </w:tc>
              <w:tc>
                <w:tcPr>
                  <w:tcW w:w="659" w:type="pct"/>
                  <w:vMerge w:val="continue"/>
                  <w:shd w:val="clear" w:color="auto" w:fill="auto"/>
                  <w:vAlign w:val="center"/>
                </w:tcPr>
                <w:p w14:paraId="4BB7B588">
                  <w:pPr>
                    <w:jc w:val="center"/>
                    <w:rPr>
                      <w:rFonts w:hint="eastAsia"/>
                      <w:color w:val="000000"/>
                      <w:sz w:val="20"/>
                      <w:szCs w:val="21"/>
                      <w:lang w:val="en-US" w:eastAsia="zh-CN"/>
                    </w:rPr>
                  </w:pPr>
                </w:p>
              </w:tc>
              <w:tc>
                <w:tcPr>
                  <w:tcW w:w="984" w:type="pct"/>
                  <w:shd w:val="clear" w:color="auto" w:fill="auto"/>
                  <w:vAlign w:val="center"/>
                </w:tcPr>
                <w:p w14:paraId="48208210">
                  <w:pPr>
                    <w:jc w:val="center"/>
                    <w:rPr>
                      <w:rFonts w:hint="eastAsia"/>
                      <w:color w:val="000000"/>
                      <w:szCs w:val="21"/>
                      <w:lang w:val="en-US" w:eastAsia="zh-CN"/>
                    </w:rPr>
                  </w:pPr>
                  <w:r>
                    <w:rPr>
                      <w:rFonts w:hint="eastAsia"/>
                      <w:color w:val="000000"/>
                      <w:sz w:val="20"/>
                      <w:szCs w:val="21"/>
                      <w:lang w:val="en-US" w:eastAsia="zh-CN"/>
                    </w:rPr>
                    <w:t>1.21</w:t>
                  </w:r>
                </w:p>
              </w:tc>
              <w:tc>
                <w:tcPr>
                  <w:tcW w:w="931" w:type="pct"/>
                  <w:shd w:val="clear" w:color="auto" w:fill="auto"/>
                  <w:vAlign w:val="center"/>
                </w:tcPr>
                <w:p w14:paraId="2A4592F4">
                  <w:pPr>
                    <w:jc w:val="center"/>
                    <w:rPr>
                      <w:rFonts w:hint="eastAsia"/>
                      <w:color w:val="000000"/>
                      <w:szCs w:val="21"/>
                      <w:lang w:val="en-US" w:eastAsia="zh-CN"/>
                    </w:rPr>
                  </w:pPr>
                  <w:r>
                    <w:rPr>
                      <w:rFonts w:hint="eastAsia"/>
                      <w:color w:val="000000"/>
                      <w:sz w:val="20"/>
                      <w:szCs w:val="21"/>
                      <w:lang w:val="en-US" w:eastAsia="zh-CN"/>
                    </w:rPr>
                    <w:t>0.004</w:t>
                  </w:r>
                </w:p>
              </w:tc>
            </w:tr>
            <w:tr w14:paraId="2E384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F248CA8">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11</w:t>
                  </w:r>
                </w:p>
              </w:tc>
              <w:tc>
                <w:tcPr>
                  <w:tcW w:w="2126" w:type="pct"/>
                  <w:shd w:val="clear" w:color="auto" w:fill="auto"/>
                  <w:vAlign w:val="center"/>
                </w:tcPr>
                <w:p w14:paraId="1A1EE572">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槐树湾乡笔架塆</w:t>
                  </w:r>
                </w:p>
              </w:tc>
              <w:tc>
                <w:tcPr>
                  <w:tcW w:w="659" w:type="pct"/>
                  <w:vMerge w:val="continue"/>
                  <w:shd w:val="clear" w:color="auto" w:fill="auto"/>
                  <w:vAlign w:val="center"/>
                </w:tcPr>
                <w:p w14:paraId="74EA5D37">
                  <w:pPr>
                    <w:jc w:val="center"/>
                    <w:rPr>
                      <w:rFonts w:hint="eastAsia"/>
                      <w:color w:val="000000"/>
                      <w:sz w:val="20"/>
                      <w:szCs w:val="21"/>
                      <w:lang w:val="en-US" w:eastAsia="zh-CN"/>
                    </w:rPr>
                  </w:pPr>
                </w:p>
              </w:tc>
              <w:tc>
                <w:tcPr>
                  <w:tcW w:w="984" w:type="pct"/>
                  <w:shd w:val="clear" w:color="auto" w:fill="auto"/>
                  <w:vAlign w:val="center"/>
                </w:tcPr>
                <w:p w14:paraId="28D99A9E">
                  <w:pPr>
                    <w:jc w:val="center"/>
                    <w:rPr>
                      <w:rFonts w:hint="eastAsia"/>
                      <w:color w:val="000000"/>
                      <w:szCs w:val="21"/>
                      <w:lang w:val="en-US" w:eastAsia="zh-CN"/>
                    </w:rPr>
                  </w:pPr>
                  <w:r>
                    <w:rPr>
                      <w:rFonts w:hint="eastAsia"/>
                      <w:color w:val="000000"/>
                      <w:sz w:val="20"/>
                      <w:szCs w:val="21"/>
                      <w:lang w:val="en-US" w:eastAsia="zh-CN"/>
                    </w:rPr>
                    <w:t>1.01</w:t>
                  </w:r>
                </w:p>
              </w:tc>
              <w:tc>
                <w:tcPr>
                  <w:tcW w:w="931" w:type="pct"/>
                  <w:shd w:val="clear" w:color="auto" w:fill="auto"/>
                  <w:vAlign w:val="center"/>
                </w:tcPr>
                <w:p w14:paraId="67B915F0">
                  <w:pPr>
                    <w:jc w:val="center"/>
                    <w:rPr>
                      <w:rFonts w:hint="eastAsia"/>
                      <w:color w:val="000000"/>
                      <w:szCs w:val="21"/>
                      <w:lang w:val="en-US" w:eastAsia="zh-CN"/>
                    </w:rPr>
                  </w:pPr>
                  <w:r>
                    <w:rPr>
                      <w:rFonts w:hint="eastAsia"/>
                      <w:color w:val="000000"/>
                      <w:sz w:val="20"/>
                      <w:szCs w:val="21"/>
                      <w:lang w:val="en-US" w:eastAsia="zh-CN"/>
                    </w:rPr>
                    <w:t>0.005</w:t>
                  </w:r>
                </w:p>
              </w:tc>
            </w:tr>
            <w:tr w14:paraId="3FE33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13F9580B">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12</w:t>
                  </w:r>
                </w:p>
              </w:tc>
              <w:tc>
                <w:tcPr>
                  <w:tcW w:w="2126" w:type="pct"/>
                  <w:shd w:val="clear" w:color="auto" w:fill="auto"/>
                  <w:vAlign w:val="center"/>
                </w:tcPr>
                <w:p w14:paraId="55068653">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南溪镇上冲</w:t>
                  </w:r>
                </w:p>
              </w:tc>
              <w:tc>
                <w:tcPr>
                  <w:tcW w:w="659" w:type="pct"/>
                  <w:vMerge w:val="continue"/>
                  <w:shd w:val="clear" w:color="auto" w:fill="auto"/>
                  <w:vAlign w:val="center"/>
                </w:tcPr>
                <w:p w14:paraId="67EB5C55">
                  <w:pPr>
                    <w:jc w:val="center"/>
                    <w:rPr>
                      <w:rFonts w:hint="eastAsia"/>
                      <w:color w:val="000000"/>
                      <w:sz w:val="20"/>
                      <w:szCs w:val="21"/>
                      <w:lang w:val="en-US" w:eastAsia="zh-CN"/>
                    </w:rPr>
                  </w:pPr>
                </w:p>
              </w:tc>
              <w:tc>
                <w:tcPr>
                  <w:tcW w:w="984" w:type="pct"/>
                  <w:shd w:val="clear" w:color="auto" w:fill="auto"/>
                  <w:vAlign w:val="center"/>
                </w:tcPr>
                <w:p w14:paraId="119622D8">
                  <w:pPr>
                    <w:jc w:val="center"/>
                    <w:rPr>
                      <w:rFonts w:hint="eastAsia"/>
                      <w:color w:val="000000"/>
                      <w:szCs w:val="21"/>
                      <w:lang w:val="en-US" w:eastAsia="zh-CN"/>
                    </w:rPr>
                  </w:pPr>
                  <w:r>
                    <w:rPr>
                      <w:rFonts w:hint="eastAsia"/>
                      <w:color w:val="000000"/>
                      <w:sz w:val="20"/>
                      <w:szCs w:val="21"/>
                      <w:lang w:val="en-US" w:eastAsia="zh-CN"/>
                    </w:rPr>
                    <w:t>0.242</w:t>
                  </w:r>
                </w:p>
              </w:tc>
              <w:tc>
                <w:tcPr>
                  <w:tcW w:w="931" w:type="pct"/>
                  <w:shd w:val="clear" w:color="auto" w:fill="auto"/>
                  <w:vAlign w:val="center"/>
                </w:tcPr>
                <w:p w14:paraId="35AEA6AF">
                  <w:pPr>
                    <w:jc w:val="center"/>
                    <w:rPr>
                      <w:rFonts w:hint="eastAsia"/>
                      <w:color w:val="000000"/>
                      <w:szCs w:val="21"/>
                      <w:lang w:val="en-US" w:eastAsia="zh-CN"/>
                    </w:rPr>
                  </w:pPr>
                  <w:r>
                    <w:rPr>
                      <w:rFonts w:hint="eastAsia"/>
                      <w:color w:val="000000"/>
                      <w:sz w:val="20"/>
                      <w:szCs w:val="21"/>
                      <w:lang w:val="en-US" w:eastAsia="zh-CN"/>
                    </w:rPr>
                    <w:t>0.002</w:t>
                  </w:r>
                </w:p>
              </w:tc>
            </w:tr>
            <w:tr w14:paraId="001D4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5E65B9CA">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13</w:t>
                  </w:r>
                </w:p>
              </w:tc>
              <w:tc>
                <w:tcPr>
                  <w:tcW w:w="2126" w:type="pct"/>
                  <w:shd w:val="clear" w:color="auto" w:fill="auto"/>
                  <w:vAlign w:val="center"/>
                </w:tcPr>
                <w:p w14:paraId="5418B396">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南溪镇吕大院</w:t>
                  </w:r>
                </w:p>
              </w:tc>
              <w:tc>
                <w:tcPr>
                  <w:tcW w:w="659" w:type="pct"/>
                  <w:vMerge w:val="continue"/>
                  <w:shd w:val="clear" w:color="auto" w:fill="auto"/>
                  <w:vAlign w:val="center"/>
                </w:tcPr>
                <w:p w14:paraId="47B50856">
                  <w:pPr>
                    <w:jc w:val="center"/>
                    <w:rPr>
                      <w:rFonts w:hint="eastAsia"/>
                      <w:color w:val="000000"/>
                      <w:sz w:val="20"/>
                      <w:szCs w:val="21"/>
                      <w:lang w:val="en-US" w:eastAsia="zh-CN"/>
                    </w:rPr>
                  </w:pPr>
                </w:p>
              </w:tc>
              <w:tc>
                <w:tcPr>
                  <w:tcW w:w="984" w:type="pct"/>
                  <w:shd w:val="clear" w:color="auto" w:fill="auto"/>
                  <w:vAlign w:val="center"/>
                </w:tcPr>
                <w:p w14:paraId="3D7C0C9B">
                  <w:pPr>
                    <w:jc w:val="center"/>
                    <w:rPr>
                      <w:rFonts w:hint="eastAsia"/>
                      <w:color w:val="000000"/>
                      <w:szCs w:val="21"/>
                      <w:lang w:val="en-US" w:eastAsia="zh-CN"/>
                    </w:rPr>
                  </w:pPr>
                  <w:r>
                    <w:rPr>
                      <w:rFonts w:hint="eastAsia"/>
                      <w:color w:val="000000"/>
                      <w:sz w:val="20"/>
                      <w:szCs w:val="21"/>
                      <w:lang w:val="en-US" w:eastAsia="zh-CN"/>
                    </w:rPr>
                    <w:t>0.646</w:t>
                  </w:r>
                </w:p>
              </w:tc>
              <w:tc>
                <w:tcPr>
                  <w:tcW w:w="931" w:type="pct"/>
                  <w:shd w:val="clear" w:color="auto" w:fill="auto"/>
                  <w:vAlign w:val="center"/>
                </w:tcPr>
                <w:p w14:paraId="15C13412">
                  <w:pPr>
                    <w:jc w:val="center"/>
                    <w:rPr>
                      <w:rFonts w:hint="eastAsia"/>
                      <w:color w:val="000000"/>
                      <w:szCs w:val="21"/>
                      <w:lang w:val="en-US" w:eastAsia="zh-CN"/>
                    </w:rPr>
                  </w:pPr>
                  <w:r>
                    <w:rPr>
                      <w:rFonts w:hint="eastAsia"/>
                      <w:color w:val="000000"/>
                      <w:sz w:val="20"/>
                      <w:szCs w:val="21"/>
                      <w:lang w:val="en-US" w:eastAsia="zh-CN"/>
                    </w:rPr>
                    <w:t>0.025</w:t>
                  </w:r>
                </w:p>
              </w:tc>
            </w:tr>
            <w:tr w14:paraId="04F08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6E825B15">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14</w:t>
                  </w:r>
                </w:p>
              </w:tc>
              <w:tc>
                <w:tcPr>
                  <w:tcW w:w="2126" w:type="pct"/>
                  <w:shd w:val="clear" w:color="auto" w:fill="auto"/>
                  <w:vAlign w:val="center"/>
                </w:tcPr>
                <w:p w14:paraId="0FA4A0DE">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南溪镇石林沟</w:t>
                  </w:r>
                </w:p>
              </w:tc>
              <w:tc>
                <w:tcPr>
                  <w:tcW w:w="659" w:type="pct"/>
                  <w:vMerge w:val="continue"/>
                  <w:shd w:val="clear" w:color="auto" w:fill="auto"/>
                  <w:vAlign w:val="center"/>
                </w:tcPr>
                <w:p w14:paraId="6FCB2E84">
                  <w:pPr>
                    <w:jc w:val="center"/>
                    <w:rPr>
                      <w:rFonts w:hint="eastAsia"/>
                      <w:color w:val="000000"/>
                      <w:sz w:val="20"/>
                      <w:szCs w:val="21"/>
                      <w:lang w:val="en-US" w:eastAsia="zh-CN"/>
                    </w:rPr>
                  </w:pPr>
                </w:p>
              </w:tc>
              <w:tc>
                <w:tcPr>
                  <w:tcW w:w="984" w:type="pct"/>
                  <w:shd w:val="clear" w:color="auto" w:fill="auto"/>
                  <w:vAlign w:val="center"/>
                </w:tcPr>
                <w:p w14:paraId="590B3E4C">
                  <w:pPr>
                    <w:jc w:val="center"/>
                    <w:rPr>
                      <w:rFonts w:hint="eastAsia"/>
                      <w:color w:val="000000"/>
                      <w:szCs w:val="21"/>
                      <w:lang w:val="en-US" w:eastAsia="zh-CN"/>
                    </w:rPr>
                  </w:pPr>
                  <w:r>
                    <w:rPr>
                      <w:rFonts w:hint="eastAsia"/>
                      <w:color w:val="000000"/>
                      <w:sz w:val="20"/>
                      <w:szCs w:val="21"/>
                      <w:lang w:val="en-US" w:eastAsia="zh-CN"/>
                    </w:rPr>
                    <w:t>3.30</w:t>
                  </w:r>
                </w:p>
              </w:tc>
              <w:tc>
                <w:tcPr>
                  <w:tcW w:w="931" w:type="pct"/>
                  <w:shd w:val="clear" w:color="auto" w:fill="auto"/>
                  <w:vAlign w:val="center"/>
                </w:tcPr>
                <w:p w14:paraId="4107CD5A">
                  <w:pPr>
                    <w:jc w:val="center"/>
                    <w:rPr>
                      <w:rFonts w:hint="eastAsia"/>
                      <w:color w:val="000000"/>
                      <w:szCs w:val="21"/>
                      <w:lang w:val="en-US" w:eastAsia="zh-CN"/>
                    </w:rPr>
                  </w:pPr>
                  <w:r>
                    <w:rPr>
                      <w:rFonts w:hint="eastAsia"/>
                      <w:color w:val="000000"/>
                      <w:sz w:val="20"/>
                      <w:szCs w:val="21"/>
                      <w:lang w:val="en-US" w:eastAsia="zh-CN"/>
                    </w:rPr>
                    <w:t>0.003</w:t>
                  </w:r>
                </w:p>
              </w:tc>
            </w:tr>
            <w:tr w14:paraId="4594E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3235AC7">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15</w:t>
                  </w:r>
                </w:p>
              </w:tc>
              <w:tc>
                <w:tcPr>
                  <w:tcW w:w="2126" w:type="pct"/>
                  <w:shd w:val="clear" w:color="auto" w:fill="auto"/>
                  <w:vAlign w:val="center"/>
                </w:tcPr>
                <w:p w14:paraId="281FBC77">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南溪镇小里塆</w:t>
                  </w:r>
                </w:p>
              </w:tc>
              <w:tc>
                <w:tcPr>
                  <w:tcW w:w="659" w:type="pct"/>
                  <w:vMerge w:val="continue"/>
                  <w:shd w:val="clear" w:color="auto" w:fill="auto"/>
                  <w:vAlign w:val="center"/>
                </w:tcPr>
                <w:p w14:paraId="5E6FB814">
                  <w:pPr>
                    <w:jc w:val="center"/>
                    <w:rPr>
                      <w:rFonts w:hint="eastAsia"/>
                      <w:color w:val="000000"/>
                      <w:sz w:val="20"/>
                      <w:szCs w:val="21"/>
                      <w:lang w:val="en-US" w:eastAsia="zh-CN"/>
                    </w:rPr>
                  </w:pPr>
                </w:p>
              </w:tc>
              <w:tc>
                <w:tcPr>
                  <w:tcW w:w="984" w:type="pct"/>
                  <w:shd w:val="clear" w:color="auto" w:fill="auto"/>
                  <w:vAlign w:val="center"/>
                </w:tcPr>
                <w:p w14:paraId="7F88405D">
                  <w:pPr>
                    <w:jc w:val="center"/>
                    <w:rPr>
                      <w:rFonts w:hint="eastAsia"/>
                      <w:color w:val="000000"/>
                      <w:szCs w:val="21"/>
                      <w:lang w:val="en-US" w:eastAsia="zh-CN"/>
                    </w:rPr>
                  </w:pPr>
                  <w:r>
                    <w:rPr>
                      <w:rFonts w:hint="eastAsia"/>
                      <w:color w:val="000000"/>
                      <w:sz w:val="20"/>
                      <w:szCs w:val="21"/>
                      <w:lang w:val="en-US" w:eastAsia="zh-CN"/>
                    </w:rPr>
                    <w:t>0.026</w:t>
                  </w:r>
                </w:p>
              </w:tc>
              <w:tc>
                <w:tcPr>
                  <w:tcW w:w="931" w:type="pct"/>
                  <w:shd w:val="clear" w:color="auto" w:fill="auto"/>
                  <w:vAlign w:val="center"/>
                </w:tcPr>
                <w:p w14:paraId="07785EE8">
                  <w:pPr>
                    <w:jc w:val="center"/>
                    <w:rPr>
                      <w:rFonts w:hint="eastAsia"/>
                      <w:color w:val="000000"/>
                      <w:szCs w:val="21"/>
                      <w:lang w:val="en-US" w:eastAsia="zh-CN"/>
                    </w:rPr>
                  </w:pPr>
                  <w:r>
                    <w:rPr>
                      <w:rFonts w:hint="eastAsia"/>
                      <w:color w:val="000000"/>
                      <w:sz w:val="20"/>
                      <w:szCs w:val="21"/>
                      <w:lang w:val="en-US" w:eastAsia="zh-CN"/>
                    </w:rPr>
                    <w:t>0.007</w:t>
                  </w:r>
                </w:p>
              </w:tc>
            </w:tr>
            <w:tr w14:paraId="1E87A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7C08B035">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2126" w:type="pct"/>
                  <w:shd w:val="clear" w:color="auto" w:fill="auto"/>
                  <w:vAlign w:val="center"/>
                </w:tcPr>
                <w:p w14:paraId="3B5D99AF">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南溪镇麦岭</w:t>
                  </w:r>
                </w:p>
              </w:tc>
              <w:tc>
                <w:tcPr>
                  <w:tcW w:w="659" w:type="pct"/>
                  <w:vMerge w:val="continue"/>
                  <w:shd w:val="clear" w:color="auto" w:fill="auto"/>
                  <w:vAlign w:val="center"/>
                </w:tcPr>
                <w:p w14:paraId="626DDA30">
                  <w:pPr>
                    <w:jc w:val="center"/>
                    <w:rPr>
                      <w:rFonts w:hint="eastAsia"/>
                      <w:color w:val="000000"/>
                      <w:sz w:val="20"/>
                      <w:szCs w:val="21"/>
                      <w:lang w:val="en-US" w:eastAsia="zh-CN"/>
                    </w:rPr>
                  </w:pPr>
                </w:p>
              </w:tc>
              <w:tc>
                <w:tcPr>
                  <w:tcW w:w="984" w:type="pct"/>
                  <w:shd w:val="clear" w:color="auto" w:fill="auto"/>
                  <w:vAlign w:val="center"/>
                </w:tcPr>
                <w:p w14:paraId="241E54B0">
                  <w:pPr>
                    <w:jc w:val="center"/>
                    <w:rPr>
                      <w:rFonts w:hint="eastAsia"/>
                      <w:color w:val="000000"/>
                      <w:szCs w:val="21"/>
                      <w:lang w:val="en-US" w:eastAsia="zh-CN"/>
                    </w:rPr>
                  </w:pPr>
                  <w:r>
                    <w:rPr>
                      <w:rFonts w:hint="eastAsia"/>
                      <w:color w:val="000000"/>
                      <w:sz w:val="20"/>
                      <w:szCs w:val="21"/>
                      <w:lang w:val="en-US" w:eastAsia="zh-CN"/>
                    </w:rPr>
                    <w:t>0.855</w:t>
                  </w:r>
                </w:p>
              </w:tc>
              <w:tc>
                <w:tcPr>
                  <w:tcW w:w="931" w:type="pct"/>
                  <w:shd w:val="clear" w:color="auto" w:fill="auto"/>
                  <w:vAlign w:val="center"/>
                </w:tcPr>
                <w:p w14:paraId="26008F33">
                  <w:pPr>
                    <w:jc w:val="center"/>
                    <w:rPr>
                      <w:rFonts w:hint="eastAsia"/>
                      <w:color w:val="000000"/>
                      <w:szCs w:val="21"/>
                      <w:lang w:val="en-US" w:eastAsia="zh-CN"/>
                    </w:rPr>
                  </w:pPr>
                  <w:r>
                    <w:rPr>
                      <w:rFonts w:hint="eastAsia"/>
                      <w:color w:val="000000"/>
                      <w:sz w:val="20"/>
                      <w:szCs w:val="21"/>
                      <w:lang w:val="en-US" w:eastAsia="zh-CN"/>
                    </w:rPr>
                    <w:t>0.030</w:t>
                  </w:r>
                </w:p>
              </w:tc>
            </w:tr>
            <w:tr w14:paraId="09F24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07B6D548">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2126" w:type="pct"/>
                  <w:shd w:val="clear" w:color="auto" w:fill="auto"/>
                  <w:vAlign w:val="center"/>
                </w:tcPr>
                <w:p w14:paraId="0C1BAE56">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古碑-钼矿架空线路沿线</w:t>
                  </w:r>
                  <w:r>
                    <w:rPr>
                      <w:rFonts w:hint="eastAsia" w:cs="Times New Roman"/>
                      <w:color w:val="auto"/>
                      <w:sz w:val="21"/>
                      <w:szCs w:val="21"/>
                      <w:lang w:val="en-US" w:eastAsia="zh-CN"/>
                    </w:rPr>
                    <w:t>南溪镇凉水井</w:t>
                  </w:r>
                </w:p>
              </w:tc>
              <w:tc>
                <w:tcPr>
                  <w:tcW w:w="659" w:type="pct"/>
                  <w:vMerge w:val="continue"/>
                  <w:shd w:val="clear" w:color="auto" w:fill="auto"/>
                  <w:vAlign w:val="center"/>
                </w:tcPr>
                <w:p w14:paraId="730C5259">
                  <w:pPr>
                    <w:jc w:val="center"/>
                    <w:rPr>
                      <w:rFonts w:hint="eastAsia"/>
                      <w:color w:val="000000"/>
                      <w:sz w:val="20"/>
                      <w:szCs w:val="21"/>
                      <w:lang w:val="en-US" w:eastAsia="zh-CN"/>
                    </w:rPr>
                  </w:pPr>
                </w:p>
              </w:tc>
              <w:tc>
                <w:tcPr>
                  <w:tcW w:w="984" w:type="pct"/>
                  <w:shd w:val="clear" w:color="auto" w:fill="auto"/>
                  <w:vAlign w:val="center"/>
                </w:tcPr>
                <w:p w14:paraId="4798C990">
                  <w:pPr>
                    <w:jc w:val="center"/>
                    <w:rPr>
                      <w:rFonts w:hint="eastAsia"/>
                      <w:color w:val="000000"/>
                      <w:szCs w:val="21"/>
                      <w:lang w:val="en-US" w:eastAsia="zh-CN"/>
                    </w:rPr>
                  </w:pPr>
                  <w:r>
                    <w:rPr>
                      <w:rFonts w:hint="eastAsia"/>
                      <w:color w:val="000000"/>
                      <w:sz w:val="20"/>
                      <w:szCs w:val="21"/>
                      <w:lang w:val="en-US" w:eastAsia="zh-CN"/>
                    </w:rPr>
                    <w:t>0.982</w:t>
                  </w:r>
                </w:p>
              </w:tc>
              <w:tc>
                <w:tcPr>
                  <w:tcW w:w="931" w:type="pct"/>
                  <w:shd w:val="clear" w:color="auto" w:fill="auto"/>
                  <w:vAlign w:val="center"/>
                </w:tcPr>
                <w:p w14:paraId="58D7EEDB">
                  <w:pPr>
                    <w:jc w:val="center"/>
                    <w:rPr>
                      <w:rFonts w:hint="eastAsia"/>
                      <w:color w:val="000000"/>
                      <w:szCs w:val="21"/>
                      <w:lang w:val="en-US" w:eastAsia="zh-CN"/>
                    </w:rPr>
                  </w:pPr>
                  <w:r>
                    <w:rPr>
                      <w:rFonts w:hint="eastAsia"/>
                      <w:color w:val="000000"/>
                      <w:sz w:val="20"/>
                      <w:szCs w:val="21"/>
                      <w:lang w:val="en-US" w:eastAsia="zh-CN"/>
                    </w:rPr>
                    <w:t>0.006</w:t>
                  </w:r>
                </w:p>
              </w:tc>
            </w:tr>
            <w:tr w14:paraId="0E141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C1BB84D">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18</w:t>
                  </w:r>
                </w:p>
              </w:tc>
              <w:tc>
                <w:tcPr>
                  <w:tcW w:w="2126" w:type="pct"/>
                  <w:shd w:val="clear" w:color="auto" w:fill="auto"/>
                  <w:vAlign w:val="center"/>
                </w:tcPr>
                <w:p w14:paraId="0D451961">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双河镇吕大塆</w:t>
                  </w:r>
                </w:p>
              </w:tc>
              <w:tc>
                <w:tcPr>
                  <w:tcW w:w="659" w:type="pct"/>
                  <w:vMerge w:val="continue"/>
                  <w:shd w:val="clear" w:color="auto" w:fill="auto"/>
                  <w:vAlign w:val="center"/>
                </w:tcPr>
                <w:p w14:paraId="2080534D">
                  <w:pPr>
                    <w:jc w:val="center"/>
                    <w:rPr>
                      <w:rFonts w:hint="eastAsia"/>
                      <w:color w:val="000000"/>
                      <w:sz w:val="20"/>
                      <w:szCs w:val="21"/>
                      <w:lang w:val="en-US" w:eastAsia="zh-CN"/>
                    </w:rPr>
                  </w:pPr>
                </w:p>
              </w:tc>
              <w:tc>
                <w:tcPr>
                  <w:tcW w:w="984" w:type="pct"/>
                  <w:shd w:val="clear" w:color="auto" w:fill="auto"/>
                  <w:vAlign w:val="center"/>
                </w:tcPr>
                <w:p w14:paraId="024B8A42">
                  <w:pPr>
                    <w:jc w:val="center"/>
                    <w:rPr>
                      <w:rFonts w:hint="eastAsia"/>
                      <w:color w:val="000000"/>
                      <w:szCs w:val="21"/>
                      <w:lang w:val="en-US" w:eastAsia="zh-CN"/>
                    </w:rPr>
                  </w:pPr>
                  <w:r>
                    <w:rPr>
                      <w:rFonts w:hint="eastAsia"/>
                      <w:color w:val="000000"/>
                      <w:sz w:val="20"/>
                      <w:szCs w:val="21"/>
                      <w:lang w:val="en-US" w:eastAsia="zh-CN"/>
                    </w:rPr>
                    <w:t>2.09</w:t>
                  </w:r>
                </w:p>
              </w:tc>
              <w:tc>
                <w:tcPr>
                  <w:tcW w:w="931" w:type="pct"/>
                  <w:shd w:val="clear" w:color="auto" w:fill="auto"/>
                  <w:vAlign w:val="center"/>
                </w:tcPr>
                <w:p w14:paraId="34055B2D">
                  <w:pPr>
                    <w:jc w:val="center"/>
                    <w:rPr>
                      <w:rFonts w:hint="eastAsia"/>
                      <w:color w:val="000000"/>
                      <w:szCs w:val="21"/>
                      <w:lang w:val="en-US" w:eastAsia="zh-CN"/>
                    </w:rPr>
                  </w:pPr>
                  <w:r>
                    <w:rPr>
                      <w:rFonts w:hint="eastAsia"/>
                      <w:color w:val="000000"/>
                      <w:sz w:val="20"/>
                      <w:szCs w:val="21"/>
                      <w:lang w:val="en-US" w:eastAsia="zh-CN"/>
                    </w:rPr>
                    <w:t>0.002</w:t>
                  </w:r>
                </w:p>
              </w:tc>
            </w:tr>
            <w:tr w14:paraId="5C6C7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1C765DAE">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19</w:t>
                  </w:r>
                </w:p>
              </w:tc>
              <w:tc>
                <w:tcPr>
                  <w:tcW w:w="2126" w:type="pct"/>
                  <w:shd w:val="clear" w:color="auto" w:fill="auto"/>
                  <w:vAlign w:val="center"/>
                </w:tcPr>
                <w:p w14:paraId="3270159E">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双河镇北栗树塆</w:t>
                  </w:r>
                </w:p>
              </w:tc>
              <w:tc>
                <w:tcPr>
                  <w:tcW w:w="659" w:type="pct"/>
                  <w:vMerge w:val="continue"/>
                  <w:shd w:val="clear" w:color="auto" w:fill="auto"/>
                  <w:vAlign w:val="center"/>
                </w:tcPr>
                <w:p w14:paraId="4FF1BF63">
                  <w:pPr>
                    <w:jc w:val="center"/>
                    <w:rPr>
                      <w:rFonts w:hint="eastAsia"/>
                      <w:color w:val="000000"/>
                      <w:sz w:val="20"/>
                      <w:szCs w:val="21"/>
                      <w:lang w:val="en-US" w:eastAsia="zh-CN"/>
                    </w:rPr>
                  </w:pPr>
                </w:p>
              </w:tc>
              <w:tc>
                <w:tcPr>
                  <w:tcW w:w="984" w:type="pct"/>
                  <w:shd w:val="clear" w:color="auto" w:fill="auto"/>
                  <w:vAlign w:val="center"/>
                </w:tcPr>
                <w:p w14:paraId="45B7C432">
                  <w:pPr>
                    <w:jc w:val="center"/>
                    <w:rPr>
                      <w:rFonts w:hint="eastAsia"/>
                      <w:color w:val="000000"/>
                      <w:szCs w:val="21"/>
                      <w:lang w:val="en-US" w:eastAsia="zh-CN"/>
                    </w:rPr>
                  </w:pPr>
                  <w:r>
                    <w:rPr>
                      <w:rFonts w:hint="eastAsia"/>
                      <w:color w:val="000000"/>
                      <w:sz w:val="20"/>
                      <w:szCs w:val="21"/>
                      <w:lang w:val="en-US" w:eastAsia="zh-CN"/>
                    </w:rPr>
                    <w:t>0.310</w:t>
                  </w:r>
                </w:p>
              </w:tc>
              <w:tc>
                <w:tcPr>
                  <w:tcW w:w="931" w:type="pct"/>
                  <w:shd w:val="clear" w:color="auto" w:fill="auto"/>
                  <w:vAlign w:val="center"/>
                </w:tcPr>
                <w:p w14:paraId="1DA651FA">
                  <w:pPr>
                    <w:jc w:val="center"/>
                    <w:rPr>
                      <w:rFonts w:hint="eastAsia"/>
                      <w:color w:val="000000"/>
                      <w:szCs w:val="21"/>
                      <w:lang w:val="en-US" w:eastAsia="zh-CN"/>
                    </w:rPr>
                  </w:pPr>
                  <w:r>
                    <w:rPr>
                      <w:rFonts w:hint="eastAsia"/>
                      <w:color w:val="000000"/>
                      <w:sz w:val="20"/>
                      <w:szCs w:val="21"/>
                      <w:lang w:val="en-US" w:eastAsia="zh-CN"/>
                    </w:rPr>
                    <w:t>0.003</w:t>
                  </w:r>
                </w:p>
              </w:tc>
            </w:tr>
            <w:tr w14:paraId="3D231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54E1F26A">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2126" w:type="pct"/>
                  <w:shd w:val="clear" w:color="auto" w:fill="auto"/>
                  <w:vAlign w:val="center"/>
                </w:tcPr>
                <w:p w14:paraId="52D2CC48">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南溪镇岭头上</w:t>
                  </w:r>
                </w:p>
              </w:tc>
              <w:tc>
                <w:tcPr>
                  <w:tcW w:w="659" w:type="pct"/>
                  <w:vMerge w:val="continue"/>
                  <w:shd w:val="clear" w:color="auto" w:fill="auto"/>
                  <w:vAlign w:val="center"/>
                </w:tcPr>
                <w:p w14:paraId="4C150EAE">
                  <w:pPr>
                    <w:jc w:val="center"/>
                    <w:rPr>
                      <w:rFonts w:hint="eastAsia"/>
                      <w:color w:val="000000"/>
                      <w:sz w:val="20"/>
                      <w:szCs w:val="21"/>
                      <w:lang w:val="en-US" w:eastAsia="zh-CN"/>
                    </w:rPr>
                  </w:pPr>
                </w:p>
              </w:tc>
              <w:tc>
                <w:tcPr>
                  <w:tcW w:w="984" w:type="pct"/>
                  <w:shd w:val="clear" w:color="auto" w:fill="auto"/>
                  <w:vAlign w:val="center"/>
                </w:tcPr>
                <w:p w14:paraId="28A08349">
                  <w:pPr>
                    <w:jc w:val="center"/>
                    <w:rPr>
                      <w:rFonts w:hint="eastAsia"/>
                      <w:color w:val="000000"/>
                      <w:szCs w:val="21"/>
                      <w:lang w:val="en-US" w:eastAsia="zh-CN"/>
                    </w:rPr>
                  </w:pPr>
                  <w:r>
                    <w:rPr>
                      <w:rFonts w:hint="eastAsia"/>
                      <w:color w:val="000000"/>
                      <w:sz w:val="20"/>
                      <w:szCs w:val="21"/>
                      <w:lang w:val="en-US" w:eastAsia="zh-CN"/>
                    </w:rPr>
                    <w:t>0.955</w:t>
                  </w:r>
                </w:p>
              </w:tc>
              <w:tc>
                <w:tcPr>
                  <w:tcW w:w="931" w:type="pct"/>
                  <w:shd w:val="clear" w:color="auto" w:fill="auto"/>
                  <w:vAlign w:val="center"/>
                </w:tcPr>
                <w:p w14:paraId="2355BF1E">
                  <w:pPr>
                    <w:jc w:val="center"/>
                    <w:rPr>
                      <w:rFonts w:hint="eastAsia"/>
                      <w:color w:val="000000"/>
                      <w:szCs w:val="21"/>
                      <w:lang w:val="en-US" w:eastAsia="zh-CN"/>
                    </w:rPr>
                  </w:pPr>
                  <w:r>
                    <w:rPr>
                      <w:rFonts w:hint="eastAsia"/>
                      <w:color w:val="000000"/>
                      <w:sz w:val="20"/>
                      <w:szCs w:val="21"/>
                      <w:lang w:val="en-US" w:eastAsia="zh-CN"/>
                    </w:rPr>
                    <w:t>0.003</w:t>
                  </w:r>
                </w:p>
              </w:tc>
            </w:tr>
            <w:tr w14:paraId="25584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04332DDE">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21</w:t>
                  </w:r>
                </w:p>
              </w:tc>
              <w:tc>
                <w:tcPr>
                  <w:tcW w:w="2126" w:type="pct"/>
                  <w:shd w:val="clear" w:color="auto" w:fill="auto"/>
                  <w:vAlign w:val="center"/>
                </w:tcPr>
                <w:p w14:paraId="71F196AE">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南溪镇蔡家畈</w:t>
                  </w:r>
                </w:p>
              </w:tc>
              <w:tc>
                <w:tcPr>
                  <w:tcW w:w="659" w:type="pct"/>
                  <w:vMerge w:val="continue"/>
                  <w:shd w:val="clear" w:color="auto" w:fill="auto"/>
                  <w:vAlign w:val="center"/>
                </w:tcPr>
                <w:p w14:paraId="0A54C25A">
                  <w:pPr>
                    <w:jc w:val="center"/>
                    <w:rPr>
                      <w:rFonts w:hint="eastAsia"/>
                      <w:color w:val="000000"/>
                      <w:sz w:val="20"/>
                      <w:szCs w:val="21"/>
                      <w:lang w:val="en-US" w:eastAsia="zh-CN"/>
                    </w:rPr>
                  </w:pPr>
                </w:p>
              </w:tc>
              <w:tc>
                <w:tcPr>
                  <w:tcW w:w="984" w:type="pct"/>
                  <w:shd w:val="clear" w:color="auto" w:fill="auto"/>
                  <w:vAlign w:val="center"/>
                </w:tcPr>
                <w:p w14:paraId="02145245">
                  <w:pPr>
                    <w:jc w:val="center"/>
                    <w:rPr>
                      <w:rFonts w:hint="eastAsia"/>
                      <w:color w:val="000000"/>
                      <w:szCs w:val="21"/>
                      <w:lang w:val="en-US" w:eastAsia="zh-CN"/>
                    </w:rPr>
                  </w:pPr>
                  <w:r>
                    <w:rPr>
                      <w:rFonts w:hint="eastAsia"/>
                      <w:color w:val="000000"/>
                      <w:sz w:val="20"/>
                      <w:szCs w:val="21"/>
                      <w:lang w:val="en-US" w:eastAsia="zh-CN"/>
                    </w:rPr>
                    <w:t>0.236</w:t>
                  </w:r>
                </w:p>
              </w:tc>
              <w:tc>
                <w:tcPr>
                  <w:tcW w:w="931" w:type="pct"/>
                  <w:shd w:val="clear" w:color="auto" w:fill="auto"/>
                  <w:vAlign w:val="center"/>
                </w:tcPr>
                <w:p w14:paraId="10FD57A7">
                  <w:pPr>
                    <w:jc w:val="center"/>
                    <w:rPr>
                      <w:rFonts w:hint="eastAsia"/>
                      <w:color w:val="000000"/>
                      <w:szCs w:val="21"/>
                      <w:lang w:val="en-US" w:eastAsia="zh-CN"/>
                    </w:rPr>
                  </w:pPr>
                  <w:r>
                    <w:rPr>
                      <w:rFonts w:hint="eastAsia"/>
                      <w:color w:val="000000"/>
                      <w:sz w:val="20"/>
                      <w:szCs w:val="21"/>
                      <w:lang w:val="en-US" w:eastAsia="zh-CN"/>
                    </w:rPr>
                    <w:t>0.002</w:t>
                  </w:r>
                </w:p>
              </w:tc>
            </w:tr>
            <w:tr w14:paraId="51AAF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7E5325E7">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22</w:t>
                  </w:r>
                </w:p>
              </w:tc>
              <w:tc>
                <w:tcPr>
                  <w:tcW w:w="2126" w:type="pct"/>
                  <w:shd w:val="clear" w:color="auto" w:fill="auto"/>
                  <w:vAlign w:val="center"/>
                </w:tcPr>
                <w:p w14:paraId="10096304">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南溪镇店房</w:t>
                  </w:r>
                </w:p>
              </w:tc>
              <w:tc>
                <w:tcPr>
                  <w:tcW w:w="659" w:type="pct"/>
                  <w:vMerge w:val="continue"/>
                  <w:shd w:val="clear" w:color="auto" w:fill="auto"/>
                  <w:vAlign w:val="center"/>
                </w:tcPr>
                <w:p w14:paraId="117D5A24">
                  <w:pPr>
                    <w:jc w:val="center"/>
                    <w:rPr>
                      <w:rFonts w:hint="eastAsia"/>
                      <w:color w:val="000000"/>
                      <w:sz w:val="20"/>
                      <w:szCs w:val="21"/>
                      <w:lang w:val="en-US" w:eastAsia="zh-CN"/>
                    </w:rPr>
                  </w:pPr>
                </w:p>
              </w:tc>
              <w:tc>
                <w:tcPr>
                  <w:tcW w:w="984" w:type="pct"/>
                  <w:shd w:val="clear" w:color="auto" w:fill="auto"/>
                  <w:vAlign w:val="center"/>
                </w:tcPr>
                <w:p w14:paraId="43B605B3">
                  <w:pPr>
                    <w:jc w:val="center"/>
                    <w:rPr>
                      <w:rFonts w:hint="eastAsia"/>
                      <w:color w:val="000000"/>
                      <w:szCs w:val="21"/>
                      <w:lang w:val="en-US" w:eastAsia="zh-CN"/>
                    </w:rPr>
                  </w:pPr>
                  <w:r>
                    <w:rPr>
                      <w:rFonts w:hint="eastAsia"/>
                      <w:color w:val="000000"/>
                      <w:sz w:val="20"/>
                      <w:szCs w:val="21"/>
                      <w:lang w:val="en-US" w:eastAsia="zh-CN"/>
                    </w:rPr>
                    <w:t>14.3</w:t>
                  </w:r>
                </w:p>
              </w:tc>
              <w:tc>
                <w:tcPr>
                  <w:tcW w:w="931" w:type="pct"/>
                  <w:shd w:val="clear" w:color="auto" w:fill="auto"/>
                  <w:vAlign w:val="center"/>
                </w:tcPr>
                <w:p w14:paraId="1E154D84">
                  <w:pPr>
                    <w:jc w:val="center"/>
                    <w:rPr>
                      <w:rFonts w:hint="eastAsia"/>
                      <w:color w:val="000000"/>
                      <w:szCs w:val="21"/>
                      <w:lang w:val="en-US" w:eastAsia="zh-CN"/>
                    </w:rPr>
                  </w:pPr>
                  <w:r>
                    <w:rPr>
                      <w:rFonts w:hint="eastAsia"/>
                      <w:color w:val="000000"/>
                      <w:sz w:val="20"/>
                      <w:szCs w:val="21"/>
                      <w:lang w:val="en-US" w:eastAsia="zh-CN"/>
                    </w:rPr>
                    <w:t>0.004</w:t>
                  </w:r>
                </w:p>
              </w:tc>
            </w:tr>
            <w:tr w14:paraId="64AE8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47FA63DE">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23</w:t>
                  </w:r>
                </w:p>
              </w:tc>
              <w:tc>
                <w:tcPr>
                  <w:tcW w:w="2126" w:type="pct"/>
                  <w:shd w:val="clear" w:color="auto" w:fill="auto"/>
                  <w:vAlign w:val="center"/>
                </w:tcPr>
                <w:p w14:paraId="1EE00C7F">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南溪镇新家塆</w:t>
                  </w:r>
                </w:p>
              </w:tc>
              <w:tc>
                <w:tcPr>
                  <w:tcW w:w="659" w:type="pct"/>
                  <w:vMerge w:val="continue"/>
                  <w:shd w:val="clear" w:color="auto" w:fill="auto"/>
                  <w:vAlign w:val="center"/>
                </w:tcPr>
                <w:p w14:paraId="5DB224D7">
                  <w:pPr>
                    <w:jc w:val="center"/>
                    <w:rPr>
                      <w:rFonts w:hint="eastAsia"/>
                      <w:color w:val="000000"/>
                      <w:sz w:val="20"/>
                      <w:szCs w:val="21"/>
                      <w:lang w:val="en-US" w:eastAsia="zh-CN"/>
                    </w:rPr>
                  </w:pPr>
                </w:p>
              </w:tc>
              <w:tc>
                <w:tcPr>
                  <w:tcW w:w="984" w:type="pct"/>
                  <w:shd w:val="clear" w:color="auto" w:fill="auto"/>
                  <w:vAlign w:val="center"/>
                </w:tcPr>
                <w:p w14:paraId="7EA14E51">
                  <w:pPr>
                    <w:jc w:val="center"/>
                    <w:rPr>
                      <w:rFonts w:hint="eastAsia"/>
                      <w:color w:val="000000"/>
                      <w:szCs w:val="21"/>
                      <w:lang w:val="en-US" w:eastAsia="zh-CN"/>
                    </w:rPr>
                  </w:pPr>
                  <w:r>
                    <w:rPr>
                      <w:rFonts w:hint="eastAsia"/>
                      <w:color w:val="000000"/>
                      <w:sz w:val="20"/>
                      <w:szCs w:val="21"/>
                      <w:lang w:val="en-US" w:eastAsia="zh-CN"/>
                    </w:rPr>
                    <w:t>0.266</w:t>
                  </w:r>
                </w:p>
              </w:tc>
              <w:tc>
                <w:tcPr>
                  <w:tcW w:w="931" w:type="pct"/>
                  <w:shd w:val="clear" w:color="auto" w:fill="auto"/>
                  <w:vAlign w:val="center"/>
                </w:tcPr>
                <w:p w14:paraId="72825880">
                  <w:pPr>
                    <w:jc w:val="center"/>
                    <w:rPr>
                      <w:rFonts w:hint="eastAsia"/>
                      <w:color w:val="000000"/>
                      <w:szCs w:val="21"/>
                      <w:lang w:val="en-US" w:eastAsia="zh-CN"/>
                    </w:rPr>
                  </w:pPr>
                  <w:r>
                    <w:rPr>
                      <w:rFonts w:hint="eastAsia"/>
                      <w:color w:val="000000"/>
                      <w:sz w:val="20"/>
                      <w:szCs w:val="21"/>
                      <w:lang w:val="en-US" w:eastAsia="zh-CN"/>
                    </w:rPr>
                    <w:t>0.003</w:t>
                  </w:r>
                </w:p>
              </w:tc>
            </w:tr>
            <w:tr w14:paraId="308B0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2E8DD140">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24</w:t>
                  </w:r>
                </w:p>
              </w:tc>
              <w:tc>
                <w:tcPr>
                  <w:tcW w:w="2126" w:type="pct"/>
                  <w:shd w:val="clear" w:color="auto" w:fill="auto"/>
                  <w:vAlign w:val="center"/>
                </w:tcPr>
                <w:p w14:paraId="49C4E136">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南溪镇火炮岭</w:t>
                  </w:r>
                </w:p>
              </w:tc>
              <w:tc>
                <w:tcPr>
                  <w:tcW w:w="659" w:type="pct"/>
                  <w:vMerge w:val="continue"/>
                  <w:shd w:val="clear" w:color="auto" w:fill="auto"/>
                  <w:vAlign w:val="center"/>
                </w:tcPr>
                <w:p w14:paraId="26F2C9A2">
                  <w:pPr>
                    <w:jc w:val="center"/>
                    <w:rPr>
                      <w:rFonts w:hint="eastAsia"/>
                      <w:color w:val="000000"/>
                      <w:sz w:val="20"/>
                      <w:szCs w:val="21"/>
                      <w:lang w:val="en-US" w:eastAsia="zh-CN"/>
                    </w:rPr>
                  </w:pPr>
                </w:p>
              </w:tc>
              <w:tc>
                <w:tcPr>
                  <w:tcW w:w="984" w:type="pct"/>
                  <w:shd w:val="clear" w:color="auto" w:fill="auto"/>
                  <w:vAlign w:val="center"/>
                </w:tcPr>
                <w:p w14:paraId="3341236C">
                  <w:pPr>
                    <w:jc w:val="center"/>
                    <w:rPr>
                      <w:rFonts w:hint="eastAsia"/>
                      <w:color w:val="000000"/>
                      <w:szCs w:val="21"/>
                      <w:lang w:val="en-US" w:eastAsia="zh-CN"/>
                    </w:rPr>
                  </w:pPr>
                  <w:r>
                    <w:rPr>
                      <w:rFonts w:hint="eastAsia"/>
                      <w:color w:val="000000"/>
                      <w:sz w:val="20"/>
                      <w:szCs w:val="21"/>
                      <w:lang w:val="en-US" w:eastAsia="zh-CN"/>
                    </w:rPr>
                    <w:t>0.779</w:t>
                  </w:r>
                </w:p>
              </w:tc>
              <w:tc>
                <w:tcPr>
                  <w:tcW w:w="931" w:type="pct"/>
                  <w:shd w:val="clear" w:color="auto" w:fill="auto"/>
                  <w:vAlign w:val="center"/>
                </w:tcPr>
                <w:p w14:paraId="63F5ADFC">
                  <w:pPr>
                    <w:jc w:val="center"/>
                    <w:rPr>
                      <w:rFonts w:hint="eastAsia"/>
                      <w:color w:val="000000"/>
                      <w:szCs w:val="21"/>
                      <w:lang w:val="en-US" w:eastAsia="zh-CN"/>
                    </w:rPr>
                  </w:pPr>
                  <w:r>
                    <w:rPr>
                      <w:rFonts w:hint="eastAsia"/>
                      <w:color w:val="000000"/>
                      <w:sz w:val="20"/>
                      <w:szCs w:val="21"/>
                      <w:lang w:val="en-US" w:eastAsia="zh-CN"/>
                    </w:rPr>
                    <w:t>0.004</w:t>
                  </w:r>
                </w:p>
              </w:tc>
            </w:tr>
            <w:tr w14:paraId="05D79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98" w:type="pct"/>
                  <w:shd w:val="clear" w:color="auto" w:fill="auto"/>
                  <w:vAlign w:val="center"/>
                </w:tcPr>
                <w:p w14:paraId="340F9AE6">
                  <w:pPr>
                    <w:keepNext w:val="0"/>
                    <w:keepLines w:val="0"/>
                    <w:widowControl w:val="0"/>
                    <w:suppressLineNumbers w:val="0"/>
                    <w:adjustRightInd w:val="0"/>
                    <w:jc w:val="center"/>
                    <w:textAlignment w:val="baseline"/>
                    <w:rPr>
                      <w:rFonts w:hint="default" w:cs="Times New Roman"/>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25</w:t>
                  </w:r>
                </w:p>
              </w:tc>
              <w:tc>
                <w:tcPr>
                  <w:tcW w:w="2126" w:type="pct"/>
                  <w:shd w:val="clear" w:color="auto" w:fill="auto"/>
                  <w:vAlign w:val="center"/>
                </w:tcPr>
                <w:p w14:paraId="649BC96D">
                  <w:pPr>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双河-钼矿架空线路沿线</w:t>
                  </w:r>
                  <w:r>
                    <w:rPr>
                      <w:rFonts w:hint="eastAsia" w:cs="Times New Roman"/>
                      <w:color w:val="auto"/>
                      <w:sz w:val="21"/>
                      <w:szCs w:val="21"/>
                      <w:lang w:val="en-US" w:eastAsia="zh-CN"/>
                    </w:rPr>
                    <w:t>汤家汇镇金菩坑</w:t>
                  </w:r>
                </w:p>
              </w:tc>
              <w:tc>
                <w:tcPr>
                  <w:tcW w:w="659" w:type="pct"/>
                  <w:vMerge w:val="continue"/>
                  <w:shd w:val="clear" w:color="auto" w:fill="auto"/>
                  <w:vAlign w:val="center"/>
                </w:tcPr>
                <w:p w14:paraId="324D8E4D">
                  <w:pPr>
                    <w:jc w:val="center"/>
                    <w:rPr>
                      <w:rFonts w:hint="eastAsia"/>
                      <w:color w:val="000000"/>
                      <w:sz w:val="20"/>
                      <w:szCs w:val="21"/>
                      <w:lang w:val="en-US" w:eastAsia="zh-CN"/>
                    </w:rPr>
                  </w:pPr>
                </w:p>
              </w:tc>
              <w:tc>
                <w:tcPr>
                  <w:tcW w:w="984" w:type="pct"/>
                  <w:shd w:val="clear" w:color="auto" w:fill="auto"/>
                  <w:vAlign w:val="center"/>
                </w:tcPr>
                <w:p w14:paraId="16D4B823">
                  <w:pPr>
                    <w:jc w:val="center"/>
                    <w:rPr>
                      <w:rFonts w:hint="eastAsia"/>
                      <w:color w:val="000000"/>
                      <w:szCs w:val="21"/>
                      <w:lang w:val="en-US" w:eastAsia="zh-CN"/>
                    </w:rPr>
                  </w:pPr>
                  <w:r>
                    <w:rPr>
                      <w:rFonts w:hint="eastAsia"/>
                      <w:color w:val="000000"/>
                      <w:sz w:val="20"/>
                      <w:szCs w:val="21"/>
                      <w:lang w:val="en-US" w:eastAsia="zh-CN"/>
                    </w:rPr>
                    <w:t>0.263</w:t>
                  </w:r>
                </w:p>
              </w:tc>
              <w:tc>
                <w:tcPr>
                  <w:tcW w:w="931" w:type="pct"/>
                  <w:shd w:val="clear" w:color="auto" w:fill="auto"/>
                  <w:vAlign w:val="center"/>
                </w:tcPr>
                <w:p w14:paraId="22DC33CD">
                  <w:pPr>
                    <w:jc w:val="center"/>
                    <w:rPr>
                      <w:rFonts w:hint="eastAsia"/>
                      <w:color w:val="000000"/>
                      <w:szCs w:val="21"/>
                      <w:lang w:val="en-US" w:eastAsia="zh-CN"/>
                    </w:rPr>
                  </w:pPr>
                  <w:r>
                    <w:rPr>
                      <w:rFonts w:hint="eastAsia"/>
                      <w:color w:val="000000"/>
                      <w:sz w:val="20"/>
                      <w:szCs w:val="21"/>
                      <w:lang w:val="en-US" w:eastAsia="zh-CN"/>
                    </w:rPr>
                    <w:t>0.002</w:t>
                  </w:r>
                </w:p>
              </w:tc>
            </w:tr>
          </w:tbl>
          <w:p w14:paraId="003A4AB3">
            <w:pPr>
              <w:pStyle w:val="36"/>
              <w:keepNext w:val="0"/>
              <w:keepLines w:val="0"/>
              <w:pageBreakBefore w:val="0"/>
              <w:widowControl w:val="0"/>
              <w:kinsoku/>
              <w:wordWrap/>
              <w:overflowPunct/>
              <w:topLinePunct w:val="0"/>
              <w:autoSpaceDE/>
              <w:autoSpaceDN/>
              <w:bidi w:val="0"/>
              <w:adjustRightInd/>
              <w:snapToGrid w:val="0"/>
              <w:spacing w:before="157" w:beforeLines="50" w:after="0" w:line="360" w:lineRule="auto"/>
              <w:ind w:left="0" w:leftChars="0" w:firstLine="0" w:firstLineChars="0"/>
              <w:textAlignment w:val="auto"/>
              <w:rPr>
                <w:rFonts w:hint="eastAsia" w:ascii="Times New Roman" w:hAnsi="Times New Roman" w:eastAsia="宋体" w:cs="Times New Roman"/>
                <w:b w:val="0"/>
                <w:bCs/>
                <w:sz w:val="24"/>
                <w:szCs w:val="24"/>
                <w:lang w:eastAsia="zh-CN"/>
              </w:rPr>
            </w:pPr>
            <w:r>
              <w:rPr>
                <w:rFonts w:hint="eastAsia" w:ascii="Times New Roman" w:hAnsi="Times New Roman" w:eastAsia="宋体" w:cs="Times New Roman"/>
                <w:b w:val="0"/>
                <w:bCs/>
                <w:sz w:val="24"/>
                <w:szCs w:val="24"/>
                <w:lang w:eastAsia="zh-CN"/>
              </w:rPr>
              <w:t>现状监测结果表明：</w:t>
            </w:r>
          </w:p>
          <w:p w14:paraId="4E380276">
            <w:pPr>
              <w:spacing w:line="360" w:lineRule="auto"/>
              <w:ind w:firstLine="480" w:firstLineChars="200"/>
              <w:rPr>
                <w:sz w:val="24"/>
                <w:szCs w:val="24"/>
              </w:rPr>
            </w:pPr>
            <w:r>
              <w:rPr>
                <w:rFonts w:hint="eastAsia"/>
                <w:sz w:val="24"/>
                <w:szCs w:val="24"/>
                <w:lang w:val="en-US" w:eastAsia="zh-CN"/>
              </w:rPr>
              <w:t>拟建金沙钼矿</w:t>
            </w:r>
            <w:r>
              <w:rPr>
                <w:rFonts w:hint="default"/>
                <w:sz w:val="24"/>
                <w:szCs w:val="24"/>
                <w:lang w:val="en-US" w:eastAsia="zh-CN"/>
              </w:rPr>
              <w:t>110kV</w:t>
            </w:r>
            <w:r>
              <w:rPr>
                <w:rFonts w:hint="eastAsia"/>
                <w:sz w:val="24"/>
                <w:szCs w:val="24"/>
                <w:lang w:val="en-US" w:eastAsia="zh-CN"/>
              </w:rPr>
              <w:t>变电站站址四周及敏感点所有测点处的工频电场强度监测值在0.103</w:t>
            </w:r>
            <w:r>
              <w:rPr>
                <w:rFonts w:hint="default"/>
                <w:sz w:val="24"/>
                <w:szCs w:val="24"/>
                <w:lang w:val="en-US" w:eastAsia="zh-CN"/>
              </w:rPr>
              <w:t>V/m~</w:t>
            </w:r>
            <w:r>
              <w:rPr>
                <w:rFonts w:hint="eastAsia"/>
                <w:sz w:val="24"/>
                <w:szCs w:val="24"/>
                <w:lang w:val="en-US" w:eastAsia="zh-CN"/>
              </w:rPr>
              <w:t>1.77</w:t>
            </w:r>
            <w:r>
              <w:rPr>
                <w:rFonts w:hint="default"/>
                <w:sz w:val="24"/>
                <w:szCs w:val="24"/>
                <w:lang w:val="en-US" w:eastAsia="zh-CN"/>
              </w:rPr>
              <w:t>V/m</w:t>
            </w:r>
            <w:r>
              <w:rPr>
                <w:rFonts w:hint="eastAsia"/>
                <w:sz w:val="24"/>
                <w:szCs w:val="24"/>
                <w:lang w:val="en-US" w:eastAsia="zh-CN"/>
              </w:rPr>
              <w:t>之间，工频磁感应强度监测值在0.001</w:t>
            </w:r>
            <w:r>
              <w:rPr>
                <w:rFonts w:hint="default"/>
                <w:sz w:val="24"/>
                <w:szCs w:val="24"/>
                <w:lang w:val="en-US" w:eastAsia="zh-CN"/>
              </w:rPr>
              <w:t>μT~</w:t>
            </w:r>
            <w:r>
              <w:rPr>
                <w:rFonts w:hint="eastAsia"/>
                <w:sz w:val="24"/>
                <w:szCs w:val="24"/>
                <w:lang w:val="en-US" w:eastAsia="zh-CN"/>
              </w:rPr>
              <w:t>0.002</w:t>
            </w:r>
            <w:r>
              <w:rPr>
                <w:rFonts w:hint="default"/>
                <w:sz w:val="24"/>
                <w:szCs w:val="24"/>
                <w:lang w:val="en-US" w:eastAsia="zh-CN"/>
              </w:rPr>
              <w:t>μT</w:t>
            </w:r>
            <w:r>
              <w:rPr>
                <w:rFonts w:hint="eastAsia"/>
                <w:sz w:val="24"/>
                <w:szCs w:val="24"/>
                <w:lang w:val="en-US" w:eastAsia="zh-CN"/>
              </w:rPr>
              <w:t>之间，所有测点处的监测值均满足《电磁环境控制限值》（</w:t>
            </w:r>
            <w:r>
              <w:rPr>
                <w:rFonts w:hint="default"/>
                <w:sz w:val="24"/>
                <w:szCs w:val="24"/>
                <w:lang w:val="en-US" w:eastAsia="zh-CN"/>
              </w:rPr>
              <w:t>GB8702-2014</w:t>
            </w:r>
            <w:r>
              <w:rPr>
                <w:rFonts w:hint="eastAsia"/>
                <w:sz w:val="24"/>
                <w:szCs w:val="24"/>
                <w:lang w:val="en-US" w:eastAsia="zh-CN"/>
              </w:rPr>
              <w:t>）中工频电场强度</w:t>
            </w:r>
            <w:r>
              <w:rPr>
                <w:rFonts w:hint="default"/>
                <w:sz w:val="24"/>
                <w:szCs w:val="24"/>
                <w:lang w:val="en-US" w:eastAsia="zh-CN"/>
              </w:rPr>
              <w:t>4000V/m</w:t>
            </w:r>
            <w:r>
              <w:rPr>
                <w:rFonts w:hint="eastAsia"/>
                <w:sz w:val="24"/>
                <w:szCs w:val="24"/>
                <w:lang w:val="en-US" w:eastAsia="zh-CN"/>
              </w:rPr>
              <w:t>、工频磁感应强度</w:t>
            </w:r>
            <w:r>
              <w:rPr>
                <w:rFonts w:hint="default"/>
                <w:sz w:val="24"/>
                <w:szCs w:val="24"/>
                <w:lang w:val="en-US" w:eastAsia="zh-CN"/>
              </w:rPr>
              <w:t>100μT</w:t>
            </w:r>
            <w:r>
              <w:rPr>
                <w:rFonts w:hint="eastAsia"/>
                <w:sz w:val="24"/>
                <w:szCs w:val="24"/>
                <w:lang w:val="en-US" w:eastAsia="zh-CN"/>
              </w:rPr>
              <w:t>的标准要求。</w:t>
            </w:r>
          </w:p>
          <w:p w14:paraId="288CC428">
            <w:pPr>
              <w:pStyle w:val="36"/>
              <w:keepNext w:val="0"/>
              <w:keepLines w:val="0"/>
              <w:pageBreakBefore w:val="0"/>
              <w:widowControl w:val="0"/>
              <w:kinsoku/>
              <w:wordWrap/>
              <w:overflowPunct/>
              <w:topLinePunct w:val="0"/>
              <w:autoSpaceDE/>
              <w:autoSpaceDN/>
              <w:bidi w:val="0"/>
              <w:adjustRightInd/>
              <w:snapToGrid w:val="0"/>
              <w:spacing w:before="0" w:after="0" w:line="360" w:lineRule="auto"/>
              <w:ind w:left="0" w:leftChars="0" w:firstLine="480" w:firstLineChars="200"/>
              <w:jc w:val="left"/>
              <w:textAlignment w:val="auto"/>
            </w:pPr>
            <w:r>
              <w:rPr>
                <w:sz w:val="24"/>
              </w:rPr>
              <mc:AlternateContent>
                <mc:Choice Requires="wps">
                  <w:drawing>
                    <wp:anchor distT="0" distB="0" distL="114300" distR="114300" simplePos="0" relativeHeight="251667456" behindDoc="0" locked="0" layoutInCell="1" allowOverlap="1">
                      <wp:simplePos x="0" y="0"/>
                      <wp:positionH relativeFrom="column">
                        <wp:posOffset>6350</wp:posOffset>
                      </wp:positionH>
                      <wp:positionV relativeFrom="paragraph">
                        <wp:posOffset>3785870</wp:posOffset>
                      </wp:positionV>
                      <wp:extent cx="1049020" cy="623570"/>
                      <wp:effectExtent l="4445" t="4445" r="13335" b="19685"/>
                      <wp:wrapNone/>
                      <wp:docPr id="31" name="文本框 31"/>
                      <wp:cNvGraphicFramePr/>
                      <a:graphic xmlns:a="http://schemas.openxmlformats.org/drawingml/2006/main">
                        <a:graphicData uri="http://schemas.microsoft.com/office/word/2010/wordprocessingShape">
                          <wps:wsp>
                            <wps:cNvSpPr txBox="1"/>
                            <wps:spPr>
                              <a:xfrm>
                                <a:off x="1019810" y="7405370"/>
                                <a:ext cx="1049020" cy="6235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B73703">
                                  <w:pPr>
                                    <w:jc w:val="center"/>
                                    <w:rPr>
                                      <w:rFonts w:hint="eastAsia"/>
                                      <w:color w:val="auto"/>
                                      <w:sz w:val="24"/>
                                      <w:szCs w:val="24"/>
                                      <w:lang w:val="en-US" w:eastAsia="zh-CN"/>
                                    </w:rPr>
                                  </w:pPr>
                                  <w:r>
                                    <w:rPr>
                                      <w:rFonts w:hint="eastAsia"/>
                                      <w:color w:val="auto"/>
                                      <w:sz w:val="24"/>
                                      <w:szCs w:val="24"/>
                                      <w:lang w:val="en-US" w:eastAsia="zh-CN"/>
                                    </w:rPr>
                                    <w:t>图例</w:t>
                                  </w:r>
                                </w:p>
                                <w:p w14:paraId="590539A5">
                                  <w:pPr>
                                    <w:jc w:val="both"/>
                                    <w:rPr>
                                      <w:rFonts w:hint="default" w:eastAsia="宋体"/>
                                      <w:color w:val="auto"/>
                                      <w:sz w:val="24"/>
                                      <w:szCs w:val="24"/>
                                      <w:lang w:val="en-US" w:eastAsia="zh-CN"/>
                                    </w:rPr>
                                  </w:pPr>
                                  <w:r>
                                    <w:rPr>
                                      <w:color w:val="auto"/>
                                    </w:rPr>
                                    <w:drawing>
                                      <wp:inline distT="0" distB="0" distL="114300" distR="114300">
                                        <wp:extent cx="179070" cy="260985"/>
                                        <wp:effectExtent l="0" t="0" r="11430" b="5715"/>
                                        <wp:docPr id="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8"/>
                                                <pic:cNvPicPr>
                                                  <a:picLocks noChangeAspect="1"/>
                                                </pic:cNvPicPr>
                                              </pic:nvPicPr>
                                              <pic:blipFill>
                                                <a:blip r:embed="rId28"/>
                                                <a:stretch>
                                                  <a:fillRect/>
                                                </a:stretch>
                                              </pic:blipFill>
                                              <pic:spPr>
                                                <a:xfrm>
                                                  <a:off x="0" y="0"/>
                                                  <a:ext cx="179070" cy="260985"/>
                                                </a:xfrm>
                                                <a:prstGeom prst="rect">
                                                  <a:avLst/>
                                                </a:prstGeom>
                                                <a:noFill/>
                                                <a:ln>
                                                  <a:noFill/>
                                                </a:ln>
                                              </pic:spPr>
                                            </pic:pic>
                                          </a:graphicData>
                                        </a:graphic>
                                      </wp:inline>
                                    </w:drawing>
                                  </w:r>
                                  <w:r>
                                    <w:rPr>
                                      <w:rFonts w:hint="eastAsia"/>
                                      <w:color w:val="auto"/>
                                      <w:lang w:val="en-US" w:eastAsia="zh-CN"/>
                                    </w:rPr>
                                    <w:t>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pt;margin-top:298.1pt;height:49.1pt;width:82.6pt;z-index:251667456;mso-width-relative:page;mso-height-relative:page;" fillcolor="#FFFFFF [3201]" filled="t" stroked="t" coordsize="21600,21600" o:gfxdata="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uoQww1QAAAAkBAAAPAAAAAAAAAAEAIAAAACIAAABkcnMvZG93bnJldi54bWxQSwECFAAUAAAA&#10;CACHTuJAh2awemMCAADFBAAADgAAAAAAAAABACAAAAAkAQAAZHJzL2Uyb0RvYy54bWxQSwUGAAAA&#10;AAYABgBZAQAA+QUAAAAA&#10;">
                      <v:fill on="t" focussize="0,0"/>
                      <v:stroke weight="0.5pt" color="#000000 [3204]" joinstyle="round"/>
                      <v:imagedata o:title=""/>
                      <o:lock v:ext="edit" aspectratio="f"/>
                      <v:textbox>
                        <w:txbxContent>
                          <w:p w14:paraId="44B73703">
                            <w:pPr>
                              <w:jc w:val="center"/>
                              <w:rPr>
                                <w:rFonts w:hint="eastAsia"/>
                                <w:color w:val="auto"/>
                                <w:sz w:val="24"/>
                                <w:szCs w:val="24"/>
                                <w:lang w:val="en-US" w:eastAsia="zh-CN"/>
                              </w:rPr>
                            </w:pPr>
                            <w:r>
                              <w:rPr>
                                <w:rFonts w:hint="eastAsia"/>
                                <w:color w:val="auto"/>
                                <w:sz w:val="24"/>
                                <w:szCs w:val="24"/>
                                <w:lang w:val="en-US" w:eastAsia="zh-CN"/>
                              </w:rPr>
                              <w:t>图例</w:t>
                            </w:r>
                          </w:p>
                          <w:p w14:paraId="590539A5">
                            <w:pPr>
                              <w:jc w:val="both"/>
                              <w:rPr>
                                <w:rFonts w:hint="default" w:eastAsia="宋体"/>
                                <w:color w:val="auto"/>
                                <w:sz w:val="24"/>
                                <w:szCs w:val="24"/>
                                <w:lang w:val="en-US" w:eastAsia="zh-CN"/>
                              </w:rPr>
                            </w:pPr>
                            <w:r>
                              <w:rPr>
                                <w:color w:val="auto"/>
                              </w:rPr>
                              <w:drawing>
                                <wp:inline distT="0" distB="0" distL="114300" distR="114300">
                                  <wp:extent cx="179070" cy="260985"/>
                                  <wp:effectExtent l="0" t="0" r="11430" b="5715"/>
                                  <wp:docPr id="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8"/>
                                          <pic:cNvPicPr>
                                            <a:picLocks noChangeAspect="1"/>
                                          </pic:cNvPicPr>
                                        </pic:nvPicPr>
                                        <pic:blipFill>
                                          <a:blip r:embed="rId28"/>
                                          <a:stretch>
                                            <a:fillRect/>
                                          </a:stretch>
                                        </pic:blipFill>
                                        <pic:spPr>
                                          <a:xfrm>
                                            <a:off x="0" y="0"/>
                                            <a:ext cx="179070" cy="260985"/>
                                          </a:xfrm>
                                          <a:prstGeom prst="rect">
                                            <a:avLst/>
                                          </a:prstGeom>
                                          <a:noFill/>
                                          <a:ln>
                                            <a:noFill/>
                                          </a:ln>
                                        </pic:spPr>
                                      </pic:pic>
                                    </a:graphicData>
                                  </a:graphic>
                                </wp:inline>
                              </w:drawing>
                            </w:r>
                            <w:r>
                              <w:rPr>
                                <w:rFonts w:hint="eastAsia"/>
                                <w:color w:val="auto"/>
                                <w:lang w:val="en-US" w:eastAsia="zh-CN"/>
                              </w:rPr>
                              <w:t>监测点位</w:t>
                            </w:r>
                          </w:p>
                        </w:txbxContent>
                      </v:textbox>
                    </v:shape>
                  </w:pict>
                </mc:Fallback>
              </mc:AlternateContent>
            </w:r>
            <w:r>
              <w:drawing>
                <wp:anchor distT="0" distB="0" distL="114300" distR="114300" simplePos="0" relativeHeight="251666432" behindDoc="0" locked="0" layoutInCell="1" allowOverlap="1">
                  <wp:simplePos x="0" y="0"/>
                  <wp:positionH relativeFrom="column">
                    <wp:posOffset>5205095</wp:posOffset>
                  </wp:positionH>
                  <wp:positionV relativeFrom="paragraph">
                    <wp:posOffset>1194435</wp:posOffset>
                  </wp:positionV>
                  <wp:extent cx="637540" cy="568960"/>
                  <wp:effectExtent l="0" t="0" r="10160" b="2540"/>
                  <wp:wrapNone/>
                  <wp:docPr id="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7"/>
                          <pic:cNvPicPr>
                            <a:picLocks noChangeAspect="1"/>
                          </pic:cNvPicPr>
                        </pic:nvPicPr>
                        <pic:blipFill>
                          <a:blip r:embed="rId27"/>
                          <a:stretch>
                            <a:fillRect/>
                          </a:stretch>
                        </pic:blipFill>
                        <pic:spPr>
                          <a:xfrm>
                            <a:off x="0" y="0"/>
                            <a:ext cx="637540" cy="568960"/>
                          </a:xfrm>
                          <a:prstGeom prst="rect">
                            <a:avLst/>
                          </a:prstGeom>
                          <a:noFill/>
                          <a:ln>
                            <a:noFill/>
                          </a:ln>
                        </pic:spPr>
                      </pic:pic>
                    </a:graphicData>
                  </a:graphic>
                </wp:anchor>
              </w:drawing>
            </w:r>
            <w:r>
              <w:rPr>
                <w:rFonts w:hint="eastAsia"/>
                <w:sz w:val="24"/>
                <w:szCs w:val="24"/>
                <w:lang w:val="en-US" w:eastAsia="zh-CN"/>
              </w:rPr>
              <w:t>拟建输电线路沿线所有测点处的工频电场强度监测值在0.110</w:t>
            </w:r>
            <w:r>
              <w:rPr>
                <w:rFonts w:hint="default"/>
                <w:sz w:val="24"/>
                <w:szCs w:val="24"/>
                <w:lang w:val="en-US" w:eastAsia="zh-CN"/>
              </w:rPr>
              <w:t>V/m~</w:t>
            </w:r>
            <w:r>
              <w:rPr>
                <w:rFonts w:hint="eastAsia"/>
                <w:sz w:val="24"/>
                <w:szCs w:val="24"/>
                <w:lang w:val="en-US" w:eastAsia="zh-CN"/>
              </w:rPr>
              <w:t>16.9</w:t>
            </w:r>
            <w:r>
              <w:rPr>
                <w:rFonts w:hint="default"/>
                <w:sz w:val="24"/>
                <w:szCs w:val="24"/>
                <w:lang w:val="en-US" w:eastAsia="zh-CN"/>
              </w:rPr>
              <w:t>V/m</w:t>
            </w:r>
            <w:r>
              <w:rPr>
                <w:rFonts w:hint="eastAsia"/>
                <w:sz w:val="24"/>
                <w:szCs w:val="24"/>
                <w:lang w:val="en-US" w:eastAsia="zh-CN"/>
              </w:rPr>
              <w:t>之间，工频磁感应强度监测值在0.002</w:t>
            </w:r>
            <w:r>
              <w:rPr>
                <w:rFonts w:hint="default"/>
                <w:sz w:val="24"/>
                <w:szCs w:val="24"/>
                <w:lang w:val="en-US" w:eastAsia="zh-CN"/>
              </w:rPr>
              <w:t>μT~</w:t>
            </w:r>
            <w:r>
              <w:rPr>
                <w:rFonts w:hint="eastAsia"/>
                <w:sz w:val="24"/>
                <w:szCs w:val="24"/>
                <w:lang w:val="en-US" w:eastAsia="zh-CN"/>
              </w:rPr>
              <w:t>0.088</w:t>
            </w:r>
            <w:r>
              <w:rPr>
                <w:rFonts w:hint="default"/>
                <w:sz w:val="24"/>
                <w:szCs w:val="24"/>
                <w:lang w:val="en-US" w:eastAsia="zh-CN"/>
              </w:rPr>
              <w:t>μT</w:t>
            </w:r>
            <w:r>
              <w:rPr>
                <w:rFonts w:hint="eastAsia"/>
                <w:sz w:val="24"/>
                <w:szCs w:val="24"/>
                <w:lang w:val="en-US" w:eastAsia="zh-CN"/>
              </w:rPr>
              <w:t>之间，所有测点处的监测值均满足《电磁环境控制限值》（</w:t>
            </w:r>
            <w:r>
              <w:rPr>
                <w:rFonts w:hint="default"/>
                <w:sz w:val="24"/>
                <w:szCs w:val="24"/>
                <w:lang w:val="en-US" w:eastAsia="zh-CN"/>
              </w:rPr>
              <w:t>GB8702-2014</w:t>
            </w:r>
            <w:r>
              <w:rPr>
                <w:rFonts w:hint="eastAsia"/>
                <w:sz w:val="24"/>
                <w:szCs w:val="24"/>
                <w:lang w:val="en-US" w:eastAsia="zh-CN"/>
              </w:rPr>
              <w:t>）中工频电场强度</w:t>
            </w:r>
            <w:r>
              <w:rPr>
                <w:rFonts w:hint="default"/>
                <w:sz w:val="24"/>
                <w:szCs w:val="24"/>
                <w:lang w:val="en-US" w:eastAsia="zh-CN"/>
              </w:rPr>
              <w:t>4000V/m</w:t>
            </w:r>
            <w:r>
              <w:rPr>
                <w:rFonts w:hint="eastAsia"/>
                <w:sz w:val="24"/>
                <w:szCs w:val="24"/>
                <w:lang w:val="en-US" w:eastAsia="zh-CN"/>
              </w:rPr>
              <w:t>、工频磁感应强度</w:t>
            </w:r>
            <w:r>
              <w:rPr>
                <w:rFonts w:hint="default"/>
                <w:sz w:val="24"/>
                <w:szCs w:val="24"/>
                <w:lang w:val="en-US" w:eastAsia="zh-CN"/>
              </w:rPr>
              <w:t>100μT</w:t>
            </w:r>
            <w:r>
              <w:rPr>
                <w:rFonts w:hint="eastAsia"/>
                <w:sz w:val="24"/>
                <w:szCs w:val="24"/>
                <w:lang w:val="en-US" w:eastAsia="zh-CN"/>
              </w:rPr>
              <w:t>的标准要求。</w:t>
            </w:r>
            <w:r>
              <w:drawing>
                <wp:inline distT="0" distB="0" distL="114300" distR="114300">
                  <wp:extent cx="5862955" cy="3248025"/>
                  <wp:effectExtent l="0" t="0" r="4445" b="9525"/>
                  <wp:docPr id="2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7"/>
                          <pic:cNvPicPr>
                            <a:picLocks noChangeAspect="1"/>
                          </pic:cNvPicPr>
                        </pic:nvPicPr>
                        <pic:blipFill>
                          <a:blip r:embed="rId31"/>
                          <a:stretch>
                            <a:fillRect/>
                          </a:stretch>
                        </pic:blipFill>
                        <pic:spPr>
                          <a:xfrm>
                            <a:off x="0" y="0"/>
                            <a:ext cx="5862955" cy="3248025"/>
                          </a:xfrm>
                          <a:prstGeom prst="rect">
                            <a:avLst/>
                          </a:prstGeom>
                          <a:noFill/>
                          <a:ln>
                            <a:noFill/>
                          </a:ln>
                        </pic:spPr>
                      </pic:pic>
                    </a:graphicData>
                  </a:graphic>
                </wp:inline>
              </w:drawing>
            </w:r>
          </w:p>
          <w:p w14:paraId="2693AB8D">
            <w:pPr>
              <w:numPr>
                <w:ilvl w:val="0"/>
                <w:numId w:val="0"/>
              </w:numPr>
              <w:spacing w:beforeLines="0"/>
              <w:jc w:val="center"/>
              <w:rPr>
                <w:rFonts w:hint="eastAsia" w:eastAsia="宋体"/>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lang w:val="en-US" w:eastAsia="zh-CN"/>
                <w14:textFill>
                  <w14:solidFill>
                    <w14:schemeClr w14:val="tx1">
                      <w14:lumMod w14:val="95000"/>
                      <w14:lumOff w14:val="5000"/>
                    </w14:schemeClr>
                  </w14:solidFill>
                </w14:textFill>
              </w:rPr>
              <w:t>图3-4  站址四周电磁环境监测点位图</w:t>
            </w:r>
          </w:p>
          <w:p w14:paraId="09BFB349">
            <w:pPr>
              <w:pStyle w:val="15"/>
            </w:pPr>
            <w:r>
              <w:drawing>
                <wp:anchor distT="0" distB="0" distL="114300" distR="114300" simplePos="0" relativeHeight="251669504" behindDoc="0" locked="0" layoutInCell="1" allowOverlap="1">
                  <wp:simplePos x="0" y="0"/>
                  <wp:positionH relativeFrom="column">
                    <wp:posOffset>5177790</wp:posOffset>
                  </wp:positionH>
                  <wp:positionV relativeFrom="paragraph">
                    <wp:posOffset>1905</wp:posOffset>
                  </wp:positionV>
                  <wp:extent cx="744220" cy="664210"/>
                  <wp:effectExtent l="0" t="0" r="17780" b="2540"/>
                  <wp:wrapNone/>
                  <wp:docPr id="3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7"/>
                          <pic:cNvPicPr>
                            <a:picLocks noChangeAspect="1"/>
                          </pic:cNvPicPr>
                        </pic:nvPicPr>
                        <pic:blipFill>
                          <a:blip r:embed="rId27"/>
                          <a:stretch>
                            <a:fillRect/>
                          </a:stretch>
                        </pic:blipFill>
                        <pic:spPr>
                          <a:xfrm>
                            <a:off x="0" y="0"/>
                            <a:ext cx="744220" cy="664210"/>
                          </a:xfrm>
                          <a:prstGeom prst="rect">
                            <a:avLst/>
                          </a:prstGeom>
                          <a:noFill/>
                          <a:ln>
                            <a:noFill/>
                          </a:ln>
                        </pic:spPr>
                      </pic:pic>
                    </a:graphicData>
                  </a:graphic>
                </wp:anchor>
              </w:drawing>
            </w:r>
            <w:r>
              <w:rPr>
                <w:sz w:val="20"/>
              </w:rPr>
              <mc:AlternateContent>
                <mc:Choice Requires="wps">
                  <w:drawing>
                    <wp:anchor distT="0" distB="0" distL="114300" distR="114300" simplePos="0" relativeHeight="251668480" behindDoc="0" locked="0" layoutInCell="1" allowOverlap="1">
                      <wp:simplePos x="0" y="0"/>
                      <wp:positionH relativeFrom="column">
                        <wp:posOffset>6350</wp:posOffset>
                      </wp:positionH>
                      <wp:positionV relativeFrom="paragraph">
                        <wp:posOffset>2698115</wp:posOffset>
                      </wp:positionV>
                      <wp:extent cx="1506855" cy="814070"/>
                      <wp:effectExtent l="4445" t="4445" r="12700" b="19685"/>
                      <wp:wrapNone/>
                      <wp:docPr id="34" name="文本框 34"/>
                      <wp:cNvGraphicFramePr/>
                      <a:graphic xmlns:a="http://schemas.openxmlformats.org/drawingml/2006/main">
                        <a:graphicData uri="http://schemas.microsoft.com/office/word/2010/wordprocessingShape">
                          <wps:wsp>
                            <wps:cNvSpPr txBox="1"/>
                            <wps:spPr>
                              <a:xfrm>
                                <a:off x="985520" y="3618865"/>
                                <a:ext cx="1506855" cy="8140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D6686E1">
                                  <w:pPr>
                                    <w:jc w:val="center"/>
                                    <w:rPr>
                                      <w:rFonts w:hint="eastAsia"/>
                                      <w:color w:val="auto"/>
                                      <w:sz w:val="28"/>
                                      <w:szCs w:val="28"/>
                                      <w:lang w:val="en-US" w:eastAsia="zh-CN"/>
                                    </w:rPr>
                                  </w:pPr>
                                  <w:r>
                                    <w:rPr>
                                      <w:rFonts w:hint="eastAsia"/>
                                      <w:color w:val="auto"/>
                                      <w:sz w:val="28"/>
                                      <w:szCs w:val="28"/>
                                      <w:lang w:val="en-US" w:eastAsia="zh-CN"/>
                                    </w:rPr>
                                    <w:t>图例</w:t>
                                  </w:r>
                                </w:p>
                                <w:p w14:paraId="709BDDB6">
                                  <w:pPr>
                                    <w:jc w:val="both"/>
                                    <w:rPr>
                                      <w:rFonts w:hint="eastAsia"/>
                                      <w:color w:val="auto"/>
                                      <w:lang w:val="en-US" w:eastAsia="zh-CN"/>
                                    </w:rPr>
                                  </w:pPr>
                                  <w:r>
                                    <w:rPr>
                                      <w:color w:val="auto"/>
                                    </w:rPr>
                                    <w:drawing>
                                      <wp:inline distT="0" distB="0" distL="114300" distR="114300">
                                        <wp:extent cx="136525" cy="198755"/>
                                        <wp:effectExtent l="0" t="0" r="15875" b="10795"/>
                                        <wp:docPr id="3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8"/>
                                                <pic:cNvPicPr>
                                                  <a:picLocks noChangeAspect="1"/>
                                                </pic:cNvPicPr>
                                              </pic:nvPicPr>
                                              <pic:blipFill>
                                                <a:blip r:embed="rId28"/>
                                                <a:stretch>
                                                  <a:fillRect/>
                                                </a:stretch>
                                              </pic:blipFill>
                                              <pic:spPr>
                                                <a:xfrm>
                                                  <a:off x="0" y="0"/>
                                                  <a:ext cx="136525" cy="198755"/>
                                                </a:xfrm>
                                                <a:prstGeom prst="rect">
                                                  <a:avLst/>
                                                </a:prstGeom>
                                                <a:noFill/>
                                                <a:ln>
                                                  <a:noFill/>
                                                </a:ln>
                                              </pic:spPr>
                                            </pic:pic>
                                          </a:graphicData>
                                        </a:graphic>
                                      </wp:inline>
                                    </w:drawing>
                                  </w:r>
                                  <w:r>
                                    <w:rPr>
                                      <w:rFonts w:hint="eastAsia"/>
                                      <w:color w:val="auto"/>
                                      <w:lang w:val="en-US" w:eastAsia="zh-CN"/>
                                    </w:rPr>
                                    <w:t>第一次监测点位</w:t>
                                  </w:r>
                                </w:p>
                                <w:p w14:paraId="3CC0B691">
                                  <w:pPr>
                                    <w:jc w:val="both"/>
                                    <w:rPr>
                                      <w:rFonts w:hint="eastAsia" w:eastAsia="宋体"/>
                                      <w:color w:val="auto"/>
                                      <w:lang w:val="en-US" w:eastAsia="zh-CN"/>
                                    </w:rPr>
                                  </w:pPr>
                                  <w:r>
                                    <w:rPr>
                                      <w:color w:val="auto"/>
                                    </w:rPr>
                                    <w:drawing>
                                      <wp:inline distT="0" distB="0" distL="114300" distR="114300">
                                        <wp:extent cx="139700" cy="203200"/>
                                        <wp:effectExtent l="0" t="0" r="12700" b="6350"/>
                                        <wp:docPr id="3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9"/>
                                                <pic:cNvPicPr>
                                                  <a:picLocks noChangeAspect="1"/>
                                                </pic:cNvPicPr>
                                              </pic:nvPicPr>
                                              <pic:blipFill>
                                                <a:blip r:embed="rId32"/>
                                                <a:stretch>
                                                  <a:fillRect/>
                                                </a:stretch>
                                              </pic:blipFill>
                                              <pic:spPr>
                                                <a:xfrm>
                                                  <a:off x="0" y="0"/>
                                                  <a:ext cx="139700" cy="203200"/>
                                                </a:xfrm>
                                                <a:prstGeom prst="rect">
                                                  <a:avLst/>
                                                </a:prstGeom>
                                                <a:noFill/>
                                                <a:ln>
                                                  <a:noFill/>
                                                </a:ln>
                                              </pic:spPr>
                                            </pic:pic>
                                          </a:graphicData>
                                        </a:graphic>
                                      </wp:inline>
                                    </w:drawing>
                                  </w:r>
                                  <w:r>
                                    <w:rPr>
                                      <w:rFonts w:hint="eastAsia"/>
                                      <w:color w:val="auto"/>
                                      <w:lang w:val="en-US" w:eastAsia="zh-CN"/>
                                    </w:rPr>
                                    <w:t>补充监测点位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pt;margin-top:212.45pt;height:64.1pt;width:118.65pt;z-index:251668480;mso-width-relative:page;mso-height-relative:page;" fillcolor="#FFFFFF [3201]" filled="t" stroked="t" coordsize="21600,21600" o:gfxdata="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yLRItYAAAAJAQAADwAAAAAAAAABACAAAAAiAAAAZHJzL2Rvd25yZXYueG1sUEsBAhQA&#10;FAAAAAgAh07iQD4ggMRmAgAAxAQAAA4AAAAAAAAAAQAgAAAAJQEAAGRycy9lMm9Eb2MueG1sUEsF&#10;BgAAAAAGAAYAWQEAAP0FAAAAAA==&#10;">
                      <v:fill on="t" focussize="0,0"/>
                      <v:stroke weight="0.5pt" color="#000000 [3204]" joinstyle="round"/>
                      <v:imagedata o:title=""/>
                      <o:lock v:ext="edit" aspectratio="f"/>
                      <v:textbox>
                        <w:txbxContent>
                          <w:p w14:paraId="7D6686E1">
                            <w:pPr>
                              <w:jc w:val="center"/>
                              <w:rPr>
                                <w:rFonts w:hint="eastAsia"/>
                                <w:color w:val="auto"/>
                                <w:sz w:val="28"/>
                                <w:szCs w:val="28"/>
                                <w:lang w:val="en-US" w:eastAsia="zh-CN"/>
                              </w:rPr>
                            </w:pPr>
                            <w:r>
                              <w:rPr>
                                <w:rFonts w:hint="eastAsia"/>
                                <w:color w:val="auto"/>
                                <w:sz w:val="28"/>
                                <w:szCs w:val="28"/>
                                <w:lang w:val="en-US" w:eastAsia="zh-CN"/>
                              </w:rPr>
                              <w:t>图例</w:t>
                            </w:r>
                          </w:p>
                          <w:p w14:paraId="709BDDB6">
                            <w:pPr>
                              <w:jc w:val="both"/>
                              <w:rPr>
                                <w:rFonts w:hint="eastAsia"/>
                                <w:color w:val="auto"/>
                                <w:lang w:val="en-US" w:eastAsia="zh-CN"/>
                              </w:rPr>
                            </w:pPr>
                            <w:r>
                              <w:rPr>
                                <w:color w:val="auto"/>
                              </w:rPr>
                              <w:drawing>
                                <wp:inline distT="0" distB="0" distL="114300" distR="114300">
                                  <wp:extent cx="136525" cy="198755"/>
                                  <wp:effectExtent l="0" t="0" r="15875" b="10795"/>
                                  <wp:docPr id="3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8"/>
                                          <pic:cNvPicPr>
                                            <a:picLocks noChangeAspect="1"/>
                                          </pic:cNvPicPr>
                                        </pic:nvPicPr>
                                        <pic:blipFill>
                                          <a:blip r:embed="rId28"/>
                                          <a:stretch>
                                            <a:fillRect/>
                                          </a:stretch>
                                        </pic:blipFill>
                                        <pic:spPr>
                                          <a:xfrm>
                                            <a:off x="0" y="0"/>
                                            <a:ext cx="136525" cy="198755"/>
                                          </a:xfrm>
                                          <a:prstGeom prst="rect">
                                            <a:avLst/>
                                          </a:prstGeom>
                                          <a:noFill/>
                                          <a:ln>
                                            <a:noFill/>
                                          </a:ln>
                                        </pic:spPr>
                                      </pic:pic>
                                    </a:graphicData>
                                  </a:graphic>
                                </wp:inline>
                              </w:drawing>
                            </w:r>
                            <w:r>
                              <w:rPr>
                                <w:rFonts w:hint="eastAsia"/>
                                <w:color w:val="auto"/>
                                <w:lang w:val="en-US" w:eastAsia="zh-CN"/>
                              </w:rPr>
                              <w:t>第一次监测点位</w:t>
                            </w:r>
                          </w:p>
                          <w:p w14:paraId="3CC0B691">
                            <w:pPr>
                              <w:jc w:val="both"/>
                              <w:rPr>
                                <w:rFonts w:hint="eastAsia" w:eastAsia="宋体"/>
                                <w:color w:val="auto"/>
                                <w:lang w:val="en-US" w:eastAsia="zh-CN"/>
                              </w:rPr>
                            </w:pPr>
                            <w:r>
                              <w:rPr>
                                <w:color w:val="auto"/>
                              </w:rPr>
                              <w:drawing>
                                <wp:inline distT="0" distB="0" distL="114300" distR="114300">
                                  <wp:extent cx="139700" cy="203200"/>
                                  <wp:effectExtent l="0" t="0" r="12700" b="6350"/>
                                  <wp:docPr id="3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9"/>
                                          <pic:cNvPicPr>
                                            <a:picLocks noChangeAspect="1"/>
                                          </pic:cNvPicPr>
                                        </pic:nvPicPr>
                                        <pic:blipFill>
                                          <a:blip r:embed="rId32"/>
                                          <a:stretch>
                                            <a:fillRect/>
                                          </a:stretch>
                                        </pic:blipFill>
                                        <pic:spPr>
                                          <a:xfrm>
                                            <a:off x="0" y="0"/>
                                            <a:ext cx="139700" cy="203200"/>
                                          </a:xfrm>
                                          <a:prstGeom prst="rect">
                                            <a:avLst/>
                                          </a:prstGeom>
                                          <a:noFill/>
                                          <a:ln>
                                            <a:noFill/>
                                          </a:ln>
                                        </pic:spPr>
                                      </pic:pic>
                                    </a:graphicData>
                                  </a:graphic>
                                </wp:inline>
                              </w:drawing>
                            </w:r>
                            <w:r>
                              <w:rPr>
                                <w:rFonts w:hint="eastAsia"/>
                                <w:color w:val="auto"/>
                                <w:lang w:val="en-US" w:eastAsia="zh-CN"/>
                              </w:rPr>
                              <w:t>补充监测点位</w:t>
                            </w:r>
                          </w:p>
                        </w:txbxContent>
                      </v:textbox>
                    </v:shape>
                  </w:pict>
                </mc:Fallback>
              </mc:AlternateContent>
            </w:r>
            <w:r>
              <w:drawing>
                <wp:inline distT="0" distB="0" distL="114300" distR="114300">
                  <wp:extent cx="5935345" cy="3553460"/>
                  <wp:effectExtent l="0" t="0" r="8255" b="8890"/>
                  <wp:docPr id="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6"/>
                          <pic:cNvPicPr>
                            <a:picLocks noChangeAspect="1"/>
                          </pic:cNvPicPr>
                        </pic:nvPicPr>
                        <pic:blipFill>
                          <a:blip r:embed="rId33"/>
                          <a:stretch>
                            <a:fillRect/>
                          </a:stretch>
                        </pic:blipFill>
                        <pic:spPr>
                          <a:xfrm>
                            <a:off x="0" y="0"/>
                            <a:ext cx="5935345" cy="3553460"/>
                          </a:xfrm>
                          <a:prstGeom prst="rect">
                            <a:avLst/>
                          </a:prstGeom>
                          <a:noFill/>
                          <a:ln>
                            <a:noFill/>
                          </a:ln>
                        </pic:spPr>
                      </pic:pic>
                    </a:graphicData>
                  </a:graphic>
                </wp:inline>
              </w:drawing>
            </w:r>
          </w:p>
          <w:p w14:paraId="0DEEBE52">
            <w:pPr>
              <w:pStyle w:val="16"/>
              <w:spacing w:before="0" w:after="0"/>
              <w:rPr>
                <w:rFonts w:hint="default" w:ascii="Times New Roman" w:hAnsi="Times New Roman" w:cs="Times New Roman"/>
                <w:b/>
                <w:bCs/>
                <w:color w:val="0D0D0D" w:themeColor="text1" w:themeTint="F2"/>
                <w:sz w:val="21"/>
                <w:szCs w:val="21"/>
                <w:lang w:val="en-US" w:eastAsia="zh-CN"/>
                <w14:textFill>
                  <w14:solidFill>
                    <w14:schemeClr w14:val="tx1">
                      <w14:lumMod w14:val="95000"/>
                      <w14:lumOff w14:val="5000"/>
                    </w14:schemeClr>
                  </w14:solidFill>
                </w14:textFill>
              </w:rPr>
            </w:pPr>
            <w:r>
              <w:rPr>
                <w:rFonts w:hint="default" w:ascii="Times New Roman" w:hAnsi="Times New Roman"/>
                <w:b/>
                <w:bCs/>
                <w:color w:val="0D0D0D" w:themeColor="text1" w:themeTint="F2"/>
                <w:sz w:val="21"/>
                <w:szCs w:val="21"/>
                <w:lang w:val="en-US" w:eastAsia="zh-CN"/>
                <w14:textFill>
                  <w14:solidFill>
                    <w14:schemeClr w14:val="tx1">
                      <w14:lumMod w14:val="95000"/>
                      <w14:lumOff w14:val="5000"/>
                    </w14:schemeClr>
                  </w14:solidFill>
                </w14:textFill>
              </w:rPr>
              <w:t>图3-5  输变电线路沿线电磁环境监测点位图</w:t>
            </w:r>
          </w:p>
          <w:p w14:paraId="3D1A999C">
            <w:pPr>
              <w:pStyle w:val="16"/>
              <w:spacing w:before="0" w:after="0"/>
              <w:rPr>
                <w:rFonts w:hint="default" w:ascii="Times New Roman" w:hAnsi="Times New Roman" w:cs="Times New Roman"/>
                <w:b/>
                <w:bCs/>
                <w:color w:val="0D0D0D" w:themeColor="text1" w:themeTint="F2"/>
                <w:sz w:val="21"/>
                <w:szCs w:val="21"/>
                <w:lang w:val="en-US" w:eastAsia="zh-CN"/>
                <w14:textFill>
                  <w14:solidFill>
                    <w14:schemeClr w14:val="tx1">
                      <w14:lumMod w14:val="95000"/>
                      <w14:lumOff w14:val="5000"/>
                    </w14:schemeClr>
                  </w14:solidFill>
                </w14:textFill>
              </w:rPr>
            </w:pPr>
          </w:p>
          <w:p w14:paraId="3499C0A4">
            <w:pPr>
              <w:pStyle w:val="16"/>
              <w:spacing w:before="0" w:after="0"/>
              <w:rPr>
                <w:rFonts w:hint="default" w:ascii="Times New Roman" w:hAnsi="Times New Roman" w:cs="Times New Roman"/>
                <w:b/>
                <w:bCs/>
                <w:color w:val="0D0D0D" w:themeColor="text1" w:themeTint="F2"/>
                <w:sz w:val="21"/>
                <w:szCs w:val="21"/>
                <w:lang w:val="en-US" w:eastAsia="zh-CN"/>
                <w14:textFill>
                  <w14:solidFill>
                    <w14:schemeClr w14:val="tx1">
                      <w14:lumMod w14:val="95000"/>
                      <w14:lumOff w14:val="5000"/>
                    </w14:schemeClr>
                  </w14:solidFill>
                </w14:textFill>
              </w:rPr>
            </w:pPr>
          </w:p>
        </w:tc>
      </w:tr>
      <w:tr w14:paraId="2ED48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4" w:type="pct"/>
            <w:vAlign w:val="center"/>
          </w:tcPr>
          <w:p w14:paraId="08506C88">
            <w:pPr>
              <w:jc w:val="center"/>
              <w:rPr>
                <w:b/>
                <w:bCs/>
                <w:sz w:val="24"/>
                <w:szCs w:val="24"/>
              </w:rPr>
            </w:pPr>
            <w:r>
              <w:rPr>
                <w:b/>
                <w:bCs/>
                <w:sz w:val="24"/>
                <w:szCs w:val="24"/>
              </w:rPr>
              <w:t>与项目有关的原有环境污染和生态破坏问题</w:t>
            </w:r>
          </w:p>
        </w:tc>
        <w:tc>
          <w:tcPr>
            <w:tcW w:w="4765" w:type="pct"/>
            <w:vAlign w:val="center"/>
          </w:tcPr>
          <w:p w14:paraId="2A09070B">
            <w:pPr>
              <w:pStyle w:val="21"/>
              <w:spacing w:before="0" w:line="360" w:lineRule="auto"/>
              <w:ind w:left="0" w:leftChars="0" w:firstLine="0" w:firstLineChars="0"/>
              <w:rPr>
                <w:rFonts w:hint="default" w:ascii="Times New Roman" w:hAnsi="Times New Roman" w:cs="Times New Roman"/>
                <w:b/>
                <w:bCs/>
                <w:snapToGrid w:val="0"/>
                <w:color w:val="auto"/>
                <w:spacing w:val="-2"/>
                <w:kern w:val="0"/>
                <w:sz w:val="24"/>
                <w:szCs w:val="24"/>
                <w:highlight w:val="none"/>
                <w:lang w:val="en-US" w:eastAsia="zh-CN"/>
              </w:rPr>
            </w:pPr>
            <w:r>
              <w:rPr>
                <w:rFonts w:hint="default" w:ascii="Times New Roman" w:hAnsi="Times New Roman" w:cs="Times New Roman"/>
                <w:b/>
                <w:bCs/>
                <w:snapToGrid w:val="0"/>
                <w:color w:val="auto"/>
                <w:spacing w:val="-2"/>
                <w:kern w:val="0"/>
                <w:sz w:val="24"/>
                <w:szCs w:val="24"/>
                <w:highlight w:val="none"/>
                <w:lang w:val="en-US" w:eastAsia="zh-CN"/>
              </w:rPr>
              <w:t>3.</w:t>
            </w:r>
            <w:r>
              <w:rPr>
                <w:rFonts w:hint="eastAsia" w:ascii="Times New Roman" w:hAnsi="Times New Roman" w:cs="Times New Roman"/>
                <w:b/>
                <w:bCs/>
                <w:snapToGrid w:val="0"/>
                <w:color w:val="auto"/>
                <w:spacing w:val="-2"/>
                <w:kern w:val="0"/>
                <w:sz w:val="24"/>
                <w:szCs w:val="24"/>
                <w:highlight w:val="none"/>
                <w:lang w:val="en-US" w:eastAsia="zh-CN"/>
              </w:rPr>
              <w:t>6</w:t>
            </w:r>
            <w:r>
              <w:rPr>
                <w:rFonts w:hint="default" w:ascii="Times New Roman" w:hAnsi="Times New Roman" w:cs="Times New Roman"/>
                <w:b/>
                <w:bCs/>
                <w:snapToGrid w:val="0"/>
                <w:color w:val="auto"/>
                <w:spacing w:val="-2"/>
                <w:kern w:val="0"/>
                <w:sz w:val="24"/>
                <w:szCs w:val="24"/>
                <w:highlight w:val="none"/>
                <w:lang w:val="en-US" w:eastAsia="zh-CN"/>
              </w:rPr>
              <w:t>、</w:t>
            </w:r>
            <w:r>
              <w:rPr>
                <w:rFonts w:hint="eastAsia" w:ascii="Times New Roman" w:hAnsi="Times New Roman" w:cs="Times New Roman"/>
                <w:b/>
                <w:bCs/>
                <w:snapToGrid w:val="0"/>
                <w:color w:val="auto"/>
                <w:spacing w:val="-2"/>
                <w:kern w:val="0"/>
                <w:sz w:val="24"/>
                <w:szCs w:val="24"/>
                <w:highlight w:val="none"/>
                <w:lang w:val="en-US" w:eastAsia="zh-CN"/>
              </w:rPr>
              <w:t>与项目有关的原有环境污染问题</w:t>
            </w:r>
          </w:p>
          <w:p w14:paraId="4253E127">
            <w:pPr>
              <w:pStyle w:val="21"/>
              <w:spacing w:before="0" w:line="360" w:lineRule="auto"/>
              <w:ind w:left="0" w:leftChars="0" w:firstLine="472" w:firstLineChars="200"/>
              <w:rPr>
                <w:rFonts w:hint="eastAsia" w:ascii="Times New Roman" w:hAnsi="Times New Roman" w:cs="Times New Roman"/>
                <w:snapToGrid w:val="0"/>
                <w:color w:val="auto"/>
                <w:spacing w:val="-2"/>
                <w:kern w:val="0"/>
                <w:sz w:val="24"/>
                <w:szCs w:val="24"/>
                <w:highlight w:val="none"/>
                <w:lang w:val="en-US" w:eastAsia="zh-CN"/>
              </w:rPr>
            </w:pPr>
            <w:r>
              <w:rPr>
                <w:rFonts w:hint="eastAsia" w:ascii="Times New Roman" w:hAnsi="Times New Roman" w:cs="Times New Roman"/>
                <w:snapToGrid w:val="0"/>
                <w:color w:val="auto"/>
                <w:spacing w:val="-2"/>
                <w:kern w:val="0"/>
                <w:sz w:val="24"/>
                <w:szCs w:val="24"/>
                <w:highlight w:val="none"/>
                <w:lang w:val="en-US" w:eastAsia="zh-CN"/>
              </w:rPr>
              <w:t>本工程属于安徽金沙钼业有限公司金寨县沙坪沟钼矿采选项目的配套项目，为满足沙坪沟钼矿矿场用电需求，根据本地区的电网情况，同时结合实际用电需求，本工程拟在矿区内建设一座110/10kV总降压变电站，变电站位于矿体东北侧的采选工业场地内，作为全矿的电力供应中心。</w:t>
            </w:r>
          </w:p>
          <w:p w14:paraId="60684135">
            <w:pPr>
              <w:pStyle w:val="21"/>
              <w:spacing w:before="0" w:line="360" w:lineRule="auto"/>
              <w:ind w:left="0" w:leftChars="0" w:firstLine="472" w:firstLineChars="200"/>
              <w:rPr>
                <w:rFonts w:hint="eastAsia" w:ascii="Times New Roman" w:hAnsi="Times New Roman" w:cs="Times New Roman"/>
                <w:snapToGrid w:val="0"/>
                <w:color w:val="auto"/>
                <w:spacing w:val="-2"/>
                <w:kern w:val="0"/>
                <w:sz w:val="24"/>
                <w:szCs w:val="24"/>
                <w:highlight w:val="none"/>
                <w:lang w:val="en-US" w:eastAsia="zh-CN"/>
              </w:rPr>
            </w:pPr>
            <w:r>
              <w:rPr>
                <w:rFonts w:hint="eastAsia" w:ascii="Times New Roman" w:hAnsi="Times New Roman" w:cs="Times New Roman"/>
                <w:snapToGrid w:val="0"/>
                <w:color w:val="auto"/>
                <w:spacing w:val="-2"/>
                <w:kern w:val="0"/>
                <w:sz w:val="24"/>
                <w:szCs w:val="24"/>
                <w:highlight w:val="none"/>
                <w:lang w:val="en-US" w:eastAsia="zh-CN"/>
              </w:rPr>
              <w:t>安徽金沙钼业有限公司于2024年委托</w:t>
            </w:r>
            <w:r>
              <w:rPr>
                <w:color w:val="auto"/>
                <w:highlight w:val="none"/>
              </w:rPr>
              <w:t>安徽睿晟环境科技有限公司</w:t>
            </w:r>
            <w:r>
              <w:rPr>
                <w:rFonts w:hint="eastAsia" w:ascii="Times New Roman" w:hAnsi="Times New Roman" w:cs="Times New Roman"/>
                <w:snapToGrid w:val="0"/>
                <w:color w:val="auto"/>
                <w:spacing w:val="-2"/>
                <w:kern w:val="0"/>
                <w:sz w:val="24"/>
                <w:szCs w:val="24"/>
                <w:highlight w:val="none"/>
                <w:lang w:val="en-US" w:eastAsia="zh-CN"/>
              </w:rPr>
              <w:t>对“金寨县沙坪沟钼矿采选项目”开展环境影响评价工作，并于2025年7月10日取得了《安徽省生态环境厅关于安徽金沙钼业有限公司金寨县沙坪沟钼矿采选项目环境影响报告书审批意见的函》（详见附件36）。沙坪沟钼矿为地下开采矿山，项目由主体工程、公辅工程与环保工程组成。主体工程包括采选工业场地、进风井及回风井工业场地、尾矿库、调蓄池、表土堆场等，公辅工程包括高位水池、变电所、尾矿管线、联络道路；环保工程包括施工期废水利用（5×104m</w:t>
            </w:r>
            <w:r>
              <w:rPr>
                <w:rFonts w:hint="eastAsia" w:ascii="Times New Roman" w:hAnsi="Times New Roman" w:cs="Times New Roman"/>
                <w:snapToGrid w:val="0"/>
                <w:color w:val="auto"/>
                <w:spacing w:val="-2"/>
                <w:kern w:val="0"/>
                <w:sz w:val="24"/>
                <w:szCs w:val="24"/>
                <w:highlight w:val="none"/>
                <w:vertAlign w:val="superscript"/>
                <w:lang w:val="en-US" w:eastAsia="zh-CN"/>
              </w:rPr>
              <w:t>3</w:t>
            </w:r>
            <w:r>
              <w:rPr>
                <w:rFonts w:hint="eastAsia" w:ascii="Times New Roman" w:hAnsi="Times New Roman" w:cs="Times New Roman"/>
                <w:snapToGrid w:val="0"/>
                <w:color w:val="auto"/>
                <w:spacing w:val="-2"/>
                <w:kern w:val="0"/>
                <w:sz w:val="24"/>
                <w:szCs w:val="24"/>
                <w:highlight w:val="none"/>
                <w:lang w:val="en-US" w:eastAsia="zh-CN"/>
              </w:rPr>
              <w:t>临时蓄水池工程）、井下涌水利用工程、选矿废水利用工程、尾矿库内水（含雨、洪水）利用工程、尾矿库渗水利用工程、尾矿库外截排洪系统、生活污水处理利用工程、调蓄池水处理站及排水管线工程；选厂破碎转运除尘措施、充填站除尘措施等。此项目正在建设中。</w:t>
            </w:r>
          </w:p>
          <w:p w14:paraId="5AF8E498">
            <w:pPr>
              <w:pStyle w:val="21"/>
              <w:spacing w:before="0" w:line="360" w:lineRule="auto"/>
              <w:ind w:left="0" w:leftChars="0" w:firstLine="472" w:firstLineChars="200"/>
              <w:rPr>
                <w:rFonts w:hint="eastAsia" w:cs="Times New Roman"/>
                <w:snapToGrid w:val="0"/>
                <w:color w:val="auto"/>
                <w:spacing w:val="-2"/>
                <w:kern w:val="0"/>
                <w:sz w:val="24"/>
                <w:szCs w:val="24"/>
                <w:highlight w:val="none"/>
                <w:lang w:val="en-US" w:eastAsia="zh-CN"/>
              </w:rPr>
            </w:pPr>
            <w:r>
              <w:rPr>
                <w:rFonts w:hint="eastAsia" w:ascii="Times New Roman" w:hAnsi="Times New Roman" w:cs="Times New Roman"/>
                <w:snapToGrid w:val="0"/>
                <w:color w:val="auto"/>
                <w:spacing w:val="-2"/>
                <w:kern w:val="0"/>
                <w:sz w:val="24"/>
                <w:szCs w:val="24"/>
                <w:highlight w:val="none"/>
                <w:lang w:val="en-US" w:eastAsia="zh-CN"/>
              </w:rPr>
              <w:t>金沙钼矿</w:t>
            </w:r>
            <w:r>
              <w:rPr>
                <w:rFonts w:hint="default" w:ascii="Times New Roman" w:hAnsi="Times New Roman" w:cs="Times New Roman"/>
                <w:snapToGrid w:val="0"/>
                <w:color w:val="auto"/>
                <w:spacing w:val="-2"/>
                <w:kern w:val="0"/>
                <w:sz w:val="24"/>
                <w:szCs w:val="24"/>
                <w:highlight w:val="none"/>
                <w:lang w:val="en-US" w:eastAsia="zh-CN"/>
              </w:rPr>
              <w:t>110kV输变电工程为新建项目，</w:t>
            </w:r>
            <w:r>
              <w:rPr>
                <w:rFonts w:hint="eastAsia" w:ascii="Times New Roman" w:hAnsi="Times New Roman" w:cs="Times New Roman"/>
                <w:snapToGrid w:val="0"/>
                <w:color w:val="auto"/>
                <w:spacing w:val="-2"/>
                <w:kern w:val="0"/>
                <w:sz w:val="24"/>
                <w:szCs w:val="24"/>
                <w:highlight w:val="none"/>
                <w:lang w:val="en-US" w:eastAsia="zh-CN"/>
              </w:rPr>
              <w:t>本工程涉及</w:t>
            </w:r>
            <w:r>
              <w:rPr>
                <w:rFonts w:hint="default" w:ascii="Times New Roman" w:hAnsi="Times New Roman" w:cs="Times New Roman"/>
                <w:snapToGrid w:val="0"/>
                <w:color w:val="auto"/>
                <w:spacing w:val="-2"/>
                <w:kern w:val="0"/>
                <w:sz w:val="24"/>
                <w:szCs w:val="24"/>
                <w:highlight w:val="none"/>
                <w:lang w:val="en-US" w:eastAsia="zh-CN"/>
              </w:rPr>
              <w:t>的原有项目为</w:t>
            </w:r>
            <w:r>
              <w:rPr>
                <w:rFonts w:hint="eastAsia" w:ascii="Times New Roman"/>
                <w:color w:val="auto"/>
                <w:szCs w:val="24"/>
                <w:highlight w:val="none"/>
                <w:lang w:val="zh-CN"/>
              </w:rPr>
              <w:t>古碑220kV变电站</w:t>
            </w:r>
            <w:r>
              <w:rPr>
                <w:rFonts w:hint="eastAsia" w:ascii="Times New Roman"/>
                <w:color w:val="auto"/>
                <w:szCs w:val="24"/>
                <w:highlight w:val="none"/>
                <w:lang w:val="en-US" w:eastAsia="zh-CN"/>
              </w:rPr>
              <w:t>和双河110</w:t>
            </w:r>
            <w:r>
              <w:rPr>
                <w:rFonts w:hint="eastAsia" w:ascii="Times New Roman"/>
                <w:color w:val="auto"/>
                <w:szCs w:val="24"/>
                <w:highlight w:val="none"/>
                <w:lang w:val="zh-CN"/>
              </w:rPr>
              <w:t>kV变电站</w:t>
            </w:r>
            <w:r>
              <w:rPr>
                <w:rFonts w:hint="default" w:ascii="Times New Roman" w:hAnsi="Times New Roman" w:cs="Times New Roman"/>
                <w:snapToGrid w:val="0"/>
                <w:color w:val="auto"/>
                <w:spacing w:val="-2"/>
                <w:kern w:val="0"/>
                <w:sz w:val="24"/>
                <w:szCs w:val="24"/>
                <w:highlight w:val="none"/>
                <w:lang w:val="en-US" w:eastAsia="zh-CN"/>
              </w:rPr>
              <w:t>。经调查了解，本工程涉及的</w:t>
            </w:r>
            <w:r>
              <w:rPr>
                <w:rFonts w:hint="eastAsia" w:ascii="Times New Roman"/>
                <w:color w:val="auto"/>
                <w:szCs w:val="24"/>
                <w:highlight w:val="none"/>
                <w:lang w:val="zh-CN"/>
              </w:rPr>
              <w:t>古碑220kV变电站</w:t>
            </w:r>
            <w:r>
              <w:rPr>
                <w:rFonts w:hint="eastAsia" w:ascii="Times New Roman"/>
                <w:color w:val="auto"/>
                <w:szCs w:val="24"/>
                <w:highlight w:val="none"/>
                <w:lang w:val="en-US" w:eastAsia="zh-CN"/>
              </w:rPr>
              <w:t>和双河110</w:t>
            </w:r>
            <w:r>
              <w:rPr>
                <w:rFonts w:hint="eastAsia" w:ascii="Times New Roman"/>
                <w:color w:val="auto"/>
                <w:szCs w:val="24"/>
                <w:highlight w:val="none"/>
                <w:lang w:val="zh-CN"/>
              </w:rPr>
              <w:t>kV变电站</w:t>
            </w:r>
            <w:r>
              <w:rPr>
                <w:rFonts w:hint="default" w:ascii="Times New Roman" w:hAnsi="Times New Roman" w:cs="Times New Roman"/>
                <w:snapToGrid w:val="0"/>
                <w:color w:val="auto"/>
                <w:spacing w:val="-2"/>
                <w:kern w:val="0"/>
                <w:sz w:val="24"/>
                <w:szCs w:val="24"/>
                <w:highlight w:val="none"/>
                <w:lang w:val="en-US" w:eastAsia="zh-CN"/>
              </w:rPr>
              <w:t>均已履行相关环保手续，变电站及线路运行正常，运行至今建设单位和环保部门未收到当地群众的环保投诉，</w:t>
            </w:r>
            <w:r>
              <w:rPr>
                <w:rFonts w:hint="eastAsia" w:ascii="Times New Roman" w:hAnsi="Times New Roman" w:cs="Times New Roman"/>
                <w:snapToGrid w:val="0"/>
                <w:color w:val="auto"/>
                <w:spacing w:val="-2"/>
                <w:kern w:val="0"/>
                <w:sz w:val="24"/>
                <w:szCs w:val="24"/>
                <w:highlight w:val="none"/>
                <w:lang w:val="en-US" w:eastAsia="zh-CN"/>
              </w:rPr>
              <w:t>根据前期验收监测</w:t>
            </w:r>
            <w:r>
              <w:rPr>
                <w:rFonts w:hint="default" w:ascii="Times New Roman" w:hAnsi="Times New Roman" w:cs="Times New Roman"/>
                <w:snapToGrid w:val="0"/>
                <w:color w:val="auto"/>
                <w:spacing w:val="-2"/>
                <w:kern w:val="0"/>
                <w:sz w:val="24"/>
                <w:szCs w:val="24"/>
                <w:highlight w:val="none"/>
                <w:lang w:val="en-US" w:eastAsia="zh-CN"/>
              </w:rPr>
              <w:t>，变电站及线路运行期周围电磁环境及声环境质量均能满足相应标准限值要求。</w:t>
            </w:r>
          </w:p>
          <w:p w14:paraId="0FD97C07">
            <w:pPr>
              <w:pStyle w:val="21"/>
              <w:spacing w:before="0" w:line="360" w:lineRule="auto"/>
              <w:ind w:left="0" w:leftChars="0" w:firstLine="0" w:firstLineChars="0"/>
              <w:rPr>
                <w:rFonts w:hint="default" w:ascii="Times New Roman" w:hAnsi="Times New Roman" w:cs="Times New Roman"/>
                <w:b/>
                <w:bCs/>
                <w:snapToGrid w:val="0"/>
                <w:color w:val="auto"/>
                <w:spacing w:val="-2"/>
                <w:kern w:val="0"/>
                <w:sz w:val="24"/>
                <w:szCs w:val="24"/>
                <w:highlight w:val="none"/>
                <w:lang w:val="en-US" w:eastAsia="zh-CN"/>
              </w:rPr>
            </w:pPr>
            <w:r>
              <w:rPr>
                <w:rFonts w:hint="default" w:ascii="Times New Roman" w:hAnsi="Times New Roman" w:cs="Times New Roman"/>
                <w:b/>
                <w:bCs/>
                <w:snapToGrid w:val="0"/>
                <w:color w:val="auto"/>
                <w:spacing w:val="-2"/>
                <w:kern w:val="0"/>
                <w:sz w:val="24"/>
                <w:szCs w:val="24"/>
                <w:highlight w:val="none"/>
                <w:lang w:val="en-US" w:eastAsia="zh-CN"/>
              </w:rPr>
              <w:t>3.</w:t>
            </w:r>
            <w:r>
              <w:rPr>
                <w:rFonts w:hint="eastAsia" w:ascii="Times New Roman" w:hAnsi="Times New Roman" w:cs="Times New Roman"/>
                <w:b/>
                <w:bCs/>
                <w:snapToGrid w:val="0"/>
                <w:color w:val="auto"/>
                <w:spacing w:val="-2"/>
                <w:kern w:val="0"/>
                <w:sz w:val="24"/>
                <w:szCs w:val="24"/>
                <w:highlight w:val="none"/>
                <w:lang w:val="en-US" w:eastAsia="zh-CN"/>
              </w:rPr>
              <w:t>7</w:t>
            </w:r>
            <w:r>
              <w:rPr>
                <w:rFonts w:hint="default" w:ascii="Times New Roman" w:hAnsi="Times New Roman" w:cs="Times New Roman"/>
                <w:b/>
                <w:bCs/>
                <w:snapToGrid w:val="0"/>
                <w:color w:val="auto"/>
                <w:spacing w:val="-2"/>
                <w:kern w:val="0"/>
                <w:sz w:val="24"/>
                <w:szCs w:val="24"/>
                <w:highlight w:val="none"/>
                <w:lang w:val="en-US" w:eastAsia="zh-CN"/>
              </w:rPr>
              <w:t>、相关项目情况</w:t>
            </w:r>
          </w:p>
          <w:p w14:paraId="6CACE3BF">
            <w:pPr>
              <w:pStyle w:val="21"/>
              <w:spacing w:before="0" w:line="240" w:lineRule="auto"/>
              <w:ind w:left="0" w:leftChars="0" w:firstLine="0" w:firstLineChars="0"/>
              <w:jc w:val="center"/>
              <w:rPr>
                <w:rFonts w:hint="eastAsia" w:cs="Times New Roman"/>
                <w:snapToGrid w:val="0"/>
                <w:color w:val="auto"/>
                <w:spacing w:val="-2"/>
                <w:kern w:val="0"/>
                <w:sz w:val="24"/>
                <w:szCs w:val="24"/>
                <w:highlight w:val="none"/>
                <w:lang w:val="en-US" w:eastAsia="zh-CN"/>
              </w:rPr>
            </w:pPr>
            <w:r>
              <w:rPr>
                <w:b/>
                <w:bCs/>
                <w:spacing w:val="7"/>
                <w:sz w:val="20"/>
                <w:szCs w:val="20"/>
              </w:rPr>
              <w:t>表</w:t>
            </w:r>
            <w:r>
              <w:rPr>
                <w:rFonts w:ascii="Times New Roman" w:hAnsi="Times New Roman" w:eastAsia="Times New Roman" w:cs="Times New Roman"/>
                <w:b/>
                <w:bCs/>
                <w:spacing w:val="7"/>
                <w:sz w:val="20"/>
                <w:szCs w:val="20"/>
              </w:rPr>
              <w:t>3-</w:t>
            </w:r>
            <w:r>
              <w:rPr>
                <w:rFonts w:hint="eastAsia" w:ascii="Times New Roman" w:hAnsi="Times New Roman" w:eastAsia="宋体" w:cs="Times New Roman"/>
                <w:b/>
                <w:bCs/>
                <w:spacing w:val="7"/>
                <w:sz w:val="20"/>
                <w:szCs w:val="20"/>
                <w:lang w:val="en-US" w:eastAsia="zh-CN"/>
              </w:rPr>
              <w:t>6</w:t>
            </w:r>
            <w:r>
              <w:rPr>
                <w:rFonts w:ascii="Times New Roman" w:hAnsi="Times New Roman" w:eastAsia="Times New Roman" w:cs="Times New Roman"/>
                <w:b/>
                <w:bCs/>
                <w:spacing w:val="7"/>
                <w:sz w:val="20"/>
                <w:szCs w:val="20"/>
              </w:rPr>
              <w:t xml:space="preserve">  </w:t>
            </w:r>
            <w:r>
              <w:rPr>
                <w:b/>
                <w:bCs/>
                <w:spacing w:val="7"/>
                <w:sz w:val="20"/>
                <w:szCs w:val="20"/>
              </w:rPr>
              <w:t>与本工程相关的原有项目前期环保履行情况一览表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1904"/>
              <w:gridCol w:w="1098"/>
              <w:gridCol w:w="1112"/>
              <w:gridCol w:w="2113"/>
              <w:gridCol w:w="1196"/>
              <w:gridCol w:w="946"/>
            </w:tblGrid>
            <w:tr w14:paraId="49FA1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6" w:type="dxa"/>
                  <w:shd w:val="clear" w:color="auto" w:fill="auto"/>
                  <w:vAlign w:val="center"/>
                </w:tcPr>
                <w:p w14:paraId="635453C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涉及工程内容</w:t>
                  </w:r>
                </w:p>
              </w:tc>
              <w:tc>
                <w:tcPr>
                  <w:tcW w:w="1868" w:type="dxa"/>
                  <w:shd w:val="clear" w:color="auto" w:fill="auto"/>
                  <w:vAlign w:val="center"/>
                </w:tcPr>
                <w:p w14:paraId="494F885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环境影响评价</w:t>
                  </w:r>
                  <w:r>
                    <w:rPr>
                      <w:rFonts w:hint="eastAsia" w:cs="Times New Roman"/>
                      <w:b/>
                      <w:bCs/>
                      <w:color w:val="auto"/>
                      <w:sz w:val="21"/>
                      <w:szCs w:val="21"/>
                      <w:lang w:val="en-US" w:eastAsia="zh-CN"/>
                    </w:rPr>
                    <w:t>批复</w:t>
                  </w:r>
                  <w:r>
                    <w:rPr>
                      <w:rFonts w:hint="eastAsia" w:ascii="Times New Roman" w:hAnsi="Times New Roman" w:cs="Times New Roman"/>
                      <w:b/>
                      <w:bCs/>
                      <w:color w:val="auto"/>
                      <w:sz w:val="21"/>
                      <w:szCs w:val="21"/>
                      <w:lang w:val="en-US" w:eastAsia="zh-CN"/>
                    </w:rPr>
                    <w:t>文件名称</w:t>
                  </w:r>
                </w:p>
              </w:tc>
              <w:tc>
                <w:tcPr>
                  <w:tcW w:w="1077" w:type="dxa"/>
                  <w:shd w:val="clear" w:color="auto" w:fill="auto"/>
                  <w:vAlign w:val="center"/>
                </w:tcPr>
                <w:p w14:paraId="072648B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环评批文</w:t>
                  </w:r>
                </w:p>
              </w:tc>
              <w:tc>
                <w:tcPr>
                  <w:tcW w:w="1091" w:type="dxa"/>
                  <w:shd w:val="clear" w:color="auto" w:fill="auto"/>
                  <w:vAlign w:val="center"/>
                </w:tcPr>
                <w:p w14:paraId="0541558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对应附件</w:t>
                  </w:r>
                </w:p>
              </w:tc>
              <w:tc>
                <w:tcPr>
                  <w:tcW w:w="2073" w:type="dxa"/>
                  <w:shd w:val="clear" w:color="auto" w:fill="auto"/>
                  <w:vAlign w:val="center"/>
                </w:tcPr>
                <w:p w14:paraId="6A3BC90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竣工验收调查</w:t>
                  </w:r>
                  <w:r>
                    <w:rPr>
                      <w:rFonts w:hint="eastAsia" w:cs="Times New Roman"/>
                      <w:b/>
                      <w:bCs/>
                      <w:color w:val="auto"/>
                      <w:sz w:val="21"/>
                      <w:szCs w:val="21"/>
                      <w:lang w:val="en-US" w:eastAsia="zh-CN"/>
                    </w:rPr>
                    <w:t>批复</w:t>
                  </w:r>
                  <w:r>
                    <w:rPr>
                      <w:rFonts w:hint="eastAsia" w:ascii="Times New Roman" w:hAnsi="Times New Roman" w:cs="Times New Roman"/>
                      <w:b/>
                      <w:bCs/>
                      <w:color w:val="auto"/>
                      <w:sz w:val="21"/>
                      <w:szCs w:val="21"/>
                      <w:lang w:val="en-US" w:eastAsia="zh-CN"/>
                    </w:rPr>
                    <w:t>文件名称</w:t>
                  </w:r>
                </w:p>
              </w:tc>
              <w:tc>
                <w:tcPr>
                  <w:tcW w:w="1173" w:type="dxa"/>
                  <w:shd w:val="clear" w:color="auto" w:fill="auto"/>
                  <w:vAlign w:val="center"/>
                </w:tcPr>
                <w:p w14:paraId="474608A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验收批文</w:t>
                  </w:r>
                </w:p>
              </w:tc>
              <w:tc>
                <w:tcPr>
                  <w:tcW w:w="928" w:type="dxa"/>
                  <w:shd w:val="clear" w:color="auto" w:fill="auto"/>
                  <w:vAlign w:val="center"/>
                </w:tcPr>
                <w:p w14:paraId="4226363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对应附件</w:t>
                  </w:r>
                </w:p>
              </w:tc>
            </w:tr>
            <w:tr w14:paraId="62E1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6" w:type="dxa"/>
                  <w:shd w:val="clear" w:color="auto" w:fill="auto"/>
                  <w:vAlign w:val="center"/>
                </w:tcPr>
                <w:p w14:paraId="534AB2DC">
                  <w:pPr>
                    <w:jc w:val="center"/>
                    <w:rPr>
                      <w:rFonts w:hint="default" w:ascii="Times New Roman" w:hAnsi="Times New Roman" w:cs="Times New Roman"/>
                      <w:color w:val="auto"/>
                      <w:sz w:val="21"/>
                      <w:szCs w:val="21"/>
                      <w:lang w:val="en-US" w:eastAsia="zh-CN"/>
                    </w:rPr>
                  </w:pPr>
                  <w:r>
                    <w:rPr>
                      <w:rFonts w:hint="eastAsia" w:ascii="Times New Roman"/>
                      <w:color w:val="auto"/>
                      <w:szCs w:val="24"/>
                      <w:highlight w:val="none"/>
                      <w:lang w:val="zh-CN"/>
                    </w:rPr>
                    <w:t>古碑220kV变电站</w:t>
                  </w:r>
                </w:p>
              </w:tc>
              <w:tc>
                <w:tcPr>
                  <w:tcW w:w="1868" w:type="dxa"/>
                  <w:shd w:val="clear" w:color="auto" w:fill="auto"/>
                  <w:vAlign w:val="center"/>
                </w:tcPr>
                <w:p w14:paraId="5D701339">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关于俞林220千伏等3项输变电工程环境影响报告表的初审意见</w:t>
                  </w:r>
                </w:p>
              </w:tc>
              <w:tc>
                <w:tcPr>
                  <w:tcW w:w="1077" w:type="dxa"/>
                  <w:shd w:val="clear" w:color="auto" w:fill="auto"/>
                  <w:vAlign w:val="center"/>
                </w:tcPr>
                <w:p w14:paraId="5EED5CD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六环辐射</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2014</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29</w:t>
                  </w:r>
                  <w:r>
                    <w:rPr>
                      <w:rFonts w:hint="default" w:ascii="Times New Roman" w:hAnsi="Times New Roman" w:cs="Times New Roman"/>
                      <w:color w:val="auto"/>
                      <w:sz w:val="21"/>
                      <w:szCs w:val="21"/>
                      <w:lang w:val="en-US" w:eastAsia="zh-CN"/>
                    </w:rPr>
                    <w:t>号</w:t>
                  </w:r>
                </w:p>
              </w:tc>
              <w:tc>
                <w:tcPr>
                  <w:tcW w:w="1091" w:type="dxa"/>
                  <w:shd w:val="clear" w:color="auto" w:fill="auto"/>
                  <w:vAlign w:val="center"/>
                </w:tcPr>
                <w:p w14:paraId="428D4F5F">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附件33-1</w:t>
                  </w:r>
                </w:p>
              </w:tc>
              <w:tc>
                <w:tcPr>
                  <w:tcW w:w="2073" w:type="dxa"/>
                  <w:shd w:val="clear" w:color="auto" w:fill="auto"/>
                  <w:vAlign w:val="center"/>
                </w:tcPr>
                <w:p w14:paraId="018B63FA">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关于安徽电网六安古碑220kV等11项输变电工程竣工环保验收意见的函</w:t>
                  </w:r>
                </w:p>
              </w:tc>
              <w:tc>
                <w:tcPr>
                  <w:tcW w:w="1173" w:type="dxa"/>
                  <w:shd w:val="clear" w:color="auto" w:fill="auto"/>
                  <w:vAlign w:val="center"/>
                </w:tcPr>
                <w:p w14:paraId="7FF32B38">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六环函</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2017</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24</w:t>
                  </w:r>
                  <w:r>
                    <w:rPr>
                      <w:rFonts w:hint="default" w:ascii="Times New Roman" w:hAnsi="Times New Roman" w:cs="Times New Roman"/>
                      <w:color w:val="auto"/>
                      <w:sz w:val="21"/>
                      <w:szCs w:val="21"/>
                      <w:lang w:val="en-US" w:eastAsia="zh-CN"/>
                    </w:rPr>
                    <w:t>号</w:t>
                  </w:r>
                </w:p>
              </w:tc>
              <w:tc>
                <w:tcPr>
                  <w:tcW w:w="928" w:type="dxa"/>
                  <w:shd w:val="clear" w:color="auto" w:fill="auto"/>
                  <w:vAlign w:val="center"/>
                </w:tcPr>
                <w:p w14:paraId="7ACC9727">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附件33-2</w:t>
                  </w:r>
                </w:p>
              </w:tc>
            </w:tr>
            <w:tr w14:paraId="70527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86" w:type="dxa"/>
                  <w:shd w:val="clear" w:color="auto" w:fill="auto"/>
                  <w:vAlign w:val="center"/>
                </w:tcPr>
                <w:p w14:paraId="56B5632B">
                  <w:pPr>
                    <w:jc w:val="center"/>
                    <w:rPr>
                      <w:rFonts w:hint="default" w:ascii="Times New Roman" w:hAnsi="Times New Roman" w:cs="Times New Roman"/>
                      <w:color w:val="auto"/>
                      <w:sz w:val="21"/>
                      <w:szCs w:val="21"/>
                      <w:lang w:val="en-US" w:eastAsia="zh-CN"/>
                    </w:rPr>
                  </w:pPr>
                  <w:r>
                    <w:rPr>
                      <w:rFonts w:hint="eastAsia" w:ascii="Times New Roman"/>
                      <w:color w:val="auto"/>
                      <w:szCs w:val="24"/>
                      <w:highlight w:val="none"/>
                      <w:lang w:val="en-US" w:eastAsia="zh-CN"/>
                    </w:rPr>
                    <w:t>双河110</w:t>
                  </w:r>
                  <w:r>
                    <w:rPr>
                      <w:rFonts w:hint="eastAsia" w:ascii="Times New Roman"/>
                      <w:color w:val="auto"/>
                      <w:szCs w:val="24"/>
                      <w:highlight w:val="none"/>
                      <w:lang w:val="zh-CN"/>
                    </w:rPr>
                    <w:t>kV变电站</w:t>
                  </w:r>
                </w:p>
              </w:tc>
              <w:tc>
                <w:tcPr>
                  <w:tcW w:w="1868" w:type="dxa"/>
                  <w:shd w:val="clear" w:color="auto" w:fill="auto"/>
                  <w:vAlign w:val="center"/>
                </w:tcPr>
                <w:p w14:paraId="499AA07F">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关于六安元东220kV等5项输变电工程环境影响报告表的批复</w:t>
                  </w:r>
                </w:p>
              </w:tc>
              <w:tc>
                <w:tcPr>
                  <w:tcW w:w="1077" w:type="dxa"/>
                  <w:shd w:val="clear" w:color="auto" w:fill="auto"/>
                  <w:vAlign w:val="center"/>
                </w:tcPr>
                <w:p w14:paraId="1A395155">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六环函</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2017</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8</w:t>
                  </w:r>
                  <w:r>
                    <w:rPr>
                      <w:rFonts w:hint="default" w:ascii="Times New Roman" w:hAnsi="Times New Roman" w:cs="Times New Roman"/>
                      <w:color w:val="auto"/>
                      <w:sz w:val="21"/>
                      <w:szCs w:val="21"/>
                      <w:lang w:val="en-US" w:eastAsia="zh-CN"/>
                    </w:rPr>
                    <w:t>号</w:t>
                  </w:r>
                </w:p>
              </w:tc>
              <w:tc>
                <w:tcPr>
                  <w:tcW w:w="1091" w:type="dxa"/>
                  <w:shd w:val="clear" w:color="auto" w:fill="auto"/>
                  <w:vAlign w:val="center"/>
                </w:tcPr>
                <w:p w14:paraId="5A99F57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附件33-3</w:t>
                  </w:r>
                </w:p>
              </w:tc>
              <w:tc>
                <w:tcPr>
                  <w:tcW w:w="2073" w:type="dxa"/>
                  <w:shd w:val="clear" w:color="auto" w:fill="auto"/>
                  <w:vAlign w:val="center"/>
                </w:tcPr>
                <w:p w14:paraId="3DA4F5C9">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关于下达六安丁集110千伏变电站2号主变扩建等3项输变电工程竣工环境保护验收意见的通知</w:t>
                  </w:r>
                </w:p>
              </w:tc>
              <w:tc>
                <w:tcPr>
                  <w:tcW w:w="1173" w:type="dxa"/>
                  <w:shd w:val="clear" w:color="auto" w:fill="auto"/>
                  <w:vAlign w:val="center"/>
                </w:tcPr>
                <w:p w14:paraId="2C1DB777">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供发展工作</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2019</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134</w:t>
                  </w:r>
                  <w:r>
                    <w:rPr>
                      <w:rFonts w:hint="default" w:ascii="Times New Roman" w:hAnsi="Times New Roman" w:cs="Times New Roman"/>
                      <w:color w:val="auto"/>
                      <w:sz w:val="21"/>
                      <w:szCs w:val="21"/>
                      <w:lang w:val="en-US" w:eastAsia="zh-CN"/>
                    </w:rPr>
                    <w:t>号</w:t>
                  </w:r>
                </w:p>
              </w:tc>
              <w:tc>
                <w:tcPr>
                  <w:tcW w:w="928" w:type="dxa"/>
                  <w:shd w:val="clear" w:color="auto" w:fill="auto"/>
                  <w:vAlign w:val="center"/>
                </w:tcPr>
                <w:p w14:paraId="4E4BAACA">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附件33-4</w:t>
                  </w:r>
                </w:p>
              </w:tc>
            </w:tr>
          </w:tbl>
          <w:p w14:paraId="73125713">
            <w:pPr>
              <w:pStyle w:val="21"/>
              <w:spacing w:before="0" w:line="360" w:lineRule="auto"/>
              <w:ind w:left="0" w:leftChars="0" w:firstLine="0" w:firstLineChars="0"/>
              <w:rPr>
                <w:rFonts w:ascii="Times New Roman" w:hAnsi="Times New Roman"/>
                <w:szCs w:val="24"/>
              </w:rPr>
            </w:pPr>
          </w:p>
        </w:tc>
      </w:tr>
      <w:tr w14:paraId="6013B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234" w:type="pct"/>
            <w:vAlign w:val="center"/>
          </w:tcPr>
          <w:p w14:paraId="0346D7B4">
            <w:pPr>
              <w:jc w:val="center"/>
              <w:rPr>
                <w:b/>
                <w:bCs/>
                <w:sz w:val="28"/>
                <w:szCs w:val="28"/>
              </w:rPr>
            </w:pPr>
            <w:r>
              <w:rPr>
                <w:b/>
                <w:bCs/>
                <w:sz w:val="24"/>
                <w:szCs w:val="24"/>
              </w:rPr>
              <w:t>生态环境保护目标</w:t>
            </w:r>
          </w:p>
        </w:tc>
        <w:tc>
          <w:tcPr>
            <w:tcW w:w="4765" w:type="pct"/>
          </w:tcPr>
          <w:p w14:paraId="6DF16DE6">
            <w:pPr>
              <w:tabs>
                <w:tab w:val="center" w:pos="4551"/>
              </w:tabs>
              <w:spacing w:line="360" w:lineRule="auto"/>
              <w:rPr>
                <w:rFonts w:hint="eastAsia" w:ascii="Times New Roman" w:hAnsi="Times New Roman" w:eastAsia="宋体" w:cs="Times New Roman"/>
                <w:b/>
                <w:bCs/>
                <w:sz w:val="24"/>
                <w:szCs w:val="24"/>
                <w:lang w:eastAsia="zh-CN"/>
              </w:rPr>
            </w:pPr>
            <w:r>
              <w:rPr>
                <w:rFonts w:hint="eastAsia" w:cs="Times New Roman"/>
                <w:b/>
                <w:bCs/>
                <w:sz w:val="24"/>
                <w:szCs w:val="24"/>
                <w:lang w:val="en-US" w:eastAsia="zh-CN"/>
              </w:rPr>
              <w:t>3.8</w:t>
            </w:r>
            <w:r>
              <w:rPr>
                <w:rFonts w:hint="default" w:ascii="Times New Roman" w:hAnsi="Times New Roman" w:eastAsia="宋体" w:cs="Times New Roman"/>
                <w:b/>
                <w:bCs/>
                <w:sz w:val="24"/>
                <w:szCs w:val="24"/>
              </w:rPr>
              <w:t>、评价范围</w:t>
            </w:r>
          </w:p>
          <w:p w14:paraId="14A9AB07">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根据《环境影响评价技术导则 输变电》（HJ24-2020）、《环境影响评价技术导则 生态影响》（HJ19-2022）及《环境影响评价技术导则 声环境》（HJ2.4-2021），</w:t>
            </w:r>
            <w:r>
              <w:rPr>
                <w:rFonts w:hint="eastAsia" w:cs="Times New Roman"/>
                <w:sz w:val="24"/>
                <w:szCs w:val="24"/>
                <w:lang w:eastAsia="zh-CN"/>
              </w:rPr>
              <w:t>本工程</w:t>
            </w:r>
            <w:r>
              <w:rPr>
                <w:rFonts w:hint="eastAsia" w:ascii="Times New Roman" w:hAnsi="Times New Roman" w:eastAsia="宋体" w:cs="Times New Roman"/>
                <w:sz w:val="24"/>
                <w:szCs w:val="24"/>
                <w:lang w:eastAsia="zh-CN"/>
              </w:rPr>
              <w:t>的环境影响评价范围见</w:t>
            </w:r>
            <w:r>
              <w:rPr>
                <w:rFonts w:hint="default" w:ascii="Times New Roman" w:hAnsi="Times New Roman" w:eastAsia="宋体" w:cs="Times New Roman"/>
                <w:sz w:val="24"/>
                <w:szCs w:val="24"/>
              </w:rPr>
              <w:t>下表。</w:t>
            </w:r>
          </w:p>
          <w:p w14:paraId="5FF5D06A">
            <w:pPr>
              <w:spacing w:line="240" w:lineRule="auto"/>
              <w:jc w:val="center"/>
              <w:rPr>
                <w:rFonts w:hint="eastAsia" w:eastAsia="宋体"/>
                <w:sz w:val="21"/>
                <w:szCs w:val="21"/>
                <w:vertAlign w:val="baseline"/>
                <w:lang w:val="en-US" w:eastAsia="zh-CN"/>
              </w:rPr>
            </w:pPr>
            <w:r>
              <w:rPr>
                <w:rFonts w:hint="default" w:ascii="Times New Roman" w:hAnsi="Times New Roman" w:eastAsia="宋体" w:cs="Times New Roman"/>
                <w:b/>
                <w:bCs/>
                <w:sz w:val="21"/>
                <w:szCs w:val="21"/>
              </w:rPr>
              <w:t>表3-</w:t>
            </w:r>
            <w:r>
              <w:rPr>
                <w:rFonts w:hint="eastAsia" w:cs="Times New Roman"/>
                <w:b/>
                <w:bCs/>
                <w:sz w:val="21"/>
                <w:szCs w:val="21"/>
                <w:lang w:val="en-US" w:eastAsia="zh-CN"/>
              </w:rPr>
              <w:t>7</w:t>
            </w:r>
            <w:r>
              <w:rPr>
                <w:rFonts w:hint="eastAsia" w:ascii="Times New Roman" w:hAnsi="Times New Roman" w:eastAsia="宋体" w:cs="Times New Roman"/>
                <w:b/>
                <w:bCs/>
                <w:sz w:val="21"/>
                <w:szCs w:val="21"/>
                <w:lang w:val="en-US" w:eastAsia="zh-CN"/>
              </w:rPr>
              <w:t xml:space="preserve">  </w:t>
            </w:r>
            <w:r>
              <w:rPr>
                <w:rFonts w:hint="eastAsia" w:cs="Times New Roman"/>
                <w:b/>
                <w:bCs/>
                <w:sz w:val="21"/>
                <w:szCs w:val="21"/>
                <w:lang w:eastAsia="zh-CN"/>
              </w:rPr>
              <w:t>本工程</w:t>
            </w:r>
            <w:r>
              <w:rPr>
                <w:rFonts w:hint="default" w:ascii="Times New Roman" w:hAnsi="Times New Roman" w:eastAsia="宋体" w:cs="Times New Roman"/>
                <w:b/>
                <w:bCs/>
                <w:sz w:val="21"/>
                <w:szCs w:val="21"/>
              </w:rPr>
              <w:t>评价范围</w:t>
            </w:r>
            <w:r>
              <w:rPr>
                <w:rFonts w:hint="eastAsia" w:cs="Times New Roman"/>
                <w:b/>
                <w:bCs/>
                <w:sz w:val="21"/>
                <w:szCs w:val="21"/>
                <w:lang w:val="en-US" w:eastAsia="zh-CN"/>
              </w:rPr>
              <w:t>一览表</w:t>
            </w:r>
          </w:p>
          <w:tbl>
            <w:tblPr>
              <w:tblStyle w:val="38"/>
              <w:tblW w:w="4996" w:type="pct"/>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6"/>
              <w:gridCol w:w="3418"/>
              <w:gridCol w:w="3090"/>
            </w:tblGrid>
            <w:tr w14:paraId="6FA41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Align w:val="center"/>
                </w:tcPr>
                <w:p w14:paraId="341185FF">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评价</w:t>
                  </w:r>
                  <w:r>
                    <w:rPr>
                      <w:rFonts w:hint="eastAsia" w:cs="Times New Roman"/>
                      <w:b/>
                      <w:bCs/>
                      <w:sz w:val="21"/>
                      <w:szCs w:val="21"/>
                      <w:lang w:val="en-US" w:eastAsia="zh-CN"/>
                    </w:rPr>
                    <w:t>对象</w:t>
                  </w:r>
                </w:p>
              </w:tc>
              <w:tc>
                <w:tcPr>
                  <w:tcW w:w="1844" w:type="pct"/>
                  <w:vAlign w:val="center"/>
                </w:tcPr>
                <w:p w14:paraId="445B4319">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评价项目</w:t>
                  </w:r>
                </w:p>
              </w:tc>
              <w:tc>
                <w:tcPr>
                  <w:tcW w:w="1667" w:type="pct"/>
                  <w:vAlign w:val="center"/>
                </w:tcPr>
                <w:p w14:paraId="2C425D3A">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评价范围</w:t>
                  </w:r>
                </w:p>
              </w:tc>
            </w:tr>
            <w:tr w14:paraId="50BE6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restart"/>
                  <w:vAlign w:val="center"/>
                </w:tcPr>
                <w:p w14:paraId="37F859CC">
                  <w:pPr>
                    <w:jc w:val="center"/>
                    <w:rPr>
                      <w:rFonts w:hint="default" w:ascii="Times New Roman" w:hAnsi="Times New Roman" w:eastAsia="宋体" w:cs="Times New Roman"/>
                      <w:sz w:val="21"/>
                      <w:szCs w:val="21"/>
                    </w:rPr>
                  </w:pPr>
                  <w:r>
                    <w:rPr>
                      <w:rFonts w:hint="eastAsia" w:cs="Times New Roman"/>
                      <w:sz w:val="21"/>
                      <w:szCs w:val="21"/>
                      <w:lang w:val="en-US" w:eastAsia="zh-CN"/>
                    </w:rPr>
                    <w:t>110</w:t>
                  </w:r>
                  <w:r>
                    <w:rPr>
                      <w:rFonts w:hint="default" w:ascii="Times New Roman" w:hAnsi="Times New Roman" w:cs="Times New Roman"/>
                      <w:color w:val="auto"/>
                      <w:sz w:val="21"/>
                      <w:szCs w:val="21"/>
                      <w:lang w:val="en-US" w:eastAsia="zh-CN"/>
                    </w:rPr>
                    <w:t>kV变电站</w:t>
                  </w:r>
                </w:p>
              </w:tc>
              <w:tc>
                <w:tcPr>
                  <w:tcW w:w="1844" w:type="pct"/>
                  <w:vAlign w:val="center"/>
                </w:tcPr>
                <w:p w14:paraId="7CC7E635">
                  <w:pPr>
                    <w:jc w:val="center"/>
                    <w:rPr>
                      <w:rFonts w:hint="eastAsia" w:cs="Times New Roman"/>
                      <w:sz w:val="21"/>
                      <w:szCs w:val="21"/>
                      <w:lang w:eastAsia="zh-CN"/>
                    </w:rPr>
                  </w:pPr>
                  <w:r>
                    <w:rPr>
                      <w:rFonts w:hint="eastAsia" w:cs="Times New Roman"/>
                      <w:sz w:val="21"/>
                      <w:szCs w:val="21"/>
                      <w:lang w:val="en-US" w:eastAsia="zh-CN"/>
                    </w:rPr>
                    <w:t>电磁环境</w:t>
                  </w:r>
                </w:p>
              </w:tc>
              <w:tc>
                <w:tcPr>
                  <w:tcW w:w="1667" w:type="pct"/>
                  <w:vAlign w:val="center"/>
                </w:tcPr>
                <w:p w14:paraId="543C147D">
                  <w:pPr>
                    <w:jc w:val="center"/>
                    <w:rPr>
                      <w:rFonts w:hint="eastAsia" w:cs="Times New Roman"/>
                      <w:sz w:val="21"/>
                      <w:szCs w:val="21"/>
                      <w:lang w:eastAsia="zh-CN"/>
                    </w:rPr>
                  </w:pPr>
                  <w:r>
                    <w:rPr>
                      <w:spacing w:val="-3"/>
                      <w:sz w:val="21"/>
                      <w:szCs w:val="21"/>
                    </w:rPr>
                    <w:t>站界外</w:t>
                  </w:r>
                  <w:r>
                    <w:rPr>
                      <w:rFonts w:ascii="Times New Roman" w:hAnsi="Times New Roman" w:eastAsia="Times New Roman" w:cs="Times New Roman"/>
                      <w:spacing w:val="-3"/>
                      <w:sz w:val="21"/>
                      <w:szCs w:val="21"/>
                    </w:rPr>
                    <w:t>30m</w:t>
                  </w:r>
                  <w:r>
                    <w:rPr>
                      <w:spacing w:val="-3"/>
                      <w:sz w:val="21"/>
                      <w:szCs w:val="21"/>
                    </w:rPr>
                    <w:t>范围内区域</w:t>
                  </w:r>
                </w:p>
              </w:tc>
            </w:tr>
            <w:tr w14:paraId="1D20D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continue"/>
                  <w:vAlign w:val="center"/>
                </w:tcPr>
                <w:p w14:paraId="4074C082">
                  <w:pPr>
                    <w:jc w:val="center"/>
                    <w:rPr>
                      <w:rFonts w:hint="default" w:ascii="Times New Roman" w:hAnsi="Times New Roman" w:eastAsia="宋体" w:cs="Times New Roman"/>
                      <w:sz w:val="21"/>
                      <w:szCs w:val="21"/>
                    </w:rPr>
                  </w:pPr>
                </w:p>
              </w:tc>
              <w:tc>
                <w:tcPr>
                  <w:tcW w:w="1844" w:type="pct"/>
                  <w:vAlign w:val="center"/>
                </w:tcPr>
                <w:p w14:paraId="6C72E8EB">
                  <w:pPr>
                    <w:jc w:val="center"/>
                    <w:rPr>
                      <w:rFonts w:hint="default" w:ascii="Times New Roman" w:hAnsi="Times New Roman" w:eastAsia="宋体" w:cs="Times New Roman"/>
                      <w:sz w:val="21"/>
                      <w:szCs w:val="21"/>
                    </w:rPr>
                  </w:pPr>
                  <w:r>
                    <w:rPr>
                      <w:rFonts w:hint="eastAsia" w:cs="Times New Roman"/>
                      <w:sz w:val="21"/>
                      <w:szCs w:val="21"/>
                      <w:lang w:val="en-US" w:eastAsia="zh-CN"/>
                    </w:rPr>
                    <w:t>声环境</w:t>
                  </w:r>
                </w:p>
              </w:tc>
              <w:tc>
                <w:tcPr>
                  <w:tcW w:w="1667" w:type="pct"/>
                  <w:vAlign w:val="center"/>
                </w:tcPr>
                <w:p w14:paraId="0599DEBA">
                  <w:pPr>
                    <w:jc w:val="center"/>
                    <w:rPr>
                      <w:rFonts w:hint="default" w:ascii="Times New Roman" w:hAnsi="Times New Roman" w:eastAsia="宋体" w:cs="Times New Roman"/>
                      <w:sz w:val="21"/>
                      <w:szCs w:val="21"/>
                      <w:lang w:eastAsia="zh-CN"/>
                    </w:rPr>
                  </w:pPr>
                  <w:r>
                    <w:rPr>
                      <w:rFonts w:ascii="Times New Roman" w:hAnsi="Times New Roman" w:cs="Times New Roman"/>
                      <w:spacing w:val="-3"/>
                      <w:sz w:val="21"/>
                      <w:szCs w:val="21"/>
                    </w:rPr>
                    <w:t>站界外</w:t>
                  </w:r>
                  <w:r>
                    <w:rPr>
                      <w:rFonts w:hint="eastAsia" w:cs="Times New Roman"/>
                      <w:spacing w:val="-3"/>
                      <w:sz w:val="21"/>
                      <w:szCs w:val="21"/>
                      <w:lang w:val="en-US" w:eastAsia="zh-CN"/>
                    </w:rPr>
                    <w:t>200</w:t>
                  </w:r>
                  <w:r>
                    <w:rPr>
                      <w:rFonts w:ascii="Times New Roman" w:hAnsi="Times New Roman" w:eastAsia="Times New Roman" w:cs="Times New Roman"/>
                      <w:spacing w:val="-3"/>
                      <w:sz w:val="21"/>
                      <w:szCs w:val="21"/>
                    </w:rPr>
                    <w:t>m</w:t>
                  </w:r>
                  <w:r>
                    <w:rPr>
                      <w:rFonts w:ascii="Times New Roman" w:hAnsi="Times New Roman" w:cs="Times New Roman"/>
                      <w:spacing w:val="-3"/>
                      <w:sz w:val="21"/>
                      <w:szCs w:val="21"/>
                    </w:rPr>
                    <w:t>范围内区域</w:t>
                  </w:r>
                </w:p>
              </w:tc>
            </w:tr>
            <w:tr w14:paraId="6135C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continue"/>
                  <w:vAlign w:val="center"/>
                </w:tcPr>
                <w:p w14:paraId="48AF54BA">
                  <w:pPr>
                    <w:jc w:val="center"/>
                    <w:rPr>
                      <w:rFonts w:hint="default" w:ascii="Times New Roman" w:hAnsi="Times New Roman" w:eastAsia="宋体" w:cs="Times New Roman"/>
                      <w:sz w:val="21"/>
                      <w:szCs w:val="21"/>
                    </w:rPr>
                  </w:pPr>
                </w:p>
              </w:tc>
              <w:tc>
                <w:tcPr>
                  <w:tcW w:w="1844" w:type="pct"/>
                  <w:vAlign w:val="center"/>
                </w:tcPr>
                <w:p w14:paraId="78494026">
                  <w:pPr>
                    <w:jc w:val="center"/>
                    <w:rPr>
                      <w:rFonts w:hint="default" w:ascii="Times New Roman" w:hAnsi="Times New Roman" w:eastAsia="宋体" w:cs="Times New Roman"/>
                      <w:sz w:val="21"/>
                      <w:szCs w:val="21"/>
                    </w:rPr>
                  </w:pPr>
                  <w:r>
                    <w:rPr>
                      <w:rFonts w:hint="eastAsia" w:cs="Times New Roman"/>
                      <w:sz w:val="21"/>
                      <w:szCs w:val="21"/>
                      <w:lang w:val="en-US" w:eastAsia="zh-CN"/>
                    </w:rPr>
                    <w:t>生态环境</w:t>
                  </w:r>
                </w:p>
              </w:tc>
              <w:tc>
                <w:tcPr>
                  <w:tcW w:w="1667" w:type="pct"/>
                  <w:vAlign w:val="center"/>
                </w:tcPr>
                <w:p w14:paraId="5BD90F39">
                  <w:pPr>
                    <w:jc w:val="center"/>
                    <w:rPr>
                      <w:rFonts w:hint="default" w:ascii="Times New Roman" w:hAnsi="Times New Roman" w:eastAsia="宋体" w:cs="Times New Roman"/>
                      <w:sz w:val="21"/>
                      <w:szCs w:val="21"/>
                      <w:lang w:eastAsia="zh-CN"/>
                    </w:rPr>
                  </w:pPr>
                  <w:r>
                    <w:rPr>
                      <w:rFonts w:ascii="Times New Roman" w:hAnsi="Times New Roman" w:cs="Times New Roman"/>
                      <w:spacing w:val="-3"/>
                      <w:sz w:val="21"/>
                      <w:szCs w:val="21"/>
                    </w:rPr>
                    <w:t>站界外</w:t>
                  </w:r>
                  <w:r>
                    <w:rPr>
                      <w:rFonts w:hint="eastAsia" w:ascii="Times New Roman" w:hAnsi="Times New Roman" w:eastAsia="宋体" w:cs="Times New Roman"/>
                      <w:spacing w:val="-3"/>
                      <w:sz w:val="21"/>
                      <w:szCs w:val="21"/>
                      <w:lang w:val="en-US" w:eastAsia="zh-CN"/>
                    </w:rPr>
                    <w:t>500</w:t>
                  </w:r>
                  <w:r>
                    <w:rPr>
                      <w:rFonts w:ascii="Times New Roman" w:hAnsi="Times New Roman" w:eastAsia="Times New Roman" w:cs="Times New Roman"/>
                      <w:spacing w:val="-3"/>
                      <w:sz w:val="21"/>
                      <w:szCs w:val="21"/>
                    </w:rPr>
                    <w:t>m</w:t>
                  </w:r>
                  <w:r>
                    <w:rPr>
                      <w:rFonts w:ascii="Times New Roman" w:hAnsi="Times New Roman" w:cs="Times New Roman"/>
                      <w:spacing w:val="-3"/>
                      <w:sz w:val="21"/>
                      <w:szCs w:val="21"/>
                    </w:rPr>
                    <w:t>范围内区域</w:t>
                  </w:r>
                </w:p>
              </w:tc>
            </w:tr>
            <w:tr w14:paraId="5E223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restart"/>
                  <w:vAlign w:val="center"/>
                </w:tcPr>
                <w:p w14:paraId="7560A789">
                  <w:pPr>
                    <w:jc w:val="center"/>
                    <w:rPr>
                      <w:rFonts w:hint="default" w:ascii="Times New Roman" w:hAnsi="Times New Roman" w:eastAsia="宋体" w:cs="Times New Roman"/>
                      <w:sz w:val="21"/>
                      <w:szCs w:val="21"/>
                      <w:lang w:val="en-US"/>
                    </w:rPr>
                  </w:pPr>
                  <w:r>
                    <w:rPr>
                      <w:rFonts w:hint="eastAsia" w:ascii="Times New Roman" w:hAnsi="Times New Roman" w:cs="Times New Roman"/>
                      <w:color w:val="auto"/>
                      <w:sz w:val="21"/>
                      <w:szCs w:val="21"/>
                      <w:lang w:val="en-US" w:eastAsia="zh-CN"/>
                    </w:rPr>
                    <w:t>110</w:t>
                  </w:r>
                  <w:r>
                    <w:rPr>
                      <w:rFonts w:hint="default" w:ascii="Times New Roman" w:hAnsi="Times New Roman" w:cs="Times New Roman"/>
                      <w:color w:val="auto"/>
                      <w:sz w:val="21"/>
                      <w:szCs w:val="21"/>
                      <w:lang w:val="en-US" w:eastAsia="zh-CN"/>
                    </w:rPr>
                    <w:t>kV</w:t>
                  </w:r>
                  <w:r>
                    <w:rPr>
                      <w:rFonts w:hint="eastAsia" w:ascii="Times New Roman" w:hAnsi="Times New Roman" w:cs="Times New Roman"/>
                      <w:color w:val="auto"/>
                      <w:sz w:val="21"/>
                      <w:szCs w:val="21"/>
                      <w:lang w:val="en-US" w:eastAsia="zh-CN"/>
                    </w:rPr>
                    <w:t>架空线路</w:t>
                  </w:r>
                </w:p>
              </w:tc>
              <w:tc>
                <w:tcPr>
                  <w:tcW w:w="1844" w:type="pct"/>
                  <w:vAlign w:val="center"/>
                </w:tcPr>
                <w:p w14:paraId="47F063F0">
                  <w:pPr>
                    <w:jc w:val="center"/>
                    <w:rPr>
                      <w:rFonts w:hint="default" w:ascii="Times New Roman" w:hAnsi="Times New Roman" w:eastAsia="宋体" w:cs="Times New Roman"/>
                      <w:sz w:val="21"/>
                      <w:szCs w:val="21"/>
                      <w:lang w:eastAsia="zh-CN"/>
                    </w:rPr>
                  </w:pPr>
                  <w:r>
                    <w:rPr>
                      <w:rFonts w:hint="eastAsia" w:cs="Times New Roman"/>
                      <w:sz w:val="21"/>
                      <w:szCs w:val="21"/>
                      <w:lang w:val="en-US" w:eastAsia="zh-CN"/>
                    </w:rPr>
                    <w:t>电磁环境</w:t>
                  </w:r>
                </w:p>
              </w:tc>
              <w:tc>
                <w:tcPr>
                  <w:tcW w:w="1667" w:type="pct"/>
                  <w:vAlign w:val="center"/>
                </w:tcPr>
                <w:p w14:paraId="0701B549">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边导线地面投影外两侧各30m范围内的区域</w:t>
                  </w:r>
                </w:p>
              </w:tc>
            </w:tr>
            <w:tr w14:paraId="468F5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continue"/>
                  <w:vAlign w:val="center"/>
                </w:tcPr>
                <w:p w14:paraId="79CC8BA8">
                  <w:pPr>
                    <w:jc w:val="center"/>
                    <w:rPr>
                      <w:rFonts w:hint="default" w:ascii="Times New Roman" w:hAnsi="Times New Roman" w:eastAsia="宋体" w:cs="Times New Roman"/>
                      <w:sz w:val="21"/>
                      <w:szCs w:val="21"/>
                    </w:rPr>
                  </w:pPr>
                </w:p>
              </w:tc>
              <w:tc>
                <w:tcPr>
                  <w:tcW w:w="1844" w:type="pct"/>
                  <w:vAlign w:val="center"/>
                </w:tcPr>
                <w:p w14:paraId="3B33339D">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声环境</w:t>
                  </w:r>
                </w:p>
              </w:tc>
              <w:tc>
                <w:tcPr>
                  <w:tcW w:w="1667" w:type="pct"/>
                  <w:vAlign w:val="center"/>
                </w:tcPr>
                <w:p w14:paraId="5EB3D523">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边导线地面投影外两侧各30m范围内的区域</w:t>
                  </w:r>
                </w:p>
              </w:tc>
            </w:tr>
            <w:tr w14:paraId="76D10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continue"/>
                  <w:vAlign w:val="center"/>
                </w:tcPr>
                <w:p w14:paraId="6D0C4632">
                  <w:pPr>
                    <w:jc w:val="center"/>
                    <w:rPr>
                      <w:rFonts w:hint="default" w:ascii="Times New Roman" w:hAnsi="Times New Roman" w:eastAsia="宋体" w:cs="Times New Roman"/>
                      <w:sz w:val="21"/>
                      <w:szCs w:val="21"/>
                    </w:rPr>
                  </w:pPr>
                </w:p>
              </w:tc>
              <w:tc>
                <w:tcPr>
                  <w:tcW w:w="1844" w:type="pct"/>
                  <w:vAlign w:val="center"/>
                </w:tcPr>
                <w:p w14:paraId="3A9B16F6">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生态环境（进入生态敏感区段）</w:t>
                  </w:r>
                </w:p>
              </w:tc>
              <w:tc>
                <w:tcPr>
                  <w:tcW w:w="1667" w:type="pct"/>
                  <w:vAlign w:val="center"/>
                </w:tcPr>
                <w:p w14:paraId="29285F6F">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边导线地面投影外两侧各</w:t>
                  </w:r>
                  <w:r>
                    <w:rPr>
                      <w:rFonts w:hint="eastAsia" w:ascii="Times New Roman" w:hAnsi="Times New Roman" w:eastAsia="宋体" w:cs="Times New Roman"/>
                      <w:sz w:val="21"/>
                      <w:szCs w:val="21"/>
                      <w:lang w:val="en-US" w:eastAsia="zh-CN"/>
                    </w:rPr>
                    <w:t>1000m内的带状</w:t>
                  </w:r>
                  <w:r>
                    <w:rPr>
                      <w:rFonts w:hint="default" w:ascii="Times New Roman" w:hAnsi="Times New Roman" w:eastAsia="宋体" w:cs="Times New Roman"/>
                      <w:sz w:val="21"/>
                      <w:szCs w:val="21"/>
                      <w:lang w:eastAsia="zh-CN"/>
                    </w:rPr>
                    <w:t>区域</w:t>
                  </w:r>
                </w:p>
              </w:tc>
            </w:tr>
            <w:tr w14:paraId="1DDAF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487" w:type="pct"/>
                  <w:vMerge w:val="continue"/>
                  <w:vAlign w:val="center"/>
                </w:tcPr>
                <w:p w14:paraId="0D6C9ACC">
                  <w:pPr>
                    <w:jc w:val="center"/>
                    <w:rPr>
                      <w:rFonts w:hint="default" w:ascii="Times New Roman" w:hAnsi="Times New Roman" w:eastAsia="宋体" w:cs="Times New Roman"/>
                      <w:sz w:val="21"/>
                      <w:szCs w:val="21"/>
                    </w:rPr>
                  </w:pPr>
                </w:p>
              </w:tc>
              <w:tc>
                <w:tcPr>
                  <w:tcW w:w="1844" w:type="pct"/>
                  <w:vAlign w:val="center"/>
                </w:tcPr>
                <w:p w14:paraId="5344DD15">
                  <w:pPr>
                    <w:jc w:val="center"/>
                    <w:rPr>
                      <w:rFonts w:hint="eastAsia" w:cs="Times New Roman"/>
                      <w:sz w:val="21"/>
                      <w:szCs w:val="21"/>
                      <w:lang w:val="en-US" w:eastAsia="zh-CN"/>
                    </w:rPr>
                  </w:pPr>
                  <w:r>
                    <w:rPr>
                      <w:rFonts w:hint="eastAsia" w:cs="Times New Roman"/>
                      <w:sz w:val="21"/>
                      <w:szCs w:val="21"/>
                      <w:lang w:val="en-US" w:eastAsia="zh-CN"/>
                    </w:rPr>
                    <w:t>生态环境（未进入生态敏感区段）</w:t>
                  </w:r>
                </w:p>
              </w:tc>
              <w:tc>
                <w:tcPr>
                  <w:tcW w:w="1667" w:type="pct"/>
                  <w:vAlign w:val="center"/>
                </w:tcPr>
                <w:p w14:paraId="09D76795">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边导线地面投影外两侧各</w:t>
                  </w:r>
                  <w:r>
                    <w:rPr>
                      <w:rFonts w:hint="eastAsia" w:cs="Times New Roman"/>
                      <w:sz w:val="21"/>
                      <w:szCs w:val="21"/>
                      <w:lang w:val="en-US" w:eastAsia="zh-CN"/>
                    </w:rPr>
                    <w:t>300</w:t>
                  </w:r>
                  <w:r>
                    <w:rPr>
                      <w:rFonts w:hint="eastAsia" w:ascii="Times New Roman" w:hAnsi="Times New Roman" w:eastAsia="宋体" w:cs="Times New Roman"/>
                      <w:sz w:val="21"/>
                      <w:szCs w:val="21"/>
                      <w:lang w:val="en-US" w:eastAsia="zh-CN"/>
                    </w:rPr>
                    <w:t>m内的带状</w:t>
                  </w:r>
                  <w:r>
                    <w:rPr>
                      <w:rFonts w:hint="default" w:ascii="Times New Roman" w:hAnsi="Times New Roman" w:eastAsia="宋体" w:cs="Times New Roman"/>
                      <w:sz w:val="21"/>
                      <w:szCs w:val="21"/>
                      <w:lang w:eastAsia="zh-CN"/>
                    </w:rPr>
                    <w:t>区域</w:t>
                  </w:r>
                </w:p>
              </w:tc>
            </w:tr>
          </w:tbl>
          <w:p w14:paraId="63C7EDE0">
            <w:pPr>
              <w:keepNext w:val="0"/>
              <w:keepLines w:val="0"/>
              <w:pageBreakBefore w:val="0"/>
              <w:widowControl w:val="0"/>
              <w:kinsoku/>
              <w:wordWrap/>
              <w:overflowPunct/>
              <w:topLinePunct w:val="0"/>
              <w:autoSpaceDE/>
              <w:autoSpaceDN/>
              <w:bidi w:val="0"/>
              <w:adjustRightInd/>
              <w:snapToGrid/>
              <w:spacing w:before="313" w:beforeLines="100" w:line="360" w:lineRule="auto"/>
              <w:textAlignment w:val="auto"/>
              <w:rPr>
                <w:rFonts w:hint="default" w:ascii="Times New Roman" w:hAnsi="Times New Roman" w:eastAsia="宋体" w:cs="Times New Roman"/>
                <w:b/>
                <w:bCs/>
                <w:sz w:val="24"/>
                <w:szCs w:val="24"/>
              </w:rPr>
            </w:pPr>
            <w:r>
              <w:rPr>
                <w:rFonts w:hint="eastAsia" w:cs="Times New Roman"/>
                <w:b/>
                <w:bCs/>
                <w:sz w:val="24"/>
                <w:szCs w:val="24"/>
                <w:lang w:val="en-US" w:eastAsia="zh-CN"/>
              </w:rPr>
              <w:t>3.9</w:t>
            </w:r>
            <w:r>
              <w:rPr>
                <w:rFonts w:hint="default" w:ascii="Times New Roman" w:hAnsi="Times New Roman" w:eastAsia="宋体" w:cs="Times New Roman"/>
                <w:b/>
                <w:bCs/>
                <w:sz w:val="24"/>
                <w:szCs w:val="24"/>
              </w:rPr>
              <w:t>、环境保护目标</w:t>
            </w:r>
          </w:p>
          <w:p w14:paraId="0228F3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1</w:t>
            </w:r>
            <w:r>
              <w:rPr>
                <w:rFonts w:hint="eastAsia" w:cs="Times New Roman"/>
                <w:sz w:val="24"/>
                <w:szCs w:val="24"/>
                <w:lang w:eastAsia="zh-CN"/>
              </w:rPr>
              <w:t>）</w:t>
            </w:r>
            <w:r>
              <w:rPr>
                <w:rFonts w:hint="default" w:ascii="Times New Roman" w:hAnsi="Times New Roman" w:eastAsia="宋体" w:cs="Times New Roman"/>
                <w:sz w:val="24"/>
                <w:szCs w:val="24"/>
              </w:rPr>
              <w:t>声环境</w:t>
            </w:r>
          </w:p>
          <w:p w14:paraId="0EE822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cs="Times New Roman"/>
                <w:color w:val="auto"/>
                <w:sz w:val="24"/>
                <w:szCs w:val="24"/>
                <w:lang w:val="en-US" w:eastAsia="zh-CN"/>
              </w:rPr>
              <w:t>根据现场调查，拟建</w:t>
            </w:r>
            <w:r>
              <w:rPr>
                <w:rFonts w:hint="eastAsia" w:cs="Times New Roman"/>
                <w:color w:val="auto"/>
                <w:sz w:val="24"/>
                <w:szCs w:val="24"/>
                <w:lang w:val="en-US" w:eastAsia="zh-CN"/>
              </w:rPr>
              <w:t>金沙钼矿</w:t>
            </w:r>
            <w:r>
              <w:rPr>
                <w:rFonts w:hint="eastAsia" w:ascii="Times New Roman" w:hAnsi="Times New Roman" w:cs="Times New Roman"/>
                <w:color w:val="auto"/>
                <w:sz w:val="24"/>
                <w:szCs w:val="24"/>
                <w:lang w:val="en-US" w:eastAsia="zh-CN"/>
              </w:rPr>
              <w:t>110kV变电站评价范围内共有</w:t>
            </w:r>
            <w:r>
              <w:rPr>
                <w:rFonts w:hint="eastAsia" w:cs="Times New Roman"/>
                <w:color w:val="auto"/>
                <w:sz w:val="24"/>
                <w:szCs w:val="24"/>
                <w:lang w:val="en-US" w:eastAsia="zh-CN"/>
              </w:rPr>
              <w:t>3</w:t>
            </w:r>
            <w:r>
              <w:rPr>
                <w:rFonts w:hint="eastAsia" w:ascii="Times New Roman" w:hAnsi="Times New Roman" w:cs="Times New Roman"/>
                <w:color w:val="auto"/>
                <w:sz w:val="24"/>
                <w:szCs w:val="24"/>
                <w:lang w:val="en-US" w:eastAsia="zh-CN"/>
              </w:rPr>
              <w:t>处声环境保护目标；拟建</w:t>
            </w:r>
            <w:r>
              <w:rPr>
                <w:rFonts w:hint="eastAsia" w:cs="Times New Roman"/>
                <w:color w:val="auto"/>
                <w:sz w:val="24"/>
                <w:szCs w:val="24"/>
                <w:lang w:val="en-US" w:eastAsia="zh-CN"/>
              </w:rPr>
              <w:t>古碑-钼矿</w:t>
            </w:r>
            <w:r>
              <w:rPr>
                <w:rFonts w:hint="eastAsia" w:ascii="Times New Roman" w:hAnsi="Times New Roman" w:cs="Times New Roman"/>
                <w:color w:val="auto"/>
                <w:sz w:val="24"/>
                <w:szCs w:val="24"/>
                <w:lang w:val="en-US" w:eastAsia="zh-CN"/>
              </w:rPr>
              <w:t>110kV架空线路评价范围内有</w:t>
            </w:r>
            <w:r>
              <w:rPr>
                <w:rFonts w:hint="eastAsia" w:cs="Times New Roman"/>
                <w:color w:val="auto"/>
                <w:sz w:val="24"/>
                <w:szCs w:val="24"/>
                <w:lang w:val="en-US" w:eastAsia="zh-CN"/>
              </w:rPr>
              <w:t>14</w:t>
            </w:r>
            <w:r>
              <w:rPr>
                <w:rFonts w:hint="eastAsia" w:ascii="Times New Roman" w:hAnsi="Times New Roman" w:cs="Times New Roman"/>
                <w:color w:val="auto"/>
                <w:sz w:val="24"/>
                <w:szCs w:val="24"/>
                <w:lang w:val="en-US" w:eastAsia="zh-CN"/>
              </w:rPr>
              <w:t>处声环境保护目标</w:t>
            </w:r>
            <w:r>
              <w:rPr>
                <w:rFonts w:hint="eastAsia" w:cs="Times New Roman"/>
                <w:color w:val="auto"/>
                <w:sz w:val="24"/>
                <w:szCs w:val="24"/>
                <w:lang w:val="en-US" w:eastAsia="zh-CN"/>
              </w:rPr>
              <w:t>（其中1处的1户居民点已拆迁）</w:t>
            </w:r>
            <w:r>
              <w:rPr>
                <w:rFonts w:hint="eastAsia" w:ascii="Times New Roman" w:hAnsi="Times New Roman" w:cs="Times New Roman"/>
                <w:color w:val="auto"/>
                <w:sz w:val="24"/>
                <w:szCs w:val="24"/>
                <w:lang w:val="en-US" w:eastAsia="zh-CN"/>
              </w:rPr>
              <w:t>；拟建</w:t>
            </w:r>
            <w:r>
              <w:rPr>
                <w:rFonts w:hint="eastAsia" w:cs="Times New Roman"/>
                <w:color w:val="auto"/>
                <w:sz w:val="24"/>
                <w:szCs w:val="24"/>
                <w:lang w:val="en-US" w:eastAsia="zh-CN"/>
              </w:rPr>
              <w:t>双河-钼矿</w:t>
            </w:r>
            <w:r>
              <w:rPr>
                <w:rFonts w:hint="eastAsia" w:ascii="Times New Roman" w:hAnsi="Times New Roman" w:cs="Times New Roman"/>
                <w:color w:val="auto"/>
                <w:sz w:val="24"/>
                <w:szCs w:val="24"/>
                <w:lang w:val="en-US" w:eastAsia="zh-CN"/>
              </w:rPr>
              <w:t>110kV架空线路评价范围内有</w:t>
            </w:r>
            <w:r>
              <w:rPr>
                <w:rFonts w:hint="eastAsia" w:cs="Times New Roman"/>
                <w:color w:val="auto"/>
                <w:sz w:val="24"/>
                <w:szCs w:val="24"/>
                <w:lang w:val="en-US" w:eastAsia="zh-CN"/>
              </w:rPr>
              <w:t>10</w:t>
            </w:r>
            <w:r>
              <w:rPr>
                <w:rFonts w:hint="eastAsia" w:ascii="Times New Roman" w:hAnsi="Times New Roman" w:cs="Times New Roman"/>
                <w:color w:val="auto"/>
                <w:sz w:val="24"/>
                <w:szCs w:val="24"/>
                <w:lang w:val="en-US" w:eastAsia="zh-CN"/>
              </w:rPr>
              <w:t>处声环境保护目标。</w:t>
            </w:r>
            <w:r>
              <w:rPr>
                <w:rFonts w:hint="eastAsia" w:cs="Times New Roman"/>
                <w:color w:val="auto"/>
                <w:sz w:val="24"/>
                <w:szCs w:val="24"/>
                <w:lang w:val="en-US" w:eastAsia="zh-CN"/>
              </w:rPr>
              <w:t>本工程边导线距离中心导线的距离为5m，项目</w:t>
            </w:r>
            <w:r>
              <w:rPr>
                <w:rFonts w:hint="eastAsia" w:ascii="Times New Roman" w:hAnsi="Times New Roman" w:cs="Times New Roman"/>
                <w:color w:val="auto"/>
                <w:sz w:val="24"/>
                <w:szCs w:val="24"/>
                <w:lang w:val="en-US" w:eastAsia="zh-CN"/>
              </w:rPr>
              <w:t>评价范围内声环境保护目标</w:t>
            </w:r>
            <w:r>
              <w:rPr>
                <w:rFonts w:hint="eastAsia" w:cs="Times New Roman"/>
                <w:color w:val="auto"/>
                <w:sz w:val="24"/>
                <w:szCs w:val="24"/>
                <w:lang w:val="en-US" w:eastAsia="zh-CN"/>
              </w:rPr>
              <w:t>见下表</w:t>
            </w:r>
            <w:r>
              <w:rPr>
                <w:rFonts w:hint="eastAsia" w:ascii="Times New Roman" w:hAnsi="Times New Roman" w:cs="Times New Roman"/>
                <w:color w:val="auto"/>
                <w:sz w:val="24"/>
                <w:szCs w:val="24"/>
                <w:lang w:val="en-US" w:eastAsia="zh-CN"/>
              </w:rPr>
              <w:t>。</w:t>
            </w:r>
          </w:p>
          <w:p w14:paraId="1D5DAAA9">
            <w:pPr>
              <w:pStyle w:val="21"/>
              <w:spacing w:before="0" w:line="240" w:lineRule="auto"/>
              <w:ind w:left="0" w:leftChars="0" w:firstLine="0" w:firstLineChars="0"/>
              <w:jc w:val="center"/>
              <w:rPr>
                <w:rFonts w:ascii="Times New Roman" w:hAnsi="Times New Roman" w:eastAsia="Times New Roman" w:cs="Times New Roman"/>
                <w:b/>
                <w:bCs/>
                <w:spacing w:val="7"/>
                <w:sz w:val="20"/>
                <w:szCs w:val="20"/>
              </w:rPr>
            </w:pPr>
            <w:r>
              <w:rPr>
                <w:b/>
                <w:bCs/>
                <w:spacing w:val="7"/>
                <w:sz w:val="20"/>
                <w:szCs w:val="20"/>
              </w:rPr>
              <w:t>表</w:t>
            </w:r>
            <w:r>
              <w:rPr>
                <w:rFonts w:ascii="Times New Roman" w:hAnsi="Times New Roman" w:eastAsia="Times New Roman" w:cs="Times New Roman"/>
                <w:b/>
                <w:bCs/>
                <w:spacing w:val="7"/>
                <w:sz w:val="20"/>
                <w:szCs w:val="20"/>
              </w:rPr>
              <w:t>3-</w:t>
            </w:r>
            <w:r>
              <w:rPr>
                <w:rFonts w:hint="eastAsia" w:ascii="Times New Roman" w:hAnsi="Times New Roman" w:eastAsia="宋体" w:cs="Times New Roman"/>
                <w:b/>
                <w:bCs/>
                <w:spacing w:val="7"/>
                <w:sz w:val="20"/>
                <w:szCs w:val="20"/>
                <w:lang w:val="en-US" w:eastAsia="zh-CN"/>
              </w:rPr>
              <w:t>8</w:t>
            </w:r>
            <w:r>
              <w:rPr>
                <w:rFonts w:ascii="Times New Roman" w:hAnsi="Times New Roman" w:eastAsia="Times New Roman" w:cs="Times New Roman"/>
                <w:b/>
                <w:bCs/>
                <w:spacing w:val="7"/>
                <w:sz w:val="20"/>
                <w:szCs w:val="20"/>
              </w:rPr>
              <w:t xml:space="preserve">  </w:t>
            </w:r>
            <w:r>
              <w:rPr>
                <w:rFonts w:hint="eastAsia" w:ascii="Times New Roman" w:hAnsi="Times New Roman" w:eastAsia="Times New Roman" w:cs="Times New Roman"/>
                <w:b/>
                <w:bCs/>
                <w:spacing w:val="7"/>
                <w:sz w:val="20"/>
                <w:szCs w:val="20"/>
                <w:lang w:val="en-US" w:eastAsia="zh-CN"/>
              </w:rPr>
              <w:t>本工程拟建变电站及输电线路评价范围内声环境保护目标一览表</w:t>
            </w:r>
          </w:p>
          <w:tbl>
            <w:tblPr>
              <w:tblStyle w:val="37"/>
              <w:tblW w:w="90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2571"/>
              <w:gridCol w:w="1447"/>
              <w:gridCol w:w="1476"/>
              <w:gridCol w:w="964"/>
              <w:gridCol w:w="2211"/>
            </w:tblGrid>
            <w:tr w14:paraId="364EB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B0AA3A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序号</w:t>
                  </w:r>
                </w:p>
              </w:tc>
              <w:tc>
                <w:tcPr>
                  <w:tcW w:w="2571" w:type="dxa"/>
                  <w:shd w:val="clear" w:color="auto" w:fill="auto"/>
                  <w:vAlign w:val="center"/>
                </w:tcPr>
                <w:p w14:paraId="3274812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环境保护目标</w:t>
                  </w:r>
                </w:p>
              </w:tc>
              <w:tc>
                <w:tcPr>
                  <w:tcW w:w="1447" w:type="dxa"/>
                  <w:shd w:val="clear" w:color="auto" w:fill="auto"/>
                  <w:vAlign w:val="center"/>
                </w:tcPr>
                <w:p w14:paraId="54B8E85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距厂界/边导线最近距离</w:t>
                  </w:r>
                </w:p>
              </w:tc>
              <w:tc>
                <w:tcPr>
                  <w:tcW w:w="1476" w:type="dxa"/>
                  <w:shd w:val="clear" w:color="auto" w:fill="auto"/>
                  <w:vAlign w:val="center"/>
                </w:tcPr>
                <w:p w14:paraId="1B495ED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方位</w:t>
                  </w:r>
                </w:p>
              </w:tc>
              <w:tc>
                <w:tcPr>
                  <w:tcW w:w="964" w:type="dxa"/>
                  <w:shd w:val="clear" w:color="auto" w:fill="auto"/>
                  <w:vAlign w:val="center"/>
                </w:tcPr>
                <w:p w14:paraId="01AF17D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导线对地高度</w:t>
                  </w:r>
                </w:p>
              </w:tc>
              <w:tc>
                <w:tcPr>
                  <w:tcW w:w="2211" w:type="dxa"/>
                  <w:shd w:val="clear" w:color="auto" w:fill="auto"/>
                  <w:vAlign w:val="center"/>
                </w:tcPr>
                <w:p w14:paraId="7611C86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保护目标情况说明</w:t>
                  </w:r>
                </w:p>
              </w:tc>
            </w:tr>
            <w:tr w14:paraId="13504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096" w:type="dxa"/>
                  <w:gridSpan w:val="6"/>
                  <w:shd w:val="clear" w:color="auto" w:fill="auto"/>
                  <w:vAlign w:val="center"/>
                </w:tcPr>
                <w:p w14:paraId="02F2F4F6">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金沙钼矿110kV变电站</w:t>
                  </w:r>
                </w:p>
              </w:tc>
            </w:tr>
            <w:tr w14:paraId="5163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1ACE8C0B">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w:t>
                  </w:r>
                </w:p>
              </w:tc>
              <w:tc>
                <w:tcPr>
                  <w:tcW w:w="2571" w:type="dxa"/>
                  <w:shd w:val="clear" w:color="auto" w:fill="auto"/>
                  <w:vAlign w:val="center"/>
                </w:tcPr>
                <w:p w14:paraId="2DAC70A4">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金寨县关庙乡沙坪沟</w:t>
                  </w:r>
                </w:p>
              </w:tc>
              <w:tc>
                <w:tcPr>
                  <w:tcW w:w="1447" w:type="dxa"/>
                  <w:shd w:val="clear" w:color="auto" w:fill="auto"/>
                  <w:vAlign w:val="center"/>
                </w:tcPr>
                <w:p w14:paraId="6F1E9973">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23m</w:t>
                  </w:r>
                </w:p>
              </w:tc>
              <w:tc>
                <w:tcPr>
                  <w:tcW w:w="1476" w:type="dxa"/>
                  <w:shd w:val="clear" w:color="auto" w:fill="auto"/>
                  <w:vAlign w:val="center"/>
                </w:tcPr>
                <w:p w14:paraId="728E0DD6">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东侧</w:t>
                  </w:r>
                </w:p>
              </w:tc>
              <w:tc>
                <w:tcPr>
                  <w:tcW w:w="964" w:type="dxa"/>
                  <w:shd w:val="clear" w:color="auto" w:fill="auto"/>
                  <w:vAlign w:val="center"/>
                </w:tcPr>
                <w:p w14:paraId="26F07B31">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p>
              </w:tc>
              <w:tc>
                <w:tcPr>
                  <w:tcW w:w="2211" w:type="dxa"/>
                  <w:shd w:val="clear" w:color="auto" w:fill="auto"/>
                  <w:vAlign w:val="center"/>
                </w:tcPr>
                <w:p w14:paraId="17B94E0F">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活动板房，1户居民住宅，1层平顶</w:t>
                  </w:r>
                </w:p>
              </w:tc>
            </w:tr>
            <w:tr w14:paraId="32BD0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3E83AA7B">
                  <w:pPr>
                    <w:jc w:val="center"/>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2571" w:type="dxa"/>
                  <w:shd w:val="clear" w:color="auto" w:fill="auto"/>
                  <w:vAlign w:val="center"/>
                </w:tcPr>
                <w:p w14:paraId="44E05B44">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金寨县关庙乡橡岭岗</w:t>
                  </w:r>
                </w:p>
              </w:tc>
              <w:tc>
                <w:tcPr>
                  <w:tcW w:w="1447" w:type="dxa"/>
                  <w:shd w:val="clear" w:color="auto" w:fill="auto"/>
                  <w:vAlign w:val="center"/>
                </w:tcPr>
                <w:p w14:paraId="2B7FC524">
                  <w:pPr>
                    <w:jc w:val="center"/>
                    <w:rPr>
                      <w:rFonts w:hint="default" w:cs="Times New Roman"/>
                      <w:color w:val="auto"/>
                      <w:sz w:val="21"/>
                      <w:szCs w:val="21"/>
                      <w:lang w:val="en-US" w:eastAsia="zh-CN"/>
                    </w:rPr>
                  </w:pPr>
                  <w:r>
                    <w:rPr>
                      <w:rFonts w:hint="eastAsia" w:cs="Times New Roman"/>
                      <w:color w:val="auto"/>
                      <w:sz w:val="21"/>
                      <w:szCs w:val="21"/>
                      <w:lang w:val="en-US" w:eastAsia="zh-CN"/>
                    </w:rPr>
                    <w:t>175m</w:t>
                  </w:r>
                </w:p>
              </w:tc>
              <w:tc>
                <w:tcPr>
                  <w:tcW w:w="1476" w:type="dxa"/>
                  <w:shd w:val="clear" w:color="auto" w:fill="auto"/>
                  <w:vAlign w:val="center"/>
                </w:tcPr>
                <w:p w14:paraId="49926586">
                  <w:pPr>
                    <w:jc w:val="center"/>
                    <w:rPr>
                      <w:rFonts w:hint="default" w:cs="Times New Roman"/>
                      <w:color w:val="auto"/>
                      <w:sz w:val="21"/>
                      <w:szCs w:val="21"/>
                      <w:lang w:val="en-US" w:eastAsia="zh-CN"/>
                    </w:rPr>
                  </w:pPr>
                  <w:r>
                    <w:rPr>
                      <w:rFonts w:hint="eastAsia" w:cs="Times New Roman"/>
                      <w:color w:val="auto"/>
                      <w:sz w:val="21"/>
                      <w:szCs w:val="21"/>
                      <w:lang w:val="en-US" w:eastAsia="zh-CN"/>
                    </w:rPr>
                    <w:t>西南侧</w:t>
                  </w:r>
                </w:p>
              </w:tc>
              <w:tc>
                <w:tcPr>
                  <w:tcW w:w="964" w:type="dxa"/>
                  <w:shd w:val="clear" w:color="auto" w:fill="auto"/>
                  <w:vAlign w:val="center"/>
                </w:tcPr>
                <w:p w14:paraId="58716AC5">
                  <w:pPr>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2211" w:type="dxa"/>
                  <w:shd w:val="clear" w:color="auto" w:fill="auto"/>
                  <w:vAlign w:val="center"/>
                </w:tcPr>
                <w:p w14:paraId="63164281">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钢混结构，2户居民住宅，2层平顶/尖顶</w:t>
                  </w:r>
                </w:p>
              </w:tc>
            </w:tr>
            <w:tr w14:paraId="3B735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30190E14">
                  <w:pPr>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2571" w:type="dxa"/>
                  <w:shd w:val="clear" w:color="auto" w:fill="auto"/>
                  <w:vAlign w:val="center"/>
                </w:tcPr>
                <w:p w14:paraId="7F12A931">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金寨县关庙乡詹家湾</w:t>
                  </w:r>
                </w:p>
              </w:tc>
              <w:tc>
                <w:tcPr>
                  <w:tcW w:w="1447" w:type="dxa"/>
                  <w:shd w:val="clear" w:color="auto" w:fill="auto"/>
                  <w:vAlign w:val="center"/>
                </w:tcPr>
                <w:p w14:paraId="69612CCE">
                  <w:pPr>
                    <w:jc w:val="center"/>
                    <w:rPr>
                      <w:rFonts w:hint="default" w:cs="Times New Roman"/>
                      <w:color w:val="auto"/>
                      <w:sz w:val="21"/>
                      <w:szCs w:val="21"/>
                      <w:lang w:val="en-US" w:eastAsia="zh-CN"/>
                    </w:rPr>
                  </w:pPr>
                  <w:r>
                    <w:rPr>
                      <w:rFonts w:hint="eastAsia" w:cs="Times New Roman"/>
                      <w:color w:val="auto"/>
                      <w:sz w:val="21"/>
                      <w:szCs w:val="21"/>
                      <w:lang w:val="en-US" w:eastAsia="zh-CN"/>
                    </w:rPr>
                    <w:t>138m</w:t>
                  </w:r>
                </w:p>
              </w:tc>
              <w:tc>
                <w:tcPr>
                  <w:tcW w:w="1476" w:type="dxa"/>
                  <w:shd w:val="clear" w:color="auto" w:fill="auto"/>
                  <w:vAlign w:val="center"/>
                </w:tcPr>
                <w:p w14:paraId="700BD8E8">
                  <w:pPr>
                    <w:jc w:val="center"/>
                    <w:rPr>
                      <w:rFonts w:hint="default" w:cs="Times New Roman"/>
                      <w:color w:val="auto"/>
                      <w:sz w:val="21"/>
                      <w:szCs w:val="21"/>
                      <w:lang w:val="en-US" w:eastAsia="zh-CN"/>
                    </w:rPr>
                  </w:pPr>
                  <w:r>
                    <w:rPr>
                      <w:rFonts w:hint="eastAsia" w:cs="Times New Roman"/>
                      <w:color w:val="auto"/>
                      <w:sz w:val="21"/>
                      <w:szCs w:val="21"/>
                      <w:lang w:val="en-US" w:eastAsia="zh-CN"/>
                    </w:rPr>
                    <w:t>北侧</w:t>
                  </w:r>
                </w:p>
              </w:tc>
              <w:tc>
                <w:tcPr>
                  <w:tcW w:w="964" w:type="dxa"/>
                  <w:shd w:val="clear" w:color="auto" w:fill="auto"/>
                  <w:vAlign w:val="center"/>
                </w:tcPr>
                <w:p w14:paraId="7C14D3BD">
                  <w:pPr>
                    <w:jc w:val="center"/>
                    <w:rPr>
                      <w:rFonts w:hint="default" w:cs="Times New Roman"/>
                      <w:color w:val="auto"/>
                      <w:sz w:val="21"/>
                      <w:szCs w:val="21"/>
                      <w:lang w:val="en-US" w:eastAsia="zh-CN"/>
                    </w:rPr>
                  </w:pPr>
                  <w:r>
                    <w:rPr>
                      <w:rFonts w:hint="eastAsia" w:cs="Times New Roman"/>
                      <w:color w:val="auto"/>
                      <w:sz w:val="21"/>
                      <w:szCs w:val="21"/>
                      <w:lang w:val="en-US" w:eastAsia="zh-CN"/>
                    </w:rPr>
                    <w:t>/</w:t>
                  </w:r>
                </w:p>
              </w:tc>
              <w:tc>
                <w:tcPr>
                  <w:tcW w:w="2211" w:type="dxa"/>
                  <w:shd w:val="clear" w:color="auto" w:fill="auto"/>
                  <w:vAlign w:val="center"/>
                </w:tcPr>
                <w:p w14:paraId="0936578A">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钢混结构，3户居民住宅，2-3层平顶/尖顶</w:t>
                  </w:r>
                </w:p>
              </w:tc>
            </w:tr>
            <w:tr w14:paraId="0197D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096" w:type="dxa"/>
                  <w:gridSpan w:val="6"/>
                  <w:shd w:val="clear" w:color="auto" w:fill="auto"/>
                  <w:vAlign w:val="center"/>
                </w:tcPr>
                <w:p w14:paraId="5B81B66A">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古碑-钼矿110kV架空线路</w:t>
                  </w:r>
                </w:p>
              </w:tc>
            </w:tr>
            <w:tr w14:paraId="0739A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0E0B888">
                  <w:pPr>
                    <w:jc w:val="center"/>
                    <w:rPr>
                      <w:rFonts w:hint="eastAsia" w:cs="Times New Roman"/>
                      <w:color w:val="auto"/>
                      <w:sz w:val="21"/>
                      <w:szCs w:val="21"/>
                      <w:lang w:val="en-US" w:eastAsia="zh-CN"/>
                    </w:rPr>
                  </w:pPr>
                  <w:r>
                    <w:rPr>
                      <w:rFonts w:hint="eastAsia" w:cs="Times New Roman"/>
                      <w:color w:val="auto"/>
                      <w:sz w:val="21"/>
                      <w:szCs w:val="21"/>
                      <w:lang w:val="en-US" w:eastAsia="zh-CN"/>
                    </w:rPr>
                    <w:t>1</w:t>
                  </w:r>
                </w:p>
              </w:tc>
              <w:tc>
                <w:tcPr>
                  <w:tcW w:w="2571" w:type="dxa"/>
                  <w:shd w:val="clear" w:color="auto" w:fill="auto"/>
                  <w:vAlign w:val="center"/>
                </w:tcPr>
                <w:p w14:paraId="667EC5AA">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金寨县古碑镇田家塆（其中1户已拆迁）</w:t>
                  </w:r>
                </w:p>
              </w:tc>
              <w:tc>
                <w:tcPr>
                  <w:tcW w:w="1447" w:type="dxa"/>
                  <w:shd w:val="clear" w:color="auto" w:fill="auto"/>
                  <w:vAlign w:val="center"/>
                </w:tcPr>
                <w:p w14:paraId="3129C0A7">
                  <w:pPr>
                    <w:jc w:val="center"/>
                    <w:rPr>
                      <w:rFonts w:hint="default" w:cs="Times New Roman"/>
                      <w:color w:val="auto"/>
                      <w:sz w:val="21"/>
                      <w:szCs w:val="21"/>
                      <w:lang w:val="en-US" w:eastAsia="zh-CN"/>
                    </w:rPr>
                  </w:pPr>
                  <w:r>
                    <w:rPr>
                      <w:rFonts w:hint="eastAsia" w:cs="Times New Roman"/>
                      <w:color w:val="auto"/>
                      <w:sz w:val="21"/>
                      <w:szCs w:val="21"/>
                      <w:lang w:val="en-US" w:eastAsia="zh-CN"/>
                    </w:rPr>
                    <w:t>1m-15m</w:t>
                  </w:r>
                </w:p>
              </w:tc>
              <w:tc>
                <w:tcPr>
                  <w:tcW w:w="1476" w:type="dxa"/>
                  <w:shd w:val="clear" w:color="auto" w:fill="auto"/>
                  <w:vAlign w:val="center"/>
                </w:tcPr>
                <w:p w14:paraId="271662C3">
                  <w:pPr>
                    <w:jc w:val="center"/>
                    <w:rPr>
                      <w:rFonts w:hint="default" w:cs="Times New Roman"/>
                      <w:color w:val="auto"/>
                      <w:sz w:val="21"/>
                      <w:szCs w:val="21"/>
                      <w:lang w:val="en-US" w:eastAsia="zh-CN"/>
                    </w:rPr>
                  </w:pPr>
                  <w:r>
                    <w:rPr>
                      <w:rFonts w:hint="eastAsia" w:cs="Times New Roman"/>
                      <w:color w:val="auto"/>
                      <w:sz w:val="21"/>
                      <w:szCs w:val="21"/>
                      <w:lang w:val="en-US" w:eastAsia="zh-CN"/>
                    </w:rPr>
                    <w:t>南侧、北侧</w:t>
                  </w:r>
                </w:p>
              </w:tc>
              <w:tc>
                <w:tcPr>
                  <w:tcW w:w="964" w:type="dxa"/>
                  <w:shd w:val="clear" w:color="auto" w:fill="auto"/>
                  <w:vAlign w:val="center"/>
                </w:tcPr>
                <w:p w14:paraId="45C71DE0">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08839C1A">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钢混结构，2户居民住宅，2层尖顶</w:t>
                  </w:r>
                </w:p>
              </w:tc>
            </w:tr>
            <w:tr w14:paraId="51FC6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5898044">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w:t>
                  </w:r>
                </w:p>
              </w:tc>
              <w:tc>
                <w:tcPr>
                  <w:tcW w:w="2571" w:type="dxa"/>
                  <w:shd w:val="clear" w:color="auto" w:fill="auto"/>
                  <w:vAlign w:val="center"/>
                </w:tcPr>
                <w:p w14:paraId="4C157FB3">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金寨县古碑镇袁家老屋</w:t>
                  </w:r>
                </w:p>
              </w:tc>
              <w:tc>
                <w:tcPr>
                  <w:tcW w:w="1447" w:type="dxa"/>
                  <w:shd w:val="clear" w:color="auto" w:fill="auto"/>
                  <w:vAlign w:val="center"/>
                </w:tcPr>
                <w:p w14:paraId="246C8961">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9m</w:t>
                  </w:r>
                </w:p>
              </w:tc>
              <w:tc>
                <w:tcPr>
                  <w:tcW w:w="1476" w:type="dxa"/>
                  <w:shd w:val="clear" w:color="auto" w:fill="auto"/>
                  <w:vAlign w:val="center"/>
                </w:tcPr>
                <w:p w14:paraId="55641068">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68BE10FD">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53CDB321">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钢混结构，1户居民住宅和1处水文站，2层尖顶</w:t>
                  </w:r>
                </w:p>
              </w:tc>
            </w:tr>
            <w:tr w14:paraId="1DF7B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4D9C9821">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w:t>
                  </w:r>
                </w:p>
              </w:tc>
              <w:tc>
                <w:tcPr>
                  <w:tcW w:w="2571" w:type="dxa"/>
                  <w:shd w:val="clear" w:color="auto" w:fill="auto"/>
                  <w:vAlign w:val="center"/>
                </w:tcPr>
                <w:p w14:paraId="059724F0">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金寨县槐树湾乡笔架塆</w:t>
                  </w:r>
                </w:p>
              </w:tc>
              <w:tc>
                <w:tcPr>
                  <w:tcW w:w="1447" w:type="dxa"/>
                  <w:shd w:val="clear" w:color="auto" w:fill="auto"/>
                  <w:vAlign w:val="center"/>
                </w:tcPr>
                <w:p w14:paraId="4F2B8EB6">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13-25m</w:t>
                  </w:r>
                </w:p>
              </w:tc>
              <w:tc>
                <w:tcPr>
                  <w:tcW w:w="1476" w:type="dxa"/>
                  <w:shd w:val="clear" w:color="auto" w:fill="auto"/>
                  <w:vAlign w:val="center"/>
                </w:tcPr>
                <w:p w14:paraId="22A453C4">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东侧、西侧</w:t>
                  </w:r>
                </w:p>
              </w:tc>
              <w:tc>
                <w:tcPr>
                  <w:tcW w:w="964" w:type="dxa"/>
                  <w:shd w:val="clear" w:color="auto" w:fill="auto"/>
                  <w:vAlign w:val="center"/>
                </w:tcPr>
                <w:p w14:paraId="49B4E160">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EA33418">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钢混结构，5户居民住宅，1-3层平顶/尖顶</w:t>
                  </w:r>
                </w:p>
              </w:tc>
            </w:tr>
            <w:tr w14:paraId="56282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blHeader/>
                <w:jc w:val="center"/>
              </w:trPr>
              <w:tc>
                <w:tcPr>
                  <w:tcW w:w="427" w:type="dxa"/>
                  <w:shd w:val="clear" w:color="auto" w:fill="auto"/>
                  <w:vAlign w:val="center"/>
                </w:tcPr>
                <w:p w14:paraId="17E25A7C">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4</w:t>
                  </w:r>
                </w:p>
              </w:tc>
              <w:tc>
                <w:tcPr>
                  <w:tcW w:w="2571" w:type="dxa"/>
                  <w:shd w:val="clear" w:color="auto" w:fill="auto"/>
                  <w:vAlign w:val="center"/>
                </w:tcPr>
                <w:p w14:paraId="021ACCC5">
                  <w:pPr>
                    <w:jc w:val="center"/>
                    <w:rPr>
                      <w:rFonts w:hint="default" w:ascii="Times New Roman" w:hAnsi="Times New Roman" w:cs="Times New Roman"/>
                      <w:color w:val="auto"/>
                      <w:sz w:val="21"/>
                      <w:szCs w:val="21"/>
                      <w:lang w:val="en-US" w:eastAsia="zh-CN"/>
                    </w:rPr>
                  </w:pPr>
                  <w:r>
                    <w:rPr>
                      <w:rFonts w:hint="eastAsia" w:cs="Times New Roman"/>
                      <w:color w:val="auto"/>
                      <w:sz w:val="21"/>
                      <w:szCs w:val="21"/>
                      <w:highlight w:val="none"/>
                      <w:lang w:val="en-US" w:eastAsia="zh-CN"/>
                    </w:rPr>
                    <w:t>金寨县槐树湾乡姜家塆</w:t>
                  </w:r>
                </w:p>
              </w:tc>
              <w:tc>
                <w:tcPr>
                  <w:tcW w:w="1447" w:type="dxa"/>
                  <w:shd w:val="clear" w:color="auto" w:fill="auto"/>
                  <w:vAlign w:val="center"/>
                </w:tcPr>
                <w:p w14:paraId="67C9325E">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23m</w:t>
                  </w:r>
                </w:p>
              </w:tc>
              <w:tc>
                <w:tcPr>
                  <w:tcW w:w="1476" w:type="dxa"/>
                  <w:shd w:val="clear" w:color="auto" w:fill="auto"/>
                  <w:vAlign w:val="center"/>
                </w:tcPr>
                <w:p w14:paraId="0109BAB5">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西侧</w:t>
                  </w:r>
                </w:p>
              </w:tc>
              <w:tc>
                <w:tcPr>
                  <w:tcW w:w="964" w:type="dxa"/>
                  <w:shd w:val="clear" w:color="auto" w:fill="auto"/>
                  <w:vAlign w:val="center"/>
                </w:tcPr>
                <w:p w14:paraId="7A7C63B7">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134F2480">
                  <w:pPr>
                    <w:jc w:val="center"/>
                    <w:rPr>
                      <w:rFonts w:hint="default" w:ascii="Times New Roman" w:hAnsi="Times New Roman" w:cs="Times New Roman"/>
                      <w:color w:val="auto"/>
                      <w:sz w:val="21"/>
                      <w:szCs w:val="21"/>
                      <w:lang w:val="en-US" w:eastAsia="zh-CN"/>
                    </w:rPr>
                  </w:pPr>
                  <w:r>
                    <w:rPr>
                      <w:rFonts w:hint="eastAsia" w:cs="Times New Roman"/>
                      <w:color w:val="auto"/>
                      <w:sz w:val="21"/>
                      <w:szCs w:val="21"/>
                      <w:highlight w:val="none"/>
                      <w:lang w:val="en-US" w:eastAsia="zh-CN"/>
                    </w:rPr>
                    <w:t>钢混结构，1户居民住宅，2层尖顶</w:t>
                  </w:r>
                </w:p>
              </w:tc>
            </w:tr>
            <w:tr w14:paraId="1CFEA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642B2419">
                  <w:pPr>
                    <w:jc w:val="center"/>
                    <w:rPr>
                      <w:rFonts w:hint="eastAsia" w:cs="Times New Roman"/>
                      <w:color w:val="auto"/>
                      <w:sz w:val="21"/>
                      <w:szCs w:val="21"/>
                      <w:lang w:val="en-US" w:eastAsia="zh-CN"/>
                    </w:rPr>
                  </w:pPr>
                  <w:r>
                    <w:rPr>
                      <w:rFonts w:hint="eastAsia" w:cs="Times New Roman"/>
                      <w:color w:val="auto"/>
                      <w:sz w:val="21"/>
                      <w:szCs w:val="21"/>
                      <w:lang w:val="en-US" w:eastAsia="zh-CN"/>
                    </w:rPr>
                    <w:t>5</w:t>
                  </w:r>
                </w:p>
              </w:tc>
              <w:tc>
                <w:tcPr>
                  <w:tcW w:w="2571" w:type="dxa"/>
                  <w:shd w:val="clear" w:color="auto" w:fill="auto"/>
                  <w:vAlign w:val="center"/>
                </w:tcPr>
                <w:p w14:paraId="5A0E49F3">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金寨县槐树湾乡程塆</w:t>
                  </w:r>
                </w:p>
              </w:tc>
              <w:tc>
                <w:tcPr>
                  <w:tcW w:w="1447" w:type="dxa"/>
                  <w:shd w:val="clear" w:color="auto" w:fill="auto"/>
                  <w:vAlign w:val="center"/>
                </w:tcPr>
                <w:p w14:paraId="526D5A33">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12-20m</w:t>
                  </w:r>
                </w:p>
              </w:tc>
              <w:tc>
                <w:tcPr>
                  <w:tcW w:w="1476" w:type="dxa"/>
                  <w:shd w:val="clear" w:color="auto" w:fill="auto"/>
                  <w:vAlign w:val="center"/>
                </w:tcPr>
                <w:p w14:paraId="4EE28939">
                  <w:pPr>
                    <w:jc w:val="center"/>
                    <w:rPr>
                      <w:rFonts w:hint="eastAsia" w:cs="Times New Roman"/>
                      <w:color w:val="auto"/>
                      <w:sz w:val="21"/>
                      <w:szCs w:val="21"/>
                      <w:lang w:val="en-US" w:eastAsia="zh-CN"/>
                    </w:rPr>
                  </w:pPr>
                  <w:r>
                    <w:rPr>
                      <w:rFonts w:hint="eastAsia" w:cs="Times New Roman"/>
                      <w:color w:val="auto"/>
                      <w:sz w:val="21"/>
                      <w:szCs w:val="21"/>
                      <w:lang w:val="en-US" w:eastAsia="zh-CN"/>
                    </w:rPr>
                    <w:t>东侧、西侧</w:t>
                  </w:r>
                </w:p>
              </w:tc>
              <w:tc>
                <w:tcPr>
                  <w:tcW w:w="964" w:type="dxa"/>
                  <w:shd w:val="clear" w:color="auto" w:fill="auto"/>
                  <w:vAlign w:val="center"/>
                </w:tcPr>
                <w:p w14:paraId="6DB1DBD0">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42A3CA1A">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钢混结构，2户居民住宅，1-2层尖顶</w:t>
                  </w:r>
                </w:p>
              </w:tc>
            </w:tr>
            <w:tr w14:paraId="5B6C9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046621D4">
                  <w:pPr>
                    <w:jc w:val="center"/>
                    <w:rPr>
                      <w:rFonts w:hint="eastAsia" w:cs="Times New Roman"/>
                      <w:color w:val="auto"/>
                      <w:sz w:val="21"/>
                      <w:szCs w:val="21"/>
                      <w:lang w:val="en-US" w:eastAsia="zh-CN"/>
                    </w:rPr>
                  </w:pPr>
                  <w:r>
                    <w:rPr>
                      <w:rFonts w:hint="eastAsia" w:cs="Times New Roman"/>
                      <w:color w:val="auto"/>
                      <w:sz w:val="21"/>
                      <w:szCs w:val="21"/>
                      <w:lang w:val="en-US" w:eastAsia="zh-CN"/>
                    </w:rPr>
                    <w:t>6</w:t>
                  </w:r>
                </w:p>
              </w:tc>
              <w:tc>
                <w:tcPr>
                  <w:tcW w:w="2571" w:type="dxa"/>
                  <w:shd w:val="clear" w:color="auto" w:fill="auto"/>
                  <w:vAlign w:val="center"/>
                </w:tcPr>
                <w:p w14:paraId="330ED0EF">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金寨县槐树湾乡码头村</w:t>
                  </w:r>
                </w:p>
              </w:tc>
              <w:tc>
                <w:tcPr>
                  <w:tcW w:w="1447" w:type="dxa"/>
                  <w:shd w:val="clear" w:color="auto" w:fill="auto"/>
                  <w:vAlign w:val="center"/>
                </w:tcPr>
                <w:p w14:paraId="07613B37">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10-15m</w:t>
                  </w:r>
                </w:p>
              </w:tc>
              <w:tc>
                <w:tcPr>
                  <w:tcW w:w="1476" w:type="dxa"/>
                  <w:shd w:val="clear" w:color="auto" w:fill="auto"/>
                  <w:vAlign w:val="center"/>
                </w:tcPr>
                <w:p w14:paraId="7BB0F226">
                  <w:pPr>
                    <w:jc w:val="center"/>
                    <w:rPr>
                      <w:rFonts w:hint="eastAsia" w:cs="Times New Roman"/>
                      <w:color w:val="auto"/>
                      <w:sz w:val="21"/>
                      <w:szCs w:val="21"/>
                      <w:lang w:val="en-US" w:eastAsia="zh-CN"/>
                    </w:rPr>
                  </w:pPr>
                  <w:r>
                    <w:rPr>
                      <w:rFonts w:hint="eastAsia" w:cs="Times New Roman"/>
                      <w:color w:val="auto"/>
                      <w:sz w:val="21"/>
                      <w:szCs w:val="21"/>
                      <w:lang w:val="en-US" w:eastAsia="zh-CN"/>
                    </w:rPr>
                    <w:t>南侧、北侧</w:t>
                  </w:r>
                </w:p>
              </w:tc>
              <w:tc>
                <w:tcPr>
                  <w:tcW w:w="964" w:type="dxa"/>
                  <w:shd w:val="clear" w:color="auto" w:fill="auto"/>
                  <w:vAlign w:val="center"/>
                </w:tcPr>
                <w:p w14:paraId="55DC9AF8">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3B54A3AD">
                  <w:pPr>
                    <w:jc w:val="center"/>
                    <w:rPr>
                      <w:rFonts w:hint="default" w:cs="Times New Roman"/>
                      <w:color w:val="auto"/>
                      <w:sz w:val="21"/>
                      <w:szCs w:val="21"/>
                      <w:lang w:val="en-US" w:eastAsia="zh-CN"/>
                    </w:rPr>
                  </w:pPr>
                  <w:r>
                    <w:rPr>
                      <w:rFonts w:hint="eastAsia" w:cs="Times New Roman"/>
                      <w:color w:val="auto"/>
                      <w:sz w:val="21"/>
                      <w:szCs w:val="21"/>
                      <w:highlight w:val="none"/>
                      <w:lang w:val="en-US" w:eastAsia="zh-CN"/>
                    </w:rPr>
                    <w:t>钢混结构，2户居民住宅，2层</w:t>
                  </w:r>
                  <w:r>
                    <w:rPr>
                      <w:rFonts w:hint="eastAsia" w:cs="Times New Roman"/>
                      <w:color w:val="auto"/>
                      <w:sz w:val="21"/>
                      <w:szCs w:val="21"/>
                      <w:lang w:val="en-US" w:eastAsia="zh-CN"/>
                    </w:rPr>
                    <w:t>平顶/尖顶</w:t>
                  </w:r>
                </w:p>
              </w:tc>
            </w:tr>
            <w:tr w14:paraId="22929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716466DE">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w:t>
                  </w:r>
                </w:p>
              </w:tc>
              <w:tc>
                <w:tcPr>
                  <w:tcW w:w="2571" w:type="dxa"/>
                  <w:shd w:val="clear" w:color="auto" w:fill="auto"/>
                  <w:vAlign w:val="center"/>
                </w:tcPr>
                <w:p w14:paraId="423ECECF">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金寨县南溪镇曹畈村</w:t>
                  </w:r>
                </w:p>
              </w:tc>
              <w:tc>
                <w:tcPr>
                  <w:tcW w:w="1447" w:type="dxa"/>
                  <w:shd w:val="clear" w:color="auto" w:fill="auto"/>
                  <w:vAlign w:val="center"/>
                </w:tcPr>
                <w:p w14:paraId="1689CCDF">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15-30m</w:t>
                  </w:r>
                </w:p>
              </w:tc>
              <w:tc>
                <w:tcPr>
                  <w:tcW w:w="1476" w:type="dxa"/>
                  <w:shd w:val="clear" w:color="auto" w:fill="auto"/>
                  <w:vAlign w:val="center"/>
                </w:tcPr>
                <w:p w14:paraId="6EE52752">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东侧、南侧、西侧、北侧</w:t>
                  </w:r>
                </w:p>
              </w:tc>
              <w:tc>
                <w:tcPr>
                  <w:tcW w:w="964" w:type="dxa"/>
                  <w:shd w:val="clear" w:color="auto" w:fill="auto"/>
                  <w:vAlign w:val="center"/>
                </w:tcPr>
                <w:p w14:paraId="4A71C208">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5BBE65E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钢混结构，6户居民住宅，1-2层尖顶</w:t>
                  </w:r>
                </w:p>
              </w:tc>
            </w:tr>
            <w:tr w14:paraId="2B29B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51EB11AD">
                  <w:pPr>
                    <w:jc w:val="center"/>
                    <w:rPr>
                      <w:rFonts w:hint="default" w:cs="Times New Roman"/>
                      <w:color w:val="auto"/>
                      <w:sz w:val="21"/>
                      <w:szCs w:val="21"/>
                      <w:lang w:val="en-US" w:eastAsia="zh-CN"/>
                    </w:rPr>
                  </w:pPr>
                  <w:r>
                    <w:rPr>
                      <w:rFonts w:hint="eastAsia" w:cs="Times New Roman"/>
                      <w:color w:val="auto"/>
                      <w:sz w:val="21"/>
                      <w:szCs w:val="21"/>
                      <w:lang w:val="en-US" w:eastAsia="zh-CN"/>
                    </w:rPr>
                    <w:t>8</w:t>
                  </w:r>
                </w:p>
              </w:tc>
              <w:tc>
                <w:tcPr>
                  <w:tcW w:w="2571" w:type="dxa"/>
                  <w:shd w:val="clear" w:color="auto" w:fill="auto"/>
                  <w:vAlign w:val="center"/>
                </w:tcPr>
                <w:p w14:paraId="07E51A92">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金寨县南溪镇上冲</w:t>
                  </w:r>
                </w:p>
              </w:tc>
              <w:tc>
                <w:tcPr>
                  <w:tcW w:w="1447" w:type="dxa"/>
                  <w:shd w:val="clear" w:color="auto" w:fill="auto"/>
                  <w:vAlign w:val="center"/>
                </w:tcPr>
                <w:p w14:paraId="1B9E574F">
                  <w:pPr>
                    <w:jc w:val="center"/>
                    <w:rPr>
                      <w:rFonts w:hint="default" w:cs="Times New Roman"/>
                      <w:color w:val="auto"/>
                      <w:sz w:val="21"/>
                      <w:szCs w:val="21"/>
                      <w:lang w:val="en-US" w:eastAsia="zh-CN"/>
                    </w:rPr>
                  </w:pPr>
                  <w:r>
                    <w:rPr>
                      <w:rFonts w:hint="eastAsia" w:cs="Times New Roman"/>
                      <w:color w:val="auto"/>
                      <w:sz w:val="21"/>
                      <w:szCs w:val="21"/>
                      <w:lang w:val="en-US" w:eastAsia="zh-CN"/>
                    </w:rPr>
                    <w:t>24-27m</w:t>
                  </w:r>
                </w:p>
              </w:tc>
              <w:tc>
                <w:tcPr>
                  <w:tcW w:w="1476" w:type="dxa"/>
                  <w:shd w:val="clear" w:color="auto" w:fill="auto"/>
                  <w:vAlign w:val="center"/>
                </w:tcPr>
                <w:p w14:paraId="12258752">
                  <w:pPr>
                    <w:jc w:val="center"/>
                    <w:rPr>
                      <w:rFonts w:hint="default" w:cs="Times New Roman"/>
                      <w:color w:val="auto"/>
                      <w:sz w:val="21"/>
                      <w:szCs w:val="21"/>
                      <w:lang w:val="en-US" w:eastAsia="zh-CN"/>
                    </w:rPr>
                  </w:pPr>
                  <w:r>
                    <w:rPr>
                      <w:rFonts w:hint="eastAsia" w:cs="Times New Roman"/>
                      <w:color w:val="auto"/>
                      <w:sz w:val="21"/>
                      <w:szCs w:val="21"/>
                      <w:lang w:val="en-US" w:eastAsia="zh-CN"/>
                    </w:rPr>
                    <w:t>东北侧</w:t>
                  </w:r>
                </w:p>
              </w:tc>
              <w:tc>
                <w:tcPr>
                  <w:tcW w:w="964" w:type="dxa"/>
                  <w:shd w:val="clear" w:color="auto" w:fill="auto"/>
                  <w:vAlign w:val="center"/>
                </w:tcPr>
                <w:p w14:paraId="03518835">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415587C8">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钢混结构，3户居民住宅，1-2层尖顶</w:t>
                  </w:r>
                </w:p>
              </w:tc>
            </w:tr>
            <w:tr w14:paraId="38F15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C50285B">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9</w:t>
                  </w:r>
                </w:p>
              </w:tc>
              <w:tc>
                <w:tcPr>
                  <w:tcW w:w="2571" w:type="dxa"/>
                  <w:shd w:val="clear" w:color="auto" w:fill="auto"/>
                  <w:vAlign w:val="center"/>
                </w:tcPr>
                <w:p w14:paraId="55C42002">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金寨县南溪镇吕大院</w:t>
                  </w:r>
                </w:p>
              </w:tc>
              <w:tc>
                <w:tcPr>
                  <w:tcW w:w="1447" w:type="dxa"/>
                  <w:shd w:val="clear" w:color="auto" w:fill="auto"/>
                  <w:vAlign w:val="center"/>
                </w:tcPr>
                <w:p w14:paraId="297FA3DB">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15-23m</w:t>
                  </w:r>
                </w:p>
              </w:tc>
              <w:tc>
                <w:tcPr>
                  <w:tcW w:w="1476" w:type="dxa"/>
                  <w:shd w:val="clear" w:color="auto" w:fill="auto"/>
                  <w:vAlign w:val="center"/>
                </w:tcPr>
                <w:p w14:paraId="6CFC644B">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西侧、北侧</w:t>
                  </w:r>
                </w:p>
              </w:tc>
              <w:tc>
                <w:tcPr>
                  <w:tcW w:w="964" w:type="dxa"/>
                  <w:shd w:val="clear" w:color="auto" w:fill="auto"/>
                  <w:vAlign w:val="center"/>
                </w:tcPr>
                <w:p w14:paraId="6FEF5108">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63D7193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钢混结构，3户居民住宅，1-2层尖顶，3层平顶</w:t>
                  </w:r>
                </w:p>
              </w:tc>
            </w:tr>
            <w:tr w14:paraId="247A9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0B4889B8">
                  <w:pPr>
                    <w:jc w:val="center"/>
                    <w:rPr>
                      <w:rFonts w:hint="default" w:cs="Times New Roman"/>
                      <w:color w:val="auto"/>
                      <w:sz w:val="21"/>
                      <w:szCs w:val="21"/>
                      <w:lang w:val="en-US" w:eastAsia="zh-CN"/>
                    </w:rPr>
                  </w:pPr>
                  <w:r>
                    <w:rPr>
                      <w:rFonts w:hint="eastAsia" w:cs="Times New Roman"/>
                      <w:color w:val="auto"/>
                      <w:sz w:val="21"/>
                      <w:szCs w:val="21"/>
                      <w:lang w:val="en-US" w:eastAsia="zh-CN"/>
                    </w:rPr>
                    <w:t>10</w:t>
                  </w:r>
                </w:p>
              </w:tc>
              <w:tc>
                <w:tcPr>
                  <w:tcW w:w="2571" w:type="dxa"/>
                  <w:shd w:val="clear" w:color="auto" w:fill="auto"/>
                  <w:vAlign w:val="center"/>
                </w:tcPr>
                <w:p w14:paraId="2EEA793E">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金寨县南溪镇石林沟</w:t>
                  </w:r>
                </w:p>
              </w:tc>
              <w:tc>
                <w:tcPr>
                  <w:tcW w:w="1447" w:type="dxa"/>
                  <w:shd w:val="clear" w:color="auto" w:fill="auto"/>
                  <w:vAlign w:val="center"/>
                </w:tcPr>
                <w:p w14:paraId="5B31C8CF">
                  <w:pPr>
                    <w:jc w:val="center"/>
                    <w:rPr>
                      <w:rFonts w:hint="eastAsia" w:cs="Times New Roman"/>
                      <w:color w:val="auto"/>
                      <w:sz w:val="21"/>
                      <w:szCs w:val="21"/>
                      <w:lang w:val="en-US" w:eastAsia="zh-CN"/>
                    </w:rPr>
                  </w:pPr>
                  <w:r>
                    <w:rPr>
                      <w:rFonts w:hint="eastAsia" w:cs="Times New Roman"/>
                      <w:color w:val="auto"/>
                      <w:sz w:val="21"/>
                      <w:szCs w:val="21"/>
                      <w:lang w:val="en-US" w:eastAsia="zh-CN"/>
                    </w:rPr>
                    <w:t>12-21m</w:t>
                  </w:r>
                </w:p>
              </w:tc>
              <w:tc>
                <w:tcPr>
                  <w:tcW w:w="1476" w:type="dxa"/>
                  <w:shd w:val="clear" w:color="auto" w:fill="auto"/>
                  <w:vAlign w:val="center"/>
                </w:tcPr>
                <w:p w14:paraId="1C97D3B5">
                  <w:pPr>
                    <w:jc w:val="center"/>
                    <w:rPr>
                      <w:rFonts w:hint="eastAsia"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14BDBC1F">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59C4BECD">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钢混结构，4户居民住宅，1层尖顶，2-3层平顶</w:t>
                  </w:r>
                </w:p>
              </w:tc>
            </w:tr>
            <w:tr w14:paraId="08158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062F74E7">
                  <w:pPr>
                    <w:jc w:val="center"/>
                    <w:rPr>
                      <w:rFonts w:hint="default" w:cs="Times New Roman"/>
                      <w:color w:val="auto"/>
                      <w:sz w:val="21"/>
                      <w:szCs w:val="21"/>
                      <w:lang w:val="en-US" w:eastAsia="zh-CN"/>
                    </w:rPr>
                  </w:pPr>
                  <w:r>
                    <w:rPr>
                      <w:rFonts w:hint="eastAsia" w:cs="Times New Roman"/>
                      <w:color w:val="auto"/>
                      <w:sz w:val="21"/>
                      <w:szCs w:val="21"/>
                      <w:lang w:val="en-US" w:eastAsia="zh-CN"/>
                    </w:rPr>
                    <w:t>11</w:t>
                  </w:r>
                </w:p>
              </w:tc>
              <w:tc>
                <w:tcPr>
                  <w:tcW w:w="2571" w:type="dxa"/>
                  <w:shd w:val="clear" w:color="auto" w:fill="auto"/>
                  <w:vAlign w:val="center"/>
                </w:tcPr>
                <w:p w14:paraId="1F137E97">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金寨县南溪镇小里湾</w:t>
                  </w:r>
                </w:p>
              </w:tc>
              <w:tc>
                <w:tcPr>
                  <w:tcW w:w="1447" w:type="dxa"/>
                  <w:shd w:val="clear" w:color="auto" w:fill="auto"/>
                  <w:vAlign w:val="center"/>
                </w:tcPr>
                <w:p w14:paraId="4C24051D">
                  <w:pPr>
                    <w:jc w:val="center"/>
                    <w:rPr>
                      <w:rFonts w:hint="eastAsia" w:cs="Times New Roman"/>
                      <w:color w:val="auto"/>
                      <w:sz w:val="21"/>
                      <w:szCs w:val="21"/>
                      <w:lang w:val="en-US" w:eastAsia="zh-CN"/>
                    </w:rPr>
                  </w:pPr>
                  <w:r>
                    <w:rPr>
                      <w:rFonts w:hint="eastAsia" w:cs="Times New Roman"/>
                      <w:color w:val="auto"/>
                      <w:sz w:val="21"/>
                      <w:szCs w:val="21"/>
                      <w:lang w:val="en-US" w:eastAsia="zh-CN"/>
                    </w:rPr>
                    <w:t>19-27m</w:t>
                  </w:r>
                </w:p>
              </w:tc>
              <w:tc>
                <w:tcPr>
                  <w:tcW w:w="1476" w:type="dxa"/>
                  <w:shd w:val="clear" w:color="auto" w:fill="auto"/>
                  <w:vAlign w:val="center"/>
                </w:tcPr>
                <w:p w14:paraId="17E26563">
                  <w:pPr>
                    <w:jc w:val="center"/>
                    <w:rPr>
                      <w:rFonts w:hint="default" w:cs="Times New Roman"/>
                      <w:color w:val="auto"/>
                      <w:sz w:val="21"/>
                      <w:szCs w:val="21"/>
                      <w:lang w:val="en-US" w:eastAsia="zh-CN"/>
                    </w:rPr>
                  </w:pPr>
                  <w:r>
                    <w:rPr>
                      <w:rFonts w:hint="eastAsia" w:cs="Times New Roman"/>
                      <w:color w:val="auto"/>
                      <w:sz w:val="21"/>
                      <w:szCs w:val="21"/>
                      <w:lang w:val="en-US" w:eastAsia="zh-CN"/>
                    </w:rPr>
                    <w:t>南侧、北侧</w:t>
                  </w:r>
                </w:p>
              </w:tc>
              <w:tc>
                <w:tcPr>
                  <w:tcW w:w="964" w:type="dxa"/>
                  <w:shd w:val="clear" w:color="auto" w:fill="auto"/>
                  <w:vAlign w:val="center"/>
                </w:tcPr>
                <w:p w14:paraId="2C20D82C">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5A1EB417">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钢混结构，3户居民住宅，2层尖顶/平顶</w:t>
                  </w:r>
                </w:p>
              </w:tc>
            </w:tr>
            <w:tr w14:paraId="2F0F7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BA8082B">
                  <w:pPr>
                    <w:jc w:val="center"/>
                    <w:rPr>
                      <w:rFonts w:hint="default" w:cs="Times New Roman"/>
                      <w:color w:val="auto"/>
                      <w:sz w:val="21"/>
                      <w:szCs w:val="21"/>
                      <w:lang w:val="en-US" w:eastAsia="zh-CN"/>
                    </w:rPr>
                  </w:pPr>
                  <w:r>
                    <w:rPr>
                      <w:rFonts w:hint="eastAsia" w:cs="Times New Roman"/>
                      <w:color w:val="auto"/>
                      <w:sz w:val="21"/>
                      <w:szCs w:val="21"/>
                      <w:lang w:val="en-US" w:eastAsia="zh-CN"/>
                    </w:rPr>
                    <w:t>12</w:t>
                  </w:r>
                </w:p>
              </w:tc>
              <w:tc>
                <w:tcPr>
                  <w:tcW w:w="2571" w:type="dxa"/>
                  <w:shd w:val="clear" w:color="auto" w:fill="auto"/>
                  <w:vAlign w:val="center"/>
                </w:tcPr>
                <w:p w14:paraId="306C602B">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金寨县南溪镇麦岭</w:t>
                  </w:r>
                </w:p>
              </w:tc>
              <w:tc>
                <w:tcPr>
                  <w:tcW w:w="1447" w:type="dxa"/>
                  <w:shd w:val="clear" w:color="auto" w:fill="auto"/>
                  <w:vAlign w:val="center"/>
                </w:tcPr>
                <w:p w14:paraId="3EA4AB25">
                  <w:pPr>
                    <w:jc w:val="center"/>
                    <w:rPr>
                      <w:rFonts w:hint="eastAsia" w:cs="Times New Roman"/>
                      <w:color w:val="auto"/>
                      <w:sz w:val="21"/>
                      <w:szCs w:val="21"/>
                      <w:lang w:val="en-US" w:eastAsia="zh-CN"/>
                    </w:rPr>
                  </w:pPr>
                  <w:r>
                    <w:rPr>
                      <w:rFonts w:hint="eastAsia" w:cs="Times New Roman"/>
                      <w:color w:val="auto"/>
                      <w:sz w:val="21"/>
                      <w:szCs w:val="21"/>
                      <w:lang w:val="en-US" w:eastAsia="zh-CN"/>
                    </w:rPr>
                    <w:t>19-30m</w:t>
                  </w:r>
                </w:p>
              </w:tc>
              <w:tc>
                <w:tcPr>
                  <w:tcW w:w="1476" w:type="dxa"/>
                  <w:shd w:val="clear" w:color="auto" w:fill="auto"/>
                  <w:vAlign w:val="center"/>
                </w:tcPr>
                <w:p w14:paraId="60572004">
                  <w:pPr>
                    <w:jc w:val="center"/>
                    <w:rPr>
                      <w:rFonts w:hint="default" w:cs="Times New Roman"/>
                      <w:color w:val="auto"/>
                      <w:sz w:val="21"/>
                      <w:szCs w:val="21"/>
                      <w:lang w:val="en-US" w:eastAsia="zh-CN"/>
                    </w:rPr>
                  </w:pPr>
                  <w:r>
                    <w:rPr>
                      <w:rFonts w:hint="eastAsia" w:cs="Times New Roman"/>
                      <w:color w:val="auto"/>
                      <w:sz w:val="21"/>
                      <w:szCs w:val="21"/>
                      <w:lang w:val="en-US" w:eastAsia="zh-CN"/>
                    </w:rPr>
                    <w:t>南侧、北侧</w:t>
                  </w:r>
                </w:p>
              </w:tc>
              <w:tc>
                <w:tcPr>
                  <w:tcW w:w="964" w:type="dxa"/>
                  <w:shd w:val="clear" w:color="auto" w:fill="auto"/>
                  <w:vAlign w:val="center"/>
                </w:tcPr>
                <w:p w14:paraId="1F38DB8F">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776FC1B">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钢混结构，3户居民住宅，1-2层平顶</w:t>
                  </w:r>
                </w:p>
              </w:tc>
            </w:tr>
            <w:tr w14:paraId="46996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7E9178C8">
                  <w:pPr>
                    <w:jc w:val="center"/>
                    <w:rPr>
                      <w:rFonts w:hint="default" w:cs="Times New Roman"/>
                      <w:color w:val="auto"/>
                      <w:sz w:val="21"/>
                      <w:szCs w:val="21"/>
                      <w:lang w:val="en-US" w:eastAsia="zh-CN"/>
                    </w:rPr>
                  </w:pPr>
                  <w:r>
                    <w:rPr>
                      <w:rFonts w:hint="eastAsia" w:cs="Times New Roman"/>
                      <w:color w:val="auto"/>
                      <w:sz w:val="21"/>
                      <w:szCs w:val="21"/>
                      <w:lang w:val="en-US" w:eastAsia="zh-CN"/>
                    </w:rPr>
                    <w:t>13</w:t>
                  </w:r>
                </w:p>
              </w:tc>
              <w:tc>
                <w:tcPr>
                  <w:tcW w:w="2571" w:type="dxa"/>
                  <w:shd w:val="clear" w:color="auto" w:fill="auto"/>
                  <w:vAlign w:val="center"/>
                </w:tcPr>
                <w:p w14:paraId="4548A517">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金寨县南溪镇凉水井</w:t>
                  </w:r>
                </w:p>
              </w:tc>
              <w:tc>
                <w:tcPr>
                  <w:tcW w:w="1447" w:type="dxa"/>
                  <w:shd w:val="clear" w:color="auto" w:fill="auto"/>
                  <w:vAlign w:val="center"/>
                </w:tcPr>
                <w:p w14:paraId="28A99D7D">
                  <w:pPr>
                    <w:jc w:val="center"/>
                    <w:rPr>
                      <w:rFonts w:hint="eastAsia" w:cs="Times New Roman"/>
                      <w:color w:val="auto"/>
                      <w:sz w:val="21"/>
                      <w:szCs w:val="21"/>
                      <w:lang w:val="en-US" w:eastAsia="zh-CN"/>
                    </w:rPr>
                  </w:pPr>
                  <w:r>
                    <w:rPr>
                      <w:rFonts w:hint="eastAsia" w:cs="Times New Roman"/>
                      <w:color w:val="auto"/>
                      <w:sz w:val="21"/>
                      <w:szCs w:val="21"/>
                      <w:lang w:val="en-US" w:eastAsia="zh-CN"/>
                    </w:rPr>
                    <w:t>11m</w:t>
                  </w:r>
                </w:p>
              </w:tc>
              <w:tc>
                <w:tcPr>
                  <w:tcW w:w="1476" w:type="dxa"/>
                  <w:shd w:val="clear" w:color="auto" w:fill="auto"/>
                  <w:vAlign w:val="center"/>
                </w:tcPr>
                <w:p w14:paraId="5E5F9F79">
                  <w:pPr>
                    <w:jc w:val="center"/>
                    <w:rPr>
                      <w:rFonts w:hint="eastAsia"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235DA14A">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62FA140E">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钢混结构，3户居民住宅，2层尖顶，3层平顶</w:t>
                  </w:r>
                </w:p>
              </w:tc>
            </w:tr>
            <w:tr w14:paraId="189C0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6253EE6D">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14</w:t>
                  </w:r>
                </w:p>
              </w:tc>
              <w:tc>
                <w:tcPr>
                  <w:tcW w:w="2571" w:type="dxa"/>
                  <w:shd w:val="clear" w:color="auto" w:fill="auto"/>
                  <w:vAlign w:val="center"/>
                </w:tcPr>
                <w:p w14:paraId="7808CF2A">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金寨县南溪镇大竹园</w:t>
                  </w:r>
                </w:p>
              </w:tc>
              <w:tc>
                <w:tcPr>
                  <w:tcW w:w="1447" w:type="dxa"/>
                  <w:shd w:val="clear" w:color="auto" w:fill="auto"/>
                  <w:vAlign w:val="center"/>
                </w:tcPr>
                <w:p w14:paraId="5FE48070">
                  <w:pPr>
                    <w:jc w:val="center"/>
                    <w:rPr>
                      <w:rFonts w:hint="default" w:cs="Times New Roman"/>
                      <w:color w:val="auto"/>
                      <w:sz w:val="21"/>
                      <w:szCs w:val="21"/>
                      <w:lang w:val="en-US" w:eastAsia="zh-CN"/>
                    </w:rPr>
                  </w:pPr>
                  <w:r>
                    <w:rPr>
                      <w:rFonts w:hint="eastAsia" w:cs="Times New Roman"/>
                      <w:color w:val="auto"/>
                      <w:sz w:val="21"/>
                      <w:szCs w:val="21"/>
                      <w:lang w:val="en-US" w:eastAsia="zh-CN"/>
                    </w:rPr>
                    <w:t>5m</w:t>
                  </w:r>
                </w:p>
              </w:tc>
              <w:tc>
                <w:tcPr>
                  <w:tcW w:w="1476" w:type="dxa"/>
                  <w:shd w:val="clear" w:color="auto" w:fill="auto"/>
                  <w:vAlign w:val="center"/>
                </w:tcPr>
                <w:p w14:paraId="6DE6F720">
                  <w:pPr>
                    <w:jc w:val="center"/>
                    <w:rPr>
                      <w:rFonts w:hint="default"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4386A644">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6CAFC54E">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钢混结构，1户居民住宅，2层尖顶</w:t>
                  </w:r>
                </w:p>
              </w:tc>
            </w:tr>
            <w:tr w14:paraId="40FC9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096" w:type="dxa"/>
                  <w:gridSpan w:val="6"/>
                  <w:shd w:val="clear" w:color="auto" w:fill="auto"/>
                  <w:vAlign w:val="center"/>
                </w:tcPr>
                <w:p w14:paraId="20D9E9E0">
                  <w:pPr>
                    <w:jc w:val="center"/>
                    <w:rPr>
                      <w:rFonts w:hint="eastAsia" w:cs="Times New Roman"/>
                      <w:color w:val="auto"/>
                      <w:sz w:val="21"/>
                      <w:szCs w:val="21"/>
                      <w:lang w:val="en-US" w:eastAsia="zh-CN"/>
                    </w:rPr>
                  </w:pPr>
                  <w:r>
                    <w:rPr>
                      <w:rFonts w:hint="eastAsia" w:cs="Times New Roman"/>
                      <w:color w:val="auto"/>
                      <w:sz w:val="21"/>
                      <w:szCs w:val="21"/>
                      <w:lang w:val="en-US" w:eastAsia="zh-CN"/>
                    </w:rPr>
                    <w:t>双河-钼矿110kV架空线路</w:t>
                  </w:r>
                </w:p>
              </w:tc>
            </w:tr>
            <w:tr w14:paraId="2B320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40FD0164">
                  <w:pPr>
                    <w:jc w:val="center"/>
                    <w:rPr>
                      <w:rFonts w:hint="eastAsia" w:cs="Times New Roman"/>
                      <w:color w:val="auto"/>
                      <w:sz w:val="21"/>
                      <w:szCs w:val="21"/>
                      <w:lang w:val="en-US" w:eastAsia="zh-CN"/>
                    </w:rPr>
                  </w:pPr>
                  <w:r>
                    <w:rPr>
                      <w:rFonts w:hint="eastAsia" w:cs="Times New Roman"/>
                      <w:color w:val="auto"/>
                      <w:sz w:val="21"/>
                      <w:szCs w:val="21"/>
                      <w:lang w:val="en-US" w:eastAsia="zh-CN"/>
                    </w:rPr>
                    <w:t>1</w:t>
                  </w:r>
                </w:p>
              </w:tc>
              <w:tc>
                <w:tcPr>
                  <w:tcW w:w="2571" w:type="dxa"/>
                  <w:shd w:val="clear" w:color="auto" w:fill="auto"/>
                  <w:vAlign w:val="center"/>
                </w:tcPr>
                <w:p w14:paraId="2C30ECA0">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金寨县双河镇吕大湾</w:t>
                  </w:r>
                </w:p>
              </w:tc>
              <w:tc>
                <w:tcPr>
                  <w:tcW w:w="1447" w:type="dxa"/>
                  <w:shd w:val="clear" w:color="auto" w:fill="auto"/>
                  <w:vAlign w:val="center"/>
                </w:tcPr>
                <w:p w14:paraId="15D6EC10">
                  <w:pPr>
                    <w:jc w:val="center"/>
                    <w:rPr>
                      <w:rFonts w:hint="eastAsia" w:cs="Times New Roman"/>
                      <w:color w:val="auto"/>
                      <w:sz w:val="21"/>
                      <w:szCs w:val="21"/>
                      <w:lang w:val="en-US" w:eastAsia="zh-CN"/>
                    </w:rPr>
                  </w:pPr>
                  <w:r>
                    <w:rPr>
                      <w:rFonts w:hint="eastAsia" w:cs="Times New Roman"/>
                      <w:color w:val="auto"/>
                      <w:sz w:val="21"/>
                      <w:szCs w:val="21"/>
                      <w:lang w:val="en-US" w:eastAsia="zh-CN"/>
                    </w:rPr>
                    <w:t>15-25m</w:t>
                  </w:r>
                </w:p>
              </w:tc>
              <w:tc>
                <w:tcPr>
                  <w:tcW w:w="1476" w:type="dxa"/>
                  <w:shd w:val="clear" w:color="auto" w:fill="auto"/>
                  <w:vAlign w:val="center"/>
                </w:tcPr>
                <w:p w14:paraId="3078C750">
                  <w:pPr>
                    <w:jc w:val="center"/>
                    <w:rPr>
                      <w:rFonts w:hint="default" w:cs="Times New Roman"/>
                      <w:color w:val="auto"/>
                      <w:sz w:val="21"/>
                      <w:szCs w:val="21"/>
                      <w:lang w:val="en-US" w:eastAsia="zh-CN"/>
                    </w:rPr>
                  </w:pPr>
                  <w:r>
                    <w:rPr>
                      <w:rFonts w:hint="eastAsia" w:cs="Times New Roman"/>
                      <w:color w:val="auto"/>
                      <w:sz w:val="21"/>
                      <w:szCs w:val="21"/>
                      <w:lang w:val="en-US" w:eastAsia="zh-CN"/>
                    </w:rPr>
                    <w:t>东侧、西侧、南侧</w:t>
                  </w:r>
                </w:p>
              </w:tc>
              <w:tc>
                <w:tcPr>
                  <w:tcW w:w="964" w:type="dxa"/>
                  <w:shd w:val="clear" w:color="auto" w:fill="auto"/>
                  <w:vAlign w:val="center"/>
                </w:tcPr>
                <w:p w14:paraId="2F1D68E1">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32BFDA88">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钢混结构，3户居民住宅，1-2层尖顶</w:t>
                  </w:r>
                </w:p>
              </w:tc>
            </w:tr>
            <w:tr w14:paraId="4418B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6E4CDA16">
                  <w:pPr>
                    <w:jc w:val="center"/>
                    <w:rPr>
                      <w:rFonts w:hint="eastAsia" w:cs="Times New Roman"/>
                      <w:color w:val="auto"/>
                      <w:sz w:val="21"/>
                      <w:szCs w:val="21"/>
                      <w:lang w:val="en-US" w:eastAsia="zh-CN"/>
                    </w:rPr>
                  </w:pPr>
                  <w:r>
                    <w:rPr>
                      <w:rFonts w:hint="eastAsia" w:cs="Times New Roman"/>
                      <w:color w:val="auto"/>
                      <w:sz w:val="21"/>
                      <w:szCs w:val="21"/>
                      <w:lang w:val="en-US" w:eastAsia="zh-CN"/>
                    </w:rPr>
                    <w:t>2</w:t>
                  </w:r>
                </w:p>
              </w:tc>
              <w:tc>
                <w:tcPr>
                  <w:tcW w:w="2571" w:type="dxa"/>
                  <w:shd w:val="clear" w:color="auto" w:fill="auto"/>
                  <w:vAlign w:val="center"/>
                </w:tcPr>
                <w:p w14:paraId="5F5E0A21">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金寨县双河镇下胡边</w:t>
                  </w:r>
                </w:p>
              </w:tc>
              <w:tc>
                <w:tcPr>
                  <w:tcW w:w="1447" w:type="dxa"/>
                  <w:shd w:val="clear" w:color="auto" w:fill="auto"/>
                  <w:vAlign w:val="center"/>
                </w:tcPr>
                <w:p w14:paraId="3216BE1F">
                  <w:pPr>
                    <w:jc w:val="center"/>
                    <w:rPr>
                      <w:rFonts w:hint="eastAsia" w:cs="Times New Roman"/>
                      <w:color w:val="auto"/>
                      <w:sz w:val="21"/>
                      <w:szCs w:val="21"/>
                      <w:lang w:val="en-US" w:eastAsia="zh-CN"/>
                    </w:rPr>
                  </w:pPr>
                  <w:r>
                    <w:rPr>
                      <w:rFonts w:hint="eastAsia" w:cs="Times New Roman"/>
                      <w:color w:val="auto"/>
                      <w:sz w:val="21"/>
                      <w:szCs w:val="21"/>
                      <w:lang w:val="en-US" w:eastAsia="zh-CN"/>
                    </w:rPr>
                    <w:t>11-19m</w:t>
                  </w:r>
                </w:p>
              </w:tc>
              <w:tc>
                <w:tcPr>
                  <w:tcW w:w="1476" w:type="dxa"/>
                  <w:shd w:val="clear" w:color="auto" w:fill="auto"/>
                  <w:vAlign w:val="center"/>
                </w:tcPr>
                <w:p w14:paraId="4450B9C4">
                  <w:pPr>
                    <w:jc w:val="center"/>
                    <w:rPr>
                      <w:rFonts w:hint="eastAsia" w:cs="Times New Roman"/>
                      <w:color w:val="auto"/>
                      <w:sz w:val="21"/>
                      <w:szCs w:val="21"/>
                      <w:lang w:val="en-US" w:eastAsia="zh-CN"/>
                    </w:rPr>
                  </w:pPr>
                  <w:r>
                    <w:rPr>
                      <w:rFonts w:hint="eastAsia" w:cs="Times New Roman"/>
                      <w:color w:val="auto"/>
                      <w:sz w:val="21"/>
                      <w:szCs w:val="21"/>
                      <w:lang w:val="en-US" w:eastAsia="zh-CN"/>
                    </w:rPr>
                    <w:t>东侧、西侧</w:t>
                  </w:r>
                </w:p>
              </w:tc>
              <w:tc>
                <w:tcPr>
                  <w:tcW w:w="964" w:type="dxa"/>
                  <w:shd w:val="clear" w:color="auto" w:fill="auto"/>
                  <w:vAlign w:val="center"/>
                </w:tcPr>
                <w:p w14:paraId="2A8AB515">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17E41736">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钢混结构，2户居民住宅，1-2层尖顶</w:t>
                  </w:r>
                </w:p>
              </w:tc>
            </w:tr>
            <w:tr w14:paraId="31C01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5111E9D7">
                  <w:pPr>
                    <w:jc w:val="center"/>
                    <w:rPr>
                      <w:rFonts w:hint="eastAsia" w:cs="Times New Roman"/>
                      <w:color w:val="auto"/>
                      <w:sz w:val="21"/>
                      <w:szCs w:val="21"/>
                      <w:lang w:val="en-US" w:eastAsia="zh-CN"/>
                    </w:rPr>
                  </w:pPr>
                  <w:r>
                    <w:rPr>
                      <w:rFonts w:hint="eastAsia" w:cs="Times New Roman"/>
                      <w:color w:val="auto"/>
                      <w:sz w:val="21"/>
                      <w:szCs w:val="21"/>
                      <w:lang w:val="en-US" w:eastAsia="zh-CN"/>
                    </w:rPr>
                    <w:t>3</w:t>
                  </w:r>
                </w:p>
              </w:tc>
              <w:tc>
                <w:tcPr>
                  <w:tcW w:w="2571" w:type="dxa"/>
                  <w:shd w:val="clear" w:color="auto" w:fill="auto"/>
                  <w:vAlign w:val="center"/>
                </w:tcPr>
                <w:p w14:paraId="2FB42E85">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金寨县双河镇北栗树塆</w:t>
                  </w:r>
                </w:p>
              </w:tc>
              <w:tc>
                <w:tcPr>
                  <w:tcW w:w="1447" w:type="dxa"/>
                  <w:shd w:val="clear" w:color="auto" w:fill="auto"/>
                  <w:vAlign w:val="center"/>
                </w:tcPr>
                <w:p w14:paraId="67D67D0B">
                  <w:pPr>
                    <w:jc w:val="center"/>
                    <w:rPr>
                      <w:rFonts w:hint="eastAsia" w:cs="Times New Roman"/>
                      <w:color w:val="auto"/>
                      <w:sz w:val="21"/>
                      <w:szCs w:val="21"/>
                      <w:lang w:val="en-US" w:eastAsia="zh-CN"/>
                    </w:rPr>
                  </w:pPr>
                  <w:r>
                    <w:rPr>
                      <w:rFonts w:hint="eastAsia" w:cs="Times New Roman"/>
                      <w:color w:val="auto"/>
                      <w:sz w:val="21"/>
                      <w:szCs w:val="21"/>
                      <w:lang w:val="en-US" w:eastAsia="zh-CN"/>
                    </w:rPr>
                    <w:t>20m</w:t>
                  </w:r>
                </w:p>
              </w:tc>
              <w:tc>
                <w:tcPr>
                  <w:tcW w:w="1476" w:type="dxa"/>
                  <w:shd w:val="clear" w:color="auto" w:fill="auto"/>
                  <w:vAlign w:val="center"/>
                </w:tcPr>
                <w:p w14:paraId="13BEE33A">
                  <w:pPr>
                    <w:jc w:val="center"/>
                    <w:rPr>
                      <w:rFonts w:hint="eastAsia" w:cs="Times New Roman"/>
                      <w:color w:val="auto"/>
                      <w:sz w:val="21"/>
                      <w:szCs w:val="21"/>
                      <w:lang w:val="en-US" w:eastAsia="zh-CN"/>
                    </w:rPr>
                  </w:pPr>
                  <w:r>
                    <w:rPr>
                      <w:rFonts w:hint="eastAsia" w:cs="Times New Roman"/>
                      <w:color w:val="auto"/>
                      <w:sz w:val="21"/>
                      <w:szCs w:val="21"/>
                      <w:lang w:val="en-US" w:eastAsia="zh-CN"/>
                    </w:rPr>
                    <w:t>西北侧</w:t>
                  </w:r>
                </w:p>
              </w:tc>
              <w:tc>
                <w:tcPr>
                  <w:tcW w:w="964" w:type="dxa"/>
                  <w:shd w:val="clear" w:color="auto" w:fill="auto"/>
                  <w:vAlign w:val="center"/>
                </w:tcPr>
                <w:p w14:paraId="153CA736">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D22972B">
                  <w:pPr>
                    <w:jc w:val="center"/>
                    <w:rPr>
                      <w:rFonts w:hint="default" w:cs="Times New Roman"/>
                      <w:color w:val="auto"/>
                      <w:sz w:val="21"/>
                      <w:szCs w:val="21"/>
                      <w:lang w:val="en-US" w:eastAsia="zh-CN"/>
                    </w:rPr>
                  </w:pPr>
                  <w:r>
                    <w:rPr>
                      <w:rFonts w:hint="eastAsia" w:cs="Times New Roman"/>
                      <w:color w:val="auto"/>
                      <w:sz w:val="21"/>
                      <w:szCs w:val="21"/>
                      <w:lang w:val="en-US" w:eastAsia="zh-CN"/>
                    </w:rPr>
                    <w:t>钢混结构，2户居民住宅，2层尖顶</w:t>
                  </w:r>
                </w:p>
              </w:tc>
            </w:tr>
            <w:tr w14:paraId="1D28D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6D8C3B5C">
                  <w:pPr>
                    <w:jc w:val="center"/>
                    <w:rPr>
                      <w:rFonts w:hint="eastAsia" w:cs="Times New Roman"/>
                      <w:color w:val="auto"/>
                      <w:sz w:val="21"/>
                      <w:szCs w:val="21"/>
                      <w:lang w:val="en-US" w:eastAsia="zh-CN"/>
                    </w:rPr>
                  </w:pPr>
                  <w:r>
                    <w:rPr>
                      <w:rFonts w:hint="eastAsia" w:cs="Times New Roman"/>
                      <w:color w:val="auto"/>
                      <w:sz w:val="21"/>
                      <w:szCs w:val="21"/>
                      <w:lang w:val="en-US" w:eastAsia="zh-CN"/>
                    </w:rPr>
                    <w:t>4</w:t>
                  </w:r>
                </w:p>
              </w:tc>
              <w:tc>
                <w:tcPr>
                  <w:tcW w:w="2571" w:type="dxa"/>
                  <w:shd w:val="clear" w:color="auto" w:fill="auto"/>
                  <w:vAlign w:val="center"/>
                </w:tcPr>
                <w:p w14:paraId="0B973A4F">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金寨县南溪镇坳口</w:t>
                  </w:r>
                </w:p>
              </w:tc>
              <w:tc>
                <w:tcPr>
                  <w:tcW w:w="1447" w:type="dxa"/>
                  <w:shd w:val="clear" w:color="auto" w:fill="auto"/>
                  <w:vAlign w:val="center"/>
                </w:tcPr>
                <w:p w14:paraId="048014B1">
                  <w:pPr>
                    <w:jc w:val="center"/>
                    <w:rPr>
                      <w:rFonts w:hint="eastAsia" w:cs="Times New Roman"/>
                      <w:color w:val="auto"/>
                      <w:sz w:val="21"/>
                      <w:szCs w:val="21"/>
                      <w:lang w:val="en-US" w:eastAsia="zh-CN"/>
                    </w:rPr>
                  </w:pPr>
                  <w:r>
                    <w:rPr>
                      <w:rFonts w:hint="eastAsia" w:cs="Times New Roman"/>
                      <w:color w:val="auto"/>
                      <w:sz w:val="21"/>
                      <w:szCs w:val="21"/>
                      <w:lang w:val="en-US" w:eastAsia="zh-CN"/>
                    </w:rPr>
                    <w:t>13m</w:t>
                  </w:r>
                </w:p>
              </w:tc>
              <w:tc>
                <w:tcPr>
                  <w:tcW w:w="1476" w:type="dxa"/>
                  <w:shd w:val="clear" w:color="auto" w:fill="auto"/>
                  <w:vAlign w:val="center"/>
                </w:tcPr>
                <w:p w14:paraId="030DCEEA">
                  <w:pPr>
                    <w:jc w:val="center"/>
                    <w:rPr>
                      <w:rFonts w:hint="eastAsia" w:cs="Times New Roman"/>
                      <w:color w:val="auto"/>
                      <w:sz w:val="21"/>
                      <w:szCs w:val="21"/>
                      <w:lang w:val="en-US" w:eastAsia="zh-CN"/>
                    </w:rPr>
                  </w:pPr>
                  <w:r>
                    <w:rPr>
                      <w:rFonts w:hint="eastAsia" w:cs="Times New Roman"/>
                      <w:color w:val="auto"/>
                      <w:sz w:val="21"/>
                      <w:szCs w:val="21"/>
                      <w:lang w:val="en-US" w:eastAsia="zh-CN"/>
                    </w:rPr>
                    <w:t>北侧、南侧</w:t>
                  </w:r>
                </w:p>
              </w:tc>
              <w:tc>
                <w:tcPr>
                  <w:tcW w:w="964" w:type="dxa"/>
                  <w:shd w:val="clear" w:color="auto" w:fill="auto"/>
                  <w:vAlign w:val="center"/>
                </w:tcPr>
                <w:p w14:paraId="4D2B18CD">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9D1D36A">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钢混结构，2户居民住宅，1-2层尖顶</w:t>
                  </w:r>
                </w:p>
              </w:tc>
            </w:tr>
            <w:tr w14:paraId="0DD3B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78FAB301">
                  <w:pPr>
                    <w:jc w:val="center"/>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2571" w:type="dxa"/>
                  <w:shd w:val="clear" w:color="auto" w:fill="auto"/>
                  <w:vAlign w:val="center"/>
                </w:tcPr>
                <w:p w14:paraId="2D7DB1E5">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金寨县南溪镇岭头上</w:t>
                  </w:r>
                </w:p>
              </w:tc>
              <w:tc>
                <w:tcPr>
                  <w:tcW w:w="1447" w:type="dxa"/>
                  <w:shd w:val="clear" w:color="auto" w:fill="auto"/>
                  <w:vAlign w:val="center"/>
                </w:tcPr>
                <w:p w14:paraId="3A2947E4">
                  <w:pPr>
                    <w:jc w:val="center"/>
                    <w:rPr>
                      <w:rFonts w:hint="default" w:cs="Times New Roman"/>
                      <w:color w:val="auto"/>
                      <w:sz w:val="21"/>
                      <w:szCs w:val="21"/>
                      <w:lang w:val="en-US" w:eastAsia="zh-CN"/>
                    </w:rPr>
                  </w:pPr>
                  <w:r>
                    <w:rPr>
                      <w:rFonts w:hint="eastAsia" w:cs="Times New Roman"/>
                      <w:color w:val="auto"/>
                      <w:sz w:val="21"/>
                      <w:szCs w:val="21"/>
                      <w:lang w:val="en-US" w:eastAsia="zh-CN"/>
                    </w:rPr>
                    <w:t>23m</w:t>
                  </w:r>
                </w:p>
              </w:tc>
              <w:tc>
                <w:tcPr>
                  <w:tcW w:w="1476" w:type="dxa"/>
                  <w:shd w:val="clear" w:color="auto" w:fill="auto"/>
                  <w:vAlign w:val="center"/>
                </w:tcPr>
                <w:p w14:paraId="3C226036">
                  <w:pPr>
                    <w:jc w:val="center"/>
                    <w:rPr>
                      <w:rFonts w:hint="default"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2613F5BF">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4CE15009">
                  <w:pPr>
                    <w:jc w:val="center"/>
                    <w:rPr>
                      <w:rFonts w:hint="eastAsia" w:cs="Times New Roman"/>
                      <w:color w:val="auto"/>
                      <w:sz w:val="21"/>
                      <w:szCs w:val="21"/>
                      <w:lang w:val="en-US" w:eastAsia="zh-CN"/>
                    </w:rPr>
                  </w:pPr>
                  <w:r>
                    <w:rPr>
                      <w:rFonts w:hint="eastAsia" w:cs="Times New Roman"/>
                      <w:color w:val="auto"/>
                      <w:sz w:val="21"/>
                      <w:szCs w:val="21"/>
                      <w:lang w:val="en-US" w:eastAsia="zh-CN"/>
                    </w:rPr>
                    <w:t>砖混结构，1户居民住宅，1层尖顶</w:t>
                  </w:r>
                </w:p>
              </w:tc>
            </w:tr>
            <w:tr w14:paraId="4AF82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499A6DEE">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6</w:t>
                  </w:r>
                </w:p>
              </w:tc>
              <w:tc>
                <w:tcPr>
                  <w:tcW w:w="2571" w:type="dxa"/>
                  <w:shd w:val="clear" w:color="auto" w:fill="auto"/>
                  <w:vAlign w:val="center"/>
                </w:tcPr>
                <w:p w14:paraId="7D1BC25E">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金寨县南溪镇蔡家畈</w:t>
                  </w:r>
                </w:p>
              </w:tc>
              <w:tc>
                <w:tcPr>
                  <w:tcW w:w="1447" w:type="dxa"/>
                  <w:shd w:val="clear" w:color="auto" w:fill="auto"/>
                  <w:vAlign w:val="center"/>
                </w:tcPr>
                <w:p w14:paraId="6EA981C7">
                  <w:pPr>
                    <w:jc w:val="center"/>
                    <w:rPr>
                      <w:rFonts w:hint="default" w:cs="Times New Roman"/>
                      <w:color w:val="auto"/>
                      <w:sz w:val="21"/>
                      <w:szCs w:val="21"/>
                      <w:lang w:val="en-US" w:eastAsia="zh-CN"/>
                    </w:rPr>
                  </w:pPr>
                  <w:r>
                    <w:rPr>
                      <w:rFonts w:hint="eastAsia" w:cs="Times New Roman"/>
                      <w:color w:val="auto"/>
                      <w:sz w:val="21"/>
                      <w:szCs w:val="21"/>
                      <w:lang w:val="en-US" w:eastAsia="zh-CN"/>
                    </w:rPr>
                    <w:t>15m</w:t>
                  </w:r>
                </w:p>
              </w:tc>
              <w:tc>
                <w:tcPr>
                  <w:tcW w:w="1476" w:type="dxa"/>
                  <w:shd w:val="clear" w:color="auto" w:fill="auto"/>
                  <w:vAlign w:val="center"/>
                </w:tcPr>
                <w:p w14:paraId="0479AD0F">
                  <w:pPr>
                    <w:jc w:val="center"/>
                    <w:rPr>
                      <w:rFonts w:hint="default" w:cs="Times New Roman"/>
                      <w:color w:val="auto"/>
                      <w:sz w:val="21"/>
                      <w:szCs w:val="21"/>
                      <w:lang w:val="en-US" w:eastAsia="zh-CN"/>
                    </w:rPr>
                  </w:pPr>
                  <w:r>
                    <w:rPr>
                      <w:rFonts w:hint="eastAsia" w:cs="Times New Roman"/>
                      <w:color w:val="auto"/>
                      <w:sz w:val="21"/>
                      <w:szCs w:val="21"/>
                      <w:lang w:val="en-US" w:eastAsia="zh-CN"/>
                    </w:rPr>
                    <w:t>南侧</w:t>
                  </w:r>
                </w:p>
              </w:tc>
              <w:tc>
                <w:tcPr>
                  <w:tcW w:w="964" w:type="dxa"/>
                  <w:shd w:val="clear" w:color="auto" w:fill="auto"/>
                  <w:vAlign w:val="center"/>
                </w:tcPr>
                <w:p w14:paraId="1DF269CF">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6CE240A">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钢混结构，1户居民住宅，2层尖顶</w:t>
                  </w:r>
                </w:p>
              </w:tc>
            </w:tr>
            <w:tr w14:paraId="7514A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09E1E009">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w:t>
                  </w:r>
                </w:p>
              </w:tc>
              <w:tc>
                <w:tcPr>
                  <w:tcW w:w="2571" w:type="dxa"/>
                  <w:shd w:val="clear" w:color="auto" w:fill="auto"/>
                  <w:vAlign w:val="center"/>
                </w:tcPr>
                <w:p w14:paraId="6B84ED85">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金寨县南溪镇店房</w:t>
                  </w:r>
                </w:p>
              </w:tc>
              <w:tc>
                <w:tcPr>
                  <w:tcW w:w="1447" w:type="dxa"/>
                  <w:shd w:val="clear" w:color="auto" w:fill="auto"/>
                  <w:vAlign w:val="center"/>
                </w:tcPr>
                <w:p w14:paraId="22D1E7A2">
                  <w:pPr>
                    <w:jc w:val="center"/>
                    <w:rPr>
                      <w:rFonts w:hint="default" w:cs="Times New Roman"/>
                      <w:color w:val="auto"/>
                      <w:sz w:val="21"/>
                      <w:szCs w:val="21"/>
                      <w:lang w:val="en-US" w:eastAsia="zh-CN"/>
                    </w:rPr>
                  </w:pPr>
                  <w:r>
                    <w:rPr>
                      <w:rFonts w:hint="eastAsia" w:cs="Times New Roman"/>
                      <w:color w:val="auto"/>
                      <w:sz w:val="21"/>
                      <w:szCs w:val="21"/>
                      <w:lang w:val="en-US" w:eastAsia="zh-CN"/>
                    </w:rPr>
                    <w:t>14-26m</w:t>
                  </w:r>
                </w:p>
              </w:tc>
              <w:tc>
                <w:tcPr>
                  <w:tcW w:w="1476" w:type="dxa"/>
                  <w:shd w:val="clear" w:color="auto" w:fill="auto"/>
                  <w:vAlign w:val="center"/>
                </w:tcPr>
                <w:p w14:paraId="32CDB5FB">
                  <w:pPr>
                    <w:jc w:val="center"/>
                    <w:rPr>
                      <w:rFonts w:hint="eastAsia" w:cs="Times New Roman"/>
                      <w:color w:val="auto"/>
                      <w:sz w:val="21"/>
                      <w:szCs w:val="21"/>
                      <w:lang w:val="en-US" w:eastAsia="zh-CN"/>
                    </w:rPr>
                  </w:pPr>
                  <w:r>
                    <w:rPr>
                      <w:rFonts w:hint="eastAsia" w:cs="Times New Roman"/>
                      <w:color w:val="auto"/>
                      <w:sz w:val="21"/>
                      <w:szCs w:val="21"/>
                      <w:lang w:val="en-US" w:eastAsia="zh-CN"/>
                    </w:rPr>
                    <w:t>北侧、南侧</w:t>
                  </w:r>
                </w:p>
              </w:tc>
              <w:tc>
                <w:tcPr>
                  <w:tcW w:w="964" w:type="dxa"/>
                  <w:shd w:val="clear" w:color="auto" w:fill="auto"/>
                  <w:vAlign w:val="center"/>
                </w:tcPr>
                <w:p w14:paraId="52922934">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011B0236">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钢混结构，5户居民住宅，1-2层尖顶</w:t>
                  </w:r>
                </w:p>
              </w:tc>
            </w:tr>
            <w:tr w14:paraId="6D638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54CD7083">
                  <w:pPr>
                    <w:jc w:val="center"/>
                    <w:rPr>
                      <w:rFonts w:hint="default" w:cs="Times New Roman"/>
                      <w:color w:val="auto"/>
                      <w:sz w:val="21"/>
                      <w:szCs w:val="21"/>
                      <w:lang w:val="en-US" w:eastAsia="zh-CN"/>
                    </w:rPr>
                  </w:pPr>
                  <w:r>
                    <w:rPr>
                      <w:rFonts w:hint="eastAsia" w:cs="Times New Roman"/>
                      <w:color w:val="auto"/>
                      <w:sz w:val="21"/>
                      <w:szCs w:val="21"/>
                      <w:lang w:val="en-US" w:eastAsia="zh-CN"/>
                    </w:rPr>
                    <w:t>8</w:t>
                  </w:r>
                </w:p>
              </w:tc>
              <w:tc>
                <w:tcPr>
                  <w:tcW w:w="2571" w:type="dxa"/>
                  <w:shd w:val="clear" w:color="auto" w:fill="auto"/>
                  <w:vAlign w:val="center"/>
                </w:tcPr>
                <w:p w14:paraId="21D59BC7">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金寨县南溪镇新家塆</w:t>
                  </w:r>
                </w:p>
              </w:tc>
              <w:tc>
                <w:tcPr>
                  <w:tcW w:w="1447" w:type="dxa"/>
                  <w:shd w:val="clear" w:color="auto" w:fill="auto"/>
                  <w:vAlign w:val="center"/>
                </w:tcPr>
                <w:p w14:paraId="222CAA81">
                  <w:pPr>
                    <w:jc w:val="center"/>
                    <w:rPr>
                      <w:rFonts w:hint="default" w:cs="Times New Roman"/>
                      <w:color w:val="auto"/>
                      <w:sz w:val="21"/>
                      <w:szCs w:val="21"/>
                      <w:lang w:val="en-US" w:eastAsia="zh-CN"/>
                    </w:rPr>
                  </w:pPr>
                  <w:r>
                    <w:rPr>
                      <w:rFonts w:hint="eastAsia" w:cs="Times New Roman"/>
                      <w:color w:val="auto"/>
                      <w:sz w:val="21"/>
                      <w:szCs w:val="21"/>
                      <w:lang w:val="en-US" w:eastAsia="zh-CN"/>
                    </w:rPr>
                    <w:t>25m</w:t>
                  </w:r>
                </w:p>
              </w:tc>
              <w:tc>
                <w:tcPr>
                  <w:tcW w:w="1476" w:type="dxa"/>
                  <w:shd w:val="clear" w:color="auto" w:fill="auto"/>
                  <w:vAlign w:val="center"/>
                </w:tcPr>
                <w:p w14:paraId="52B2CDAA">
                  <w:pPr>
                    <w:jc w:val="center"/>
                    <w:rPr>
                      <w:rFonts w:hint="default" w:cs="Times New Roman"/>
                      <w:color w:val="auto"/>
                      <w:sz w:val="21"/>
                      <w:szCs w:val="21"/>
                      <w:lang w:val="en-US" w:eastAsia="zh-CN"/>
                    </w:rPr>
                  </w:pPr>
                  <w:r>
                    <w:rPr>
                      <w:rFonts w:hint="eastAsia" w:cs="Times New Roman"/>
                      <w:color w:val="auto"/>
                      <w:sz w:val="21"/>
                      <w:szCs w:val="21"/>
                      <w:lang w:val="en-US" w:eastAsia="zh-CN"/>
                    </w:rPr>
                    <w:t>北侧</w:t>
                  </w:r>
                </w:p>
              </w:tc>
              <w:tc>
                <w:tcPr>
                  <w:tcW w:w="964" w:type="dxa"/>
                  <w:shd w:val="clear" w:color="auto" w:fill="auto"/>
                  <w:vAlign w:val="center"/>
                </w:tcPr>
                <w:p w14:paraId="7C2CDC4B">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20260D1B">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钢混结构，1户居民住宅，2层平顶</w:t>
                  </w:r>
                </w:p>
              </w:tc>
            </w:tr>
            <w:tr w14:paraId="72758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02019823">
                  <w:pPr>
                    <w:jc w:val="center"/>
                    <w:rPr>
                      <w:rFonts w:hint="default" w:cs="Times New Roman"/>
                      <w:color w:val="auto"/>
                      <w:sz w:val="21"/>
                      <w:szCs w:val="21"/>
                      <w:lang w:val="en-US" w:eastAsia="zh-CN"/>
                    </w:rPr>
                  </w:pPr>
                  <w:r>
                    <w:rPr>
                      <w:rFonts w:hint="eastAsia" w:cs="Times New Roman"/>
                      <w:color w:val="auto"/>
                      <w:sz w:val="21"/>
                      <w:szCs w:val="21"/>
                      <w:lang w:val="en-US" w:eastAsia="zh-CN"/>
                    </w:rPr>
                    <w:t>9</w:t>
                  </w:r>
                </w:p>
              </w:tc>
              <w:tc>
                <w:tcPr>
                  <w:tcW w:w="2571" w:type="dxa"/>
                  <w:shd w:val="clear" w:color="auto" w:fill="auto"/>
                  <w:vAlign w:val="center"/>
                </w:tcPr>
                <w:p w14:paraId="0DFC2E04">
                  <w:pPr>
                    <w:jc w:val="center"/>
                    <w:rPr>
                      <w:rFonts w:hint="default" w:cs="Times New Roman"/>
                      <w:color w:val="auto"/>
                      <w:sz w:val="21"/>
                      <w:szCs w:val="21"/>
                      <w:lang w:val="en-US" w:eastAsia="zh-CN"/>
                    </w:rPr>
                  </w:pPr>
                  <w:r>
                    <w:rPr>
                      <w:rFonts w:hint="eastAsia" w:cs="Times New Roman"/>
                      <w:color w:val="auto"/>
                      <w:sz w:val="21"/>
                      <w:szCs w:val="21"/>
                      <w:lang w:val="en-US" w:eastAsia="zh-CN"/>
                    </w:rPr>
                    <w:t>金寨县南溪镇火炮岭</w:t>
                  </w:r>
                </w:p>
              </w:tc>
              <w:tc>
                <w:tcPr>
                  <w:tcW w:w="1447" w:type="dxa"/>
                  <w:shd w:val="clear" w:color="auto" w:fill="auto"/>
                  <w:vAlign w:val="center"/>
                </w:tcPr>
                <w:p w14:paraId="73A9DCE2">
                  <w:pPr>
                    <w:jc w:val="center"/>
                    <w:rPr>
                      <w:rFonts w:hint="default" w:cs="Times New Roman"/>
                      <w:color w:val="auto"/>
                      <w:sz w:val="21"/>
                      <w:szCs w:val="21"/>
                      <w:lang w:val="en-US" w:eastAsia="zh-CN"/>
                    </w:rPr>
                  </w:pPr>
                  <w:r>
                    <w:rPr>
                      <w:rFonts w:hint="eastAsia" w:cs="Times New Roman"/>
                      <w:color w:val="auto"/>
                      <w:sz w:val="21"/>
                      <w:szCs w:val="21"/>
                      <w:lang w:val="en-US" w:eastAsia="zh-CN"/>
                    </w:rPr>
                    <w:t>20m</w:t>
                  </w:r>
                </w:p>
              </w:tc>
              <w:tc>
                <w:tcPr>
                  <w:tcW w:w="1476" w:type="dxa"/>
                  <w:shd w:val="clear" w:color="auto" w:fill="auto"/>
                  <w:vAlign w:val="center"/>
                </w:tcPr>
                <w:p w14:paraId="2DEE6E28">
                  <w:pPr>
                    <w:jc w:val="center"/>
                    <w:rPr>
                      <w:rFonts w:hint="default" w:cs="Times New Roman"/>
                      <w:color w:val="auto"/>
                      <w:sz w:val="21"/>
                      <w:szCs w:val="21"/>
                      <w:lang w:val="en-US" w:eastAsia="zh-CN"/>
                    </w:rPr>
                  </w:pPr>
                  <w:r>
                    <w:rPr>
                      <w:rFonts w:hint="eastAsia" w:cs="Times New Roman"/>
                      <w:color w:val="auto"/>
                      <w:sz w:val="21"/>
                      <w:szCs w:val="21"/>
                      <w:lang w:val="en-US" w:eastAsia="zh-CN"/>
                    </w:rPr>
                    <w:t>北侧</w:t>
                  </w:r>
                </w:p>
              </w:tc>
              <w:tc>
                <w:tcPr>
                  <w:tcW w:w="964" w:type="dxa"/>
                  <w:shd w:val="clear" w:color="auto" w:fill="auto"/>
                  <w:vAlign w:val="center"/>
                </w:tcPr>
                <w:p w14:paraId="1C3A647E">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74B13956">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钢混结构，1户居民住宅，2层尖顶</w:t>
                  </w:r>
                </w:p>
              </w:tc>
            </w:tr>
            <w:tr w14:paraId="3E999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27" w:type="dxa"/>
                  <w:shd w:val="clear" w:color="auto" w:fill="auto"/>
                  <w:vAlign w:val="center"/>
                </w:tcPr>
                <w:p w14:paraId="2B74BFC9">
                  <w:pPr>
                    <w:jc w:val="center"/>
                    <w:rPr>
                      <w:rFonts w:hint="default" w:cs="Times New Roman"/>
                      <w:color w:val="auto"/>
                      <w:sz w:val="21"/>
                      <w:szCs w:val="21"/>
                      <w:lang w:val="en-US" w:eastAsia="zh-CN"/>
                    </w:rPr>
                  </w:pPr>
                  <w:r>
                    <w:rPr>
                      <w:rFonts w:hint="eastAsia" w:cs="Times New Roman"/>
                      <w:color w:val="auto"/>
                      <w:sz w:val="21"/>
                      <w:szCs w:val="21"/>
                      <w:lang w:val="en-US" w:eastAsia="zh-CN"/>
                    </w:rPr>
                    <w:t>10</w:t>
                  </w:r>
                </w:p>
              </w:tc>
              <w:tc>
                <w:tcPr>
                  <w:tcW w:w="2571" w:type="dxa"/>
                  <w:shd w:val="clear" w:color="auto" w:fill="auto"/>
                  <w:vAlign w:val="center"/>
                </w:tcPr>
                <w:p w14:paraId="7E78F85B">
                  <w:pPr>
                    <w:jc w:val="center"/>
                    <w:rPr>
                      <w:rFonts w:hint="default" w:cs="Times New Roman"/>
                      <w:color w:val="auto"/>
                      <w:sz w:val="21"/>
                      <w:szCs w:val="21"/>
                      <w:lang w:val="en-US" w:eastAsia="zh-CN"/>
                    </w:rPr>
                  </w:pPr>
                  <w:r>
                    <w:rPr>
                      <w:rFonts w:hint="eastAsia" w:cs="Times New Roman"/>
                      <w:color w:val="auto"/>
                      <w:sz w:val="21"/>
                      <w:szCs w:val="21"/>
                      <w:lang w:val="en-US" w:eastAsia="zh-CN"/>
                    </w:rPr>
                    <w:t>金寨县汤家汇镇金菩坑</w:t>
                  </w:r>
                </w:p>
              </w:tc>
              <w:tc>
                <w:tcPr>
                  <w:tcW w:w="1447" w:type="dxa"/>
                  <w:shd w:val="clear" w:color="auto" w:fill="auto"/>
                  <w:vAlign w:val="center"/>
                </w:tcPr>
                <w:p w14:paraId="5F597240">
                  <w:pPr>
                    <w:jc w:val="center"/>
                    <w:rPr>
                      <w:rFonts w:hint="eastAsia" w:cs="Times New Roman"/>
                      <w:color w:val="auto"/>
                      <w:sz w:val="21"/>
                      <w:szCs w:val="21"/>
                      <w:lang w:val="en-US" w:eastAsia="zh-CN"/>
                    </w:rPr>
                  </w:pPr>
                  <w:r>
                    <w:rPr>
                      <w:rFonts w:hint="eastAsia" w:cs="Times New Roman"/>
                      <w:color w:val="auto"/>
                      <w:sz w:val="21"/>
                      <w:szCs w:val="21"/>
                      <w:lang w:val="en-US" w:eastAsia="zh-CN"/>
                    </w:rPr>
                    <w:t>15m</w:t>
                  </w:r>
                </w:p>
              </w:tc>
              <w:tc>
                <w:tcPr>
                  <w:tcW w:w="1476" w:type="dxa"/>
                  <w:shd w:val="clear" w:color="auto" w:fill="auto"/>
                  <w:vAlign w:val="center"/>
                </w:tcPr>
                <w:p w14:paraId="68FCF9CE">
                  <w:pPr>
                    <w:jc w:val="center"/>
                    <w:rPr>
                      <w:rFonts w:hint="eastAsia" w:cs="Times New Roman"/>
                      <w:color w:val="auto"/>
                      <w:sz w:val="21"/>
                      <w:szCs w:val="21"/>
                      <w:lang w:val="en-US" w:eastAsia="zh-CN"/>
                    </w:rPr>
                  </w:pPr>
                  <w:r>
                    <w:rPr>
                      <w:rFonts w:hint="eastAsia" w:cs="Times New Roman"/>
                      <w:color w:val="auto"/>
                      <w:sz w:val="21"/>
                      <w:szCs w:val="21"/>
                      <w:lang w:val="en-US" w:eastAsia="zh-CN"/>
                    </w:rPr>
                    <w:t>北侧</w:t>
                  </w:r>
                </w:p>
              </w:tc>
              <w:tc>
                <w:tcPr>
                  <w:tcW w:w="964" w:type="dxa"/>
                  <w:shd w:val="clear" w:color="auto" w:fill="auto"/>
                  <w:vAlign w:val="center"/>
                </w:tcPr>
                <w:p w14:paraId="68DBCF69">
                  <w:pPr>
                    <w:jc w:val="center"/>
                    <w:rPr>
                      <w:rFonts w:hint="eastAsia" w:cs="Times New Roman"/>
                      <w:color w:val="auto"/>
                      <w:sz w:val="21"/>
                      <w:szCs w:val="21"/>
                      <w:lang w:val="en-US" w:eastAsia="zh-CN"/>
                    </w:rPr>
                  </w:pPr>
                  <w:r>
                    <w:rPr>
                      <w:rFonts w:hint="eastAsia" w:cs="Times New Roman"/>
                      <w:color w:val="auto"/>
                      <w:sz w:val="21"/>
                      <w:szCs w:val="21"/>
                      <w:lang w:val="en-US" w:eastAsia="zh-CN"/>
                    </w:rPr>
                    <w:t>≥12m</w:t>
                  </w:r>
                </w:p>
              </w:tc>
              <w:tc>
                <w:tcPr>
                  <w:tcW w:w="2211" w:type="dxa"/>
                  <w:shd w:val="clear" w:color="auto" w:fill="auto"/>
                  <w:vAlign w:val="center"/>
                </w:tcPr>
                <w:p w14:paraId="3458BC8C">
                  <w:pPr>
                    <w:jc w:val="center"/>
                    <w:rPr>
                      <w:rFonts w:hint="eastAsia" w:cs="Times New Roman"/>
                      <w:color w:val="auto"/>
                      <w:sz w:val="21"/>
                      <w:szCs w:val="21"/>
                      <w:lang w:val="en-US" w:eastAsia="zh-CN"/>
                    </w:rPr>
                  </w:pPr>
                  <w:r>
                    <w:rPr>
                      <w:rFonts w:hint="eastAsia" w:cs="Times New Roman"/>
                      <w:color w:val="auto"/>
                      <w:sz w:val="21"/>
                      <w:szCs w:val="21"/>
                      <w:lang w:val="en-US" w:eastAsia="zh-CN"/>
                    </w:rPr>
                    <w:t>钢混结构，1户居民住宅，3层尖顶</w:t>
                  </w:r>
                </w:p>
              </w:tc>
            </w:tr>
          </w:tbl>
          <w:p w14:paraId="1DA16D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eastAsia="zh-CN"/>
              </w:rPr>
              <w:t>（</w:t>
            </w:r>
            <w:r>
              <w:rPr>
                <w:rFonts w:hint="eastAsia" w:cs="Times New Roman"/>
                <w:sz w:val="24"/>
                <w:szCs w:val="24"/>
                <w:lang w:val="en-US" w:eastAsia="zh-CN"/>
              </w:rPr>
              <w:t>2</w:t>
            </w:r>
            <w:r>
              <w:rPr>
                <w:rFonts w:hint="eastAsia" w:ascii="Times New Roman" w:hAnsi="Times New Roman" w:eastAsia="宋体" w:cs="Times New Roman"/>
                <w:sz w:val="24"/>
                <w:szCs w:val="24"/>
                <w:lang w:eastAsia="zh-CN"/>
              </w:rPr>
              <w:t>）</w:t>
            </w:r>
            <w:r>
              <w:rPr>
                <w:rFonts w:hint="eastAsia" w:cs="Times New Roman"/>
                <w:sz w:val="24"/>
                <w:szCs w:val="24"/>
                <w:lang w:val="en-US" w:eastAsia="zh-CN"/>
              </w:rPr>
              <w:t>电磁环境</w:t>
            </w:r>
          </w:p>
          <w:p w14:paraId="13AE63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eastAsia="zh-CN"/>
              </w:rPr>
            </w:pPr>
            <w:r>
              <w:rPr>
                <w:rFonts w:hint="eastAsia" w:ascii="Times New Roman" w:hAnsi="Times New Roman" w:cs="Times New Roman"/>
                <w:color w:val="auto"/>
                <w:sz w:val="24"/>
                <w:szCs w:val="24"/>
                <w:lang w:val="en-US" w:eastAsia="zh-CN"/>
              </w:rPr>
              <w:t>根据现场调查，拟建</w:t>
            </w:r>
            <w:r>
              <w:rPr>
                <w:rFonts w:hint="eastAsia" w:cs="Times New Roman"/>
                <w:color w:val="auto"/>
                <w:sz w:val="24"/>
                <w:szCs w:val="24"/>
                <w:lang w:val="en-US" w:eastAsia="zh-CN"/>
              </w:rPr>
              <w:t>金沙钼矿</w:t>
            </w:r>
            <w:r>
              <w:rPr>
                <w:rFonts w:hint="eastAsia" w:ascii="Times New Roman" w:hAnsi="Times New Roman" w:cs="Times New Roman"/>
                <w:color w:val="auto"/>
                <w:sz w:val="24"/>
                <w:szCs w:val="24"/>
                <w:lang w:val="en-US" w:eastAsia="zh-CN"/>
              </w:rPr>
              <w:t>110kV变电站评价范围内共有</w:t>
            </w:r>
            <w:r>
              <w:rPr>
                <w:rFonts w:hint="eastAsia" w:cs="Times New Roman"/>
                <w:color w:val="auto"/>
                <w:sz w:val="24"/>
                <w:szCs w:val="24"/>
                <w:lang w:val="en-US" w:eastAsia="zh-CN"/>
              </w:rPr>
              <w:t>1</w:t>
            </w:r>
            <w:r>
              <w:rPr>
                <w:rFonts w:hint="eastAsia" w:ascii="Times New Roman" w:hAnsi="Times New Roman" w:cs="Times New Roman"/>
                <w:color w:val="auto"/>
                <w:sz w:val="24"/>
                <w:szCs w:val="24"/>
                <w:lang w:val="en-US" w:eastAsia="zh-CN"/>
              </w:rPr>
              <w:t>处</w:t>
            </w:r>
            <w:r>
              <w:rPr>
                <w:rFonts w:hint="eastAsia" w:cs="Times New Roman"/>
                <w:color w:val="auto"/>
                <w:sz w:val="24"/>
                <w:szCs w:val="24"/>
                <w:lang w:val="en-US" w:eastAsia="zh-CN"/>
              </w:rPr>
              <w:t>电磁</w:t>
            </w:r>
            <w:r>
              <w:rPr>
                <w:rFonts w:hint="eastAsia" w:ascii="Times New Roman" w:hAnsi="Times New Roman" w:cs="Times New Roman"/>
                <w:color w:val="auto"/>
                <w:sz w:val="24"/>
                <w:szCs w:val="24"/>
                <w:lang w:val="en-US" w:eastAsia="zh-CN"/>
              </w:rPr>
              <w:t>环境保护目标；拟建</w:t>
            </w:r>
            <w:r>
              <w:rPr>
                <w:rFonts w:hint="eastAsia" w:cs="Times New Roman"/>
                <w:color w:val="auto"/>
                <w:sz w:val="24"/>
                <w:szCs w:val="24"/>
                <w:lang w:val="en-US" w:eastAsia="zh-CN"/>
              </w:rPr>
              <w:t>古碑-钼矿</w:t>
            </w:r>
            <w:r>
              <w:rPr>
                <w:rFonts w:hint="eastAsia" w:ascii="Times New Roman" w:hAnsi="Times New Roman" w:cs="Times New Roman"/>
                <w:color w:val="auto"/>
                <w:sz w:val="24"/>
                <w:szCs w:val="24"/>
                <w:lang w:val="en-US" w:eastAsia="zh-CN"/>
              </w:rPr>
              <w:t>110kV架空线路评价范围内有</w:t>
            </w:r>
            <w:r>
              <w:rPr>
                <w:rFonts w:hint="eastAsia" w:cs="Times New Roman"/>
                <w:color w:val="auto"/>
                <w:sz w:val="24"/>
                <w:szCs w:val="24"/>
                <w:lang w:val="en-US" w:eastAsia="zh-CN"/>
              </w:rPr>
              <w:t>14</w:t>
            </w:r>
            <w:r>
              <w:rPr>
                <w:rFonts w:hint="eastAsia" w:ascii="Times New Roman" w:hAnsi="Times New Roman" w:cs="Times New Roman"/>
                <w:color w:val="auto"/>
                <w:sz w:val="24"/>
                <w:szCs w:val="24"/>
                <w:lang w:val="en-US" w:eastAsia="zh-CN"/>
              </w:rPr>
              <w:t>处</w:t>
            </w:r>
            <w:r>
              <w:rPr>
                <w:rFonts w:hint="eastAsia" w:cs="Times New Roman"/>
                <w:color w:val="auto"/>
                <w:sz w:val="24"/>
                <w:szCs w:val="24"/>
                <w:lang w:val="en-US" w:eastAsia="zh-CN"/>
              </w:rPr>
              <w:t>电磁</w:t>
            </w:r>
            <w:r>
              <w:rPr>
                <w:rFonts w:hint="eastAsia" w:ascii="Times New Roman" w:hAnsi="Times New Roman" w:cs="Times New Roman"/>
                <w:color w:val="auto"/>
                <w:sz w:val="24"/>
                <w:szCs w:val="24"/>
                <w:lang w:val="en-US" w:eastAsia="zh-CN"/>
              </w:rPr>
              <w:t>环境保护目标</w:t>
            </w:r>
            <w:r>
              <w:rPr>
                <w:rFonts w:hint="eastAsia" w:cs="Times New Roman"/>
                <w:color w:val="auto"/>
                <w:sz w:val="24"/>
                <w:szCs w:val="24"/>
                <w:lang w:val="en-US" w:eastAsia="zh-CN"/>
              </w:rPr>
              <w:t>（其中1处的1户居民点已拆迁）</w:t>
            </w:r>
            <w:r>
              <w:rPr>
                <w:rFonts w:hint="eastAsia" w:ascii="Times New Roman" w:hAnsi="Times New Roman" w:cs="Times New Roman"/>
                <w:color w:val="auto"/>
                <w:sz w:val="24"/>
                <w:szCs w:val="24"/>
                <w:lang w:val="en-US" w:eastAsia="zh-CN"/>
              </w:rPr>
              <w:t>；拟建</w:t>
            </w:r>
            <w:r>
              <w:rPr>
                <w:rFonts w:hint="eastAsia" w:cs="Times New Roman"/>
                <w:color w:val="auto"/>
                <w:sz w:val="24"/>
                <w:szCs w:val="24"/>
                <w:lang w:val="en-US" w:eastAsia="zh-CN"/>
              </w:rPr>
              <w:t>双河-钼矿</w:t>
            </w:r>
            <w:r>
              <w:rPr>
                <w:rFonts w:hint="eastAsia" w:ascii="Times New Roman" w:hAnsi="Times New Roman" w:cs="Times New Roman"/>
                <w:color w:val="auto"/>
                <w:sz w:val="24"/>
                <w:szCs w:val="24"/>
                <w:lang w:val="en-US" w:eastAsia="zh-CN"/>
              </w:rPr>
              <w:t>110kV架空线路评价范围内有</w:t>
            </w:r>
            <w:r>
              <w:rPr>
                <w:rFonts w:hint="eastAsia" w:cs="Times New Roman"/>
                <w:color w:val="auto"/>
                <w:sz w:val="24"/>
                <w:szCs w:val="24"/>
                <w:lang w:val="en-US" w:eastAsia="zh-CN"/>
              </w:rPr>
              <w:t>10</w:t>
            </w:r>
            <w:r>
              <w:rPr>
                <w:rFonts w:hint="eastAsia" w:ascii="Times New Roman" w:hAnsi="Times New Roman" w:cs="Times New Roman"/>
                <w:color w:val="auto"/>
                <w:sz w:val="24"/>
                <w:szCs w:val="24"/>
                <w:lang w:val="en-US" w:eastAsia="zh-CN"/>
              </w:rPr>
              <w:t>处</w:t>
            </w:r>
            <w:r>
              <w:rPr>
                <w:rFonts w:hint="eastAsia" w:cs="Times New Roman"/>
                <w:color w:val="auto"/>
                <w:sz w:val="24"/>
                <w:szCs w:val="24"/>
                <w:lang w:val="en-US" w:eastAsia="zh-CN"/>
              </w:rPr>
              <w:t>电磁</w:t>
            </w:r>
            <w:r>
              <w:rPr>
                <w:rFonts w:hint="eastAsia" w:ascii="Times New Roman" w:hAnsi="Times New Roman" w:cs="Times New Roman"/>
                <w:color w:val="auto"/>
                <w:sz w:val="24"/>
                <w:szCs w:val="24"/>
                <w:lang w:val="en-US" w:eastAsia="zh-CN"/>
              </w:rPr>
              <w:t>环境保护目标。</w:t>
            </w:r>
            <w:r>
              <w:rPr>
                <w:rFonts w:hint="eastAsia" w:cs="Times New Roman"/>
                <w:color w:val="auto"/>
                <w:sz w:val="24"/>
                <w:szCs w:val="24"/>
                <w:lang w:val="en-US" w:eastAsia="zh-CN"/>
              </w:rPr>
              <w:t>本工程边导线距离中心导线的距离为5m。本工程</w:t>
            </w:r>
            <w:r>
              <w:rPr>
                <w:rFonts w:hint="eastAsia" w:ascii="Times New Roman" w:hAnsi="Times New Roman" w:cs="Times New Roman"/>
                <w:color w:val="auto"/>
                <w:sz w:val="24"/>
                <w:szCs w:val="24"/>
                <w:lang w:val="en-US" w:eastAsia="zh-CN"/>
              </w:rPr>
              <w:t>评价范围内</w:t>
            </w:r>
            <w:r>
              <w:rPr>
                <w:rFonts w:hint="eastAsia" w:cs="Times New Roman"/>
                <w:color w:val="auto"/>
                <w:sz w:val="24"/>
                <w:szCs w:val="24"/>
                <w:lang w:val="en-US" w:eastAsia="zh-CN"/>
              </w:rPr>
              <w:t>电磁</w:t>
            </w:r>
            <w:r>
              <w:rPr>
                <w:rFonts w:hint="eastAsia" w:ascii="Times New Roman" w:hAnsi="Times New Roman" w:cs="Times New Roman"/>
                <w:color w:val="auto"/>
                <w:sz w:val="24"/>
                <w:szCs w:val="24"/>
                <w:lang w:val="en-US" w:eastAsia="zh-CN"/>
              </w:rPr>
              <w:t>环境保护目标</w:t>
            </w:r>
            <w:r>
              <w:rPr>
                <w:rFonts w:hint="eastAsia" w:cs="Times New Roman"/>
                <w:color w:val="auto"/>
                <w:sz w:val="24"/>
                <w:szCs w:val="24"/>
                <w:lang w:val="en-US" w:eastAsia="zh-CN"/>
              </w:rPr>
              <w:t>见电磁专题</w:t>
            </w:r>
            <w:r>
              <w:rPr>
                <w:rFonts w:hint="eastAsia" w:ascii="Times New Roman" w:hAnsi="Times New Roman" w:cs="Times New Roman"/>
                <w:color w:val="auto"/>
                <w:sz w:val="24"/>
                <w:szCs w:val="24"/>
                <w:lang w:val="en-US" w:eastAsia="zh-CN"/>
              </w:rPr>
              <w:t>。</w:t>
            </w:r>
          </w:p>
          <w:p w14:paraId="663B370C">
            <w:pPr>
              <w:keepNext w:val="0"/>
              <w:keepLines w:val="0"/>
              <w:pageBreakBefore w:val="0"/>
              <w:widowControl w:val="0"/>
              <w:numPr>
                <w:ilvl w:val="0"/>
                <w:numId w:val="0"/>
              </w:numPr>
              <w:kinsoku/>
              <w:wordWrap/>
              <w:overflowPunct/>
              <w:topLinePunct w:val="0"/>
              <w:autoSpaceDE/>
              <w:autoSpaceDN/>
              <w:bidi w:val="0"/>
              <w:adjustRightInd/>
              <w:snapToGrid/>
              <w:spacing w:before="0" w:beforeLines="0"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eastAsia" w:cs="Times New Roman"/>
                <w:sz w:val="24"/>
                <w:szCs w:val="24"/>
                <w:lang w:eastAsia="zh-CN"/>
              </w:rPr>
              <w:t>（</w:t>
            </w:r>
            <w:r>
              <w:rPr>
                <w:rFonts w:hint="eastAsia" w:cs="Times New Roman"/>
                <w:sz w:val="24"/>
                <w:szCs w:val="24"/>
                <w:lang w:val="en-US" w:eastAsia="zh-CN"/>
              </w:rPr>
              <w:t>3</w:t>
            </w:r>
            <w:r>
              <w:rPr>
                <w:rFonts w:hint="eastAsia" w:cs="Times New Roman"/>
                <w:sz w:val="24"/>
                <w:szCs w:val="24"/>
                <w:lang w:eastAsia="zh-CN"/>
              </w:rPr>
              <w:t>）</w:t>
            </w:r>
            <w:r>
              <w:rPr>
                <w:rFonts w:hint="eastAsia" w:cs="Times New Roman"/>
                <w:sz w:val="24"/>
                <w:szCs w:val="24"/>
                <w:lang w:val="en-US" w:eastAsia="zh-CN"/>
              </w:rPr>
              <w:t>水环境</w:t>
            </w:r>
          </w:p>
          <w:p w14:paraId="05EA108B">
            <w:pPr>
              <w:keepNext w:val="0"/>
              <w:keepLines w:val="0"/>
              <w:pageBreakBefore w:val="0"/>
              <w:widowControl w:val="0"/>
              <w:numPr>
                <w:ilvl w:val="0"/>
                <w:numId w:val="0"/>
              </w:numPr>
              <w:kinsoku/>
              <w:wordWrap/>
              <w:overflowPunct/>
              <w:topLinePunct w:val="0"/>
              <w:autoSpaceDE/>
              <w:autoSpaceDN/>
              <w:bidi w:val="0"/>
              <w:adjustRightInd/>
              <w:snapToGrid/>
              <w:spacing w:before="0" w:beforeLines="0" w:line="360" w:lineRule="auto"/>
              <w:ind w:firstLine="480" w:firstLineChars="200"/>
              <w:jc w:val="left"/>
              <w:textAlignment w:val="auto"/>
              <w:rPr>
                <w:rFonts w:hint="eastAsia" w:cs="Times New Roman"/>
                <w:sz w:val="24"/>
                <w:szCs w:val="24"/>
                <w:lang w:val="en-US" w:eastAsia="zh-CN"/>
              </w:rPr>
            </w:pPr>
            <w:r>
              <w:rPr>
                <w:rFonts w:hint="eastAsia" w:cs="Times New Roman"/>
                <w:sz w:val="24"/>
                <w:szCs w:val="24"/>
                <w:lang w:val="en-US" w:eastAsia="zh-CN"/>
              </w:rPr>
              <w:t>本工程输电线路涉及一处百人供水工程取水口-关庙乡银山村蔡湾组饮水工程取水口。根据《饮用水水源保护区划分技术规范》（HJ 338-2018）中“3.2 集中式饮用水水源地：进入输水管网送到用户和具有一定取水规模（供水人口一般大于1000人）的在用、备用和规划水源地”，该供水工程的供水人数为160人，取水类型为地表水，水源类型为溪沟水，不属于集中式饮用水水源地。该供水工程取水口与本工程相对位置见下图3-6。</w:t>
            </w:r>
          </w:p>
          <w:p w14:paraId="12BA0500">
            <w:pPr>
              <w:keepNext w:val="0"/>
              <w:keepLines w:val="0"/>
              <w:pageBreakBefore w:val="0"/>
              <w:widowControl w:val="0"/>
              <w:numPr>
                <w:ilvl w:val="0"/>
                <w:numId w:val="0"/>
              </w:numPr>
              <w:kinsoku/>
              <w:wordWrap/>
              <w:overflowPunct/>
              <w:topLinePunct w:val="0"/>
              <w:autoSpaceDE/>
              <w:autoSpaceDN/>
              <w:bidi w:val="0"/>
              <w:adjustRightInd/>
              <w:snapToGrid/>
              <w:spacing w:before="0" w:beforeLines="0" w:line="360" w:lineRule="auto"/>
              <w:ind w:firstLine="480" w:firstLineChars="200"/>
              <w:jc w:val="left"/>
              <w:textAlignment w:val="auto"/>
              <w:rPr>
                <w:rFonts w:hint="eastAsia" w:cs="Times New Roman"/>
                <w:sz w:val="24"/>
                <w:szCs w:val="24"/>
                <w:lang w:val="en-US" w:eastAsia="zh-CN"/>
              </w:rPr>
            </w:pPr>
            <w:r>
              <w:rPr>
                <w:rFonts w:hint="eastAsia" w:cs="Times New Roman"/>
                <w:sz w:val="24"/>
                <w:szCs w:val="24"/>
                <w:lang w:val="en-US" w:eastAsia="zh-CN"/>
              </w:rPr>
              <w:t>本工程变电站站址及输电线路路径均未经过金寨县饮用水水源一级和二级保护区，详见附图8-1。本工程部分输电线路位于金寨县饮用水水源准保护区范围内，跨越长度约为1.2km，涉及在饮用水水源准保护区内立塔的塔基编号为A27、A28、A29、A30，详见附图8-2；本工程仅在施工期产生少量污染物，污染物经妥善处理后不会对饮用水水源准保护区水体产生严重污染。</w:t>
            </w:r>
          </w:p>
          <w:p w14:paraId="3917AC98">
            <w:pPr>
              <w:keepNext w:val="0"/>
              <w:keepLines w:val="0"/>
              <w:pageBreakBefore w:val="0"/>
              <w:widowControl w:val="0"/>
              <w:numPr>
                <w:ilvl w:val="0"/>
                <w:numId w:val="0"/>
              </w:numPr>
              <w:kinsoku/>
              <w:wordWrap/>
              <w:overflowPunct/>
              <w:topLinePunct w:val="0"/>
              <w:autoSpaceDE/>
              <w:autoSpaceDN/>
              <w:bidi w:val="0"/>
              <w:adjustRightInd/>
              <w:snapToGrid/>
              <w:spacing w:before="0" w:beforeLines="0" w:line="240" w:lineRule="auto"/>
              <w:ind w:firstLine="0" w:firstLineChars="0"/>
              <w:jc w:val="center"/>
              <w:textAlignment w:val="auto"/>
              <w:rPr>
                <w:rFonts w:hint="eastAsia" w:cs="Times New Roman"/>
                <w:b/>
                <w:bCs/>
                <w:sz w:val="21"/>
                <w:szCs w:val="21"/>
                <w:lang w:val="en-US" w:eastAsia="zh-CN"/>
              </w:rPr>
            </w:pPr>
            <w:r>
              <w:drawing>
                <wp:anchor distT="0" distB="0" distL="114300" distR="114300" simplePos="0" relativeHeight="251659264" behindDoc="0" locked="0" layoutInCell="1" allowOverlap="1">
                  <wp:simplePos x="0" y="0"/>
                  <wp:positionH relativeFrom="column">
                    <wp:posOffset>5036820</wp:posOffset>
                  </wp:positionH>
                  <wp:positionV relativeFrom="paragraph">
                    <wp:posOffset>9525</wp:posOffset>
                  </wp:positionV>
                  <wp:extent cx="816610" cy="622935"/>
                  <wp:effectExtent l="0" t="0" r="2540" b="5715"/>
                  <wp:wrapNone/>
                  <wp:docPr id="1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9"/>
                          <pic:cNvPicPr>
                            <a:picLocks noChangeAspect="1"/>
                          </pic:cNvPicPr>
                        </pic:nvPicPr>
                        <pic:blipFill>
                          <a:blip r:embed="rId34"/>
                          <a:srcRect b="1858"/>
                          <a:stretch>
                            <a:fillRect/>
                          </a:stretch>
                        </pic:blipFill>
                        <pic:spPr>
                          <a:xfrm>
                            <a:off x="0" y="0"/>
                            <a:ext cx="816610" cy="622935"/>
                          </a:xfrm>
                          <a:prstGeom prst="rect">
                            <a:avLst/>
                          </a:prstGeom>
                          <a:noFill/>
                          <a:ln>
                            <a:noFill/>
                          </a:ln>
                        </pic:spPr>
                      </pic:pic>
                    </a:graphicData>
                  </a:graphic>
                </wp:anchor>
              </w:drawing>
            </w:r>
            <w:r>
              <w:rPr>
                <w:sz w:val="20"/>
              </w:rPr>
              <mc:AlternateContent>
                <mc:Choice Requires="wps">
                  <w:drawing>
                    <wp:anchor distT="0" distB="0" distL="114300" distR="114300" simplePos="0" relativeHeight="251664384" behindDoc="0" locked="0" layoutInCell="1" allowOverlap="1">
                      <wp:simplePos x="0" y="0"/>
                      <wp:positionH relativeFrom="column">
                        <wp:posOffset>2969895</wp:posOffset>
                      </wp:positionH>
                      <wp:positionV relativeFrom="paragraph">
                        <wp:posOffset>1684020</wp:posOffset>
                      </wp:positionV>
                      <wp:extent cx="781685" cy="413385"/>
                      <wp:effectExtent l="0" t="0" r="18415" b="5715"/>
                      <wp:wrapNone/>
                      <wp:docPr id="23" name="文本框 23"/>
                      <wp:cNvGraphicFramePr/>
                      <a:graphic xmlns:a="http://schemas.openxmlformats.org/drawingml/2006/main">
                        <a:graphicData uri="http://schemas.microsoft.com/office/word/2010/wordprocessingShape">
                          <wps:wsp>
                            <wps:cNvSpPr txBox="1"/>
                            <wps:spPr>
                              <a:xfrm>
                                <a:off x="0" y="0"/>
                                <a:ext cx="78168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9ED247">
                                  <w:pPr>
                                    <w:rPr>
                                      <w:rFonts w:hint="default" w:eastAsia="宋体"/>
                                      <w:b/>
                                      <w:bCs/>
                                      <w:color w:val="FFFF00"/>
                                      <w:lang w:val="en-US" w:eastAsia="zh-CN"/>
                                    </w:rPr>
                                  </w:pPr>
                                  <w:r>
                                    <w:rPr>
                                      <w:rFonts w:hint="eastAsia"/>
                                      <w:b/>
                                      <w:bCs/>
                                      <w:color w:val="FFFF00"/>
                                      <w:lang w:val="en-US" w:eastAsia="zh-CN"/>
                                    </w:rPr>
                                    <w:t>古碑-钼矿架空线路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85pt;margin-top:132.6pt;height:32.55pt;width:61.55pt;z-index:251664384;mso-width-relative:page;mso-height-relative:page;" filled="f" stroked="f" coordsize="21600,21600" o:gfxdata="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ZjlPdwAAAALAQAADwAAAAAAAAABACAAAAAiAAAA&#10;ZHJzL2Rvd25yZXYueG1sUEsBAhQAFAAAAAgAh07iQOerbMo8AgAAZwQAAA4AAAAAAAAAAQAgAAAA&#10;KwEAAGRycy9lMm9Eb2MueG1sUEsFBgAAAAAGAAYAWQEAANkFAAAAAA==&#10;">
                      <v:fill on="f" focussize="0,0"/>
                      <v:stroke on="f" weight="0.5pt"/>
                      <v:imagedata o:title=""/>
                      <o:lock v:ext="edit" aspectratio="f"/>
                      <v:textbox>
                        <w:txbxContent>
                          <w:p w14:paraId="499ED247">
                            <w:pPr>
                              <w:rPr>
                                <w:rFonts w:hint="default" w:eastAsia="宋体"/>
                                <w:b/>
                                <w:bCs/>
                                <w:color w:val="FFFF00"/>
                                <w:lang w:val="en-US" w:eastAsia="zh-CN"/>
                              </w:rPr>
                            </w:pPr>
                            <w:r>
                              <w:rPr>
                                <w:rFonts w:hint="eastAsia"/>
                                <w:b/>
                                <w:bCs/>
                                <w:color w:val="FFFF00"/>
                                <w:lang w:val="en-US" w:eastAsia="zh-CN"/>
                              </w:rPr>
                              <w:t>古碑-钼矿架空线路</w:t>
                            </w:r>
                          </w:p>
                        </w:txbxContent>
                      </v:textbox>
                    </v:shape>
                  </w:pict>
                </mc:Fallback>
              </mc:AlternateContent>
            </w:r>
            <w:r>
              <w:rPr>
                <w:sz w:val="20"/>
              </w:rPr>
              <mc:AlternateContent>
                <mc:Choice Requires="wps">
                  <w:drawing>
                    <wp:anchor distT="0" distB="0" distL="114300" distR="114300" simplePos="0" relativeHeight="251663360" behindDoc="0" locked="0" layoutInCell="1" allowOverlap="1">
                      <wp:simplePos x="0" y="0"/>
                      <wp:positionH relativeFrom="column">
                        <wp:posOffset>2402205</wp:posOffset>
                      </wp:positionH>
                      <wp:positionV relativeFrom="paragraph">
                        <wp:posOffset>116205</wp:posOffset>
                      </wp:positionV>
                      <wp:extent cx="781685" cy="413385"/>
                      <wp:effectExtent l="0" t="0" r="0" b="0"/>
                      <wp:wrapNone/>
                      <wp:docPr id="18" name="文本框 18"/>
                      <wp:cNvGraphicFramePr/>
                      <a:graphic xmlns:a="http://schemas.openxmlformats.org/drawingml/2006/main">
                        <a:graphicData uri="http://schemas.microsoft.com/office/word/2010/wordprocessingShape">
                          <wps:wsp>
                            <wps:cNvSpPr txBox="1"/>
                            <wps:spPr>
                              <a:xfrm>
                                <a:off x="4354195" y="4894580"/>
                                <a:ext cx="781685" cy="413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A45648">
                                  <w:pPr>
                                    <w:rPr>
                                      <w:rFonts w:hint="default" w:eastAsia="宋体"/>
                                      <w:b/>
                                      <w:bCs/>
                                      <w:color w:val="FFFF00"/>
                                      <w:lang w:val="en-US" w:eastAsia="zh-CN"/>
                                    </w:rPr>
                                  </w:pPr>
                                  <w:r>
                                    <w:rPr>
                                      <w:rFonts w:hint="eastAsia"/>
                                      <w:b/>
                                      <w:bCs/>
                                      <w:color w:val="FFFF00"/>
                                      <w:lang w:val="en-US" w:eastAsia="zh-CN"/>
                                    </w:rPr>
                                    <w:t>双河-钼矿架空线路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15pt;margin-top:9.15pt;height:32.55pt;width:61.55pt;z-index:251663360;mso-width-relative:page;mso-height-relative:page;" filled="f" stroked="f" coordsize="21600,21600" o:gfxdata="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AZnH7aAAAACQEAAA8AAAAAAAAAAQAg&#10;AAAAIgAAAGRycy9kb3ducmV2LnhtbFBLAQIUABQAAAAIAIdO4kDo8p0HRQIAAHMEAAAOAAAAAAAA&#10;AAEAIAAAACkBAABkcnMvZTJvRG9jLnhtbFBLBQYAAAAABgAGAFkBAADgBQAAAAA=&#10;">
                      <v:fill on="f" focussize="0,0"/>
                      <v:stroke on="f" weight="0.5pt"/>
                      <v:imagedata o:title=""/>
                      <o:lock v:ext="edit" aspectratio="f"/>
                      <v:textbox>
                        <w:txbxContent>
                          <w:p w14:paraId="1BA45648">
                            <w:pPr>
                              <w:rPr>
                                <w:rFonts w:hint="default" w:eastAsia="宋体"/>
                                <w:b/>
                                <w:bCs/>
                                <w:color w:val="FFFF00"/>
                                <w:lang w:val="en-US" w:eastAsia="zh-CN"/>
                              </w:rPr>
                            </w:pPr>
                            <w:r>
                              <w:rPr>
                                <w:rFonts w:hint="eastAsia"/>
                                <w:b/>
                                <w:bCs/>
                                <w:color w:val="FFFF00"/>
                                <w:lang w:val="en-US" w:eastAsia="zh-CN"/>
                              </w:rPr>
                              <w:t>双河-钼矿架空线路</w:t>
                            </w:r>
                          </w:p>
                        </w:txbxContent>
                      </v:textbox>
                    </v:shape>
                  </w:pict>
                </mc:Fallback>
              </mc:AlternateContent>
            </w:r>
            <w:r>
              <w:rPr>
                <w:sz w:val="20"/>
              </w:rPr>
              <mc:AlternateContent>
                <mc:Choice Requires="wps">
                  <w:drawing>
                    <wp:anchor distT="0" distB="0" distL="114300" distR="114300" simplePos="0" relativeHeight="251662336" behindDoc="0" locked="0" layoutInCell="1" allowOverlap="1">
                      <wp:simplePos x="0" y="0"/>
                      <wp:positionH relativeFrom="column">
                        <wp:posOffset>2667000</wp:posOffset>
                      </wp:positionH>
                      <wp:positionV relativeFrom="paragraph">
                        <wp:posOffset>528955</wp:posOffset>
                      </wp:positionV>
                      <wp:extent cx="67310" cy="247015"/>
                      <wp:effectExtent l="16510" t="1905" r="11430" b="17780"/>
                      <wp:wrapNone/>
                      <wp:docPr id="14" name="直接箭头连接符 14"/>
                      <wp:cNvGraphicFramePr/>
                      <a:graphic xmlns:a="http://schemas.openxmlformats.org/drawingml/2006/main">
                        <a:graphicData uri="http://schemas.microsoft.com/office/word/2010/wordprocessingShape">
                          <wps:wsp>
                            <wps:cNvCnPr/>
                            <wps:spPr>
                              <a:xfrm flipH="1">
                                <a:off x="0" y="0"/>
                                <a:ext cx="67310" cy="24701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10pt;margin-top:41.65pt;height:19.45pt;width:5.3pt;z-index:251662336;mso-width-relative:page;mso-height-relative:page;" filled="f" stroked="t" coordsize="21600,21600" o:gfxdata="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1fMt1QAAAAoBAAAPAAAAAAAAAAEAIAAAACIAAABkcnMv&#10;ZG93bnJldi54bWxQSwECFAAUAAAACACHTuJAGql4egYCAADaAwAADgAAAAAAAAABACAAAAAkAQAA&#10;ZHJzL2Uyb0RvYy54bWxQSwUGAAAAAAYABgBZAQAAnAUAAAAA&#10;">
                      <v:fill on="f" focussize="0,0"/>
                      <v:stroke weight="1pt" color="#FFFF00 [3204]" joinstyle="round" endarrow="block"/>
                      <v:imagedata o:title=""/>
                      <o:lock v:ext="edit" aspectratio="f"/>
                    </v:shape>
                  </w:pict>
                </mc:Fallback>
              </mc:AlternateContent>
            </w:r>
            <w:r>
              <w:rPr>
                <w:sz w:val="20"/>
              </w:rPr>
              <mc:AlternateContent>
                <mc:Choice Requires="wps">
                  <w:drawing>
                    <wp:anchor distT="0" distB="0" distL="114300" distR="114300" simplePos="0" relativeHeight="251660288" behindDoc="0" locked="0" layoutInCell="1" allowOverlap="1">
                      <wp:simplePos x="0" y="0"/>
                      <wp:positionH relativeFrom="column">
                        <wp:posOffset>3411855</wp:posOffset>
                      </wp:positionH>
                      <wp:positionV relativeFrom="paragraph">
                        <wp:posOffset>1417320</wp:posOffset>
                      </wp:positionV>
                      <wp:extent cx="238125" cy="258445"/>
                      <wp:effectExtent l="4445" t="0" r="5080" b="8255"/>
                      <wp:wrapNone/>
                      <wp:docPr id="13" name="直接箭头连接符 13"/>
                      <wp:cNvGraphicFramePr/>
                      <a:graphic xmlns:a="http://schemas.openxmlformats.org/drawingml/2006/main">
                        <a:graphicData uri="http://schemas.microsoft.com/office/word/2010/wordprocessingShape">
                          <wps:wsp>
                            <wps:cNvCnPr/>
                            <wps:spPr>
                              <a:xfrm flipV="1">
                                <a:off x="4438650" y="5739765"/>
                                <a:ext cx="238125" cy="258445"/>
                              </a:xfrm>
                              <a:prstGeom prst="straightConnector1">
                                <a:avLst/>
                              </a:prstGeom>
                              <a:ln w="12700">
                                <a:solidFill>
                                  <a:srgbClr val="FFFF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8.65pt;margin-top:111.6pt;height:20.35pt;width:18.75pt;z-index:251660288;mso-width-relative:page;mso-height-relative:page;" filled="f" stroked="t" coordsize="21600,21600" o:gfxdata="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su299kAAAALAQAADwAA&#10;AAAAAAABACAAAAAiAAAAZHJzL2Rvd25yZXYueG1sUEsBAhQAFAAAAAgAh07iQBq7dqYVAgAA5wMA&#10;AA4AAAAAAAAAAQAgAAAAKAEAAGRycy9lMm9Eb2MueG1sUEsFBgAAAAAGAAYAWQEAAK8FAAAAAA==&#10;">
                      <v:fill on="f" focussize="0,0"/>
                      <v:stroke weight="1pt" color="#FFFF00 [3204]" joinstyle="round" endarrow="block"/>
                      <v:imagedata o:title=""/>
                      <o:lock v:ext="edit" aspectratio="f"/>
                    </v:shape>
                  </w:pict>
                </mc:Fallback>
              </mc:AlternateContent>
            </w:r>
            <w:r>
              <w:drawing>
                <wp:inline distT="0" distB="0" distL="114300" distR="114300">
                  <wp:extent cx="5855970" cy="2929255"/>
                  <wp:effectExtent l="0" t="0" r="11430" b="4445"/>
                  <wp:docPr id="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8"/>
                          <pic:cNvPicPr>
                            <a:picLocks noChangeAspect="1"/>
                          </pic:cNvPicPr>
                        </pic:nvPicPr>
                        <pic:blipFill>
                          <a:blip r:embed="rId35"/>
                          <a:stretch>
                            <a:fillRect/>
                          </a:stretch>
                        </pic:blipFill>
                        <pic:spPr>
                          <a:xfrm>
                            <a:off x="0" y="0"/>
                            <a:ext cx="5855970" cy="2929255"/>
                          </a:xfrm>
                          <a:prstGeom prst="rect">
                            <a:avLst/>
                          </a:prstGeom>
                          <a:noFill/>
                          <a:ln>
                            <a:noFill/>
                          </a:ln>
                        </pic:spPr>
                      </pic:pic>
                    </a:graphicData>
                  </a:graphic>
                </wp:inline>
              </w:drawing>
            </w:r>
            <w:r>
              <w:rPr>
                <w:rFonts w:hint="eastAsia" w:cs="Times New Roman"/>
                <w:b/>
                <w:bCs/>
                <w:sz w:val="21"/>
                <w:szCs w:val="21"/>
                <w:lang w:val="en-US" w:eastAsia="zh-CN"/>
              </w:rPr>
              <w:t>图3-6  供水工程取水口与本工程相对位置示意图</w:t>
            </w:r>
          </w:p>
          <w:p w14:paraId="23AAAE30">
            <w:pPr>
              <w:keepNext w:val="0"/>
              <w:keepLines w:val="0"/>
              <w:pageBreakBefore w:val="0"/>
              <w:widowControl w:val="0"/>
              <w:numPr>
                <w:ilvl w:val="0"/>
                <w:numId w:val="0"/>
              </w:numPr>
              <w:kinsoku/>
              <w:wordWrap/>
              <w:overflowPunct/>
              <w:topLinePunct w:val="0"/>
              <w:autoSpaceDE/>
              <w:autoSpaceDN/>
              <w:bidi w:val="0"/>
              <w:adjustRightInd/>
              <w:snapToGrid/>
              <w:spacing w:before="0" w:beforeLines="0" w:line="360" w:lineRule="auto"/>
              <w:ind w:firstLine="480" w:firstLineChars="200"/>
              <w:jc w:val="left"/>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cs="Times New Roman"/>
                <w:sz w:val="24"/>
                <w:szCs w:val="24"/>
                <w:lang w:val="en-US" w:eastAsia="zh-CN"/>
              </w:rPr>
              <w:t>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生态环境</w:t>
            </w:r>
          </w:p>
          <w:p w14:paraId="7F20F07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sz w:val="24"/>
                <w:szCs w:val="24"/>
                <w:lang w:eastAsia="zh-CN"/>
              </w:rPr>
            </w:pPr>
            <w:r>
              <w:rPr>
                <w:rFonts w:hint="eastAsia" w:cs="Times New Roman"/>
                <w:sz w:val="24"/>
                <w:szCs w:val="24"/>
                <w:lang w:eastAsia="zh-CN"/>
              </w:rPr>
              <w:t>本工程</w:t>
            </w:r>
            <w:r>
              <w:rPr>
                <w:rFonts w:hint="default" w:ascii="Times New Roman" w:hAnsi="Times New Roman" w:eastAsia="宋体" w:cs="Times New Roman"/>
                <w:sz w:val="24"/>
                <w:szCs w:val="24"/>
              </w:rPr>
              <w:t>生态环境评价范围内不涉及国家公园、自然保护区、风景名胜区、世界文化和自然遗产地、海洋特别保护区、饮用水水源保护区等《建设项目环境影响评价分类管理名录（2021年版）》第三条（一）中的环境敏感区</w:t>
            </w:r>
            <w:r>
              <w:rPr>
                <w:rFonts w:hint="eastAsia" w:cs="Times New Roman"/>
                <w:sz w:val="24"/>
                <w:szCs w:val="24"/>
                <w:lang w:eastAsia="zh-CN"/>
              </w:rPr>
              <w:t>。</w:t>
            </w:r>
          </w:p>
          <w:p w14:paraId="5E3B86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sz w:val="24"/>
                <w:szCs w:val="24"/>
                <w:lang w:eastAsia="zh-CN"/>
              </w:rPr>
            </w:pPr>
          </w:p>
          <w:p w14:paraId="071F55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sz w:val="24"/>
                <w:szCs w:val="24"/>
                <w:lang w:eastAsia="zh-CN"/>
              </w:rPr>
            </w:pPr>
          </w:p>
          <w:p w14:paraId="0E7783D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cs="Times New Roman"/>
                <w:sz w:val="24"/>
                <w:szCs w:val="24"/>
                <w:lang w:eastAsia="zh-CN"/>
              </w:rPr>
            </w:pPr>
          </w:p>
        </w:tc>
      </w:tr>
      <w:tr w14:paraId="31649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1" w:hRule="atLeast"/>
          <w:jc w:val="center"/>
        </w:trPr>
        <w:tc>
          <w:tcPr>
            <w:tcW w:w="234" w:type="pct"/>
            <w:vAlign w:val="center"/>
          </w:tcPr>
          <w:p w14:paraId="0895953D">
            <w:pPr>
              <w:pStyle w:val="21"/>
              <w:ind w:firstLine="0" w:firstLineChars="0"/>
              <w:rPr>
                <w:b/>
                <w:bCs/>
                <w:sz w:val="24"/>
                <w:szCs w:val="24"/>
              </w:rPr>
            </w:pPr>
            <w:r>
              <w:rPr>
                <w:rFonts w:ascii="Times New Roman" w:hAnsi="Times New Roman"/>
                <w:b/>
                <w:szCs w:val="24"/>
              </w:rPr>
              <w:t>评价标准</w:t>
            </w:r>
          </w:p>
        </w:tc>
        <w:tc>
          <w:tcPr>
            <w:tcW w:w="4765" w:type="pct"/>
            <w:vAlign w:val="top"/>
          </w:tcPr>
          <w:p w14:paraId="017800A1">
            <w:pPr>
              <w:pStyle w:val="21"/>
              <w:spacing w:line="360" w:lineRule="auto"/>
              <w:ind w:left="0" w:leftChars="0" w:firstLine="0" w:firstLineChars="0"/>
              <w:rPr>
                <w:b/>
                <w:bCs/>
              </w:rPr>
            </w:pPr>
            <w:r>
              <w:rPr>
                <w:rFonts w:hint="eastAsia"/>
                <w:b/>
                <w:bCs/>
                <w:lang w:val="en-US" w:eastAsia="zh-CN"/>
              </w:rPr>
              <w:t>1、</w:t>
            </w:r>
            <w:r>
              <w:rPr>
                <w:b/>
                <w:bCs/>
              </w:rPr>
              <w:t>环境质量标准</w:t>
            </w:r>
          </w:p>
          <w:p w14:paraId="5C58CEC8">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96" w:firstLineChars="200"/>
              <w:textAlignment w:val="auto"/>
            </w:pPr>
            <w:r>
              <w:rPr>
                <w:rFonts w:hint="default" w:ascii="Times New Roman" w:hAnsi="Times New Roman"/>
                <w:lang w:eastAsia="zh-CN"/>
              </w:rPr>
              <w:t>（</w:t>
            </w:r>
            <w:r>
              <w:rPr>
                <w:rFonts w:hint="default" w:ascii="Times New Roman" w:hAnsi="Times New Roman"/>
                <w:lang w:val="en-US" w:eastAsia="zh-CN"/>
              </w:rPr>
              <w:t>1</w:t>
            </w:r>
            <w:r>
              <w:rPr>
                <w:rFonts w:hint="default" w:ascii="Times New Roman" w:hAnsi="Times New Roman"/>
                <w:lang w:eastAsia="zh-CN"/>
              </w:rPr>
              <w:t>）</w:t>
            </w:r>
            <w:r>
              <w:t>电磁环境</w:t>
            </w:r>
          </w:p>
          <w:p w14:paraId="1FFCDA5C">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96" w:firstLineChars="200"/>
              <w:jc w:val="both"/>
              <w:textAlignment w:val="auto"/>
              <w:rPr>
                <w:rFonts w:hint="default" w:ascii="Times New Roman" w:hAnsi="Times New Roman" w:cs="Times New Roman"/>
              </w:rPr>
            </w:pPr>
            <w:r>
              <w:rPr>
                <w:rFonts w:hint="default" w:ascii="Times New Roman" w:hAnsi="Times New Roman" w:cs="Times New Roman"/>
              </w:rPr>
              <w:t>工频电场、工频磁场执行《电磁环境控制限值》</w:t>
            </w:r>
            <w:r>
              <w:rPr>
                <w:rFonts w:hint="eastAsia" w:ascii="Times New Roman" w:hAnsi="Times New Roman" w:cs="Times New Roman"/>
                <w:lang w:eastAsia="zh-CN"/>
              </w:rPr>
              <w:t>（</w:t>
            </w:r>
            <w:r>
              <w:rPr>
                <w:rFonts w:hint="default" w:ascii="Times New Roman" w:hAnsi="Times New Roman" w:cs="Times New Roman"/>
              </w:rPr>
              <w:t>GB8702-2014</w:t>
            </w:r>
            <w:r>
              <w:rPr>
                <w:rFonts w:hint="eastAsia" w:ascii="Times New Roman" w:hAnsi="Times New Roman" w:cs="Times New Roman"/>
                <w:lang w:eastAsia="zh-CN"/>
              </w:rPr>
              <w:t>）的“</w:t>
            </w:r>
            <w:r>
              <w:rPr>
                <w:rFonts w:hint="default" w:ascii="Times New Roman" w:hAnsi="Times New Roman" w:cs="Times New Roman"/>
              </w:rPr>
              <w:t>表1</w:t>
            </w:r>
            <w:r>
              <w:rPr>
                <w:rFonts w:hint="eastAsia" w:ascii="Times New Roman" w:hAnsi="Times New Roman" w:cs="Times New Roman"/>
                <w:lang w:val="en-US" w:eastAsia="zh-CN"/>
              </w:rPr>
              <w:t xml:space="preserve"> 公众曝露控制限值</w:t>
            </w:r>
            <w:r>
              <w:rPr>
                <w:rFonts w:hint="eastAsia" w:ascii="Times New Roman" w:hAnsi="Times New Roman" w:cs="Times New Roman"/>
                <w:lang w:eastAsia="zh-CN"/>
              </w:rPr>
              <w:t>”中</w:t>
            </w:r>
            <w:r>
              <w:rPr>
                <w:rFonts w:hint="default" w:ascii="Times New Roman" w:hAnsi="Times New Roman" w:cs="Times New Roman"/>
              </w:rPr>
              <w:t>频率为50Hz所对应的</w:t>
            </w:r>
            <w:r>
              <w:rPr>
                <w:rFonts w:hint="eastAsia" w:ascii="Times New Roman" w:hAnsi="Times New Roman" w:cs="Times New Roman"/>
                <w:lang w:eastAsia="zh-CN"/>
              </w:rPr>
              <w:t>公众暴露区</w:t>
            </w:r>
            <w:r>
              <w:rPr>
                <w:rFonts w:hint="default" w:ascii="Times New Roman" w:hAnsi="Times New Roman" w:cs="Times New Roman"/>
                <w:bCs/>
                <w:color w:val="auto"/>
                <w:sz w:val="24"/>
              </w:rPr>
              <w:t>（</w:t>
            </w:r>
            <w:r>
              <w:rPr>
                <w:rFonts w:hint="eastAsia" w:ascii="Times New Roman" w:hAnsi="Times New Roman" w:cs="Times New Roman"/>
                <w:bCs/>
                <w:color w:val="auto"/>
                <w:sz w:val="24"/>
                <w:lang w:eastAsia="zh-CN"/>
              </w:rPr>
              <w:t>即</w:t>
            </w:r>
            <w:r>
              <w:rPr>
                <w:rFonts w:hint="default" w:ascii="Times New Roman" w:hAnsi="Times New Roman" w:cs="Times New Roman"/>
                <w:bCs/>
                <w:color w:val="auto"/>
                <w:sz w:val="24"/>
              </w:rPr>
              <w:t>住宅、学校、医院、办公楼、工厂等有公众居住、工作或学习的建筑物）工频电场强度控制限值为4000V/m</w:t>
            </w:r>
            <w:r>
              <w:rPr>
                <w:rFonts w:hint="eastAsia" w:cs="Times New Roman"/>
                <w:bCs/>
                <w:color w:val="auto"/>
                <w:sz w:val="24"/>
                <w:lang w:eastAsia="zh-CN"/>
              </w:rPr>
              <w:t>，</w:t>
            </w:r>
            <w:r>
              <w:rPr>
                <w:rFonts w:hint="default" w:ascii="Times New Roman" w:hAnsi="Times New Roman" w:cs="Times New Roman"/>
                <w:bCs/>
                <w:color w:val="auto"/>
                <w:sz w:val="24"/>
              </w:rPr>
              <w:t>磁感应强度控制限值为100μT</w:t>
            </w:r>
            <w:r>
              <w:rPr>
                <w:rFonts w:hint="default" w:ascii="Times New Roman" w:hAnsi="Times New Roman" w:cs="Times New Roman"/>
                <w:lang w:val="en-US" w:eastAsia="zh-CN"/>
              </w:rPr>
              <w:t>；架空输电线路线下的耕地、园地、牧草地、畜禽饲养地、养殖水面、道路等场所，其频率50Hz的电场强度控制限值为10kV/m，且应给出警示和防护指示标志。</w:t>
            </w:r>
          </w:p>
          <w:p w14:paraId="55D51796">
            <w:pPr>
              <w:pStyle w:val="21"/>
              <w:keepNext w:val="0"/>
              <w:keepLines w:val="0"/>
              <w:pageBreakBefore w:val="0"/>
              <w:widowControl w:val="0"/>
              <w:kinsoku/>
              <w:wordWrap/>
              <w:overflowPunct/>
              <w:topLinePunct w:val="0"/>
              <w:autoSpaceDE/>
              <w:autoSpaceDN/>
              <w:bidi w:val="0"/>
              <w:adjustRightInd/>
              <w:snapToGrid/>
              <w:spacing w:before="0" w:line="360" w:lineRule="auto"/>
              <w:ind w:left="0" w:leftChars="0" w:firstLine="496" w:firstLineChars="200"/>
              <w:textAlignment w:val="auto"/>
              <w:rPr>
                <w:rFonts w:hint="default" w:ascii="Times New Roman" w:hAnsi="Times New Roman" w:cs="Times New Roman"/>
              </w:rPr>
            </w:pPr>
            <w:r>
              <w:rPr>
                <w:rFonts w:hint="default" w:ascii="Times New Roman" w:hAnsi="Times New Roman" w:cs="Times New Roman"/>
                <w:lang w:eastAsia="zh-CN"/>
              </w:rPr>
              <w:t>（</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t>声环境</w:t>
            </w:r>
          </w:p>
          <w:p w14:paraId="7A93AB11">
            <w:pPr>
              <w:pStyle w:val="21"/>
              <w:keepNext w:val="0"/>
              <w:keepLines w:val="0"/>
              <w:pageBreakBefore w:val="0"/>
              <w:widowControl w:val="0"/>
              <w:kinsoku/>
              <w:wordWrap/>
              <w:overflowPunct/>
              <w:topLinePunct w:val="0"/>
              <w:autoSpaceDE/>
              <w:autoSpaceDN/>
              <w:bidi w:val="0"/>
              <w:adjustRightInd/>
              <w:snapToGrid/>
              <w:spacing w:before="0" w:line="360" w:lineRule="auto"/>
              <w:ind w:firstLine="496" w:firstLineChars="200"/>
              <w:textAlignment w:val="auto"/>
              <w:rPr>
                <w:rFonts w:hint="eastAsia" w:ascii="Times New Roman" w:hAnsi="Times New Roman" w:cs="Times New Roman"/>
                <w:lang w:eastAsia="zh-CN"/>
              </w:rPr>
            </w:pPr>
            <w:r>
              <w:rPr>
                <w:rFonts w:hint="eastAsia" w:ascii="Times New Roman" w:hAnsi="Times New Roman" w:cs="Times New Roman"/>
                <w:lang w:val="en-US" w:eastAsia="zh-CN"/>
              </w:rPr>
              <w:t>拟建金沙钼矿110kV变电站厂界四周噪声执行《声环境质量标准》（GB3096-2008）中2类标准；变电站声环境影响范围内的声环境保护目标执行《声环境质量标准》（GB3096-2008）中1类标准。输电线路位于以居民住宅、医疗卫生、文化教育、科研设计、行政办公为主要功能的需要保持安静的区域，执行《声环境质量标准》（GB3096-2008）1类标准。</w:t>
            </w:r>
            <w:r>
              <w:rPr>
                <w:rFonts w:hint="default" w:ascii="Times New Roman" w:hAnsi="Times New Roman" w:cs="Times New Roman"/>
              </w:rPr>
              <w:t>具体标准值见</w:t>
            </w:r>
            <w:r>
              <w:rPr>
                <w:rFonts w:hint="eastAsia" w:ascii="Times New Roman" w:hAnsi="Times New Roman" w:cs="Times New Roman"/>
                <w:lang w:val="en-US" w:eastAsia="zh-CN"/>
              </w:rPr>
              <w:t>下表</w:t>
            </w:r>
            <w:r>
              <w:rPr>
                <w:rFonts w:hint="default" w:ascii="Times New Roman" w:hAnsi="Times New Roman" w:cs="Times New Roman"/>
              </w:rPr>
              <w:t>。</w:t>
            </w:r>
          </w:p>
          <w:p w14:paraId="33266438">
            <w:pPr>
              <w:pStyle w:val="21"/>
              <w:keepNext w:val="0"/>
              <w:keepLines w:val="0"/>
              <w:pageBreakBefore w:val="0"/>
              <w:widowControl w:val="0"/>
              <w:kinsoku/>
              <w:wordWrap/>
              <w:overflowPunct/>
              <w:topLinePunct w:val="0"/>
              <w:autoSpaceDE/>
              <w:autoSpaceDN/>
              <w:bidi w:val="0"/>
              <w:adjustRightInd/>
              <w:snapToGrid/>
              <w:spacing w:before="0" w:line="240" w:lineRule="auto"/>
              <w:ind w:left="0" w:leftChars="0" w:firstLine="0" w:firstLineChars="0"/>
              <w:jc w:val="center"/>
              <w:textAlignment w:val="auto"/>
              <w:rPr>
                <w:rFonts w:hint="default"/>
                <w:sz w:val="20"/>
                <w:szCs w:val="15"/>
                <w:vertAlign w:val="baseline"/>
                <w:lang w:val="en-US"/>
              </w:rPr>
            </w:pPr>
            <w:r>
              <w:rPr>
                <w:rFonts w:hint="eastAsia" w:ascii="Times New Roman" w:hAnsi="Times New Roman" w:cs="Times New Roman"/>
                <w:b/>
                <w:bCs/>
                <w:sz w:val="20"/>
                <w:szCs w:val="15"/>
                <w:lang w:eastAsia="zh-CN"/>
              </w:rPr>
              <w:t>表3-</w:t>
            </w:r>
            <w:r>
              <w:rPr>
                <w:rFonts w:hint="eastAsia" w:ascii="Times New Roman" w:hAnsi="Times New Roman" w:cs="Times New Roman"/>
                <w:b/>
                <w:bCs/>
                <w:sz w:val="20"/>
                <w:szCs w:val="15"/>
                <w:lang w:val="en-US" w:eastAsia="zh-CN"/>
              </w:rPr>
              <w:t xml:space="preserve">9  </w:t>
            </w:r>
            <w:r>
              <w:rPr>
                <w:rFonts w:hint="eastAsia" w:ascii="Times New Roman" w:hAnsi="Times New Roman" w:cs="Times New Roman"/>
                <w:b/>
                <w:bCs/>
                <w:sz w:val="20"/>
                <w:szCs w:val="15"/>
                <w:lang w:eastAsia="zh-CN"/>
              </w:rPr>
              <w:t>声环境</w:t>
            </w:r>
            <w:r>
              <w:rPr>
                <w:rFonts w:hint="eastAsia" w:ascii="Times New Roman" w:hAnsi="Times New Roman" w:cs="Times New Roman"/>
                <w:b/>
                <w:bCs/>
                <w:sz w:val="20"/>
                <w:szCs w:val="15"/>
                <w:lang w:val="en-US" w:eastAsia="zh-CN"/>
              </w:rPr>
              <w:t>执行标准一览表</w:t>
            </w:r>
          </w:p>
          <w:tbl>
            <w:tblPr>
              <w:tblStyle w:val="38"/>
              <w:tblW w:w="4998" w:type="pct"/>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6"/>
              <w:gridCol w:w="1565"/>
              <w:gridCol w:w="1070"/>
              <w:gridCol w:w="1070"/>
              <w:gridCol w:w="2486"/>
            </w:tblGrid>
            <w:tr w14:paraId="78B68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59" w:type="pct"/>
                  <w:vMerge w:val="restart"/>
                  <w:vAlign w:val="center"/>
                </w:tcPr>
                <w:p w14:paraId="4509CAED">
                  <w:pPr>
                    <w:jc w:val="center"/>
                    <w:rPr>
                      <w:rFonts w:hint="default"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区域名称</w:t>
                  </w:r>
                </w:p>
              </w:tc>
              <w:tc>
                <w:tcPr>
                  <w:tcW w:w="844" w:type="pct"/>
                  <w:vMerge w:val="restart"/>
                  <w:vAlign w:val="center"/>
                </w:tcPr>
                <w:p w14:paraId="636104F3">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声环境功能区</w:t>
                  </w:r>
                </w:p>
              </w:tc>
              <w:tc>
                <w:tcPr>
                  <w:tcW w:w="1154" w:type="pct"/>
                  <w:gridSpan w:val="2"/>
                  <w:vAlign w:val="center"/>
                </w:tcPr>
                <w:p w14:paraId="48FABF9F">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标准值dB(A)</w:t>
                  </w:r>
                </w:p>
              </w:tc>
              <w:tc>
                <w:tcPr>
                  <w:tcW w:w="1341" w:type="pct"/>
                  <w:vMerge w:val="restart"/>
                  <w:vAlign w:val="center"/>
                </w:tcPr>
                <w:p w14:paraId="5FD8E2F5">
                  <w:pPr>
                    <w:jc w:val="center"/>
                    <w:rPr>
                      <w:rFonts w:hint="eastAsia"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rPr>
                    <w:t>标准</w:t>
                  </w:r>
                  <w:r>
                    <w:rPr>
                      <w:rFonts w:hint="eastAsia" w:ascii="Times New Roman" w:hAnsi="Times New Roman" w:eastAsia="宋体" w:cs="Times New Roman"/>
                      <w:b/>
                      <w:bCs/>
                      <w:sz w:val="21"/>
                      <w:szCs w:val="21"/>
                      <w:lang w:eastAsia="zh-CN"/>
                    </w:rPr>
                    <w:t>名称</w:t>
                  </w:r>
                </w:p>
              </w:tc>
            </w:tr>
            <w:tr w14:paraId="0392F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59" w:type="pct"/>
                  <w:vMerge w:val="continue"/>
                  <w:vAlign w:val="center"/>
                </w:tcPr>
                <w:p w14:paraId="75778045">
                  <w:pPr>
                    <w:jc w:val="center"/>
                    <w:rPr>
                      <w:rFonts w:hint="default" w:ascii="Times New Roman" w:hAnsi="Times New Roman" w:eastAsia="宋体" w:cs="Times New Roman"/>
                      <w:sz w:val="21"/>
                      <w:szCs w:val="21"/>
                    </w:rPr>
                  </w:pPr>
                </w:p>
              </w:tc>
              <w:tc>
                <w:tcPr>
                  <w:tcW w:w="844" w:type="pct"/>
                  <w:vMerge w:val="continue"/>
                  <w:vAlign w:val="center"/>
                </w:tcPr>
                <w:p w14:paraId="723C7DFF">
                  <w:pPr>
                    <w:jc w:val="center"/>
                    <w:rPr>
                      <w:rFonts w:hint="default" w:ascii="Times New Roman" w:hAnsi="Times New Roman" w:eastAsia="宋体" w:cs="Times New Roman"/>
                      <w:sz w:val="21"/>
                      <w:szCs w:val="21"/>
                    </w:rPr>
                  </w:pPr>
                </w:p>
              </w:tc>
              <w:tc>
                <w:tcPr>
                  <w:tcW w:w="577" w:type="pct"/>
                  <w:vAlign w:val="center"/>
                </w:tcPr>
                <w:p w14:paraId="6611C3D5">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昼间</w:t>
                  </w:r>
                </w:p>
              </w:tc>
              <w:tc>
                <w:tcPr>
                  <w:tcW w:w="577" w:type="pct"/>
                  <w:vAlign w:val="center"/>
                </w:tcPr>
                <w:p w14:paraId="75D22B87">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夜间</w:t>
                  </w:r>
                </w:p>
              </w:tc>
              <w:tc>
                <w:tcPr>
                  <w:tcW w:w="1341" w:type="pct"/>
                  <w:vMerge w:val="continue"/>
                  <w:vAlign w:val="center"/>
                </w:tcPr>
                <w:p w14:paraId="14216C01">
                  <w:pPr>
                    <w:jc w:val="center"/>
                    <w:rPr>
                      <w:rFonts w:hint="default" w:ascii="Times New Roman" w:hAnsi="Times New Roman" w:eastAsia="宋体" w:cs="Times New Roman"/>
                      <w:sz w:val="21"/>
                      <w:szCs w:val="21"/>
                    </w:rPr>
                  </w:pPr>
                </w:p>
              </w:tc>
            </w:tr>
            <w:tr w14:paraId="4659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1659" w:type="pct"/>
                  <w:vAlign w:val="center"/>
                </w:tcPr>
                <w:p w14:paraId="6CA021CB">
                  <w:pPr>
                    <w:jc w:val="center"/>
                    <w:rPr>
                      <w:rFonts w:hint="default" w:ascii="Times New Roman" w:hAnsi="Times New Roman" w:eastAsia="宋体" w:cs="Times New Roman"/>
                      <w:sz w:val="21"/>
                      <w:szCs w:val="21"/>
                      <w:lang w:val="en-US" w:eastAsia="zh-CN" w:bidi="ar-SA"/>
                    </w:rPr>
                  </w:pPr>
                  <w:r>
                    <w:rPr>
                      <w:rFonts w:hint="eastAsia" w:cs="Times New Roman"/>
                      <w:sz w:val="21"/>
                      <w:szCs w:val="21"/>
                      <w:lang w:val="en-US" w:eastAsia="zh-CN"/>
                    </w:rPr>
                    <w:t>变电站</w:t>
                  </w:r>
                  <w:r>
                    <w:rPr>
                      <w:rFonts w:hint="eastAsia" w:cs="Times New Roman"/>
                      <w:sz w:val="21"/>
                      <w:szCs w:val="21"/>
                      <w:lang w:eastAsia="zh-CN"/>
                    </w:rPr>
                    <w:t>东、南、</w:t>
                  </w:r>
                  <w:r>
                    <w:rPr>
                      <w:rFonts w:hint="eastAsia" w:cs="Times New Roman"/>
                      <w:sz w:val="21"/>
                      <w:szCs w:val="21"/>
                      <w:lang w:val="en-US" w:eastAsia="zh-CN"/>
                    </w:rPr>
                    <w:t>西、</w:t>
                  </w:r>
                  <w:r>
                    <w:rPr>
                      <w:rFonts w:hint="eastAsia" w:cs="Times New Roman"/>
                      <w:sz w:val="21"/>
                      <w:szCs w:val="21"/>
                      <w:lang w:eastAsia="zh-CN"/>
                    </w:rPr>
                    <w:t>北侧厂界</w:t>
                  </w:r>
                </w:p>
              </w:tc>
              <w:tc>
                <w:tcPr>
                  <w:tcW w:w="844" w:type="pct"/>
                  <w:vAlign w:val="center"/>
                </w:tcPr>
                <w:p w14:paraId="57DB3E39">
                  <w:pPr>
                    <w:jc w:val="center"/>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rPr>
                    <w:t>类</w:t>
                  </w:r>
                </w:p>
              </w:tc>
              <w:tc>
                <w:tcPr>
                  <w:tcW w:w="577" w:type="pct"/>
                  <w:vAlign w:val="center"/>
                </w:tcPr>
                <w:p w14:paraId="124585DB">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60</w:t>
                  </w:r>
                </w:p>
              </w:tc>
              <w:tc>
                <w:tcPr>
                  <w:tcW w:w="577" w:type="pct"/>
                  <w:vAlign w:val="center"/>
                </w:tcPr>
                <w:p w14:paraId="3CF72F29">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50</w:t>
                  </w:r>
                </w:p>
              </w:tc>
              <w:tc>
                <w:tcPr>
                  <w:tcW w:w="1341" w:type="pct"/>
                  <w:vMerge w:val="restart"/>
                  <w:vAlign w:val="center"/>
                </w:tcPr>
                <w:p w14:paraId="549FAF2C">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《声环境质量标准》（GB3096-2008）</w:t>
                  </w:r>
                </w:p>
              </w:tc>
            </w:tr>
            <w:tr w14:paraId="101A5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1659" w:type="pct"/>
                  <w:vAlign w:val="center"/>
                </w:tcPr>
                <w:p w14:paraId="44D77F3B">
                  <w:pPr>
                    <w:jc w:val="center"/>
                    <w:rPr>
                      <w:rFonts w:hint="eastAsia" w:cs="Times New Roman"/>
                      <w:sz w:val="21"/>
                      <w:szCs w:val="21"/>
                      <w:lang w:val="en-US" w:eastAsia="zh-CN"/>
                    </w:rPr>
                  </w:pPr>
                  <w:r>
                    <w:rPr>
                      <w:rFonts w:hint="eastAsia" w:cs="Times New Roman"/>
                      <w:sz w:val="21"/>
                      <w:szCs w:val="21"/>
                      <w:lang w:val="en-US" w:eastAsia="zh-CN"/>
                    </w:rPr>
                    <w:t>站址周围声环境保护目标</w:t>
                  </w:r>
                </w:p>
              </w:tc>
              <w:tc>
                <w:tcPr>
                  <w:tcW w:w="1536" w:type="dxa"/>
                  <w:vAlign w:val="center"/>
                </w:tcPr>
                <w:p w14:paraId="43B0BCD1">
                  <w:pPr>
                    <w:jc w:val="center"/>
                    <w:rPr>
                      <w:rFonts w:hint="eastAsia" w:cs="Times New Roman"/>
                      <w:sz w:val="21"/>
                      <w:szCs w:val="21"/>
                      <w:lang w:val="en-US" w:eastAsia="zh-CN"/>
                    </w:rPr>
                  </w:pPr>
                  <w:r>
                    <w:rPr>
                      <w:rFonts w:hint="eastAsia" w:cs="Times New Roman"/>
                      <w:sz w:val="21"/>
                      <w:szCs w:val="21"/>
                      <w:lang w:val="en-US" w:eastAsia="zh-CN"/>
                    </w:rPr>
                    <w:t>1</w:t>
                  </w:r>
                  <w:r>
                    <w:rPr>
                      <w:rFonts w:hint="default" w:ascii="Times New Roman" w:hAnsi="Times New Roman" w:eastAsia="宋体" w:cs="Times New Roman"/>
                      <w:sz w:val="21"/>
                      <w:szCs w:val="21"/>
                    </w:rPr>
                    <w:t>类</w:t>
                  </w:r>
                </w:p>
              </w:tc>
              <w:tc>
                <w:tcPr>
                  <w:tcW w:w="1050" w:type="dxa"/>
                  <w:vAlign w:val="center"/>
                </w:tcPr>
                <w:p w14:paraId="49EDB69F">
                  <w:pPr>
                    <w:jc w:val="center"/>
                    <w:rPr>
                      <w:rFonts w:hint="eastAsia" w:cs="Times New Roman"/>
                      <w:sz w:val="21"/>
                      <w:szCs w:val="21"/>
                      <w:lang w:val="en-US" w:eastAsia="zh-CN"/>
                    </w:rPr>
                  </w:pPr>
                  <w:r>
                    <w:rPr>
                      <w:rFonts w:hint="eastAsia" w:cs="Times New Roman"/>
                      <w:sz w:val="21"/>
                      <w:szCs w:val="21"/>
                      <w:lang w:val="en-US" w:eastAsia="zh-CN"/>
                    </w:rPr>
                    <w:t>55</w:t>
                  </w:r>
                </w:p>
              </w:tc>
              <w:tc>
                <w:tcPr>
                  <w:tcW w:w="1050" w:type="dxa"/>
                  <w:vAlign w:val="center"/>
                </w:tcPr>
                <w:p w14:paraId="3A94B308">
                  <w:pPr>
                    <w:jc w:val="center"/>
                    <w:rPr>
                      <w:rFonts w:hint="eastAsia" w:cs="Times New Roman"/>
                      <w:sz w:val="21"/>
                      <w:szCs w:val="21"/>
                      <w:lang w:val="en-US" w:eastAsia="zh-CN"/>
                    </w:rPr>
                  </w:pPr>
                  <w:r>
                    <w:rPr>
                      <w:rFonts w:hint="eastAsia" w:cs="Times New Roman"/>
                      <w:sz w:val="21"/>
                      <w:szCs w:val="21"/>
                      <w:lang w:val="en-US" w:eastAsia="zh-CN"/>
                    </w:rPr>
                    <w:t>45</w:t>
                  </w:r>
                </w:p>
              </w:tc>
              <w:tc>
                <w:tcPr>
                  <w:tcW w:w="1341" w:type="pct"/>
                  <w:vMerge w:val="continue"/>
                  <w:vAlign w:val="center"/>
                </w:tcPr>
                <w:p w14:paraId="2C593A11">
                  <w:pPr>
                    <w:jc w:val="center"/>
                    <w:rPr>
                      <w:rFonts w:hint="default" w:ascii="Times New Roman" w:hAnsi="Times New Roman" w:eastAsia="宋体" w:cs="Times New Roman"/>
                      <w:sz w:val="21"/>
                      <w:szCs w:val="21"/>
                    </w:rPr>
                  </w:pPr>
                </w:p>
              </w:tc>
            </w:tr>
            <w:tr w14:paraId="4C88B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trPr>
              <w:tc>
                <w:tcPr>
                  <w:tcW w:w="1659" w:type="pct"/>
                  <w:vAlign w:val="center"/>
                </w:tcPr>
                <w:p w14:paraId="4E9A926F">
                  <w:pPr>
                    <w:jc w:val="center"/>
                    <w:rPr>
                      <w:rFonts w:hint="default" w:ascii="Times New Roman" w:hAnsi="Times New Roman" w:eastAsia="宋体" w:cs="Times New Roman"/>
                      <w:sz w:val="21"/>
                      <w:szCs w:val="21"/>
                      <w:lang w:val="en-US"/>
                    </w:rPr>
                  </w:pPr>
                  <w:r>
                    <w:rPr>
                      <w:rFonts w:hint="eastAsia" w:ascii="Times New Roman" w:hAnsi="Times New Roman" w:cs="Times New Roman"/>
                      <w:lang w:val="en-US" w:eastAsia="zh-CN"/>
                    </w:rPr>
                    <w:t>输电线路周围</w:t>
                  </w:r>
                  <w:r>
                    <w:rPr>
                      <w:rFonts w:hint="eastAsia" w:cs="Times New Roman"/>
                      <w:sz w:val="21"/>
                      <w:szCs w:val="21"/>
                      <w:lang w:val="en-US" w:eastAsia="zh-CN"/>
                    </w:rPr>
                    <w:t>声环境保护目标</w:t>
                  </w:r>
                </w:p>
              </w:tc>
              <w:tc>
                <w:tcPr>
                  <w:tcW w:w="844" w:type="pct"/>
                  <w:vAlign w:val="center"/>
                </w:tcPr>
                <w:p w14:paraId="4974E561">
                  <w:pPr>
                    <w:jc w:val="center"/>
                    <w:rPr>
                      <w:rFonts w:hint="default" w:ascii="Times New Roman" w:hAnsi="Times New Roman" w:eastAsia="宋体" w:cs="Times New Roman"/>
                      <w:sz w:val="21"/>
                      <w:szCs w:val="21"/>
                    </w:rPr>
                  </w:pPr>
                  <w:r>
                    <w:rPr>
                      <w:rFonts w:hint="eastAsia" w:cs="Times New Roman"/>
                      <w:sz w:val="21"/>
                      <w:szCs w:val="21"/>
                      <w:lang w:val="en-US" w:eastAsia="zh-CN"/>
                    </w:rPr>
                    <w:t>1</w:t>
                  </w:r>
                  <w:r>
                    <w:rPr>
                      <w:rFonts w:hint="default" w:ascii="Times New Roman" w:hAnsi="Times New Roman" w:eastAsia="宋体" w:cs="Times New Roman"/>
                      <w:sz w:val="21"/>
                      <w:szCs w:val="21"/>
                    </w:rPr>
                    <w:t>类</w:t>
                  </w:r>
                </w:p>
              </w:tc>
              <w:tc>
                <w:tcPr>
                  <w:tcW w:w="577" w:type="pct"/>
                  <w:vAlign w:val="center"/>
                </w:tcPr>
                <w:p w14:paraId="4F15DF68">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577" w:type="pct"/>
                  <w:vAlign w:val="center"/>
                </w:tcPr>
                <w:p w14:paraId="53D147D3">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w:t>
                  </w:r>
                </w:p>
              </w:tc>
              <w:tc>
                <w:tcPr>
                  <w:tcW w:w="1341" w:type="pct"/>
                  <w:vMerge w:val="continue"/>
                  <w:vAlign w:val="center"/>
                </w:tcPr>
                <w:p w14:paraId="340A3E4D">
                  <w:pPr>
                    <w:jc w:val="center"/>
                    <w:rPr>
                      <w:rFonts w:hint="default" w:ascii="Times New Roman" w:hAnsi="Times New Roman" w:eastAsia="宋体" w:cs="Times New Roman"/>
                      <w:sz w:val="21"/>
                      <w:szCs w:val="21"/>
                    </w:rPr>
                  </w:pPr>
                </w:p>
              </w:tc>
            </w:tr>
          </w:tbl>
          <w:p w14:paraId="2979A1A4">
            <w:pPr>
              <w:pStyle w:val="21"/>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firstLine="0" w:firstLineChars="0"/>
              <w:jc w:val="both"/>
              <w:textAlignment w:val="auto"/>
              <w:rPr>
                <w:b/>
                <w:bCs/>
              </w:rPr>
            </w:pPr>
            <w:r>
              <w:rPr>
                <w:rFonts w:hint="eastAsia"/>
                <w:b/>
                <w:bCs/>
                <w:lang w:val="en-US" w:eastAsia="zh-CN"/>
              </w:rPr>
              <w:t>2、</w:t>
            </w:r>
            <w:r>
              <w:rPr>
                <w:b/>
                <w:bCs/>
              </w:rPr>
              <w:t>污染排放标准</w:t>
            </w:r>
          </w:p>
          <w:p w14:paraId="5349FF91">
            <w:pPr>
              <w:tabs>
                <w:tab w:val="left" w:pos="2117"/>
              </w:tabs>
              <w:spacing w:line="360" w:lineRule="auto"/>
              <w:ind w:firstLine="480" w:firstLineChars="200"/>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1</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废水</w:t>
            </w:r>
          </w:p>
          <w:p w14:paraId="5AD7CBC7">
            <w:pPr>
              <w:spacing w:line="360" w:lineRule="auto"/>
              <w:ind w:firstLine="480" w:firstLineChars="200"/>
              <w:rPr>
                <w:rFonts w:hint="default" w:cs="Times New Roman"/>
                <w:b w:val="0"/>
                <w:bCs/>
                <w:sz w:val="24"/>
                <w:szCs w:val="24"/>
                <w:lang w:val="en-US" w:eastAsia="zh-CN"/>
              </w:rPr>
            </w:pPr>
            <w:r>
              <w:rPr>
                <w:rFonts w:hint="default" w:ascii="Times New Roman" w:hAnsi="Times New Roman" w:eastAsia="宋体" w:cs="Times New Roman"/>
                <w:color w:val="auto"/>
                <w:sz w:val="24"/>
                <w:szCs w:val="24"/>
              </w:rPr>
              <w:t>运营期项目区</w:t>
            </w:r>
            <w:r>
              <w:rPr>
                <w:rFonts w:hint="eastAsia" w:cs="Times New Roman"/>
                <w:b w:val="0"/>
                <w:bCs/>
                <w:sz w:val="24"/>
                <w:szCs w:val="24"/>
                <w:lang w:eastAsia="zh-CN"/>
              </w:rPr>
              <w:t>仅有生活污水</w:t>
            </w:r>
            <w:r>
              <w:rPr>
                <w:rFonts w:hint="eastAsia" w:cs="Times New Roman"/>
                <w:b w:val="0"/>
                <w:bCs/>
                <w:sz w:val="24"/>
                <w:szCs w:val="24"/>
                <w:lang w:val="en-US" w:eastAsia="zh-CN"/>
              </w:rPr>
              <w:t>产生</w:t>
            </w:r>
            <w:r>
              <w:rPr>
                <w:rFonts w:hint="eastAsia" w:cs="Times New Roman"/>
                <w:b w:val="0"/>
                <w:bCs/>
                <w:sz w:val="24"/>
                <w:szCs w:val="24"/>
                <w:lang w:eastAsia="zh-CN"/>
              </w:rPr>
              <w:t>，</w:t>
            </w:r>
            <w:r>
              <w:rPr>
                <w:rFonts w:hint="eastAsia" w:cs="Times New Roman"/>
                <w:b w:val="0"/>
                <w:bCs/>
                <w:sz w:val="24"/>
                <w:szCs w:val="24"/>
                <w:lang w:val="en-US" w:eastAsia="zh-CN"/>
              </w:rPr>
              <w:t>生活污水经化粪池收集后排入厂区生活排水管道，最终排入矿区内地埋式生活污水处理装置（生物接触氧化+砂滤+消毒工艺）收集处理后泵至选矿生产，地埋式生活污水处理装置位于变电站西侧，依托具有可行性。</w:t>
            </w:r>
          </w:p>
          <w:p w14:paraId="7D936DC2">
            <w:pPr>
              <w:spacing w:line="360" w:lineRule="auto"/>
              <w:ind w:firstLine="480" w:firstLineChars="200"/>
              <w:rPr>
                <w:rFonts w:hint="default" w:ascii="Times New Roman" w:hAnsi="Times New Roman" w:eastAsia="宋体" w:cs="宋体"/>
                <w:color w:val="000000"/>
                <w:kern w:val="0"/>
                <w:sz w:val="24"/>
                <w:szCs w:val="24"/>
                <w:lang w:val="en-US" w:eastAsia="zh-CN" w:bidi="ar-SA"/>
              </w:rPr>
            </w:pPr>
            <w:r>
              <w:rPr>
                <w:rFonts w:hint="eastAsia" w:cs="宋体"/>
                <w:color w:val="000000"/>
                <w:kern w:val="0"/>
                <w:sz w:val="24"/>
                <w:szCs w:val="24"/>
                <w:lang w:val="en-US" w:eastAsia="zh-CN" w:bidi="ar-SA"/>
              </w:rPr>
              <w:t>（2）废气</w:t>
            </w:r>
          </w:p>
          <w:p w14:paraId="2F53E20F">
            <w:pPr>
              <w:spacing w:line="360" w:lineRule="auto"/>
              <w:ind w:firstLine="480" w:firstLineChars="200"/>
              <w:rPr>
                <w:rFonts w:hint="eastAsia" w:cs="宋体"/>
                <w:color w:val="000000"/>
                <w:kern w:val="0"/>
                <w:sz w:val="24"/>
                <w:szCs w:val="24"/>
                <w:lang w:val="en-US" w:eastAsia="zh-CN" w:bidi="ar-SA"/>
              </w:rPr>
            </w:pPr>
            <w:r>
              <w:rPr>
                <w:rFonts w:hint="eastAsia" w:cs="宋体"/>
                <w:color w:val="000000"/>
                <w:kern w:val="0"/>
                <w:sz w:val="24"/>
                <w:szCs w:val="24"/>
                <w:lang w:val="en-US" w:eastAsia="zh-CN" w:bidi="ar-SA"/>
              </w:rPr>
              <w:t>本工程施工期内仅有颗粒物废气产生，施工期废气执行《施工场地颗粒物排放标准》（DB34/4811-2024）中相关要求。</w:t>
            </w:r>
          </w:p>
          <w:p w14:paraId="7D636CCA">
            <w:pPr>
              <w:pStyle w:val="54"/>
              <w:jc w:val="center"/>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b/>
                <w:color w:val="auto"/>
                <w:spacing w:val="2"/>
                <w:sz w:val="21"/>
                <w:szCs w:val="18"/>
              </w:rPr>
              <w:t>表</w:t>
            </w:r>
            <w:r>
              <w:rPr>
                <w:rFonts w:hint="default" w:ascii="Times New Roman" w:hAnsi="Times New Roman" w:eastAsia="宋体" w:cs="Times New Roman"/>
                <w:b/>
                <w:color w:val="auto"/>
                <w:spacing w:val="2"/>
                <w:sz w:val="21"/>
                <w:szCs w:val="18"/>
                <w:lang w:val="en-US" w:eastAsia="zh-CN"/>
              </w:rPr>
              <w:t>3-</w:t>
            </w:r>
            <w:r>
              <w:rPr>
                <w:rFonts w:hint="eastAsia" w:ascii="Times New Roman" w:eastAsia="宋体" w:cs="Times New Roman"/>
                <w:b/>
                <w:color w:val="auto"/>
                <w:spacing w:val="2"/>
                <w:sz w:val="21"/>
                <w:szCs w:val="18"/>
                <w:lang w:val="en-US" w:eastAsia="zh-CN"/>
              </w:rPr>
              <w:t>10</w:t>
            </w:r>
            <w:r>
              <w:rPr>
                <w:rFonts w:hint="default" w:ascii="Times New Roman" w:hAnsi="Times New Roman" w:eastAsia="宋体" w:cs="Times New Roman"/>
                <w:b/>
                <w:color w:val="auto"/>
                <w:spacing w:val="2"/>
                <w:sz w:val="21"/>
                <w:szCs w:val="18"/>
                <w:lang w:val="en-US" w:eastAsia="zh-CN"/>
              </w:rPr>
              <w:t xml:space="preserve">  </w:t>
            </w:r>
            <w:r>
              <w:rPr>
                <w:rFonts w:hint="default" w:ascii="Times New Roman" w:hAnsi="Times New Roman" w:eastAsia="宋体" w:cs="Times New Roman"/>
                <w:b/>
                <w:color w:val="auto"/>
                <w:spacing w:val="2"/>
                <w:sz w:val="21"/>
                <w:szCs w:val="18"/>
              </w:rPr>
              <w:t>项目</w:t>
            </w:r>
            <w:r>
              <w:rPr>
                <w:rFonts w:hint="eastAsia" w:ascii="Times New Roman" w:hAnsi="Times New Roman" w:eastAsia="宋体" w:cs="Times New Roman"/>
                <w:b/>
                <w:color w:val="auto"/>
                <w:spacing w:val="2"/>
                <w:sz w:val="21"/>
                <w:szCs w:val="18"/>
                <w:lang w:val="en-US" w:eastAsia="zh-CN"/>
              </w:rPr>
              <w:t>施工期废气</w:t>
            </w:r>
            <w:r>
              <w:rPr>
                <w:rFonts w:hint="default" w:ascii="Times New Roman" w:hAnsi="Times New Roman" w:eastAsia="宋体" w:cs="Times New Roman"/>
                <w:b/>
                <w:color w:val="auto"/>
                <w:spacing w:val="2"/>
                <w:sz w:val="21"/>
                <w:szCs w:val="18"/>
              </w:rPr>
              <w:t>排放标准</w:t>
            </w:r>
            <w:r>
              <w:rPr>
                <w:rFonts w:hint="default" w:ascii="Times New Roman" w:hAnsi="Times New Roman" w:eastAsia="宋体" w:cs="Times New Roman"/>
                <w:b/>
                <w:color w:val="auto"/>
                <w:spacing w:val="2"/>
                <w:sz w:val="21"/>
                <w:szCs w:val="18"/>
                <w:lang w:val="en-US" w:eastAsia="zh-CN"/>
              </w:rPr>
              <w:t>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7"/>
              <w:gridCol w:w="2318"/>
              <w:gridCol w:w="2318"/>
              <w:gridCol w:w="2318"/>
            </w:tblGrid>
            <w:tr w14:paraId="4933F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4" w:type="dxa"/>
                  <w:vAlign w:val="center"/>
                </w:tcPr>
                <w:p w14:paraId="761AEFF9">
                  <w:pPr>
                    <w:pStyle w:val="54"/>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控制项目</w:t>
                  </w:r>
                </w:p>
              </w:tc>
              <w:tc>
                <w:tcPr>
                  <w:tcW w:w="2274" w:type="dxa"/>
                  <w:vAlign w:val="center"/>
                </w:tcPr>
                <w:p w14:paraId="03C14048">
                  <w:pPr>
                    <w:pStyle w:val="54"/>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单位</w:t>
                  </w:r>
                </w:p>
              </w:tc>
              <w:tc>
                <w:tcPr>
                  <w:tcW w:w="2274" w:type="dxa"/>
                  <w:vAlign w:val="center"/>
                </w:tcPr>
                <w:p w14:paraId="02729C7D">
                  <w:pPr>
                    <w:pStyle w:val="54"/>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监测点浓度限值</w:t>
                  </w:r>
                </w:p>
              </w:tc>
              <w:tc>
                <w:tcPr>
                  <w:tcW w:w="2274" w:type="dxa"/>
                  <w:vAlign w:val="center"/>
                </w:tcPr>
                <w:p w14:paraId="64EBE99E">
                  <w:pPr>
                    <w:pStyle w:val="54"/>
                    <w:jc w:val="center"/>
                    <w:rPr>
                      <w:rFonts w:hint="default" w:ascii="Times New Roman" w:hAnsi="Times New Roman" w:eastAsia="宋体" w:cs="Times New Roman"/>
                      <w:b/>
                      <w:bCs/>
                      <w:sz w:val="21"/>
                      <w:szCs w:val="21"/>
                      <w:vertAlign w:val="baseline"/>
                      <w:lang w:val="en-US" w:eastAsia="zh-CN"/>
                    </w:rPr>
                  </w:pPr>
                  <w:r>
                    <w:rPr>
                      <w:rFonts w:hint="eastAsia" w:ascii="Times New Roman" w:hAnsi="Times New Roman" w:eastAsia="宋体" w:cs="Times New Roman"/>
                      <w:b/>
                      <w:bCs/>
                      <w:sz w:val="21"/>
                      <w:szCs w:val="21"/>
                      <w:vertAlign w:val="baseline"/>
                      <w:lang w:val="en-US" w:eastAsia="zh-CN"/>
                    </w:rPr>
                    <w:t>达标判定依据</w:t>
                  </w:r>
                </w:p>
              </w:tc>
            </w:tr>
            <w:tr w14:paraId="5CEB7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4" w:type="dxa"/>
                  <w:vMerge w:val="restart"/>
                  <w:vAlign w:val="center"/>
                </w:tcPr>
                <w:p w14:paraId="3C4F168D">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TSP</w:t>
                  </w:r>
                </w:p>
              </w:tc>
              <w:tc>
                <w:tcPr>
                  <w:tcW w:w="2274" w:type="dxa"/>
                  <w:vMerge w:val="restart"/>
                  <w:vAlign w:val="center"/>
                </w:tcPr>
                <w:p w14:paraId="33CB7442">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ug/m</w:t>
                  </w:r>
                  <w:r>
                    <w:rPr>
                      <w:rFonts w:hint="eastAsia" w:ascii="Times New Roman" w:hAnsi="Times New Roman" w:eastAsia="宋体" w:cs="Times New Roman"/>
                      <w:sz w:val="21"/>
                      <w:szCs w:val="21"/>
                      <w:vertAlign w:val="superscript"/>
                      <w:lang w:val="en-US" w:eastAsia="zh-CN"/>
                    </w:rPr>
                    <w:t>3</w:t>
                  </w:r>
                </w:p>
              </w:tc>
              <w:tc>
                <w:tcPr>
                  <w:tcW w:w="2274" w:type="dxa"/>
                  <w:vAlign w:val="center"/>
                </w:tcPr>
                <w:p w14:paraId="54ED4EF0">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1000</w:t>
                  </w:r>
                </w:p>
              </w:tc>
              <w:tc>
                <w:tcPr>
                  <w:tcW w:w="2274" w:type="dxa"/>
                  <w:vAlign w:val="center"/>
                </w:tcPr>
                <w:p w14:paraId="7C7F27F8">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超标次数≤1次/日</w:t>
                  </w:r>
                </w:p>
              </w:tc>
            </w:tr>
            <w:tr w14:paraId="4D09A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4" w:type="dxa"/>
                  <w:vMerge w:val="continue"/>
                  <w:vAlign w:val="center"/>
                </w:tcPr>
                <w:p w14:paraId="03C63038">
                  <w:pPr>
                    <w:pStyle w:val="54"/>
                    <w:jc w:val="center"/>
                    <w:rPr>
                      <w:rFonts w:hint="default" w:ascii="Times New Roman" w:hAnsi="Times New Roman" w:eastAsia="宋体" w:cs="Times New Roman"/>
                      <w:sz w:val="21"/>
                      <w:szCs w:val="21"/>
                      <w:vertAlign w:val="baseline"/>
                      <w:lang w:val="en-US" w:eastAsia="zh-CN"/>
                    </w:rPr>
                  </w:pPr>
                </w:p>
              </w:tc>
              <w:tc>
                <w:tcPr>
                  <w:tcW w:w="2274" w:type="dxa"/>
                  <w:vMerge w:val="continue"/>
                  <w:vAlign w:val="center"/>
                </w:tcPr>
                <w:p w14:paraId="554468C0">
                  <w:pPr>
                    <w:pStyle w:val="54"/>
                    <w:jc w:val="center"/>
                    <w:rPr>
                      <w:rFonts w:hint="default" w:ascii="Times New Roman" w:hAnsi="Times New Roman" w:eastAsia="宋体" w:cs="Times New Roman"/>
                      <w:sz w:val="21"/>
                      <w:szCs w:val="21"/>
                      <w:vertAlign w:val="baseline"/>
                      <w:lang w:val="en-US" w:eastAsia="zh-CN"/>
                    </w:rPr>
                  </w:pPr>
                </w:p>
              </w:tc>
              <w:tc>
                <w:tcPr>
                  <w:tcW w:w="2274" w:type="dxa"/>
                  <w:vAlign w:val="center"/>
                </w:tcPr>
                <w:p w14:paraId="3BF4C7B1">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500</w:t>
                  </w:r>
                </w:p>
              </w:tc>
              <w:tc>
                <w:tcPr>
                  <w:tcW w:w="2274" w:type="dxa"/>
                  <w:vAlign w:val="center"/>
                </w:tcPr>
                <w:p w14:paraId="752A4DFF">
                  <w:pPr>
                    <w:pStyle w:val="54"/>
                    <w:jc w:val="center"/>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sz w:val="21"/>
                      <w:szCs w:val="21"/>
                      <w:vertAlign w:val="baseline"/>
                      <w:lang w:val="en-US" w:eastAsia="zh-CN"/>
                    </w:rPr>
                    <w:t>超标次数≤6次/日</w:t>
                  </w:r>
                </w:p>
              </w:tc>
            </w:tr>
          </w:tbl>
          <w:p w14:paraId="651CE4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eastAsia"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噪声</w:t>
            </w:r>
          </w:p>
          <w:p w14:paraId="48296B7D">
            <w:pPr>
              <w:spacing w:line="360" w:lineRule="auto"/>
              <w:ind w:firstLine="480" w:firstLineChars="200"/>
              <w:jc w:val="both"/>
              <w:rPr>
                <w:rFonts w:hint="default"/>
              </w:rPr>
            </w:pPr>
            <w:r>
              <w:rPr>
                <w:rFonts w:hint="default" w:ascii="Times New Roman" w:hAnsi="Times New Roman" w:eastAsia="宋体" w:cs="Times New Roman"/>
                <w:sz w:val="24"/>
                <w:szCs w:val="24"/>
              </w:rPr>
              <w:t>项目施工期噪声执行《建筑施工噪声排放标准》（GB12523-20</w:t>
            </w:r>
            <w:r>
              <w:rPr>
                <w:rFonts w:hint="eastAsia" w:cs="Times New Roman"/>
                <w:sz w:val="24"/>
                <w:szCs w:val="24"/>
                <w:lang w:val="en-US" w:eastAsia="zh-CN"/>
              </w:rPr>
              <w:t>25</w:t>
            </w:r>
            <w:r>
              <w:rPr>
                <w:rFonts w:hint="default" w:ascii="Times New Roman" w:hAnsi="Times New Roman" w:eastAsia="宋体" w:cs="Times New Roman"/>
                <w:sz w:val="24"/>
                <w:szCs w:val="24"/>
              </w:rPr>
              <w:t>）标准要求；项目营运期厂界执行《工业企业厂界环境噪声排放标准》（GB12348-2008）中的2类标准</w:t>
            </w:r>
            <w:r>
              <w:rPr>
                <w:rFonts w:hint="eastAsia" w:cs="Times New Roman"/>
                <w:sz w:val="24"/>
                <w:szCs w:val="24"/>
                <w:lang w:eastAsia="zh-CN"/>
              </w:rPr>
              <w:t>；</w:t>
            </w:r>
            <w:r>
              <w:rPr>
                <w:rFonts w:hint="eastAsia" w:cs="Times New Roman"/>
                <w:sz w:val="24"/>
                <w:szCs w:val="24"/>
                <w:lang w:val="en-US" w:eastAsia="zh-CN"/>
              </w:rPr>
              <w:t>营运期厂界外敏感点执行《声环境质量标准》（GB3096-2008）1类标准</w:t>
            </w:r>
            <w:r>
              <w:rPr>
                <w:rFonts w:hint="default" w:ascii="Times New Roman" w:hAnsi="Times New Roman" w:eastAsia="宋体" w:cs="Times New Roman"/>
                <w:sz w:val="24"/>
                <w:szCs w:val="24"/>
              </w:rPr>
              <w:t>。</w:t>
            </w:r>
          </w:p>
          <w:p w14:paraId="5FDBE24B">
            <w:pPr>
              <w:spacing w:line="240" w:lineRule="auto"/>
              <w:jc w:val="center"/>
              <w:rPr>
                <w:sz w:val="21"/>
                <w:szCs w:val="21"/>
                <w:vertAlign w:val="baseline"/>
              </w:rPr>
            </w:pPr>
            <w:r>
              <w:rPr>
                <w:rFonts w:hint="default" w:ascii="Times New Roman" w:hAnsi="Times New Roman" w:eastAsia="宋体" w:cs="Times New Roman"/>
                <w:b/>
                <w:bCs/>
                <w:sz w:val="21"/>
                <w:szCs w:val="21"/>
              </w:rPr>
              <w:t>表3-</w:t>
            </w:r>
            <w:r>
              <w:rPr>
                <w:rFonts w:hint="eastAsia" w:cs="Times New Roman"/>
                <w:b/>
                <w:bCs/>
                <w:sz w:val="21"/>
                <w:szCs w:val="21"/>
                <w:lang w:val="en-US" w:eastAsia="zh-CN"/>
              </w:rPr>
              <w:t>11</w:t>
            </w:r>
            <w:r>
              <w:rPr>
                <w:rFonts w:hint="eastAsia"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rPr>
              <w:t>噪声排放执行标准     单位：Leq dB(A)</w:t>
            </w:r>
          </w:p>
          <w:tbl>
            <w:tblPr>
              <w:tblStyle w:val="38"/>
              <w:tblW w:w="5000" w:type="pct"/>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1"/>
              <w:gridCol w:w="983"/>
              <w:gridCol w:w="4443"/>
              <w:gridCol w:w="1501"/>
              <w:gridCol w:w="1503"/>
            </w:tblGrid>
            <w:tr w14:paraId="2AEF1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454" w:type="pct"/>
                  <w:vAlign w:val="center"/>
                </w:tcPr>
                <w:p w14:paraId="16263969">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种类</w:t>
                  </w:r>
                </w:p>
              </w:tc>
              <w:tc>
                <w:tcPr>
                  <w:tcW w:w="530" w:type="pct"/>
                  <w:vAlign w:val="center"/>
                </w:tcPr>
                <w:p w14:paraId="3445C12E">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时段</w:t>
                  </w:r>
                </w:p>
              </w:tc>
              <w:tc>
                <w:tcPr>
                  <w:tcW w:w="2395" w:type="pct"/>
                  <w:vAlign w:val="center"/>
                </w:tcPr>
                <w:p w14:paraId="5DAB6C78">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执行标准</w:t>
                  </w:r>
                </w:p>
              </w:tc>
              <w:tc>
                <w:tcPr>
                  <w:tcW w:w="809" w:type="pct"/>
                  <w:vAlign w:val="center"/>
                </w:tcPr>
                <w:p w14:paraId="661F129A">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昼间</w:t>
                  </w:r>
                </w:p>
              </w:tc>
              <w:tc>
                <w:tcPr>
                  <w:tcW w:w="810" w:type="pct"/>
                  <w:vAlign w:val="center"/>
                </w:tcPr>
                <w:p w14:paraId="1F104090">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夜间</w:t>
                  </w:r>
                </w:p>
              </w:tc>
            </w:tr>
            <w:tr w14:paraId="301A4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454" w:type="pct"/>
                  <w:vMerge w:val="restart"/>
                  <w:vAlign w:val="center"/>
                </w:tcPr>
                <w:p w14:paraId="44C18AF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530" w:type="pct"/>
                  <w:vAlign w:val="center"/>
                </w:tcPr>
                <w:p w14:paraId="63E8D629">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施工期</w:t>
                  </w:r>
                </w:p>
              </w:tc>
              <w:tc>
                <w:tcPr>
                  <w:tcW w:w="2395" w:type="pct"/>
                  <w:vAlign w:val="center"/>
                </w:tcPr>
                <w:p w14:paraId="0194AFAF">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r>
                    <w:rPr>
                      <w:rFonts w:hint="eastAsia" w:cs="Times New Roman"/>
                      <w:sz w:val="21"/>
                      <w:szCs w:val="21"/>
                      <w:lang w:eastAsia="zh-CN"/>
                    </w:rPr>
                    <w:t>建筑施工噪声排放标准</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eastAsia="zh-CN"/>
                    </w:rPr>
                    <w:t>（</w:t>
                  </w:r>
                  <w:r>
                    <w:rPr>
                      <w:rFonts w:hint="eastAsia" w:cs="Times New Roman"/>
                      <w:sz w:val="21"/>
                      <w:szCs w:val="21"/>
                      <w:lang w:eastAsia="zh-CN"/>
                    </w:rPr>
                    <w:t>GB12523-2025</w:t>
                  </w:r>
                  <w:r>
                    <w:rPr>
                      <w:rFonts w:hint="eastAsia" w:ascii="Times New Roman" w:hAnsi="Times New Roman" w:eastAsia="宋体" w:cs="Times New Roman"/>
                      <w:sz w:val="21"/>
                      <w:szCs w:val="21"/>
                      <w:lang w:eastAsia="zh-CN"/>
                    </w:rPr>
                    <w:t>）</w:t>
                  </w:r>
                </w:p>
              </w:tc>
              <w:tc>
                <w:tcPr>
                  <w:tcW w:w="809" w:type="pct"/>
                  <w:vAlign w:val="center"/>
                </w:tcPr>
                <w:p w14:paraId="3678FA1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70</w:t>
                  </w:r>
                </w:p>
              </w:tc>
              <w:tc>
                <w:tcPr>
                  <w:tcW w:w="810" w:type="pct"/>
                  <w:vAlign w:val="center"/>
                </w:tcPr>
                <w:p w14:paraId="43C5356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55</w:t>
                  </w:r>
                </w:p>
              </w:tc>
            </w:tr>
            <w:tr w14:paraId="48CF1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454" w:type="pct"/>
                  <w:vMerge w:val="continue"/>
                  <w:vAlign w:val="center"/>
                </w:tcPr>
                <w:p w14:paraId="585D9850">
                  <w:pPr>
                    <w:jc w:val="center"/>
                    <w:rPr>
                      <w:rFonts w:hint="default" w:ascii="Times New Roman" w:hAnsi="Times New Roman" w:eastAsia="宋体" w:cs="Times New Roman"/>
                      <w:sz w:val="21"/>
                      <w:szCs w:val="21"/>
                    </w:rPr>
                  </w:pPr>
                </w:p>
              </w:tc>
              <w:tc>
                <w:tcPr>
                  <w:tcW w:w="530" w:type="pct"/>
                  <w:vMerge w:val="restart"/>
                  <w:vAlign w:val="center"/>
                </w:tcPr>
                <w:p w14:paraId="0F27970B">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运营期</w:t>
                  </w:r>
                </w:p>
              </w:tc>
              <w:tc>
                <w:tcPr>
                  <w:tcW w:w="2395" w:type="pct"/>
                  <w:vAlign w:val="center"/>
                </w:tcPr>
                <w:p w14:paraId="1165A0EF">
                  <w:pPr>
                    <w:jc w:val="center"/>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《工业企业厂界环境噪声排放标准》</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GB12348-2008</w:t>
                  </w:r>
                  <w:r>
                    <w:rPr>
                      <w:rFonts w:hint="eastAsia" w:ascii="Times New Roman" w:hAnsi="Times New Roman" w:eastAsia="宋体" w:cs="Times New Roman"/>
                      <w:sz w:val="21"/>
                      <w:szCs w:val="21"/>
                      <w:lang w:eastAsia="zh-CN"/>
                    </w:rPr>
                    <w:t>）中</w:t>
                  </w:r>
                  <w:r>
                    <w:rPr>
                      <w:rFonts w:hint="default" w:ascii="Times New Roman" w:hAnsi="Times New Roman" w:eastAsia="宋体" w:cs="Times New Roman"/>
                      <w:sz w:val="21"/>
                      <w:szCs w:val="21"/>
                    </w:rPr>
                    <w:t>2类</w:t>
                  </w:r>
                  <w:r>
                    <w:rPr>
                      <w:rFonts w:hint="eastAsia" w:ascii="Times New Roman" w:hAnsi="Times New Roman" w:eastAsia="宋体" w:cs="Times New Roman"/>
                      <w:sz w:val="21"/>
                      <w:szCs w:val="21"/>
                      <w:lang w:eastAsia="zh-CN"/>
                    </w:rPr>
                    <w:t>标准</w:t>
                  </w:r>
                </w:p>
              </w:tc>
              <w:tc>
                <w:tcPr>
                  <w:tcW w:w="809" w:type="pct"/>
                  <w:vAlign w:val="center"/>
                </w:tcPr>
                <w:p w14:paraId="3035F34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w:t>
                  </w:r>
                </w:p>
              </w:tc>
              <w:tc>
                <w:tcPr>
                  <w:tcW w:w="810" w:type="pct"/>
                  <w:vAlign w:val="center"/>
                </w:tcPr>
                <w:p w14:paraId="2A81147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r w14:paraId="3165F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454" w:type="pct"/>
                  <w:vMerge w:val="continue"/>
                  <w:vAlign w:val="center"/>
                </w:tcPr>
                <w:p w14:paraId="7CF6F9F6">
                  <w:pPr>
                    <w:jc w:val="center"/>
                    <w:rPr>
                      <w:rFonts w:hint="default" w:ascii="Times New Roman" w:hAnsi="Times New Roman" w:eastAsia="宋体" w:cs="Times New Roman"/>
                      <w:sz w:val="21"/>
                      <w:szCs w:val="21"/>
                    </w:rPr>
                  </w:pPr>
                </w:p>
              </w:tc>
              <w:tc>
                <w:tcPr>
                  <w:tcW w:w="530" w:type="pct"/>
                  <w:vMerge w:val="continue"/>
                  <w:vAlign w:val="center"/>
                </w:tcPr>
                <w:p w14:paraId="6CB87D36">
                  <w:pPr>
                    <w:jc w:val="center"/>
                    <w:rPr>
                      <w:rFonts w:hint="default" w:ascii="Times New Roman" w:hAnsi="Times New Roman" w:eastAsia="宋体" w:cs="Times New Roman"/>
                      <w:sz w:val="21"/>
                      <w:szCs w:val="21"/>
                    </w:rPr>
                  </w:pPr>
                </w:p>
              </w:tc>
              <w:tc>
                <w:tcPr>
                  <w:tcW w:w="2395" w:type="pct"/>
                  <w:vAlign w:val="center"/>
                </w:tcPr>
                <w:p w14:paraId="5E3281FC">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《声环境质量标准》（GB3096-2008）1类标准</w:t>
                  </w:r>
                </w:p>
              </w:tc>
              <w:tc>
                <w:tcPr>
                  <w:tcW w:w="809" w:type="pct"/>
                  <w:vAlign w:val="center"/>
                </w:tcPr>
                <w:p w14:paraId="1C513F09">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810" w:type="pct"/>
                  <w:vAlign w:val="center"/>
                </w:tcPr>
                <w:p w14:paraId="12DCD162">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w:t>
                  </w:r>
                </w:p>
              </w:tc>
            </w:tr>
          </w:tbl>
          <w:p w14:paraId="7989F940">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w:t>
            </w:r>
            <w:r>
              <w:rPr>
                <w:rFonts w:hint="eastAsia" w:cs="Times New Roman"/>
                <w:sz w:val="24"/>
                <w:szCs w:val="24"/>
                <w:lang w:val="en-US" w:eastAsia="zh-CN"/>
              </w:rPr>
              <w:t>4</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固废</w:t>
            </w:r>
          </w:p>
          <w:p w14:paraId="42C2CFF4">
            <w:pPr>
              <w:spacing w:line="360" w:lineRule="auto"/>
              <w:ind w:firstLine="480" w:firstLineChars="200"/>
              <w:rPr>
                <w:rFonts w:hint="eastAsia" w:cs="Times New Roman"/>
                <w:sz w:val="24"/>
                <w:szCs w:val="24"/>
                <w:lang w:eastAsia="zh-CN"/>
              </w:rPr>
            </w:pPr>
            <w:r>
              <w:rPr>
                <w:rFonts w:hint="default" w:ascii="Times New Roman" w:hAnsi="Times New Roman" w:eastAsia="宋体" w:cs="Times New Roman"/>
                <w:sz w:val="24"/>
                <w:szCs w:val="24"/>
              </w:rPr>
              <w:t>一般固体废弃物排放</w:t>
            </w:r>
            <w:r>
              <w:rPr>
                <w:rFonts w:hint="eastAsia" w:cs="Times New Roman"/>
                <w:sz w:val="24"/>
                <w:szCs w:val="24"/>
                <w:lang w:val="en-US" w:eastAsia="zh-CN"/>
              </w:rPr>
              <w:t>参照</w:t>
            </w:r>
            <w:r>
              <w:rPr>
                <w:rFonts w:hint="default" w:ascii="Times New Roman" w:hAnsi="Times New Roman" w:eastAsia="宋体" w:cs="Times New Roman"/>
                <w:sz w:val="24"/>
                <w:szCs w:val="24"/>
              </w:rPr>
              <w:t>执行《一般工业固体废物贮存和填埋污染控制标准》</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GB18599-2020</w:t>
            </w:r>
            <w:r>
              <w:rPr>
                <w:rFonts w:hint="eastAsia" w:ascii="Times New Roman" w:hAnsi="Times New Roman" w:eastAsia="宋体" w:cs="Times New Roman"/>
                <w:sz w:val="24"/>
                <w:szCs w:val="24"/>
                <w:lang w:eastAsia="zh-CN"/>
              </w:rPr>
              <w:t>）</w:t>
            </w:r>
            <w:r>
              <w:rPr>
                <w:rFonts w:hint="eastAsia" w:cs="Times New Roman"/>
                <w:sz w:val="24"/>
                <w:szCs w:val="24"/>
                <w:lang w:eastAsia="zh-CN"/>
              </w:rPr>
              <w:t>中的</w:t>
            </w:r>
            <w:r>
              <w:rPr>
                <w:rFonts w:hint="default" w:ascii="Times New Roman" w:hAnsi="Times New Roman" w:eastAsia="宋体" w:cs="Times New Roman"/>
                <w:sz w:val="24"/>
                <w:szCs w:val="24"/>
              </w:rPr>
              <w:t>相关规定</w:t>
            </w:r>
            <w:r>
              <w:rPr>
                <w:rFonts w:hint="eastAsia" w:cs="Times New Roman"/>
                <w:sz w:val="24"/>
                <w:szCs w:val="24"/>
                <w:lang w:eastAsia="zh-CN"/>
              </w:rPr>
              <w:t>；</w:t>
            </w:r>
            <w:r>
              <w:rPr>
                <w:rFonts w:hint="default" w:ascii="Times New Roman" w:hAnsi="Times New Roman" w:eastAsia="宋体" w:cs="Times New Roman"/>
                <w:sz w:val="24"/>
                <w:szCs w:val="24"/>
              </w:rPr>
              <w:t>危险废物按照《危险废物贮存污染控制标准》</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GB18597-20</w:t>
            </w:r>
            <w:r>
              <w:rPr>
                <w:rFonts w:hint="eastAsia" w:cs="Times New Roman"/>
                <w:sz w:val="24"/>
                <w:szCs w:val="24"/>
                <w:lang w:val="en-US" w:eastAsia="zh-CN"/>
              </w:rPr>
              <w:t>23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中有关规定执行</w:t>
            </w:r>
            <w:r>
              <w:rPr>
                <w:rFonts w:hint="eastAsia" w:cs="Times New Roman"/>
                <w:sz w:val="24"/>
                <w:szCs w:val="24"/>
                <w:lang w:eastAsia="zh-CN"/>
              </w:rPr>
              <w:t>。</w:t>
            </w:r>
          </w:p>
          <w:p w14:paraId="54075C4C">
            <w:pPr>
              <w:spacing w:line="360" w:lineRule="auto"/>
              <w:ind w:firstLine="480" w:firstLineChars="200"/>
              <w:rPr>
                <w:rFonts w:hint="eastAsia" w:cs="Times New Roman"/>
                <w:sz w:val="24"/>
                <w:szCs w:val="24"/>
                <w:lang w:eastAsia="zh-CN"/>
              </w:rPr>
            </w:pPr>
          </w:p>
          <w:p w14:paraId="0D4776BA">
            <w:pPr>
              <w:pStyle w:val="15"/>
            </w:pPr>
          </w:p>
        </w:tc>
      </w:tr>
      <w:tr w14:paraId="1EC99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1" w:hRule="atLeast"/>
          <w:jc w:val="center"/>
        </w:trPr>
        <w:tc>
          <w:tcPr>
            <w:tcW w:w="234" w:type="pct"/>
            <w:vAlign w:val="center"/>
          </w:tcPr>
          <w:p w14:paraId="70A3D61D">
            <w:pPr>
              <w:pStyle w:val="21"/>
              <w:ind w:firstLine="0" w:firstLineChars="0"/>
              <w:rPr>
                <w:rFonts w:ascii="宋体" w:hAnsi="宋体" w:eastAsia="宋体" w:cs="Times New Roman"/>
                <w:b/>
                <w:bCs/>
                <w:spacing w:val="4"/>
                <w:sz w:val="24"/>
                <w:szCs w:val="24"/>
                <w:lang w:val="en-US" w:eastAsia="zh-CN" w:bidi="ar-SA"/>
              </w:rPr>
            </w:pPr>
            <w:r>
              <w:rPr>
                <w:rFonts w:ascii="Times New Roman" w:hAnsi="Times New Roman"/>
                <w:b/>
                <w:bCs/>
                <w:szCs w:val="21"/>
              </w:rPr>
              <w:t>其他</w:t>
            </w:r>
          </w:p>
        </w:tc>
        <w:tc>
          <w:tcPr>
            <w:tcW w:w="4765" w:type="pct"/>
            <w:vAlign w:val="center"/>
          </w:tcPr>
          <w:p w14:paraId="30295E9D">
            <w:pPr>
              <w:rPr>
                <w:rFonts w:hint="default" w:ascii="Times New Roman" w:hAnsi="Times New Roman"/>
                <w:lang w:eastAsia="zh-CN"/>
              </w:rPr>
            </w:pPr>
          </w:p>
          <w:p w14:paraId="40C9E1FB">
            <w:pPr>
              <w:pStyle w:val="21"/>
              <w:keepNext w:val="0"/>
              <w:keepLines w:val="0"/>
              <w:pageBreakBefore w:val="0"/>
              <w:widowControl w:val="0"/>
              <w:kinsoku/>
              <w:wordWrap/>
              <w:overflowPunct/>
              <w:topLinePunct w:val="0"/>
              <w:autoSpaceDE/>
              <w:autoSpaceDN/>
              <w:bidi w:val="0"/>
              <w:adjustRightInd/>
              <w:snapToGrid/>
              <w:spacing w:before="0" w:line="360" w:lineRule="auto"/>
              <w:ind w:firstLine="496" w:firstLineChars="200"/>
              <w:jc w:val="left"/>
              <w:textAlignment w:val="auto"/>
              <w:rPr>
                <w:rFonts w:hint="default" w:ascii="Times New Roman" w:hAnsi="Times New Roman"/>
                <w:lang w:eastAsia="zh-CN"/>
              </w:rPr>
            </w:pPr>
          </w:p>
          <w:p w14:paraId="5BACF73B">
            <w:pPr>
              <w:pStyle w:val="21"/>
              <w:keepNext w:val="0"/>
              <w:keepLines w:val="0"/>
              <w:pageBreakBefore w:val="0"/>
              <w:widowControl w:val="0"/>
              <w:kinsoku/>
              <w:wordWrap/>
              <w:overflowPunct/>
              <w:topLinePunct w:val="0"/>
              <w:autoSpaceDE/>
              <w:autoSpaceDN/>
              <w:bidi w:val="0"/>
              <w:adjustRightInd/>
              <w:snapToGrid/>
              <w:spacing w:before="0" w:line="360" w:lineRule="auto"/>
              <w:ind w:firstLine="496" w:firstLineChars="200"/>
              <w:jc w:val="left"/>
              <w:textAlignment w:val="auto"/>
              <w:rPr>
                <w:rFonts w:hint="default" w:ascii="Times New Roman" w:hAnsi="Times New Roman"/>
                <w:lang w:eastAsia="zh-CN"/>
              </w:rPr>
            </w:pPr>
            <w:r>
              <w:rPr>
                <w:rFonts w:hint="default" w:ascii="Times New Roman" w:hAnsi="Times New Roman"/>
                <w:lang w:eastAsia="zh-CN"/>
              </w:rPr>
              <w:t>根据国家</w:t>
            </w:r>
            <w:r>
              <w:rPr>
                <w:rFonts w:hint="eastAsia" w:ascii="Times New Roman" w:hAnsi="Times New Roman"/>
                <w:lang w:eastAsia="zh-CN"/>
              </w:rPr>
              <w:t>“</w:t>
            </w:r>
            <w:r>
              <w:rPr>
                <w:rFonts w:hint="default" w:ascii="Times New Roman" w:hAnsi="Times New Roman"/>
                <w:lang w:eastAsia="zh-CN"/>
              </w:rPr>
              <w:t>十三五</w:t>
            </w:r>
            <w:r>
              <w:rPr>
                <w:rFonts w:hint="eastAsia" w:ascii="Times New Roman" w:hAnsi="Times New Roman"/>
                <w:lang w:eastAsia="zh-CN"/>
              </w:rPr>
              <w:t>”</w:t>
            </w:r>
            <w:r>
              <w:rPr>
                <w:rFonts w:hint="default" w:ascii="Times New Roman" w:hAnsi="Times New Roman"/>
                <w:lang w:eastAsia="zh-CN"/>
              </w:rPr>
              <w:t>期间总量控制和安徽省环保厅关于进一步加强建设项目新增大气主要污染物总量指标管理工作的通知（皖环发〔2017〕19号）的有关规定，</w:t>
            </w:r>
            <w:r>
              <w:rPr>
                <w:rFonts w:hint="default" w:ascii="Times New Roman" w:hAnsi="Times New Roman" w:cs="Times New Roman"/>
                <w:lang w:eastAsia="zh-CN"/>
              </w:rPr>
              <w:t>化学需氧量（COD）、氨氮（</w:t>
            </w:r>
            <w:r>
              <w:rPr>
                <w:rFonts w:hint="default" w:ascii="Times New Roman" w:hAnsi="Times New Roman" w:cs="Times New Roman"/>
                <w:highlight w:val="none"/>
                <w:lang w:eastAsia="zh-CN"/>
              </w:rPr>
              <w:t>NH</w:t>
            </w:r>
            <w:r>
              <w:rPr>
                <w:rFonts w:hint="default" w:ascii="Times New Roman" w:hAnsi="Times New Roman" w:cs="Times New Roman"/>
                <w:highlight w:val="none"/>
                <w:vertAlign w:val="subscript"/>
                <w:lang w:eastAsia="zh-CN"/>
              </w:rPr>
              <w:t>3</w:t>
            </w:r>
            <w:r>
              <w:rPr>
                <w:rFonts w:hint="default" w:ascii="Times New Roman" w:hAnsi="Times New Roman" w:cs="Times New Roman"/>
                <w:highlight w:val="none"/>
                <w:lang w:eastAsia="zh-CN"/>
              </w:rPr>
              <w:t>-N</w:t>
            </w:r>
            <w:r>
              <w:rPr>
                <w:rFonts w:hint="default" w:ascii="Times New Roman" w:hAnsi="Times New Roman" w:cs="Times New Roman"/>
                <w:lang w:eastAsia="zh-CN"/>
              </w:rPr>
              <w:t>）、二氧化硫</w:t>
            </w:r>
            <w:r>
              <w:rPr>
                <w:rFonts w:hint="default" w:ascii="Times New Roman" w:hAnsi="Times New Roman" w:cs="Times New Roman"/>
                <w:highlight w:val="none"/>
                <w:lang w:eastAsia="zh-CN"/>
              </w:rPr>
              <w:t>（SO</w:t>
            </w:r>
            <w:r>
              <w:rPr>
                <w:rFonts w:hint="default" w:ascii="Times New Roman" w:hAnsi="Times New Roman" w:cs="Times New Roman"/>
                <w:highlight w:val="none"/>
                <w:vertAlign w:val="subscript"/>
                <w:lang w:eastAsia="zh-CN"/>
              </w:rPr>
              <w:t>2</w:t>
            </w:r>
            <w:r>
              <w:rPr>
                <w:rFonts w:hint="default" w:ascii="Times New Roman" w:hAnsi="Times New Roman" w:cs="Times New Roman"/>
                <w:highlight w:val="none"/>
                <w:lang w:eastAsia="zh-CN"/>
              </w:rPr>
              <w:t>）</w:t>
            </w:r>
            <w:r>
              <w:rPr>
                <w:rFonts w:hint="default" w:ascii="Times New Roman" w:hAnsi="Times New Roman" w:cs="Times New Roman"/>
                <w:lang w:eastAsia="zh-CN"/>
              </w:rPr>
              <w:t>、氮氧化物</w:t>
            </w:r>
            <w:r>
              <w:rPr>
                <w:rFonts w:hint="default" w:ascii="Times New Roman" w:hAnsi="Times New Roman" w:cs="Times New Roman"/>
                <w:highlight w:val="none"/>
                <w:lang w:eastAsia="zh-CN"/>
              </w:rPr>
              <w:t>（NO</w:t>
            </w:r>
            <w:r>
              <w:rPr>
                <w:rFonts w:hint="default" w:ascii="Times New Roman" w:hAnsi="Times New Roman" w:cs="Times New Roman"/>
                <w:highlight w:val="none"/>
                <w:vertAlign w:val="subscript"/>
                <w:lang w:eastAsia="zh-CN"/>
              </w:rPr>
              <w:t>X</w:t>
            </w:r>
            <w:r>
              <w:rPr>
                <w:rFonts w:hint="default" w:ascii="Times New Roman" w:hAnsi="Times New Roman" w:cs="Times New Roman"/>
                <w:highlight w:val="none"/>
                <w:lang w:eastAsia="zh-CN"/>
              </w:rPr>
              <w:t>）</w:t>
            </w:r>
            <w:r>
              <w:rPr>
                <w:rFonts w:hint="default" w:ascii="Times New Roman" w:hAnsi="Times New Roman" w:cs="Times New Roman"/>
                <w:lang w:eastAsia="zh-CN"/>
              </w:rPr>
              <w:t>、烟（粉）尘和挥发性有机物</w:t>
            </w:r>
            <w:r>
              <w:rPr>
                <w:rFonts w:hint="default" w:ascii="Times New Roman" w:hAnsi="Times New Roman" w:cs="Times New Roman"/>
                <w:highlight w:val="none"/>
                <w:lang w:eastAsia="zh-CN"/>
              </w:rPr>
              <w:t>（VOC</w:t>
            </w:r>
            <w:r>
              <w:rPr>
                <w:rFonts w:hint="default" w:ascii="Times New Roman" w:hAnsi="Times New Roman" w:cs="Times New Roman"/>
                <w:highlight w:val="none"/>
                <w:vertAlign w:val="subscript"/>
                <w:lang w:eastAsia="zh-CN"/>
              </w:rPr>
              <w:t>S</w:t>
            </w:r>
            <w:r>
              <w:rPr>
                <w:rFonts w:hint="default" w:ascii="Times New Roman" w:hAnsi="Times New Roman" w:cs="Times New Roman"/>
                <w:highlight w:val="none"/>
                <w:lang w:eastAsia="zh-CN"/>
              </w:rPr>
              <w:t>）</w:t>
            </w:r>
            <w:r>
              <w:rPr>
                <w:rFonts w:hint="default" w:ascii="Times New Roman" w:hAnsi="Times New Roman"/>
                <w:lang w:eastAsia="zh-CN"/>
              </w:rPr>
              <w:t>纳入总量控制指标体系，对上述六项主要污染物实施总量控制，统一要求、统一考核。实施污染物排放总量控制，将有助于促进节约资源、产业结构的优化、科学技术进步和污染的防治。</w:t>
            </w:r>
          </w:p>
          <w:p w14:paraId="03BB6BDC">
            <w:pPr>
              <w:adjustRightInd w:val="0"/>
              <w:snapToGrid w:val="0"/>
              <w:spacing w:line="360" w:lineRule="auto"/>
              <w:ind w:firstLine="480" w:firstLineChars="200"/>
              <w:jc w:val="left"/>
              <w:rPr>
                <w:rFonts w:hint="eastAsia"/>
                <w:color w:val="000000"/>
                <w:sz w:val="24"/>
                <w:szCs w:val="24"/>
                <w:highlight w:val="none"/>
              </w:rPr>
            </w:pPr>
            <w:r>
              <w:rPr>
                <w:rFonts w:hint="eastAsia"/>
                <w:color w:val="000000"/>
                <w:sz w:val="24"/>
                <w:szCs w:val="24"/>
                <w:highlight w:val="none"/>
              </w:rPr>
              <w:t>（</w:t>
            </w:r>
            <w:r>
              <w:rPr>
                <w:color w:val="000000"/>
                <w:sz w:val="24"/>
                <w:szCs w:val="24"/>
                <w:highlight w:val="none"/>
              </w:rPr>
              <w:t>1</w:t>
            </w:r>
            <w:r>
              <w:rPr>
                <w:rFonts w:hint="eastAsia"/>
                <w:color w:val="000000"/>
                <w:sz w:val="24"/>
                <w:szCs w:val="24"/>
                <w:highlight w:val="none"/>
              </w:rPr>
              <w:t>）项目废水</w:t>
            </w:r>
            <w:r>
              <w:rPr>
                <w:rFonts w:hint="eastAsia"/>
                <w:color w:val="000000"/>
                <w:sz w:val="24"/>
                <w:szCs w:val="24"/>
                <w:highlight w:val="none"/>
                <w:lang w:val="en-US" w:eastAsia="zh-CN"/>
              </w:rPr>
              <w:t>主要为生活污水</w:t>
            </w:r>
            <w:r>
              <w:rPr>
                <w:rFonts w:hint="eastAsia"/>
                <w:color w:val="000000"/>
                <w:sz w:val="24"/>
                <w:szCs w:val="24"/>
                <w:highlight w:val="none"/>
              </w:rPr>
              <w:t>，</w:t>
            </w:r>
            <w:r>
              <w:rPr>
                <w:rFonts w:hint="eastAsia"/>
                <w:color w:val="000000"/>
                <w:sz w:val="24"/>
                <w:szCs w:val="24"/>
                <w:highlight w:val="none"/>
                <w:lang w:val="en-US" w:eastAsia="zh-CN"/>
              </w:rPr>
              <w:t>生活污水经化粪池收集后排入厂区生活排水管道，最终排入矿区内地埋式生活污水处理装置（生物接触氧化+砂滤+消毒工艺）收集处理后泵至选矿生产。</w:t>
            </w:r>
            <w:r>
              <w:rPr>
                <w:rFonts w:hint="eastAsia"/>
                <w:color w:val="000000"/>
                <w:sz w:val="24"/>
                <w:szCs w:val="24"/>
                <w:highlight w:val="none"/>
              </w:rPr>
              <w:t>不需要申请总量。</w:t>
            </w:r>
          </w:p>
          <w:p w14:paraId="167823B8">
            <w:pPr>
              <w:keepNext w:val="0"/>
              <w:keepLines w:val="0"/>
              <w:pageBreakBefore w:val="0"/>
              <w:widowControl/>
              <w:suppressLineNumbers w:val="0"/>
              <w:kinsoku/>
              <w:wordWrap/>
              <w:overflowPunct/>
              <w:topLinePunct w:val="0"/>
              <w:bidi w:val="0"/>
              <w:spacing w:line="360" w:lineRule="auto"/>
              <w:ind w:firstLine="480" w:firstLineChars="200"/>
              <w:jc w:val="left"/>
              <w:textAlignment w:val="auto"/>
              <w:rPr>
                <w:rFonts w:hint="default"/>
                <w:color w:val="auto"/>
                <w:highlight w:val="yellow"/>
                <w:lang w:val="en-US"/>
              </w:rPr>
            </w:pPr>
            <w:r>
              <w:rPr>
                <w:color w:val="000000"/>
                <w:sz w:val="24"/>
                <w:szCs w:val="24"/>
                <w:highlight w:val="none"/>
              </w:rPr>
              <w:t>（2）项目实施后，</w:t>
            </w:r>
            <w:r>
              <w:rPr>
                <w:rFonts w:hint="eastAsia"/>
                <w:color w:val="000000"/>
                <w:sz w:val="24"/>
                <w:szCs w:val="24"/>
                <w:highlight w:val="none"/>
                <w:lang w:eastAsia="zh-CN"/>
              </w:rPr>
              <w:t>无废气</w:t>
            </w:r>
            <w:r>
              <w:rPr>
                <w:color w:val="000000"/>
                <w:sz w:val="24"/>
                <w:szCs w:val="24"/>
                <w:highlight w:val="none"/>
              </w:rPr>
              <w:t>产生</w:t>
            </w:r>
            <w:r>
              <w:rPr>
                <w:rFonts w:hint="eastAsia"/>
                <w:color w:val="auto"/>
                <w:kern w:val="0"/>
                <w:sz w:val="24"/>
                <w:szCs w:val="24"/>
                <w:highlight w:val="none"/>
                <w:lang w:val="en-US" w:eastAsia="zh-CN"/>
              </w:rPr>
              <w:t>。</w:t>
            </w:r>
          </w:p>
          <w:p w14:paraId="395DF842">
            <w:pPr>
              <w:pStyle w:val="21"/>
              <w:keepNext w:val="0"/>
              <w:keepLines w:val="0"/>
              <w:pageBreakBefore w:val="0"/>
              <w:widowControl w:val="0"/>
              <w:kinsoku/>
              <w:wordWrap/>
              <w:overflowPunct/>
              <w:topLinePunct w:val="0"/>
              <w:autoSpaceDE/>
              <w:autoSpaceDN/>
              <w:bidi w:val="0"/>
              <w:adjustRightInd/>
              <w:snapToGrid/>
              <w:spacing w:before="0" w:line="360" w:lineRule="auto"/>
              <w:ind w:firstLine="496" w:firstLineChars="200"/>
              <w:jc w:val="both"/>
              <w:textAlignment w:val="auto"/>
              <w:rPr>
                <w:rFonts w:hint="eastAsia"/>
                <w:lang w:eastAsia="zh-CN"/>
              </w:rPr>
            </w:pPr>
            <w:r>
              <w:rPr>
                <w:rFonts w:hint="eastAsia"/>
                <w:lang w:eastAsia="zh-CN"/>
              </w:rPr>
              <w:t>本工程为</w:t>
            </w:r>
            <w:r>
              <w:rPr>
                <w:rFonts w:hint="eastAsia"/>
                <w:lang w:val="en-US" w:eastAsia="zh-CN"/>
              </w:rPr>
              <w:t>输变电</w:t>
            </w:r>
            <w:r>
              <w:rPr>
                <w:rFonts w:hint="eastAsia"/>
                <w:lang w:eastAsia="zh-CN"/>
              </w:rPr>
              <w:t>建设项目，主要环境影响因素为施工期的生态环境影响和营运期的电磁环境影响，项目在施工期及</w:t>
            </w:r>
            <w:r>
              <w:rPr>
                <w:rFonts w:hint="eastAsia"/>
                <w:lang w:val="en-US" w:eastAsia="zh-CN"/>
              </w:rPr>
              <w:t>运营</w:t>
            </w:r>
            <w:r>
              <w:rPr>
                <w:rFonts w:hint="eastAsia"/>
                <w:lang w:eastAsia="zh-CN"/>
              </w:rPr>
              <w:t>期无污染物排放总量控制目标。</w:t>
            </w:r>
          </w:p>
          <w:p w14:paraId="4A880463">
            <w:pPr>
              <w:rPr>
                <w:rFonts w:hint="default"/>
                <w:lang w:val="en-US" w:eastAsia="zh-CN"/>
              </w:rPr>
            </w:pPr>
          </w:p>
          <w:p w14:paraId="7B605291">
            <w:pPr>
              <w:pStyle w:val="54"/>
              <w:rPr>
                <w:rFonts w:hint="default"/>
                <w:lang w:val="en-US" w:eastAsia="zh-CN"/>
              </w:rPr>
            </w:pPr>
          </w:p>
          <w:p w14:paraId="3338ED19">
            <w:pPr>
              <w:rPr>
                <w:rFonts w:hint="default"/>
                <w:lang w:val="en-US" w:eastAsia="zh-CN"/>
              </w:rPr>
            </w:pPr>
          </w:p>
          <w:p w14:paraId="23A94D0D">
            <w:pPr>
              <w:rPr>
                <w:rFonts w:hint="default"/>
                <w:lang w:val="en-US" w:eastAsia="zh-CN"/>
              </w:rPr>
            </w:pPr>
          </w:p>
          <w:p w14:paraId="2E532EE4">
            <w:pPr>
              <w:rPr>
                <w:rFonts w:hint="default"/>
                <w:lang w:val="en-US" w:eastAsia="zh-CN"/>
              </w:rPr>
            </w:pPr>
          </w:p>
          <w:p w14:paraId="43E131E1">
            <w:pPr>
              <w:rPr>
                <w:rFonts w:hint="default"/>
                <w:lang w:val="en-US" w:eastAsia="zh-CN"/>
              </w:rPr>
            </w:pPr>
          </w:p>
          <w:p w14:paraId="66CC2529">
            <w:pPr>
              <w:rPr>
                <w:rFonts w:hint="default"/>
                <w:lang w:val="en-US" w:eastAsia="zh-CN"/>
              </w:rPr>
            </w:pPr>
          </w:p>
          <w:p w14:paraId="60292837">
            <w:pPr>
              <w:rPr>
                <w:rFonts w:hint="default"/>
                <w:lang w:val="en-US" w:eastAsia="zh-CN"/>
              </w:rPr>
            </w:pPr>
          </w:p>
          <w:p w14:paraId="0A4A4772">
            <w:pPr>
              <w:pStyle w:val="54"/>
              <w:rPr>
                <w:rFonts w:hint="default"/>
                <w:lang w:val="en-US" w:eastAsia="zh-CN"/>
              </w:rPr>
            </w:pPr>
          </w:p>
          <w:p w14:paraId="74F20516">
            <w:pPr>
              <w:rPr>
                <w:rFonts w:hint="default"/>
                <w:lang w:val="en-US" w:eastAsia="zh-CN"/>
              </w:rPr>
            </w:pPr>
          </w:p>
          <w:p w14:paraId="69EF963D">
            <w:pPr>
              <w:rPr>
                <w:rFonts w:hint="default"/>
                <w:lang w:val="en-US" w:eastAsia="zh-CN"/>
              </w:rPr>
            </w:pPr>
          </w:p>
          <w:p w14:paraId="551CF368">
            <w:pPr>
              <w:pStyle w:val="15"/>
              <w:rPr>
                <w:rFonts w:hint="default"/>
                <w:lang w:val="en-US" w:eastAsia="zh-CN"/>
              </w:rPr>
            </w:pPr>
          </w:p>
          <w:p w14:paraId="27454F2A">
            <w:pPr>
              <w:pStyle w:val="15"/>
              <w:rPr>
                <w:rFonts w:hint="default"/>
                <w:lang w:val="en-US" w:eastAsia="zh-CN"/>
              </w:rPr>
            </w:pPr>
          </w:p>
          <w:p w14:paraId="6621DEE3">
            <w:pPr>
              <w:pStyle w:val="29"/>
              <w:ind w:left="0" w:firstLine="0" w:firstLineChars="0"/>
              <w:rPr>
                <w:rFonts w:hint="default"/>
                <w:lang w:val="en-US" w:eastAsia="zh-CN"/>
              </w:rPr>
            </w:pPr>
          </w:p>
        </w:tc>
      </w:tr>
    </w:tbl>
    <w:p w14:paraId="2141274B">
      <w:pPr>
        <w:jc w:val="left"/>
        <w:sectPr>
          <w:pgSz w:w="11906" w:h="16838"/>
          <w:pgMar w:top="1440" w:right="1083" w:bottom="1440" w:left="1083" w:header="851" w:footer="992" w:gutter="0"/>
          <w:pgNumType w:fmt="decimal"/>
          <w:cols w:space="720" w:num="1"/>
          <w:docGrid w:linePitch="312" w:charSpace="0"/>
        </w:sectPr>
      </w:pPr>
    </w:p>
    <w:bookmarkEnd w:id="14"/>
    <w:bookmarkEnd w:id="15"/>
    <w:bookmarkEnd w:id="16"/>
    <w:bookmarkEnd w:id="17"/>
    <w:bookmarkEnd w:id="18"/>
    <w:bookmarkEnd w:id="30"/>
    <w:bookmarkEnd w:id="31"/>
    <w:bookmarkEnd w:id="32"/>
    <w:bookmarkEnd w:id="33"/>
    <w:bookmarkEnd w:id="34"/>
    <w:bookmarkEnd w:id="35"/>
    <w:bookmarkEnd w:id="36"/>
    <w:p w14:paraId="038524DE">
      <w:pPr>
        <w:pStyle w:val="107"/>
        <w:jc w:val="center"/>
        <w:rPr>
          <w:rFonts w:eastAsia="宋体"/>
        </w:rPr>
      </w:pPr>
      <w:bookmarkStart w:id="39" w:name="_Toc68622117"/>
      <w:bookmarkStart w:id="40" w:name="_Toc23646"/>
      <w:bookmarkStart w:id="41" w:name="_Toc13472"/>
      <w:bookmarkStart w:id="42" w:name="_Toc27897"/>
      <w:bookmarkStart w:id="43" w:name="_Toc16096"/>
      <w:bookmarkStart w:id="44" w:name="_Toc73547123"/>
      <w:bookmarkStart w:id="45" w:name="_Toc79511875"/>
      <w:bookmarkStart w:id="46" w:name="_Toc101454270"/>
      <w:bookmarkStart w:id="47" w:name="_Toc85013637"/>
      <w:bookmarkStart w:id="48" w:name="_Toc108987310"/>
      <w:bookmarkStart w:id="49" w:name="_Toc77769258"/>
      <w:r>
        <w:rPr>
          <w:rFonts w:eastAsia="宋体"/>
        </w:rPr>
        <w:t>四、</w:t>
      </w:r>
      <w:bookmarkEnd w:id="39"/>
      <w:r>
        <w:rPr>
          <w:rFonts w:eastAsia="宋体"/>
        </w:rPr>
        <w:t>生态环境影响分析</w:t>
      </w:r>
      <w:bookmarkEnd w:id="40"/>
      <w:bookmarkEnd w:id="41"/>
      <w:bookmarkEnd w:id="42"/>
      <w:bookmarkEnd w:id="43"/>
      <w:bookmarkEnd w:id="44"/>
      <w:bookmarkEnd w:id="45"/>
      <w:bookmarkEnd w:id="46"/>
      <w:bookmarkEnd w:id="47"/>
      <w:bookmarkEnd w:id="48"/>
      <w:bookmarkEnd w:id="49"/>
    </w:p>
    <w:tbl>
      <w:tblPr>
        <w:tblStyle w:val="37"/>
        <w:tblW w:w="490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57"/>
        <w:gridCol w:w="9212"/>
      </w:tblGrid>
      <w:tr w14:paraId="4DE5C2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6" w:type="pct"/>
            <w:vAlign w:val="center"/>
          </w:tcPr>
          <w:p w14:paraId="4FEF8263">
            <w:pPr>
              <w:adjustRightInd w:val="0"/>
              <w:snapToGrid w:val="0"/>
              <w:rPr>
                <w:b/>
                <w:bCs/>
                <w:sz w:val="24"/>
                <w:szCs w:val="24"/>
              </w:rPr>
            </w:pPr>
            <w:bookmarkStart w:id="50" w:name="_Toc291067361"/>
            <w:bookmarkStart w:id="51" w:name="_Toc291067362"/>
            <w:r>
              <w:rPr>
                <w:b/>
                <w:bCs/>
                <w:sz w:val="24"/>
                <w:szCs w:val="24"/>
              </w:rPr>
              <w:t>施工期生态环境影响分析</w:t>
            </w:r>
          </w:p>
        </w:tc>
        <w:tc>
          <w:tcPr>
            <w:tcW w:w="4763" w:type="pct"/>
          </w:tcPr>
          <w:p w14:paraId="488F9D02">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4.1</w:t>
            </w:r>
            <w:r>
              <w:rPr>
                <w:rFonts w:hint="default" w:ascii="Times New Roman" w:hAnsi="Times New Roman" w:eastAsia="宋体" w:cs="Times New Roman"/>
                <w:b/>
                <w:bCs/>
                <w:sz w:val="24"/>
                <w:szCs w:val="24"/>
              </w:rPr>
              <w:t>、施工期产污环节分析</w:t>
            </w:r>
          </w:p>
          <w:p w14:paraId="647A2866">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生态环境：施工期对生态环境的影响主要为工程建设导致水土流失的影响。施工开挖、平整、土方临时堆放等对原地貌的扰动、损坏有可能引起水土流失。</w:t>
            </w:r>
          </w:p>
          <w:p w14:paraId="43F06563">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声环境：主要由施工机械噪声和运输车辆交通噪声，其中施工机械噪声主要是由施工时物件碰撞产生的，噪声排放具有瞬间性和</w:t>
            </w:r>
            <w:r>
              <w:rPr>
                <w:rFonts w:hint="eastAsia" w:cs="Times New Roman"/>
                <w:sz w:val="24"/>
                <w:szCs w:val="24"/>
                <w:lang w:eastAsia="zh-CN"/>
              </w:rPr>
              <w:t>不确</w:t>
            </w:r>
            <w:r>
              <w:rPr>
                <w:rFonts w:hint="default" w:ascii="Times New Roman" w:hAnsi="Times New Roman" w:eastAsia="宋体" w:cs="Times New Roman"/>
                <w:sz w:val="24"/>
                <w:szCs w:val="24"/>
              </w:rPr>
              <w:t>定性</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运输车辆交通噪声主要是车辆发动机及车辆鸣笛产生的噪声，具有短暂性特点。</w:t>
            </w:r>
          </w:p>
          <w:p w14:paraId="6D81C7D6">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大气环境：主要为施工开挖、土石方回填、施工现场的清理平整产生的扬尘以及施工车辆行驶产生的二次扬尘和对环境空气质量造成的暂时性的和局部的影响。</w:t>
            </w:r>
          </w:p>
          <w:p w14:paraId="4DBD1671">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4</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施工废水：施工废水及施工人员的生活污水。</w:t>
            </w:r>
          </w:p>
          <w:p w14:paraId="75CD962E">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5</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施工固体废物：施工过程中可能产生的</w:t>
            </w:r>
            <w:r>
              <w:rPr>
                <w:rFonts w:hint="eastAsia" w:cs="Times New Roman"/>
                <w:sz w:val="24"/>
                <w:szCs w:val="24"/>
                <w:lang w:val="en-US" w:eastAsia="zh-CN"/>
              </w:rPr>
              <w:t>建筑垃圾</w:t>
            </w:r>
            <w:r>
              <w:rPr>
                <w:rFonts w:hint="default" w:ascii="Times New Roman" w:hAnsi="Times New Roman" w:eastAsia="宋体" w:cs="Times New Roman"/>
                <w:sz w:val="24"/>
                <w:szCs w:val="24"/>
              </w:rPr>
              <w:t>、施工人员产生的生活垃圾等。</w:t>
            </w:r>
          </w:p>
          <w:p w14:paraId="7F6F8889">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4.2</w:t>
            </w:r>
            <w:r>
              <w:rPr>
                <w:rFonts w:hint="default" w:ascii="Times New Roman" w:hAnsi="Times New Roman" w:eastAsia="宋体" w:cs="Times New Roman"/>
                <w:b/>
                <w:bCs/>
                <w:sz w:val="24"/>
                <w:szCs w:val="24"/>
              </w:rPr>
              <w:t>、施工期生态环境影响分析</w:t>
            </w:r>
          </w:p>
          <w:p w14:paraId="2834A18F">
            <w:pPr>
              <w:spacing w:line="360" w:lineRule="auto"/>
              <w:ind w:firstLine="482" w:firstLineChars="200"/>
              <w:rPr>
                <w:rFonts w:hint="default" w:ascii="Times New Roman" w:hAnsi="Times New Roman" w:eastAsia="宋体" w:cs="Times New Roman"/>
                <w:sz w:val="24"/>
                <w:szCs w:val="24"/>
              </w:rPr>
            </w:pPr>
            <w:r>
              <w:rPr>
                <w:rFonts w:hint="eastAsia" w:cs="Times New Roman"/>
                <w:b/>
                <w:bCs/>
                <w:sz w:val="24"/>
                <w:szCs w:val="24"/>
                <w:lang w:val="en-US" w:eastAsia="zh-CN"/>
              </w:rPr>
              <w:t>4.2.1、土地占用</w:t>
            </w:r>
          </w:p>
          <w:p w14:paraId="1D085C17">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对土地的占用主要表现为工程永久占地和施工期的临时占地。拟建</w:t>
            </w:r>
            <w:r>
              <w:rPr>
                <w:rFonts w:hint="eastAsia" w:cs="Times New Roman"/>
                <w:sz w:val="24"/>
                <w:szCs w:val="24"/>
                <w:lang w:val="en-US" w:eastAsia="zh-CN"/>
              </w:rPr>
              <w:t>金沙钼矿</w:t>
            </w:r>
            <w:r>
              <w:rPr>
                <w:rFonts w:hint="default" w:ascii="Times New Roman" w:hAnsi="Times New Roman" w:eastAsia="宋体" w:cs="Times New Roman"/>
                <w:sz w:val="24"/>
                <w:szCs w:val="24"/>
                <w:lang w:val="en-US" w:eastAsia="zh-CN"/>
              </w:rPr>
              <w:t>110kV变电站采用</w:t>
            </w:r>
            <w:r>
              <w:rPr>
                <w:rFonts w:hint="eastAsia" w:cs="Times New Roman"/>
                <w:sz w:val="24"/>
                <w:szCs w:val="24"/>
                <w:lang w:val="en-US" w:eastAsia="zh-CN"/>
              </w:rPr>
              <w:t>半敞开式户外</w:t>
            </w:r>
            <w:r>
              <w:rPr>
                <w:rFonts w:hint="default" w:ascii="Times New Roman" w:hAnsi="Times New Roman" w:eastAsia="宋体" w:cs="Times New Roman"/>
                <w:sz w:val="24"/>
                <w:szCs w:val="24"/>
                <w:lang w:val="en-US" w:eastAsia="zh-CN"/>
              </w:rPr>
              <w:t>布置，变电站总征地面积约</w:t>
            </w:r>
            <w:r>
              <w:rPr>
                <w:rFonts w:hint="eastAsia" w:cs="Times New Roman"/>
                <w:sz w:val="24"/>
                <w:szCs w:val="24"/>
                <w:lang w:val="en-US" w:eastAsia="zh-CN"/>
              </w:rPr>
              <w:t>4352</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，塔基区永久占地面积约</w:t>
            </w:r>
            <w:r>
              <w:rPr>
                <w:rFonts w:hint="eastAsia" w:cs="Times New Roman"/>
                <w:sz w:val="24"/>
                <w:szCs w:val="24"/>
                <w:lang w:val="en-US" w:eastAsia="zh-CN"/>
              </w:rPr>
              <w:t>13400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，塔基不征地。</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临时占地</w:t>
            </w:r>
            <w:r>
              <w:rPr>
                <w:rFonts w:hint="eastAsia" w:cs="Times New Roman"/>
                <w:sz w:val="24"/>
                <w:szCs w:val="24"/>
                <w:lang w:val="en-US" w:eastAsia="zh-CN"/>
              </w:rPr>
              <w:t>主要为塔基施工区、</w:t>
            </w:r>
            <w:r>
              <w:rPr>
                <w:rFonts w:hint="eastAsia" w:cs="Times New Roman"/>
                <w:color w:val="auto"/>
                <w:sz w:val="24"/>
                <w:lang w:val="en-US" w:eastAsia="zh-CN"/>
              </w:rPr>
              <w:t>施工生产生活区</w:t>
            </w:r>
            <w:r>
              <w:rPr>
                <w:rFonts w:hint="default" w:ascii="Times New Roman" w:hAnsi="Times New Roman" w:eastAsia="宋体" w:cs="Times New Roman"/>
                <w:sz w:val="24"/>
                <w:szCs w:val="24"/>
                <w:lang w:val="en-US" w:eastAsia="zh-CN"/>
              </w:rPr>
              <w:t>、</w:t>
            </w:r>
            <w:r>
              <w:rPr>
                <w:rFonts w:hint="default" w:ascii="Times New Roman" w:hAnsi="Times New Roman" w:cs="Times New Roman"/>
                <w:color w:val="auto"/>
                <w:sz w:val="24"/>
                <w:lang w:val="en-US" w:eastAsia="zh-CN"/>
              </w:rPr>
              <w:t>牵张场及跨越场区</w:t>
            </w:r>
            <w:r>
              <w:rPr>
                <w:rFonts w:hint="default" w:ascii="Times New Roman" w:hAnsi="Times New Roman" w:eastAsia="宋体" w:cs="Times New Roman"/>
                <w:sz w:val="24"/>
                <w:szCs w:val="24"/>
                <w:lang w:val="en-US" w:eastAsia="zh-CN"/>
              </w:rPr>
              <w:t>、</w:t>
            </w:r>
            <w:r>
              <w:rPr>
                <w:rFonts w:hint="eastAsia" w:cs="Times New Roman"/>
                <w:color w:val="auto"/>
                <w:sz w:val="24"/>
                <w:lang w:val="en-US" w:eastAsia="zh-CN"/>
              </w:rPr>
              <w:t>施工临时道路</w:t>
            </w:r>
            <w:r>
              <w:rPr>
                <w:rFonts w:hint="default" w:ascii="Times New Roman" w:hAnsi="Times New Roman" w:eastAsia="宋体" w:cs="Times New Roman"/>
                <w:sz w:val="24"/>
                <w:szCs w:val="24"/>
                <w:lang w:val="en-US" w:eastAsia="zh-CN"/>
              </w:rPr>
              <w:t>等，临时占地面积共约</w:t>
            </w:r>
            <w:r>
              <w:rPr>
                <w:rFonts w:hint="eastAsia" w:cs="Times New Roman"/>
                <w:sz w:val="24"/>
                <w:szCs w:val="24"/>
                <w:lang w:val="en-US" w:eastAsia="zh-CN"/>
              </w:rPr>
              <w:t>61100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。本工程拟建</w:t>
            </w:r>
            <w:r>
              <w:rPr>
                <w:rFonts w:hint="eastAsia" w:cs="Times New Roman"/>
                <w:sz w:val="24"/>
                <w:szCs w:val="24"/>
                <w:lang w:val="en-US" w:eastAsia="zh-CN"/>
              </w:rPr>
              <w:t>变电站和</w:t>
            </w:r>
            <w:r>
              <w:rPr>
                <w:rFonts w:hint="default" w:ascii="Times New Roman" w:hAnsi="Times New Roman" w:eastAsia="宋体" w:cs="Times New Roman"/>
                <w:sz w:val="24"/>
                <w:szCs w:val="24"/>
                <w:lang w:val="en-US" w:eastAsia="zh-CN"/>
              </w:rPr>
              <w:t>输电线路</w:t>
            </w:r>
            <w:r>
              <w:rPr>
                <w:rFonts w:hint="eastAsia" w:cs="Times New Roman"/>
                <w:sz w:val="24"/>
                <w:szCs w:val="24"/>
                <w:lang w:val="en-US" w:eastAsia="zh-CN"/>
              </w:rPr>
              <w:t>主要</w:t>
            </w:r>
            <w:r>
              <w:rPr>
                <w:rFonts w:hint="default" w:ascii="Times New Roman" w:hAnsi="Times New Roman" w:eastAsia="宋体" w:cs="Times New Roman"/>
                <w:sz w:val="24"/>
                <w:szCs w:val="24"/>
                <w:lang w:val="en-US" w:eastAsia="zh-CN"/>
              </w:rPr>
              <w:t>位于</w:t>
            </w:r>
            <w:r>
              <w:rPr>
                <w:rFonts w:hint="eastAsia" w:cs="Times New Roman"/>
                <w:sz w:val="24"/>
                <w:szCs w:val="24"/>
                <w:lang w:val="en-US" w:eastAsia="zh-CN"/>
              </w:rPr>
              <w:t>林地、旱地（耕地）、草地</w:t>
            </w:r>
            <w:r>
              <w:rPr>
                <w:rFonts w:hint="default" w:ascii="Times New Roman" w:hAnsi="Times New Roman" w:eastAsia="宋体" w:cs="Times New Roman"/>
                <w:sz w:val="24"/>
                <w:szCs w:val="24"/>
                <w:lang w:val="en-US" w:eastAsia="zh-CN"/>
              </w:rPr>
              <w:t>，施工期间施工便道应尽量利用现有的检修道路。施工材料运至施工场地后，应合理布置，减少临时占地；</w:t>
            </w:r>
            <w:r>
              <w:rPr>
                <w:rFonts w:hint="eastAsia" w:cs="Times New Roman"/>
                <w:sz w:val="24"/>
                <w:szCs w:val="24"/>
                <w:lang w:val="en-US" w:eastAsia="zh-CN"/>
              </w:rPr>
              <w:t>生态保护红线内的临时占地在</w:t>
            </w:r>
            <w:r>
              <w:rPr>
                <w:rFonts w:hint="default" w:ascii="Times New Roman" w:hAnsi="Times New Roman" w:eastAsia="宋体" w:cs="Times New Roman"/>
                <w:sz w:val="24"/>
                <w:szCs w:val="24"/>
                <w:lang w:val="en-US" w:eastAsia="zh-CN"/>
              </w:rPr>
              <w:t>施工结束后及时清理现场，尽可能恢复原状地貌</w:t>
            </w:r>
            <w:r>
              <w:rPr>
                <w:rFonts w:hint="eastAsia" w:cs="Times New Roman"/>
                <w:sz w:val="24"/>
                <w:szCs w:val="24"/>
                <w:lang w:val="en-US" w:eastAsia="zh-CN"/>
              </w:rPr>
              <w:t>；生态保护红线范围内不设置施工便道，</w:t>
            </w:r>
            <w:r>
              <w:rPr>
                <w:rFonts w:hint="default" w:ascii="Times New Roman" w:hAnsi="Times New Roman" w:cs="Times New Roman"/>
                <w:color w:val="auto"/>
                <w:sz w:val="24"/>
                <w:lang w:val="en-US" w:eastAsia="zh-CN"/>
              </w:rPr>
              <w:t>临时道路大部分利用周边已有市政道路及机耕小路，无法直接到达塔基处，采用骡马托运方式运输施工材料</w:t>
            </w:r>
            <w:r>
              <w:rPr>
                <w:rFonts w:hint="default" w:ascii="Times New Roman" w:hAnsi="Times New Roman" w:eastAsia="宋体" w:cs="Times New Roman"/>
                <w:sz w:val="24"/>
                <w:szCs w:val="24"/>
                <w:lang w:val="en-US" w:eastAsia="zh-CN"/>
              </w:rPr>
              <w:t>。</w:t>
            </w:r>
          </w:p>
          <w:p w14:paraId="74CC3AC9">
            <w:pPr>
              <w:bidi w:val="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w:t>
            </w:r>
            <w:r>
              <w:rPr>
                <w:rFonts w:hint="default"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lang w:val="en-US" w:eastAsia="zh-CN"/>
              </w:rPr>
              <w:t>-1 项目占地面积、性质和类型表</w:t>
            </w:r>
            <w:r>
              <w:rPr>
                <w:rFonts w:hint="eastAsia" w:cs="Times New Roman"/>
                <w:b/>
                <w:bCs/>
                <w:color w:val="auto"/>
                <w:sz w:val="21"/>
                <w:szCs w:val="21"/>
                <w:lang w:val="en-US" w:eastAsia="zh-CN"/>
              </w:rPr>
              <w:t xml:space="preserve">  单位：hm</w:t>
            </w:r>
            <w:r>
              <w:rPr>
                <w:rFonts w:hint="eastAsia" w:cs="Times New Roman"/>
                <w:b/>
                <w:bCs/>
                <w:color w:val="auto"/>
                <w:sz w:val="21"/>
                <w:szCs w:val="21"/>
                <w:vertAlign w:val="superscript"/>
                <w:lang w:val="en-US" w:eastAsia="zh-CN"/>
              </w:rPr>
              <w:t>2</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017"/>
              <w:gridCol w:w="2450"/>
              <w:gridCol w:w="1074"/>
              <w:gridCol w:w="1090"/>
              <w:gridCol w:w="769"/>
              <w:gridCol w:w="797"/>
              <w:gridCol w:w="1060"/>
              <w:gridCol w:w="728"/>
            </w:tblGrid>
            <w:tr w14:paraId="193D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restart"/>
                  <w:noWrap w:val="0"/>
                  <w:vAlign w:val="center"/>
                </w:tcPr>
                <w:p w14:paraId="2AF848FF">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一级分区</w:t>
                  </w:r>
                </w:p>
              </w:tc>
              <w:tc>
                <w:tcPr>
                  <w:tcW w:w="1363" w:type="pct"/>
                  <w:vMerge w:val="restart"/>
                  <w:noWrap w:val="0"/>
                  <w:vAlign w:val="center"/>
                </w:tcPr>
                <w:p w14:paraId="60D36DC8">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二级分区</w:t>
                  </w:r>
                </w:p>
              </w:tc>
              <w:tc>
                <w:tcPr>
                  <w:tcW w:w="1204" w:type="pct"/>
                  <w:gridSpan w:val="2"/>
                  <w:noWrap w:val="0"/>
                  <w:vAlign w:val="center"/>
                </w:tcPr>
                <w:p w14:paraId="5B5DD5BD">
                  <w:pPr>
                    <w:pStyle w:val="19"/>
                    <w:spacing w:before="0" w:line="240" w:lineRule="auto"/>
                    <w:ind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占地性质</w:t>
                  </w:r>
                </w:p>
              </w:tc>
              <w:tc>
                <w:tcPr>
                  <w:tcW w:w="1461" w:type="pct"/>
                  <w:gridSpan w:val="3"/>
                  <w:noWrap w:val="0"/>
                  <w:vAlign w:val="center"/>
                </w:tcPr>
                <w:p w14:paraId="0754BEDB">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占地类型</w:t>
                  </w:r>
                </w:p>
              </w:tc>
              <w:tc>
                <w:tcPr>
                  <w:tcW w:w="405" w:type="pct"/>
                  <w:vMerge w:val="restart"/>
                  <w:noWrap w:val="0"/>
                  <w:vAlign w:val="center"/>
                </w:tcPr>
                <w:p w14:paraId="0485196C">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合计</w:t>
                  </w:r>
                </w:p>
              </w:tc>
            </w:tr>
            <w:tr w14:paraId="017F3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continue"/>
                  <w:noWrap w:val="0"/>
                  <w:vAlign w:val="center"/>
                </w:tcPr>
                <w:p w14:paraId="308158E3">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p>
              </w:tc>
              <w:tc>
                <w:tcPr>
                  <w:tcW w:w="1363" w:type="pct"/>
                  <w:vMerge w:val="continue"/>
                  <w:noWrap w:val="0"/>
                  <w:vAlign w:val="center"/>
                </w:tcPr>
                <w:p w14:paraId="07C75ABC">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p>
              </w:tc>
              <w:tc>
                <w:tcPr>
                  <w:tcW w:w="597" w:type="pct"/>
                  <w:noWrap w:val="0"/>
                  <w:vAlign w:val="center"/>
                </w:tcPr>
                <w:p w14:paraId="445BFBE8">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永久用地</w:t>
                  </w:r>
                </w:p>
              </w:tc>
              <w:tc>
                <w:tcPr>
                  <w:tcW w:w="606" w:type="pct"/>
                  <w:noWrap w:val="0"/>
                  <w:vAlign w:val="center"/>
                </w:tcPr>
                <w:p w14:paraId="49611E85">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临时用地</w:t>
                  </w:r>
                </w:p>
              </w:tc>
              <w:tc>
                <w:tcPr>
                  <w:tcW w:w="427" w:type="pct"/>
                  <w:noWrap w:val="0"/>
                  <w:vAlign w:val="center"/>
                </w:tcPr>
                <w:p w14:paraId="00F60E90">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林地</w:t>
                  </w:r>
                </w:p>
              </w:tc>
              <w:tc>
                <w:tcPr>
                  <w:tcW w:w="443" w:type="pct"/>
                  <w:noWrap w:val="0"/>
                  <w:vAlign w:val="center"/>
                </w:tcPr>
                <w:p w14:paraId="3EFFCBB5">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旱地</w:t>
                  </w:r>
                </w:p>
              </w:tc>
              <w:tc>
                <w:tcPr>
                  <w:tcW w:w="589" w:type="pct"/>
                  <w:noWrap w:val="0"/>
                  <w:vAlign w:val="center"/>
                </w:tcPr>
                <w:p w14:paraId="7B6D9110">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其他草地</w:t>
                  </w:r>
                </w:p>
              </w:tc>
              <w:tc>
                <w:tcPr>
                  <w:tcW w:w="405" w:type="pct"/>
                  <w:vMerge w:val="continue"/>
                  <w:noWrap w:val="0"/>
                  <w:vAlign w:val="center"/>
                </w:tcPr>
                <w:p w14:paraId="5E44D3FC">
                  <w:pPr>
                    <w:pStyle w:val="19"/>
                    <w:spacing w:before="0" w:line="240" w:lineRule="auto"/>
                    <w:jc w:val="center"/>
                    <w:rPr>
                      <w:rFonts w:hint="default" w:ascii="Times New Roman" w:hAnsi="Times New Roman" w:eastAsia="宋体" w:cs="Times New Roman"/>
                      <w:b/>
                      <w:bCs/>
                      <w:color w:val="auto"/>
                      <w:sz w:val="21"/>
                      <w:szCs w:val="21"/>
                      <w:vertAlign w:val="baseline"/>
                      <w:lang w:val="en-US" w:eastAsia="zh-CN"/>
                    </w:rPr>
                  </w:pPr>
                </w:p>
              </w:tc>
            </w:tr>
            <w:tr w14:paraId="67052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restart"/>
                  <w:noWrap w:val="0"/>
                  <w:vAlign w:val="center"/>
                </w:tcPr>
                <w:p w14:paraId="4A9DD7B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新建</w:t>
                  </w:r>
                  <w:r>
                    <w:rPr>
                      <w:rFonts w:hint="default" w:ascii="Times New Roman" w:hAnsi="Times New Roman" w:eastAsia="宋体" w:cs="Times New Roman"/>
                      <w:color w:val="auto"/>
                      <w:sz w:val="21"/>
                      <w:szCs w:val="21"/>
                      <w:vertAlign w:val="baseline"/>
                      <w:lang w:val="en-US" w:eastAsia="zh-CN"/>
                    </w:rPr>
                    <w:t>变电站</w:t>
                  </w:r>
                  <w:r>
                    <w:rPr>
                      <w:rFonts w:hint="eastAsia" w:ascii="Times New Roman" w:hAnsi="Times New Roman" w:cs="Times New Roman"/>
                      <w:color w:val="auto"/>
                      <w:sz w:val="21"/>
                      <w:szCs w:val="21"/>
                      <w:vertAlign w:val="baseline"/>
                      <w:lang w:val="en-US" w:eastAsia="zh-CN"/>
                    </w:rPr>
                    <w:t>工程区</w:t>
                  </w:r>
                </w:p>
              </w:tc>
              <w:tc>
                <w:tcPr>
                  <w:tcW w:w="1363" w:type="pct"/>
                  <w:noWrap w:val="0"/>
                  <w:vAlign w:val="center"/>
                </w:tcPr>
                <w:p w14:paraId="4EBC7F32">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变电站工程区</w:t>
                  </w:r>
                </w:p>
              </w:tc>
              <w:tc>
                <w:tcPr>
                  <w:tcW w:w="597" w:type="pct"/>
                  <w:noWrap w:val="0"/>
                  <w:vAlign w:val="center"/>
                </w:tcPr>
                <w:p w14:paraId="410BEF5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0.4352</w:t>
                  </w:r>
                </w:p>
              </w:tc>
              <w:tc>
                <w:tcPr>
                  <w:tcW w:w="606" w:type="pct"/>
                  <w:noWrap w:val="0"/>
                  <w:vAlign w:val="center"/>
                </w:tcPr>
                <w:p w14:paraId="30B8599F">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427" w:type="pct"/>
                  <w:noWrap w:val="0"/>
                  <w:vAlign w:val="center"/>
                </w:tcPr>
                <w:p w14:paraId="74E68222">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0.36</w:t>
                  </w:r>
                </w:p>
              </w:tc>
              <w:tc>
                <w:tcPr>
                  <w:tcW w:w="443" w:type="pct"/>
                  <w:noWrap w:val="0"/>
                  <w:vAlign w:val="center"/>
                </w:tcPr>
                <w:p w14:paraId="25E336ED">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0.0752</w:t>
                  </w:r>
                </w:p>
              </w:tc>
              <w:tc>
                <w:tcPr>
                  <w:tcW w:w="589" w:type="pct"/>
                  <w:noWrap w:val="0"/>
                  <w:vAlign w:val="center"/>
                </w:tcPr>
                <w:p w14:paraId="43AE8F81">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405" w:type="pct"/>
                  <w:noWrap w:val="0"/>
                  <w:vAlign w:val="center"/>
                </w:tcPr>
                <w:p w14:paraId="3A20F97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0.4352</w:t>
                  </w:r>
                </w:p>
              </w:tc>
            </w:tr>
            <w:tr w14:paraId="11450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continue"/>
                  <w:noWrap w:val="0"/>
                  <w:vAlign w:val="center"/>
                </w:tcPr>
                <w:p w14:paraId="1505F083">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p>
              </w:tc>
              <w:tc>
                <w:tcPr>
                  <w:tcW w:w="1363" w:type="pct"/>
                  <w:noWrap w:val="0"/>
                  <w:vAlign w:val="center"/>
                </w:tcPr>
                <w:p w14:paraId="4AD5F30A">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施工生产生活区</w:t>
                  </w:r>
                </w:p>
              </w:tc>
              <w:tc>
                <w:tcPr>
                  <w:tcW w:w="597" w:type="pct"/>
                  <w:noWrap w:val="0"/>
                  <w:vAlign w:val="center"/>
                </w:tcPr>
                <w:p w14:paraId="7A38D503">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606" w:type="pct"/>
                  <w:noWrap w:val="0"/>
                  <w:vAlign w:val="center"/>
                </w:tcPr>
                <w:p w14:paraId="214EF4F6">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0.03</w:t>
                  </w:r>
                </w:p>
              </w:tc>
              <w:tc>
                <w:tcPr>
                  <w:tcW w:w="427" w:type="pct"/>
                  <w:noWrap w:val="0"/>
                  <w:vAlign w:val="center"/>
                </w:tcPr>
                <w:p w14:paraId="1CF4EC9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443" w:type="pct"/>
                  <w:noWrap w:val="0"/>
                  <w:vAlign w:val="center"/>
                </w:tcPr>
                <w:p w14:paraId="47822D3B">
                  <w:pPr>
                    <w:pStyle w:val="19"/>
                    <w:spacing w:before="0" w:line="240" w:lineRule="auto"/>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589" w:type="pct"/>
                  <w:noWrap w:val="0"/>
                  <w:vAlign w:val="center"/>
                </w:tcPr>
                <w:p w14:paraId="43695181">
                  <w:pPr>
                    <w:pStyle w:val="19"/>
                    <w:spacing w:before="0" w:line="240" w:lineRule="auto"/>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0.03</w:t>
                  </w:r>
                </w:p>
              </w:tc>
              <w:tc>
                <w:tcPr>
                  <w:tcW w:w="405" w:type="pct"/>
                  <w:noWrap w:val="0"/>
                  <w:vAlign w:val="center"/>
                </w:tcPr>
                <w:p w14:paraId="22614614">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0.03</w:t>
                  </w:r>
                </w:p>
              </w:tc>
            </w:tr>
            <w:tr w14:paraId="30922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restart"/>
                  <w:noWrap w:val="0"/>
                  <w:vAlign w:val="center"/>
                </w:tcPr>
                <w:p w14:paraId="0FD81AFA">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架空线路工程区</w:t>
                  </w:r>
                </w:p>
              </w:tc>
              <w:tc>
                <w:tcPr>
                  <w:tcW w:w="1363" w:type="pct"/>
                  <w:noWrap w:val="0"/>
                  <w:vAlign w:val="center"/>
                </w:tcPr>
                <w:p w14:paraId="11F4B880">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塔基</w:t>
                  </w:r>
                  <w:r>
                    <w:rPr>
                      <w:rFonts w:hint="eastAsia" w:ascii="Times New Roman" w:hAnsi="Times New Roman" w:cs="Times New Roman"/>
                      <w:color w:val="auto"/>
                      <w:sz w:val="21"/>
                      <w:szCs w:val="21"/>
                      <w:vertAlign w:val="baseline"/>
                      <w:lang w:val="en-US" w:eastAsia="zh-CN"/>
                    </w:rPr>
                    <w:t>工程</w:t>
                  </w:r>
                  <w:r>
                    <w:rPr>
                      <w:rFonts w:hint="default" w:ascii="Times New Roman" w:hAnsi="Times New Roman" w:eastAsia="宋体" w:cs="Times New Roman"/>
                      <w:color w:val="auto"/>
                      <w:sz w:val="21"/>
                      <w:szCs w:val="21"/>
                      <w:vertAlign w:val="baseline"/>
                      <w:lang w:val="en-US" w:eastAsia="zh-CN"/>
                    </w:rPr>
                    <w:t>区</w:t>
                  </w:r>
                </w:p>
              </w:tc>
              <w:tc>
                <w:tcPr>
                  <w:tcW w:w="597" w:type="pct"/>
                  <w:noWrap w:val="0"/>
                  <w:vAlign w:val="center"/>
                </w:tcPr>
                <w:p w14:paraId="0A2DEBCC">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1.34</w:t>
                  </w:r>
                </w:p>
              </w:tc>
              <w:tc>
                <w:tcPr>
                  <w:tcW w:w="606" w:type="pct"/>
                  <w:noWrap w:val="0"/>
                  <w:vAlign w:val="center"/>
                </w:tcPr>
                <w:p w14:paraId="7B2D7742">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3.96</w:t>
                  </w:r>
                </w:p>
              </w:tc>
              <w:tc>
                <w:tcPr>
                  <w:tcW w:w="427" w:type="pct"/>
                  <w:noWrap w:val="0"/>
                  <w:vAlign w:val="center"/>
                </w:tcPr>
                <w:p w14:paraId="4C69A1D5">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4.24</w:t>
                  </w:r>
                </w:p>
              </w:tc>
              <w:tc>
                <w:tcPr>
                  <w:tcW w:w="443" w:type="pct"/>
                  <w:noWrap w:val="0"/>
                  <w:vAlign w:val="center"/>
                </w:tcPr>
                <w:p w14:paraId="6AC4802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589" w:type="pct"/>
                  <w:noWrap w:val="0"/>
                  <w:vAlign w:val="center"/>
                </w:tcPr>
                <w:p w14:paraId="686B1698">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1.06</w:t>
                  </w:r>
                </w:p>
              </w:tc>
              <w:tc>
                <w:tcPr>
                  <w:tcW w:w="405" w:type="pct"/>
                  <w:noWrap w:val="0"/>
                  <w:vAlign w:val="center"/>
                </w:tcPr>
                <w:p w14:paraId="6A225BD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5.30</w:t>
                  </w:r>
                </w:p>
              </w:tc>
            </w:tr>
            <w:tr w14:paraId="02C78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continue"/>
                  <w:noWrap w:val="0"/>
                  <w:vAlign w:val="center"/>
                </w:tcPr>
                <w:p w14:paraId="7EFB891F">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p>
              </w:tc>
              <w:tc>
                <w:tcPr>
                  <w:tcW w:w="1363" w:type="pct"/>
                  <w:noWrap w:val="0"/>
                  <w:vAlign w:val="center"/>
                </w:tcPr>
                <w:p w14:paraId="1D98E90D">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牵张场及穿越场施工区</w:t>
                  </w:r>
                </w:p>
              </w:tc>
              <w:tc>
                <w:tcPr>
                  <w:tcW w:w="597" w:type="pct"/>
                  <w:noWrap w:val="0"/>
                  <w:vAlign w:val="center"/>
                </w:tcPr>
                <w:p w14:paraId="4D8B866A">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606" w:type="pct"/>
                  <w:noWrap w:val="0"/>
                  <w:vAlign w:val="center"/>
                </w:tcPr>
                <w:p w14:paraId="2698A9F9">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0.92</w:t>
                  </w:r>
                </w:p>
              </w:tc>
              <w:tc>
                <w:tcPr>
                  <w:tcW w:w="427" w:type="pct"/>
                  <w:noWrap w:val="0"/>
                  <w:vAlign w:val="center"/>
                </w:tcPr>
                <w:p w14:paraId="52944DFE">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443" w:type="pct"/>
                  <w:noWrap w:val="0"/>
                  <w:vAlign w:val="center"/>
                </w:tcPr>
                <w:p w14:paraId="75C39F83">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589" w:type="pct"/>
                  <w:noWrap w:val="0"/>
                  <w:vAlign w:val="center"/>
                </w:tcPr>
                <w:p w14:paraId="79545DC8">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0.92</w:t>
                  </w:r>
                </w:p>
              </w:tc>
              <w:tc>
                <w:tcPr>
                  <w:tcW w:w="405" w:type="pct"/>
                  <w:noWrap w:val="0"/>
                  <w:vAlign w:val="center"/>
                </w:tcPr>
                <w:p w14:paraId="63BBFB5E">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0.92</w:t>
                  </w:r>
                </w:p>
              </w:tc>
            </w:tr>
            <w:tr w14:paraId="0ACCB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65" w:type="pct"/>
                  <w:vMerge w:val="continue"/>
                  <w:noWrap w:val="0"/>
                  <w:vAlign w:val="center"/>
                </w:tcPr>
                <w:p w14:paraId="69002096">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p>
              </w:tc>
              <w:tc>
                <w:tcPr>
                  <w:tcW w:w="1363" w:type="pct"/>
                  <w:noWrap w:val="0"/>
                  <w:vAlign w:val="center"/>
                </w:tcPr>
                <w:p w14:paraId="7CAECB6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施工临时道路</w:t>
                  </w:r>
                </w:p>
              </w:tc>
              <w:tc>
                <w:tcPr>
                  <w:tcW w:w="597" w:type="pct"/>
                  <w:noWrap w:val="0"/>
                  <w:vAlign w:val="center"/>
                </w:tcPr>
                <w:p w14:paraId="2B3D6BB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606" w:type="pct"/>
                  <w:noWrap w:val="0"/>
                  <w:vAlign w:val="center"/>
                </w:tcPr>
                <w:p w14:paraId="6F47B164">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w:t>
                  </w:r>
                </w:p>
              </w:tc>
              <w:tc>
                <w:tcPr>
                  <w:tcW w:w="427" w:type="pct"/>
                  <w:noWrap w:val="0"/>
                  <w:vAlign w:val="center"/>
                </w:tcPr>
                <w:p w14:paraId="1F3D970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w:t>
                  </w:r>
                </w:p>
              </w:tc>
              <w:tc>
                <w:tcPr>
                  <w:tcW w:w="443" w:type="pct"/>
                  <w:noWrap w:val="0"/>
                  <w:vAlign w:val="center"/>
                </w:tcPr>
                <w:p w14:paraId="4DFD3FFE">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p>
              </w:tc>
              <w:tc>
                <w:tcPr>
                  <w:tcW w:w="589" w:type="pct"/>
                  <w:noWrap w:val="0"/>
                  <w:vAlign w:val="center"/>
                </w:tcPr>
                <w:p w14:paraId="7DB21379">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0.2</w:t>
                  </w:r>
                </w:p>
              </w:tc>
              <w:tc>
                <w:tcPr>
                  <w:tcW w:w="405" w:type="pct"/>
                  <w:noWrap w:val="0"/>
                  <w:vAlign w:val="center"/>
                </w:tcPr>
                <w:p w14:paraId="0851F090">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w:t>
                  </w:r>
                </w:p>
              </w:tc>
            </w:tr>
            <w:tr w14:paraId="740F1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1929" w:type="pct"/>
                  <w:gridSpan w:val="2"/>
                  <w:noWrap w:val="0"/>
                  <w:vAlign w:val="center"/>
                </w:tcPr>
                <w:p w14:paraId="73A6C67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合计</w:t>
                  </w:r>
                </w:p>
              </w:tc>
              <w:tc>
                <w:tcPr>
                  <w:tcW w:w="597" w:type="pct"/>
                  <w:noWrap w:val="0"/>
                  <w:vAlign w:val="center"/>
                </w:tcPr>
                <w:p w14:paraId="03D233C0">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1.7752</w:t>
                  </w:r>
                </w:p>
              </w:tc>
              <w:tc>
                <w:tcPr>
                  <w:tcW w:w="606" w:type="pct"/>
                  <w:noWrap w:val="0"/>
                  <w:vAlign w:val="center"/>
                </w:tcPr>
                <w:p w14:paraId="55DDAF63">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6.11</w:t>
                  </w:r>
                </w:p>
              </w:tc>
              <w:tc>
                <w:tcPr>
                  <w:tcW w:w="427" w:type="pct"/>
                  <w:noWrap w:val="0"/>
                  <w:vAlign w:val="center"/>
                </w:tcPr>
                <w:p w14:paraId="7673C607">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5.60</w:t>
                  </w:r>
                </w:p>
              </w:tc>
              <w:tc>
                <w:tcPr>
                  <w:tcW w:w="443" w:type="pct"/>
                  <w:noWrap w:val="0"/>
                  <w:vAlign w:val="center"/>
                </w:tcPr>
                <w:p w14:paraId="3DF363AF">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0.0752</w:t>
                  </w:r>
                </w:p>
              </w:tc>
              <w:tc>
                <w:tcPr>
                  <w:tcW w:w="589" w:type="pct"/>
                  <w:noWrap w:val="0"/>
                  <w:vAlign w:val="center"/>
                </w:tcPr>
                <w:p w14:paraId="057F0E4D">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2.21</w:t>
                  </w:r>
                </w:p>
              </w:tc>
              <w:tc>
                <w:tcPr>
                  <w:tcW w:w="405" w:type="pct"/>
                  <w:noWrap w:val="0"/>
                  <w:vAlign w:val="center"/>
                </w:tcPr>
                <w:p w14:paraId="3A8CE8FB">
                  <w:pPr>
                    <w:pStyle w:val="19"/>
                    <w:spacing w:before="0" w:line="240" w:lineRule="auto"/>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7.8852</w:t>
                  </w:r>
                </w:p>
              </w:tc>
            </w:tr>
          </w:tbl>
          <w:p w14:paraId="3AAC536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线路的永久占地除塔基桩脚外，可部分恢复现状植被或转变为其他植被类型；临时占地经过一段时间自然保育或人工恢复，可恢复现状植被。输电线路在施工期安装铁塔，开挖塔基时要清除地表的所有植被，会造成植被破坏。线路工程占地较为分散，施工临时占地较多，不存在集中大量占用土地的情况，且临时占用的耕地施工结束后归还当地复耕复绿。对生态环境的影响仅限于施工期，并且扰动较小。项目建成后，对生态环境基本无影响。</w:t>
            </w:r>
          </w:p>
          <w:p w14:paraId="5BE7FA6F">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牵张场和施工临时道路结合当地地形地貌、场地条件、工作需要设置，场地修建本着交通方便，场地平整、施工便利等原则选择，尽量减少对现有地貌的损坏。施工过程中在牵张场、施工便道、材料场周围修建彩钢板拦挡，限定施工人员活动范围、减少水土流失。施工结束后，对场地进行土地整治、复耕或撒播乡土草种，从而恢复场地土壤结构及植被，消除影响。</w:t>
            </w:r>
          </w:p>
          <w:p w14:paraId="535D1D00">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塔基临时占地施工结束后将通过植被恢复、表土回填等方法恢复其原有土地功能，对土地利用的影响是短暂的、可恢复的。施工期塔基堆土区采用彩条布遮盖，表土进行剥离分开堆放，编织袋状土拦挡，四周设置临时排水沟，设置泥浆沉淀池施工布置紧凑以减少临时占地。施工结束后，除铁塔塔腿位置均可恢复绿化或耕种，消除影响。</w:t>
            </w:r>
          </w:p>
          <w:p w14:paraId="3BAAE142">
            <w:pPr>
              <w:spacing w:line="360" w:lineRule="auto"/>
              <w:ind w:firstLine="482" w:firstLineChars="20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4.2.2对农业生态系统的影响</w:t>
            </w:r>
          </w:p>
          <w:p w14:paraId="650CD371">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工程生态环境影响评价范围内的农田生态系统，主要种植水稻等常见农作物。本工程建设不可避免会对农业生态产生一定影响，主要影响因素是工程占地，其中施工临时占地对农业生态的影响是短期、暂时性的，施工结束后通过表土回填、土地复垦可恢复耕作，影响随之缓解并逐渐消除，工程建设对农业生态的影响主要为输电线路塔基永久占地。本工程变电站及输电线路塔基永久占地约</w:t>
            </w:r>
            <w:r>
              <w:rPr>
                <w:rFonts w:hint="eastAsia" w:cs="Times New Roman"/>
                <w:sz w:val="24"/>
                <w:szCs w:val="24"/>
                <w:lang w:val="en-US" w:eastAsia="zh-CN"/>
              </w:rPr>
              <w:t>17752</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，其中占用农业用地约</w:t>
            </w:r>
            <w:r>
              <w:rPr>
                <w:rFonts w:hint="eastAsia" w:cs="Times New Roman"/>
                <w:sz w:val="24"/>
                <w:szCs w:val="24"/>
                <w:lang w:val="en-US" w:eastAsia="zh-CN"/>
              </w:rPr>
              <w:t>12400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（变电站占农用地（林地和旱地）4352</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，输电线路塔基占农用地（林地）约8048</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w:t>
            </w:r>
            <w:r>
              <w:rPr>
                <w:rFonts w:hint="default" w:ascii="Times New Roman" w:hAnsi="Times New Roman" w:eastAsia="宋体" w:cs="Times New Roman"/>
                <w:sz w:val="24"/>
                <w:szCs w:val="24"/>
                <w:lang w:val="en-US" w:eastAsia="zh-CN"/>
              </w:rPr>
              <w:t>，根据当地农田生物量的数据信息，按一般年平均生物量11.3~27.2t/hm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估算，损失的总生物量最大值约为</w:t>
            </w:r>
            <w:r>
              <w:rPr>
                <w:rFonts w:hint="eastAsia" w:cs="Times New Roman"/>
                <w:sz w:val="24"/>
                <w:szCs w:val="24"/>
                <w:lang w:val="en-US" w:eastAsia="zh-CN"/>
              </w:rPr>
              <w:t>33.73</w:t>
            </w:r>
            <w:r>
              <w:rPr>
                <w:rFonts w:hint="default" w:ascii="Times New Roman" w:hAnsi="Times New Roman" w:eastAsia="宋体" w:cs="Times New Roman"/>
                <w:sz w:val="24"/>
                <w:szCs w:val="24"/>
                <w:lang w:val="en-US" w:eastAsia="zh-CN"/>
              </w:rPr>
              <w:t>t/a。</w:t>
            </w:r>
          </w:p>
          <w:p w14:paraId="68AFDA76">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针对输变电工程占地对农田生态可能造成的影响，本工程输电线路塔位选择时将尽量减少对农业用地的占用；合理安排施工期，尽量选择休耕期进行施工，以避免或减少对农作物的损毁，对毁坏的青苗要给予赔偿；施工过程中尽量保存塔基开挖处的熟土和表层土，并按照土层的顺序回填，松土、施肥，恢复为农用地；施工临时堆土、施工材料、废弃杆塔等堆放至田埂或田头边坡上，最大限度</w:t>
            </w:r>
            <w:r>
              <w:rPr>
                <w:rFonts w:hint="eastAsia" w:cs="Times New Roman"/>
                <w:sz w:val="24"/>
                <w:szCs w:val="24"/>
                <w:lang w:val="en-US" w:eastAsia="zh-CN"/>
              </w:rPr>
              <w:t>减少</w:t>
            </w:r>
            <w:r>
              <w:rPr>
                <w:rFonts w:hint="default" w:ascii="Times New Roman" w:hAnsi="Times New Roman" w:eastAsia="宋体" w:cs="Times New Roman"/>
                <w:sz w:val="24"/>
                <w:szCs w:val="24"/>
                <w:lang w:val="en-US" w:eastAsia="zh-CN"/>
              </w:rPr>
              <w:t>对农田的占用；对临时征用土地，施工结束后及时给予恢复，以减少对周围农业环境的影响；对临时施工道路进行恢复，尤其是耕地部分，及时进行复垦。由于本工程占地相对较小，输电线路塔基单基占地面积小且分散，施工期采取上述措施后，工程的建设不会大幅度减少区域农田面积，不会改变当地农业用地格局，对沿线地区农业生态的影响程度较低。</w:t>
            </w:r>
          </w:p>
          <w:p w14:paraId="68B02C5F">
            <w:pPr>
              <w:spacing w:line="360" w:lineRule="auto"/>
              <w:ind w:firstLine="482" w:firstLineChars="20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4.2.3、对森林植被的影响</w:t>
            </w:r>
          </w:p>
          <w:p w14:paraId="3A9AB23B">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拟建变电站永久占地现状为</w:t>
            </w:r>
            <w:r>
              <w:rPr>
                <w:rFonts w:hint="eastAsia" w:cs="Times New Roman"/>
                <w:sz w:val="24"/>
                <w:szCs w:val="24"/>
                <w:lang w:val="en-US" w:eastAsia="zh-CN"/>
              </w:rPr>
              <w:t>农用地</w:t>
            </w:r>
            <w:r>
              <w:rPr>
                <w:rFonts w:hint="default" w:ascii="Times New Roman" w:hAnsi="Times New Roman" w:eastAsia="宋体" w:cs="Times New Roman"/>
                <w:sz w:val="24"/>
                <w:szCs w:val="24"/>
                <w:lang w:val="en-US" w:eastAsia="zh-CN"/>
              </w:rPr>
              <w:t>。拟建输电线路沿线主要为林地</w:t>
            </w:r>
            <w:r>
              <w:rPr>
                <w:rFonts w:hint="eastAsia" w:cs="Times New Roman"/>
                <w:sz w:val="24"/>
                <w:szCs w:val="24"/>
                <w:lang w:val="en-US" w:eastAsia="zh-CN"/>
              </w:rPr>
              <w:t>和草地</w:t>
            </w:r>
            <w:r>
              <w:rPr>
                <w:rFonts w:hint="default" w:ascii="Times New Roman" w:hAnsi="Times New Roman" w:eastAsia="宋体" w:cs="Times New Roman"/>
                <w:sz w:val="24"/>
                <w:szCs w:val="24"/>
                <w:lang w:val="en-US" w:eastAsia="zh-CN"/>
              </w:rPr>
              <w:t>，</w:t>
            </w:r>
            <w:r>
              <w:rPr>
                <w:rFonts w:hint="eastAsia" w:cs="Times New Roman"/>
                <w:sz w:val="24"/>
                <w:szCs w:val="24"/>
                <w:lang w:val="en-US" w:eastAsia="zh-CN"/>
              </w:rPr>
              <w:t>以</w:t>
            </w:r>
            <w:r>
              <w:rPr>
                <w:rFonts w:hint="default" w:ascii="Times New Roman" w:hAnsi="Times New Roman" w:eastAsia="宋体" w:cs="Times New Roman"/>
                <w:sz w:val="24"/>
                <w:szCs w:val="24"/>
                <w:lang w:val="en-US" w:eastAsia="zh-CN"/>
              </w:rPr>
              <w:t>人工种植的</w:t>
            </w:r>
            <w:r>
              <w:rPr>
                <w:rFonts w:hint="eastAsia" w:cs="Times New Roman"/>
                <w:sz w:val="24"/>
                <w:szCs w:val="24"/>
                <w:lang w:val="en-US" w:eastAsia="zh-CN"/>
              </w:rPr>
              <w:t>茶树及绿化树木为主，全线采用架空线路的方式，项目线路路径跨越I级保护林地和一级国家级公益林，线路塔基不涉及占用I级保护林地和一级国家级公益林，不涉及采伐I级保护林地和一级国家级公益林中的林木，不破坏古树名木；该线路路径不涉及已划定的自然保护地</w:t>
            </w:r>
            <w:r>
              <w:rPr>
                <w:rFonts w:hint="default" w:ascii="Times New Roman" w:hAnsi="Times New Roman" w:eastAsia="宋体" w:cs="Times New Roman"/>
                <w:sz w:val="24"/>
                <w:szCs w:val="24"/>
                <w:lang w:val="en-US" w:eastAsia="zh-CN"/>
              </w:rPr>
              <w:t>。输电线路塔基占地，这部分土地一经占用，其原有土地使用功能将部分丧失，占地内的植被遭受破坏，土地生产力也将受到影响。塔基永久占地呈点状不连续分布，且塔基中间空地仍可进行植被恢复。因此，本工程建设对土地利用的影响轻微。本工程输电线路跨越林地时一般均采用高跨方式穿越林地，不进行砍伐。新建输电线路杆塔已尽量避开了林地，仅少数因无法</w:t>
            </w:r>
            <w:r>
              <w:rPr>
                <w:rFonts w:hint="eastAsia" w:cs="Times New Roman"/>
                <w:sz w:val="24"/>
                <w:szCs w:val="24"/>
                <w:lang w:val="en-US" w:eastAsia="zh-CN"/>
              </w:rPr>
              <w:t>避让</w:t>
            </w:r>
            <w:r>
              <w:rPr>
                <w:rFonts w:hint="default" w:ascii="Times New Roman" w:hAnsi="Times New Roman" w:eastAsia="宋体" w:cs="Times New Roman"/>
                <w:sz w:val="24"/>
                <w:szCs w:val="24"/>
                <w:lang w:val="en-US" w:eastAsia="zh-CN"/>
              </w:rPr>
              <w:t>需要对塔基范围内的林木进行砍伐，且均为零星砍伐，因此不会影响区域内森林生态系统的结构和功能，对森林生态系统</w:t>
            </w:r>
            <w:r>
              <w:rPr>
                <w:rFonts w:hint="eastAsia" w:cs="Times New Roman"/>
                <w:sz w:val="24"/>
                <w:szCs w:val="24"/>
                <w:lang w:val="en-US" w:eastAsia="zh-CN"/>
              </w:rPr>
              <w:t>的影响可接受</w:t>
            </w:r>
            <w:r>
              <w:rPr>
                <w:rFonts w:hint="default" w:ascii="Times New Roman" w:hAnsi="Times New Roman" w:eastAsia="宋体" w:cs="Times New Roman"/>
                <w:sz w:val="24"/>
                <w:szCs w:val="24"/>
                <w:lang w:val="en-US" w:eastAsia="zh-CN"/>
              </w:rPr>
              <w:t>。</w:t>
            </w:r>
          </w:p>
          <w:p w14:paraId="74E49D06">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本工程变电站及输电线路塔基永久占地约</w:t>
            </w:r>
            <w:r>
              <w:rPr>
                <w:rFonts w:hint="eastAsia" w:cs="Times New Roman"/>
                <w:sz w:val="24"/>
                <w:szCs w:val="24"/>
                <w:lang w:val="en-US" w:eastAsia="zh-CN"/>
              </w:rPr>
              <w:t>17752</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，其中占用</w:t>
            </w:r>
            <w:r>
              <w:rPr>
                <w:rFonts w:hint="eastAsia" w:cs="Times New Roman"/>
                <w:sz w:val="24"/>
                <w:szCs w:val="24"/>
                <w:lang w:val="en-US" w:eastAsia="zh-CN"/>
              </w:rPr>
              <w:t>林地</w:t>
            </w:r>
            <w:r>
              <w:rPr>
                <w:rFonts w:hint="default" w:ascii="Times New Roman" w:hAnsi="Times New Roman" w:eastAsia="宋体" w:cs="Times New Roman"/>
                <w:sz w:val="24"/>
                <w:szCs w:val="24"/>
                <w:lang w:val="en-US" w:eastAsia="zh-CN"/>
              </w:rPr>
              <w:t>约</w:t>
            </w:r>
            <w:r>
              <w:rPr>
                <w:rFonts w:hint="eastAsia" w:cs="Times New Roman"/>
                <w:sz w:val="24"/>
                <w:szCs w:val="24"/>
                <w:lang w:val="en-US" w:eastAsia="zh-CN"/>
              </w:rPr>
              <w:t>12400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（变电站占林地3600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，输电线路塔基占林地约8800</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2</w:t>
            </w:r>
            <w:r>
              <w:rPr>
                <w:rFonts w:hint="eastAsia" w:cs="Times New Roman"/>
                <w:sz w:val="24"/>
                <w:szCs w:val="24"/>
                <w:vertAlign w:val="baseline"/>
                <w:lang w:val="en-US" w:eastAsia="zh-CN"/>
              </w:rPr>
              <w:t>）</w:t>
            </w:r>
            <w:r>
              <w:rPr>
                <w:rFonts w:hint="default" w:ascii="Times New Roman" w:hAnsi="Times New Roman" w:eastAsia="宋体" w:cs="Times New Roman"/>
                <w:sz w:val="24"/>
                <w:szCs w:val="24"/>
                <w:lang w:val="en-US" w:eastAsia="zh-CN"/>
              </w:rPr>
              <w:t>，按《中国主要森林类型生物生产力格局及其数学模型》中一般年平均生物量125.03t/hm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，损失的生物量最大值约为</w:t>
            </w:r>
            <w:r>
              <w:rPr>
                <w:rFonts w:hint="eastAsia" w:cs="Times New Roman"/>
                <w:sz w:val="24"/>
                <w:szCs w:val="24"/>
                <w:lang w:val="en-US" w:eastAsia="zh-CN"/>
              </w:rPr>
              <w:t>110</w:t>
            </w:r>
            <w:r>
              <w:rPr>
                <w:rFonts w:hint="default" w:ascii="Times New Roman" w:hAnsi="Times New Roman" w:eastAsia="宋体" w:cs="Times New Roman"/>
                <w:sz w:val="24"/>
                <w:szCs w:val="24"/>
                <w:lang w:val="en-US" w:eastAsia="zh-CN"/>
              </w:rPr>
              <w:t>t/a。输电线路塔基呈点状不连续分布，单个塔基占地范围较小。因此，对森林生态影响较小，不会对沿线森林生态系统环境造成系统性的破坏。</w:t>
            </w:r>
          </w:p>
          <w:p w14:paraId="76F88CB5">
            <w:pPr>
              <w:spacing w:line="360" w:lineRule="auto"/>
              <w:ind w:firstLine="482" w:firstLineChars="200"/>
              <w:rPr>
                <w:rFonts w:hint="default" w:ascii="Times New Roman" w:hAnsi="Times New Roman" w:eastAsia="宋体" w:cs="Times New Roman"/>
                <w:b/>
                <w:bCs/>
                <w:sz w:val="24"/>
                <w:szCs w:val="24"/>
                <w:lang w:val="en-US" w:eastAsia="zh-CN"/>
              </w:rPr>
            </w:pPr>
            <w:r>
              <w:rPr>
                <w:rFonts w:hint="eastAsia" w:cs="Times New Roman"/>
                <w:b/>
                <w:bCs/>
                <w:sz w:val="24"/>
                <w:szCs w:val="24"/>
                <w:lang w:val="en-US" w:eastAsia="zh-CN"/>
              </w:rPr>
              <w:t>4.2.4、对湿地生态系统的影响</w:t>
            </w:r>
          </w:p>
          <w:p w14:paraId="03071704">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生态环境影响评价范围内湿地类型主要为河流湿地，还有零星沟渠、水塘等。</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输电线路均采用一档跨越水体，均不在水中立塔。对湿地生态系统的影响主要体现在跨越河流两岸的塔基施工过程中对水环境的影响，通过采取合理选择施工时段，在枯水期进行施工，可以大大减少对水环境的影响，同时项目建设不砍伐线路通道，不会对湿地生态系统内植被产生较大影响；因此，项目建设不会破坏评价区域内的湿地生态系统和生态过程的完整性及生物多样性。</w:t>
            </w:r>
          </w:p>
          <w:p w14:paraId="16151CD5">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输电线路跨越</w:t>
            </w:r>
            <w:r>
              <w:rPr>
                <w:rFonts w:hint="eastAsia" w:cs="Times New Roman"/>
                <w:sz w:val="24"/>
                <w:szCs w:val="24"/>
                <w:lang w:val="en-US" w:eastAsia="zh-CN"/>
              </w:rPr>
              <w:t>梅山水库、白水河、双河、麻河等水体</w:t>
            </w:r>
            <w:r>
              <w:rPr>
                <w:rFonts w:hint="default" w:ascii="Times New Roman" w:hAnsi="Times New Roman" w:eastAsia="宋体" w:cs="Times New Roman"/>
                <w:sz w:val="24"/>
                <w:szCs w:val="24"/>
                <w:lang w:val="en-US" w:eastAsia="zh-CN"/>
              </w:rPr>
              <w:t>施工过程中应尽量远离水体施工，施工期间，施工人员生活污水利用当地居民区已有的化粪池、工地临时厕所等处理设施进行处理，不直接排入周围环境；施工废水经隔油、澄清后回用</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不外排；施工人员生活垃圾委托地方环卫部门及时清运；建筑垃圾委托经核准从事建筑垃圾运输的单位运送至指定收纳场地，不得随意堆放；通过采取上述措施后，</w:t>
            </w: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施工建设对沿线湿地环境的影响较小。</w:t>
            </w:r>
          </w:p>
          <w:p w14:paraId="472FDD00">
            <w:pPr>
              <w:spacing w:line="360" w:lineRule="auto"/>
              <w:ind w:firstLine="482" w:firstLineChars="200"/>
              <w:rPr>
                <w:rFonts w:hint="default" w:ascii="Times New Roman" w:hAnsi="Times New Roman" w:eastAsia="宋体" w:cs="Times New Roman"/>
                <w:sz w:val="24"/>
                <w:szCs w:val="24"/>
                <w:lang w:val="en-US" w:eastAsia="zh-CN"/>
              </w:rPr>
            </w:pPr>
            <w:r>
              <w:rPr>
                <w:rFonts w:hint="eastAsia" w:cs="Times New Roman"/>
                <w:b/>
                <w:bCs/>
                <w:sz w:val="24"/>
                <w:szCs w:val="24"/>
                <w:lang w:val="en-US" w:eastAsia="zh-CN"/>
              </w:rPr>
              <w:t>4.2.5、对动物的影响</w:t>
            </w:r>
          </w:p>
          <w:p w14:paraId="583ABC8F">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根据现场调查，项目建设位于六安市</w:t>
            </w:r>
            <w:r>
              <w:rPr>
                <w:rFonts w:hint="eastAsia" w:cs="Times New Roman"/>
                <w:sz w:val="24"/>
                <w:szCs w:val="24"/>
                <w:lang w:val="en-US" w:eastAsia="zh-CN"/>
              </w:rPr>
              <w:t>金寨县境内</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b w:val="0"/>
                <w:bCs/>
                <w:sz w:val="24"/>
                <w:szCs w:val="24"/>
              </w:rPr>
              <w:t>评价区动物现状有两栖动物如无尾目蟾蜍科蟾蜍、黑斑蛙等，哺乳动物有东方田鼠、黑线姬鼠、褐家鼠等，周边地区鸟类如普通夜鹰、斑嘴鸭、麻雀，以雀形目鸟类最多</w:t>
            </w:r>
            <w:r>
              <w:rPr>
                <w:rFonts w:hint="default" w:ascii="Times New Roman" w:hAnsi="Times New Roman" w:eastAsia="宋体" w:cs="Times New Roman"/>
                <w:sz w:val="24"/>
                <w:szCs w:val="24"/>
                <w:lang w:val="en-US" w:eastAsia="zh-CN"/>
              </w:rPr>
              <w:t>，评价范围内未发现珍稀及受保护的野生动物，不涉及重点保护动物的集中栖息地、繁殖区等。因此，本工程建设对野生动物影响较小且影响时间较短，这种影响将随着施工的结束和临时占地植被的恢复而缓解、消失。</w:t>
            </w:r>
          </w:p>
          <w:p w14:paraId="0151CA11">
            <w:pPr>
              <w:spacing w:line="360" w:lineRule="auto"/>
              <w:ind w:firstLine="482" w:firstLineChars="200"/>
              <w:rPr>
                <w:rFonts w:hint="default" w:ascii="Times New Roman" w:hAnsi="Times New Roman" w:eastAsia="宋体" w:cs="Times New Roman"/>
                <w:sz w:val="24"/>
                <w:szCs w:val="24"/>
                <w:lang w:val="en-US" w:eastAsia="zh-CN"/>
              </w:rPr>
            </w:pPr>
            <w:r>
              <w:rPr>
                <w:rFonts w:hint="eastAsia" w:cs="Times New Roman"/>
                <w:b/>
                <w:bCs/>
                <w:sz w:val="24"/>
                <w:szCs w:val="24"/>
                <w:lang w:val="en-US" w:eastAsia="zh-CN"/>
              </w:rPr>
              <w:t>4.2.6、水土流失</w:t>
            </w:r>
          </w:p>
          <w:p w14:paraId="6E22CEDD">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在施工时土方开挖、回填以及临时堆土等导致地表裸露和土层结构破坏，若遇大风或降雨天气将加剧水土流失，由于河流两岸没有</w:t>
            </w:r>
            <w:r>
              <w:rPr>
                <w:rFonts w:hint="eastAsia" w:cs="Times New Roman"/>
                <w:sz w:val="24"/>
                <w:szCs w:val="24"/>
                <w:lang w:val="en-US" w:eastAsia="zh-CN"/>
              </w:rPr>
              <w:t>堤防</w:t>
            </w:r>
            <w:r>
              <w:rPr>
                <w:rFonts w:hint="default" w:ascii="Times New Roman" w:hAnsi="Times New Roman" w:eastAsia="宋体" w:cs="Times New Roman"/>
                <w:sz w:val="24"/>
                <w:szCs w:val="24"/>
                <w:lang w:val="en-US" w:eastAsia="zh-CN"/>
              </w:rPr>
              <w:t>工程，施工期若不采取针对性的水土流失防治措施，极易造成水土流失。因此，施工时通过先行修建挡土墙、排水设施；合理安排施工工期，避开雨季土建施工；施工结束后，对临时占地采取工程措施恢复水土保持功能等措施，最大程度</w:t>
            </w:r>
            <w:r>
              <w:rPr>
                <w:rFonts w:hint="eastAsia" w:cs="Times New Roman"/>
                <w:sz w:val="24"/>
                <w:szCs w:val="24"/>
                <w:lang w:val="en-US" w:eastAsia="zh-CN"/>
              </w:rPr>
              <w:t>地</w:t>
            </w:r>
            <w:r>
              <w:rPr>
                <w:rFonts w:hint="default" w:ascii="Times New Roman" w:hAnsi="Times New Roman" w:eastAsia="宋体" w:cs="Times New Roman"/>
                <w:sz w:val="24"/>
                <w:szCs w:val="24"/>
                <w:lang w:val="en-US" w:eastAsia="zh-CN"/>
              </w:rPr>
              <w:t>减少水土流失。</w:t>
            </w:r>
          </w:p>
          <w:p w14:paraId="289A7572">
            <w:pPr>
              <w:spacing w:line="360" w:lineRule="auto"/>
              <w:rPr>
                <w:rFonts w:hint="eastAsia" w:ascii="Times New Roman" w:hAnsi="Times New Roman" w:eastAsia="宋体" w:cs="Times New Roman"/>
                <w:b/>
                <w:bCs/>
                <w:snapToGrid w:val="0"/>
                <w:color w:val="000000"/>
                <w:spacing w:val="-10"/>
                <w:kern w:val="0"/>
                <w:sz w:val="24"/>
                <w:szCs w:val="24"/>
                <w:lang w:val="en-US" w:eastAsia="zh-CN"/>
              </w:rPr>
            </w:pPr>
            <w:r>
              <w:rPr>
                <w:rFonts w:hint="eastAsia" w:cs="Times New Roman"/>
                <w:b/>
                <w:bCs/>
                <w:snapToGrid w:val="0"/>
                <w:color w:val="000000"/>
                <w:spacing w:val="-10"/>
                <w:kern w:val="0"/>
                <w:sz w:val="24"/>
                <w:szCs w:val="24"/>
                <w:lang w:val="en-US" w:eastAsia="zh-CN"/>
              </w:rPr>
              <w:t>4.</w:t>
            </w:r>
            <w:r>
              <w:rPr>
                <w:rFonts w:hint="default" w:ascii="Times New Roman" w:hAnsi="Times New Roman" w:eastAsia="宋体" w:cs="Times New Roman"/>
                <w:b/>
                <w:bCs/>
                <w:snapToGrid w:val="0"/>
                <w:color w:val="000000"/>
                <w:spacing w:val="-10"/>
                <w:kern w:val="0"/>
                <w:sz w:val="24"/>
                <w:szCs w:val="24"/>
              </w:rPr>
              <w:t>3、施工</w:t>
            </w:r>
            <w:r>
              <w:rPr>
                <w:rFonts w:hint="eastAsia" w:cs="Times New Roman"/>
                <w:b/>
                <w:bCs/>
                <w:snapToGrid w:val="0"/>
                <w:color w:val="000000"/>
                <w:spacing w:val="-10"/>
                <w:kern w:val="0"/>
                <w:sz w:val="24"/>
                <w:szCs w:val="24"/>
                <w:lang w:val="en-US" w:eastAsia="zh-CN"/>
              </w:rPr>
              <w:t>期</w:t>
            </w:r>
            <w:r>
              <w:rPr>
                <w:rFonts w:hint="default" w:ascii="Times New Roman" w:hAnsi="Times New Roman" w:eastAsia="宋体" w:cs="Times New Roman"/>
                <w:b/>
                <w:bCs/>
                <w:snapToGrid w:val="0"/>
                <w:color w:val="000000"/>
                <w:spacing w:val="-10"/>
                <w:kern w:val="0"/>
                <w:sz w:val="24"/>
                <w:szCs w:val="24"/>
              </w:rPr>
              <w:t>噪声环境影响</w:t>
            </w:r>
            <w:r>
              <w:rPr>
                <w:rFonts w:hint="eastAsia" w:cs="Times New Roman"/>
                <w:b/>
                <w:bCs/>
                <w:snapToGrid w:val="0"/>
                <w:color w:val="000000"/>
                <w:spacing w:val="-10"/>
                <w:kern w:val="0"/>
                <w:sz w:val="24"/>
                <w:szCs w:val="24"/>
                <w:lang w:val="en-US" w:eastAsia="zh-CN"/>
              </w:rPr>
              <w:t>分析</w:t>
            </w:r>
          </w:p>
          <w:p w14:paraId="4153468E">
            <w:pPr>
              <w:snapToGrid w:val="0"/>
              <w:spacing w:line="360" w:lineRule="auto"/>
              <w:ind w:firstLine="482" w:firstLineChars="200"/>
              <w:contextualSpacing/>
              <w:rPr>
                <w:rFonts w:hint="default"/>
                <w:b/>
                <w:bCs/>
                <w:color w:val="0D0D0D" w:themeColor="text1" w:themeTint="F2"/>
                <w:sz w:val="24"/>
                <w:szCs w:val="24"/>
                <w:lang w:val="en-US" w:eastAsia="zh-CN"/>
                <w14:textFill>
                  <w14:solidFill>
                    <w14:schemeClr w14:val="tx1">
                      <w14:lumMod w14:val="95000"/>
                      <w14:lumOff w14:val="5000"/>
                    </w14:schemeClr>
                  </w14:solidFill>
                </w14:textFill>
              </w:rPr>
            </w:pPr>
            <w:r>
              <w:rPr>
                <w:rFonts w:hint="eastAsia"/>
                <w:b/>
                <w:bCs/>
                <w:color w:val="0D0D0D" w:themeColor="text1" w:themeTint="F2"/>
                <w:sz w:val="24"/>
                <w:szCs w:val="24"/>
                <w:lang w:val="en-US" w:eastAsia="zh-CN"/>
                <w14:textFill>
                  <w14:solidFill>
                    <w14:schemeClr w14:val="tx1">
                      <w14:lumMod w14:val="95000"/>
                      <w14:lumOff w14:val="5000"/>
                    </w14:schemeClr>
                  </w14:solidFill>
                </w14:textFill>
              </w:rPr>
              <w:t>4.3.1、新建变电站工程</w:t>
            </w:r>
          </w:p>
          <w:p w14:paraId="4DEAE1D6">
            <w:pPr>
              <w:snapToGrid w:val="0"/>
              <w:spacing w:line="360" w:lineRule="auto"/>
              <w:ind w:firstLine="480" w:firstLineChars="200"/>
              <w:contextualSpacing/>
              <w:rPr>
                <w:rFonts w:hint="eastAsia"/>
                <w:color w:val="0D0D0D" w:themeColor="text1" w:themeTint="F2"/>
                <w:sz w:val="24"/>
                <w:szCs w:val="24"/>
                <w:lang w:val="en-US" w:eastAsia="zh-CN"/>
                <w14:textFill>
                  <w14:solidFill>
                    <w14:schemeClr w14:val="tx1">
                      <w14:lumMod w14:val="95000"/>
                      <w14:lumOff w14:val="5000"/>
                    </w14:schemeClr>
                  </w14:solidFill>
                </w14:textFill>
              </w:rPr>
            </w:pPr>
            <w:r>
              <w:rPr>
                <w:rFonts w:hint="eastAsia"/>
                <w:color w:val="0D0D0D" w:themeColor="text1" w:themeTint="F2"/>
                <w:sz w:val="24"/>
                <w:szCs w:val="24"/>
                <w:lang w:val="en-US" w:eastAsia="zh-CN"/>
                <w14:textFill>
                  <w14:solidFill>
                    <w14:schemeClr w14:val="tx1">
                      <w14:lumMod w14:val="95000"/>
                      <w14:lumOff w14:val="5000"/>
                    </w14:schemeClr>
                  </w14:solidFill>
                </w14:textFill>
              </w:rPr>
              <w:t>（1）施工噪声源分析</w:t>
            </w:r>
          </w:p>
          <w:p w14:paraId="4D91484B">
            <w:pPr>
              <w:snapToGrid w:val="0"/>
              <w:spacing w:line="360" w:lineRule="auto"/>
              <w:ind w:firstLine="480" w:firstLineChars="200"/>
              <w:contextualSpacing/>
              <w:rPr>
                <w:rFonts w:hint="eastAsia"/>
                <w:color w:val="0D0D0D" w:themeColor="text1" w:themeTint="F2"/>
                <w:sz w:val="24"/>
                <w:szCs w:val="24"/>
                <w:lang w:val="en-US" w:eastAsia="zh-CN"/>
                <w14:textFill>
                  <w14:solidFill>
                    <w14:schemeClr w14:val="tx1">
                      <w14:lumMod w14:val="95000"/>
                      <w14:lumOff w14:val="5000"/>
                    </w14:schemeClr>
                  </w14:solidFill>
                </w14:textFill>
              </w:rPr>
            </w:pPr>
            <w:r>
              <w:rPr>
                <w:rFonts w:hint="eastAsia"/>
                <w:color w:val="0D0D0D" w:themeColor="text1" w:themeTint="F2"/>
                <w:sz w:val="24"/>
                <w:szCs w:val="24"/>
                <w:lang w:val="en-US" w:eastAsia="zh-CN"/>
                <w14:textFill>
                  <w14:solidFill>
                    <w14:schemeClr w14:val="tx1">
                      <w14:lumMod w14:val="95000"/>
                      <w14:lumOff w14:val="5000"/>
                    </w14:schemeClr>
                  </w14:solidFill>
                </w14:textFill>
              </w:rPr>
              <w:t>变电站工程施工大体分为以下阶段：施工场地平整、土石方开挖、土建施工及设备安装。本次评价将分析预测变电站工程施工期声环境影响。施工期主要噪声源有运输车辆的交通噪声以及施工期各种机具的设备噪声等。本工程施工期施工机械设备一般为露天作业，噪声经几何扩散衰减后到达预测点。施工机械设备均为室外声源，且可等效为点声源。</w:t>
            </w:r>
          </w:p>
          <w:p w14:paraId="2549D754">
            <w:pPr>
              <w:snapToGrid w:val="0"/>
              <w:spacing w:line="360" w:lineRule="auto"/>
              <w:ind w:firstLine="480" w:firstLineChars="200"/>
              <w:contextualSpacing/>
              <w:rPr>
                <w:rFonts w:hint="default"/>
                <w:color w:val="0D0D0D" w:themeColor="text1" w:themeTint="F2"/>
                <w:sz w:val="24"/>
                <w:szCs w:val="24"/>
                <w:lang w:val="en-US" w:eastAsia="zh-CN"/>
                <w14:textFill>
                  <w14:solidFill>
                    <w14:schemeClr w14:val="tx1">
                      <w14:lumMod w14:val="95000"/>
                      <w14:lumOff w14:val="5000"/>
                    </w14:schemeClr>
                  </w14:solidFill>
                </w14:textFill>
              </w:rPr>
            </w:pPr>
            <w:r>
              <w:rPr>
                <w:rFonts w:hint="eastAsia"/>
                <w:color w:val="0D0D0D" w:themeColor="text1" w:themeTint="F2"/>
                <w:sz w:val="24"/>
                <w:szCs w:val="24"/>
                <w:lang w:val="en-US" w:eastAsia="zh-CN"/>
                <w14:textFill>
                  <w14:solidFill>
                    <w14:schemeClr w14:val="tx1">
                      <w14:lumMod w14:val="95000"/>
                      <w14:lumOff w14:val="5000"/>
                    </w14:schemeClr>
                  </w14:solidFill>
                </w14:textFill>
              </w:rPr>
              <w:t>变电站施工各阶段主要噪声源及其源强见下表。</w:t>
            </w:r>
          </w:p>
          <w:p w14:paraId="6CCC0A31">
            <w:pPr>
              <w:snapToGrid w:val="0"/>
              <w:spacing w:line="240" w:lineRule="auto"/>
              <w:ind w:left="0" w:leftChars="0" w:firstLine="0" w:firstLineChars="0"/>
              <w:contextualSpacing/>
              <w:jc w:val="center"/>
              <w:rPr>
                <w:rFonts w:hint="default"/>
                <w:b/>
                <w:bCs/>
                <w:color w:val="0D0D0D" w:themeColor="text1" w:themeTint="F2"/>
                <w:sz w:val="21"/>
                <w:szCs w:val="21"/>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lang w:val="en-US" w:eastAsia="zh-CN"/>
                <w14:textFill>
                  <w14:solidFill>
                    <w14:schemeClr w14:val="tx1">
                      <w14:lumMod w14:val="95000"/>
                      <w14:lumOff w14:val="5000"/>
                    </w14:schemeClr>
                  </w14:solidFill>
                </w14:textFill>
              </w:rPr>
              <w:t xml:space="preserve">表4-2  变电站各施工阶段主要噪声源及其源强  </w:t>
            </w:r>
            <w:r>
              <w:rPr>
                <w:rFonts w:hint="eastAsia" w:ascii="宋体" w:hAnsi="宋体" w:eastAsia="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单位：</w:t>
            </w:r>
            <w:r>
              <w:rPr>
                <w:rFonts w:hint="default" w:ascii="Times New Roman" w:hAnsi="Times New Roman" w:eastAsia="宋体"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dB（A）</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41"/>
              <w:gridCol w:w="1971"/>
              <w:gridCol w:w="2535"/>
              <w:gridCol w:w="3339"/>
            </w:tblGrid>
            <w:tr w14:paraId="05898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tcBorders>
                    <w:tl2br w:val="nil"/>
                    <w:tr2bl w:val="nil"/>
                  </w:tcBorders>
                  <w:vAlign w:val="center"/>
                </w:tcPr>
                <w:p w14:paraId="5872DB4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b/>
                      <w:bCs w:val="0"/>
                      <w:color w:val="0D0D0D" w:themeColor="text1" w:themeTint="F2"/>
                      <w:sz w:val="21"/>
                      <w:szCs w:val="21"/>
                      <w14:textFill>
                        <w14:solidFill>
                          <w14:schemeClr w14:val="tx1">
                            <w14:lumMod w14:val="95000"/>
                            <w14:lumOff w14:val="5000"/>
                          </w14:schemeClr>
                        </w14:solidFill>
                      </w14:textFill>
                    </w:rPr>
                  </w:pPr>
                  <w:r>
                    <w:rPr>
                      <w:b/>
                      <w:bCs w:val="0"/>
                      <w:color w:val="0D0D0D" w:themeColor="text1" w:themeTint="F2"/>
                      <w:sz w:val="21"/>
                      <w:szCs w:val="21"/>
                      <w14:textFill>
                        <w14:solidFill>
                          <w14:schemeClr w14:val="tx1">
                            <w14:lumMod w14:val="95000"/>
                            <w14:lumOff w14:val="5000"/>
                          </w14:schemeClr>
                        </w14:solidFill>
                      </w14:textFill>
                    </w:rPr>
                    <w:t>序号</w:t>
                  </w:r>
                </w:p>
              </w:tc>
              <w:tc>
                <w:tcPr>
                  <w:tcW w:w="1096" w:type="pct"/>
                  <w:tcBorders>
                    <w:tl2br w:val="nil"/>
                    <w:tr2bl w:val="nil"/>
                  </w:tcBorders>
                  <w:vAlign w:val="center"/>
                </w:tcPr>
                <w:p w14:paraId="0B1E574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b/>
                      <w:bCs w:val="0"/>
                      <w:color w:val="0D0D0D" w:themeColor="text1" w:themeTint="F2"/>
                      <w:sz w:val="21"/>
                      <w:szCs w:val="21"/>
                      <w14:textFill>
                        <w14:solidFill>
                          <w14:schemeClr w14:val="tx1">
                            <w14:lumMod w14:val="95000"/>
                            <w14:lumOff w14:val="5000"/>
                          </w14:schemeClr>
                        </w14:solidFill>
                      </w14:textFill>
                    </w:rPr>
                  </w:pPr>
                  <w:r>
                    <w:rPr>
                      <w:b/>
                      <w:bCs w:val="0"/>
                      <w:color w:val="0D0D0D" w:themeColor="text1" w:themeTint="F2"/>
                      <w:sz w:val="21"/>
                      <w:szCs w:val="21"/>
                      <w14:textFill>
                        <w14:solidFill>
                          <w14:schemeClr w14:val="tx1">
                            <w14:lumMod w14:val="95000"/>
                            <w14:lumOff w14:val="5000"/>
                          </w14:schemeClr>
                        </w14:solidFill>
                      </w14:textFill>
                    </w:rPr>
                    <w:t>施工阶段</w:t>
                  </w:r>
                </w:p>
              </w:tc>
              <w:tc>
                <w:tcPr>
                  <w:tcW w:w="1410" w:type="pct"/>
                  <w:tcBorders>
                    <w:tl2br w:val="nil"/>
                    <w:tr2bl w:val="nil"/>
                  </w:tcBorders>
                  <w:vAlign w:val="center"/>
                </w:tcPr>
                <w:p w14:paraId="1A0D5BD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b/>
                      <w:bCs w:val="0"/>
                      <w:color w:val="0D0D0D" w:themeColor="text1" w:themeTint="F2"/>
                      <w:sz w:val="21"/>
                      <w:szCs w:val="21"/>
                      <w14:textFill>
                        <w14:solidFill>
                          <w14:schemeClr w14:val="tx1">
                            <w14:lumMod w14:val="95000"/>
                            <w14:lumOff w14:val="5000"/>
                          </w14:schemeClr>
                        </w14:solidFill>
                      </w14:textFill>
                    </w:rPr>
                  </w:pPr>
                  <w:r>
                    <w:rPr>
                      <w:b/>
                      <w:bCs w:val="0"/>
                      <w:color w:val="0D0D0D" w:themeColor="text1" w:themeTint="F2"/>
                      <w:sz w:val="21"/>
                      <w:szCs w:val="21"/>
                      <w14:textFill>
                        <w14:solidFill>
                          <w14:schemeClr w14:val="tx1">
                            <w14:lumMod w14:val="95000"/>
                            <w14:lumOff w14:val="5000"/>
                          </w14:schemeClr>
                        </w14:solidFill>
                      </w14:textFill>
                    </w:rPr>
                    <w:t>主要施工设备</w:t>
                  </w:r>
                </w:p>
              </w:tc>
              <w:tc>
                <w:tcPr>
                  <w:tcW w:w="1857" w:type="pct"/>
                  <w:tcBorders>
                    <w:tl2br w:val="nil"/>
                    <w:tr2bl w:val="nil"/>
                  </w:tcBorders>
                  <w:vAlign w:val="center"/>
                </w:tcPr>
                <w:p w14:paraId="1D4EC07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b/>
                      <w:bCs w:val="0"/>
                      <w:color w:val="0D0D0D" w:themeColor="text1" w:themeTint="F2"/>
                      <w:sz w:val="21"/>
                      <w:szCs w:val="21"/>
                      <w14:textFill>
                        <w14:solidFill>
                          <w14:schemeClr w14:val="tx1">
                            <w14:lumMod w14:val="95000"/>
                            <w14:lumOff w14:val="5000"/>
                          </w14:schemeClr>
                        </w14:solidFill>
                      </w14:textFill>
                    </w:rPr>
                  </w:pPr>
                  <w:r>
                    <w:rPr>
                      <w:b/>
                      <w:bCs w:val="0"/>
                      <w:color w:val="0D0D0D" w:themeColor="text1" w:themeTint="F2"/>
                      <w:sz w:val="21"/>
                      <w:szCs w:val="21"/>
                      <w14:textFill>
                        <w14:solidFill>
                          <w14:schemeClr w14:val="tx1">
                            <w14:lumMod w14:val="95000"/>
                            <w14:lumOff w14:val="5000"/>
                          </w14:schemeClr>
                        </w14:solidFill>
                      </w14:textFill>
                    </w:rPr>
                    <w:t>声压级（距声源</w:t>
                  </w:r>
                  <w:r>
                    <w:rPr>
                      <w:rFonts w:hint="eastAsia"/>
                      <w:b/>
                      <w:bCs w:val="0"/>
                      <w:color w:val="0D0D0D" w:themeColor="text1" w:themeTint="F2"/>
                      <w:sz w:val="21"/>
                      <w:szCs w:val="21"/>
                      <w:lang w:val="en-US" w:eastAsia="zh-CN"/>
                      <w14:textFill>
                        <w14:solidFill>
                          <w14:schemeClr w14:val="tx1">
                            <w14:lumMod w14:val="95000"/>
                            <w14:lumOff w14:val="5000"/>
                          </w14:schemeClr>
                        </w14:solidFill>
                      </w14:textFill>
                    </w:rPr>
                    <w:t>5</w:t>
                  </w:r>
                  <w:r>
                    <w:rPr>
                      <w:b/>
                      <w:bCs w:val="0"/>
                      <w:color w:val="0D0D0D" w:themeColor="text1" w:themeTint="F2"/>
                      <w:spacing w:val="-1"/>
                      <w:sz w:val="21"/>
                      <w:szCs w:val="21"/>
                      <w14:textFill>
                        <w14:solidFill>
                          <w14:schemeClr w14:val="tx1">
                            <w14:lumMod w14:val="95000"/>
                            <w14:lumOff w14:val="5000"/>
                          </w14:schemeClr>
                        </w14:solidFill>
                      </w14:textFill>
                    </w:rPr>
                    <w:t>m</w:t>
                  </w:r>
                  <w:r>
                    <w:rPr>
                      <w:b/>
                      <w:bCs w:val="0"/>
                      <w:color w:val="0D0D0D" w:themeColor="text1" w:themeTint="F2"/>
                      <w:sz w:val="21"/>
                      <w:szCs w:val="21"/>
                      <w14:textFill>
                        <w14:solidFill>
                          <w14:schemeClr w14:val="tx1">
                            <w14:lumMod w14:val="95000"/>
                            <w14:lumOff w14:val="5000"/>
                          </w14:schemeClr>
                        </w14:solidFill>
                      </w14:textFill>
                    </w:rPr>
                    <w:t>）</w:t>
                  </w:r>
                </w:p>
              </w:tc>
            </w:tr>
            <w:tr w14:paraId="7AFEBC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restart"/>
                  <w:tcBorders>
                    <w:tl2br w:val="nil"/>
                    <w:tr2bl w:val="nil"/>
                  </w:tcBorders>
                  <w:vAlign w:val="center"/>
                </w:tcPr>
                <w:p w14:paraId="21D2520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1</w:t>
                  </w:r>
                </w:p>
              </w:tc>
              <w:tc>
                <w:tcPr>
                  <w:tcW w:w="1096" w:type="pct"/>
                  <w:vMerge w:val="restart"/>
                  <w:tcBorders>
                    <w:tl2br w:val="nil"/>
                    <w:tr2bl w:val="nil"/>
                  </w:tcBorders>
                  <w:vAlign w:val="center"/>
                </w:tcPr>
                <w:p w14:paraId="5F8B813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场地平整</w:t>
                  </w:r>
                </w:p>
              </w:tc>
              <w:tc>
                <w:tcPr>
                  <w:tcW w:w="1410" w:type="pct"/>
                  <w:tcBorders>
                    <w:tl2br w:val="nil"/>
                    <w:tr2bl w:val="nil"/>
                  </w:tcBorders>
                  <w:vAlign w:val="center"/>
                </w:tcPr>
                <w:p w14:paraId="7AFE28F7">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液压挖掘机</w:t>
                  </w:r>
                </w:p>
              </w:tc>
              <w:tc>
                <w:tcPr>
                  <w:tcW w:w="1857" w:type="pct"/>
                  <w:tcBorders>
                    <w:tl2br w:val="nil"/>
                    <w:tr2bl w:val="nil"/>
                  </w:tcBorders>
                  <w:vAlign w:val="center"/>
                </w:tcPr>
                <w:p w14:paraId="650BC94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657EA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63EC350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6344FD3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l2br w:val="nil"/>
                    <w:tr2bl w:val="nil"/>
                  </w:tcBorders>
                  <w:vAlign w:val="center"/>
                </w:tcPr>
                <w:p w14:paraId="6DB74FE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w:t>
                  </w:r>
                  <w:r>
                    <w:rPr>
                      <w:rFonts w:hint="eastAsia"/>
                      <w:color w:val="0D0D0D" w:themeColor="text1" w:themeTint="F2"/>
                      <w:sz w:val="21"/>
                      <w:szCs w:val="21"/>
                      <w14:textFill>
                        <w14:solidFill>
                          <w14:schemeClr w14:val="tx1">
                            <w14:lumMod w14:val="95000"/>
                            <w14:lumOff w14:val="5000"/>
                          </w14:schemeClr>
                        </w14:solidFill>
                      </w14:textFill>
                    </w:rPr>
                    <w:t>车</w:t>
                  </w:r>
                </w:p>
              </w:tc>
              <w:tc>
                <w:tcPr>
                  <w:tcW w:w="1857" w:type="pct"/>
                  <w:tcBorders>
                    <w:tl2br w:val="nil"/>
                    <w:tr2bl w:val="nil"/>
                  </w:tcBorders>
                  <w:vAlign w:val="center"/>
                </w:tcPr>
                <w:p w14:paraId="4F3E716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218596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3E18079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05F3A39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bottom w:val="single" w:color="auto" w:sz="4" w:space="0"/>
                    <w:tl2br w:val="nil"/>
                    <w:tr2bl w:val="nil"/>
                  </w:tcBorders>
                  <w:vAlign w:val="center"/>
                </w:tcPr>
                <w:p w14:paraId="5E03357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推土机</w:t>
                  </w:r>
                </w:p>
              </w:tc>
              <w:tc>
                <w:tcPr>
                  <w:tcW w:w="1857" w:type="pct"/>
                  <w:tcBorders>
                    <w:bottom w:val="single" w:color="auto" w:sz="4" w:space="0"/>
                    <w:tl2br w:val="nil"/>
                    <w:tr2bl w:val="nil"/>
                  </w:tcBorders>
                  <w:vAlign w:val="center"/>
                </w:tcPr>
                <w:p w14:paraId="772C510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5</w:t>
                  </w:r>
                </w:p>
              </w:tc>
            </w:tr>
            <w:tr w14:paraId="4ECFFF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6102AF4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33234D0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op w:val="single" w:color="auto" w:sz="4" w:space="0"/>
                    <w:tl2br w:val="nil"/>
                    <w:tr2bl w:val="nil"/>
                  </w:tcBorders>
                  <w:vAlign w:val="center"/>
                </w:tcPr>
                <w:p w14:paraId="24F5FC0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压路机</w:t>
                  </w:r>
                </w:p>
              </w:tc>
              <w:tc>
                <w:tcPr>
                  <w:tcW w:w="1857" w:type="pct"/>
                  <w:tcBorders>
                    <w:top w:val="single" w:color="auto" w:sz="4" w:space="0"/>
                    <w:tl2br w:val="nil"/>
                    <w:tr2bl w:val="nil"/>
                  </w:tcBorders>
                  <w:vAlign w:val="center"/>
                </w:tcPr>
                <w:p w14:paraId="285BC41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85</w:t>
                  </w:r>
                </w:p>
              </w:tc>
            </w:tr>
            <w:tr w14:paraId="16CD63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restart"/>
                  <w:tcBorders>
                    <w:tl2br w:val="nil"/>
                    <w:tr2bl w:val="nil"/>
                  </w:tcBorders>
                  <w:vAlign w:val="center"/>
                </w:tcPr>
                <w:p w14:paraId="5CF3DE3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2</w:t>
                  </w:r>
                </w:p>
              </w:tc>
              <w:tc>
                <w:tcPr>
                  <w:tcW w:w="1096" w:type="pct"/>
                  <w:vMerge w:val="restart"/>
                  <w:tcBorders>
                    <w:tl2br w:val="nil"/>
                    <w:tr2bl w:val="nil"/>
                  </w:tcBorders>
                  <w:vAlign w:val="center"/>
                </w:tcPr>
                <w:p w14:paraId="6C142A3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土方开挖</w:t>
                  </w:r>
                </w:p>
              </w:tc>
              <w:tc>
                <w:tcPr>
                  <w:tcW w:w="1410" w:type="pct"/>
                  <w:tcBorders>
                    <w:tl2br w:val="nil"/>
                    <w:tr2bl w:val="nil"/>
                  </w:tcBorders>
                  <w:vAlign w:val="center"/>
                </w:tcPr>
                <w:p w14:paraId="79B5757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液压挖掘机</w:t>
                  </w:r>
                </w:p>
              </w:tc>
              <w:tc>
                <w:tcPr>
                  <w:tcW w:w="1857" w:type="pct"/>
                  <w:tcBorders>
                    <w:tl2br w:val="nil"/>
                    <w:tr2bl w:val="nil"/>
                  </w:tcBorders>
                  <w:vAlign w:val="center"/>
                </w:tcPr>
                <w:p w14:paraId="0D71FCD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63B5C3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5B1DB25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0E8AB78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l2br w:val="nil"/>
                    <w:tr2bl w:val="nil"/>
                  </w:tcBorders>
                  <w:vAlign w:val="center"/>
                </w:tcPr>
                <w:p w14:paraId="3ACEC8E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w:t>
                  </w:r>
                  <w:r>
                    <w:rPr>
                      <w:rFonts w:hint="eastAsia"/>
                      <w:color w:val="0D0D0D" w:themeColor="text1" w:themeTint="F2"/>
                      <w:sz w:val="21"/>
                      <w:szCs w:val="21"/>
                      <w14:textFill>
                        <w14:solidFill>
                          <w14:schemeClr w14:val="tx1">
                            <w14:lumMod w14:val="95000"/>
                            <w14:lumOff w14:val="5000"/>
                          </w14:schemeClr>
                        </w14:solidFill>
                      </w14:textFill>
                    </w:rPr>
                    <w:t>车</w:t>
                  </w:r>
                </w:p>
              </w:tc>
              <w:tc>
                <w:tcPr>
                  <w:tcW w:w="1857" w:type="pct"/>
                  <w:tcBorders>
                    <w:tl2br w:val="nil"/>
                    <w:tr2bl w:val="nil"/>
                  </w:tcBorders>
                  <w:vAlign w:val="center"/>
                </w:tcPr>
                <w:p w14:paraId="4C45858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2980F4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restart"/>
                  <w:tcBorders>
                    <w:tl2br w:val="nil"/>
                    <w:tr2bl w:val="nil"/>
                  </w:tcBorders>
                  <w:vAlign w:val="center"/>
                </w:tcPr>
                <w:p w14:paraId="58E7275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3</w:t>
                  </w:r>
                </w:p>
              </w:tc>
              <w:tc>
                <w:tcPr>
                  <w:tcW w:w="1096" w:type="pct"/>
                  <w:vMerge w:val="restart"/>
                  <w:tcBorders>
                    <w:tl2br w:val="nil"/>
                    <w:tr2bl w:val="nil"/>
                  </w:tcBorders>
                  <w:vAlign w:val="center"/>
                </w:tcPr>
                <w:p w14:paraId="68F5A111">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土建施工</w:t>
                  </w:r>
                </w:p>
              </w:tc>
              <w:tc>
                <w:tcPr>
                  <w:tcW w:w="1410" w:type="pct"/>
                  <w:tcBorders>
                    <w:tl2br w:val="nil"/>
                    <w:tr2bl w:val="nil"/>
                  </w:tcBorders>
                  <w:vAlign w:val="center"/>
                </w:tcPr>
                <w:p w14:paraId="7763D7A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重型运输车</w:t>
                  </w:r>
                </w:p>
              </w:tc>
              <w:tc>
                <w:tcPr>
                  <w:tcW w:w="1857" w:type="pct"/>
                  <w:tcBorders>
                    <w:tl2br w:val="nil"/>
                    <w:tr2bl w:val="nil"/>
                  </w:tcBorders>
                  <w:vAlign w:val="center"/>
                </w:tcPr>
                <w:p w14:paraId="2F87A8D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0C6893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194074B9">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757A1C85">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bottom w:val="single" w:color="auto" w:sz="4" w:space="0"/>
                    <w:tl2br w:val="nil"/>
                    <w:tr2bl w:val="nil"/>
                  </w:tcBorders>
                  <w:vAlign w:val="center"/>
                </w:tcPr>
                <w:p w14:paraId="5677BBA4">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混凝土振捣器</w:t>
                  </w:r>
                </w:p>
              </w:tc>
              <w:tc>
                <w:tcPr>
                  <w:tcW w:w="1857" w:type="pct"/>
                  <w:tcBorders>
                    <w:bottom w:val="single" w:color="auto" w:sz="4" w:space="0"/>
                    <w:tl2br w:val="nil"/>
                    <w:tr2bl w:val="nil"/>
                  </w:tcBorders>
                  <w:vAlign w:val="center"/>
                </w:tcPr>
                <w:p w14:paraId="092EDEB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4</w:t>
                  </w:r>
                </w:p>
              </w:tc>
            </w:tr>
            <w:tr w14:paraId="27726E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1C2C7FF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132CD7F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op w:val="single" w:color="auto" w:sz="4" w:space="0"/>
                    <w:bottom w:val="single" w:color="auto" w:sz="4" w:space="0"/>
                    <w:tl2br w:val="nil"/>
                    <w:tr2bl w:val="nil"/>
                  </w:tcBorders>
                  <w:vAlign w:val="center"/>
                </w:tcPr>
                <w:p w14:paraId="45B0206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商砼搅拌车</w:t>
                  </w:r>
                </w:p>
              </w:tc>
              <w:tc>
                <w:tcPr>
                  <w:tcW w:w="1857" w:type="pct"/>
                  <w:tcBorders>
                    <w:top w:val="single" w:color="auto" w:sz="4" w:space="0"/>
                    <w:bottom w:val="single" w:color="auto" w:sz="4" w:space="0"/>
                    <w:tl2br w:val="nil"/>
                    <w:tr2bl w:val="nil"/>
                  </w:tcBorders>
                  <w:vAlign w:val="center"/>
                </w:tcPr>
                <w:p w14:paraId="7BC085B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88</w:t>
                  </w:r>
                </w:p>
              </w:tc>
            </w:tr>
            <w:tr w14:paraId="18CDAB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tl2br w:val="nil"/>
                    <w:tr2bl w:val="nil"/>
                  </w:tcBorders>
                  <w:vAlign w:val="center"/>
                </w:tcPr>
                <w:p w14:paraId="2D60784C">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tl2br w:val="nil"/>
                    <w:tr2bl w:val="nil"/>
                  </w:tcBorders>
                  <w:vAlign w:val="center"/>
                </w:tcPr>
                <w:p w14:paraId="15C9CEE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op w:val="single" w:color="auto" w:sz="4" w:space="0"/>
                    <w:tl2br w:val="nil"/>
                    <w:tr2bl w:val="nil"/>
                  </w:tcBorders>
                  <w:vAlign w:val="center"/>
                </w:tcPr>
                <w:p w14:paraId="0EE582BE">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混凝土输送泵</w:t>
                  </w:r>
                </w:p>
              </w:tc>
              <w:tc>
                <w:tcPr>
                  <w:tcW w:w="1857" w:type="pct"/>
                  <w:tcBorders>
                    <w:top w:val="single" w:color="auto" w:sz="4" w:space="0"/>
                    <w:tl2br w:val="nil"/>
                    <w:tr2bl w:val="nil"/>
                  </w:tcBorders>
                  <w:vAlign w:val="center"/>
                </w:tcPr>
                <w:p w14:paraId="4F28633A">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92</w:t>
                  </w:r>
                </w:p>
              </w:tc>
            </w:tr>
            <w:tr w14:paraId="6F4933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restart"/>
                  <w:tcBorders>
                    <w:tl2br w:val="nil"/>
                    <w:tr2bl w:val="nil"/>
                  </w:tcBorders>
                  <w:vAlign w:val="center"/>
                </w:tcPr>
                <w:p w14:paraId="2A075FD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4</w:t>
                  </w:r>
                </w:p>
              </w:tc>
              <w:tc>
                <w:tcPr>
                  <w:tcW w:w="1096" w:type="pct"/>
                  <w:vMerge w:val="restart"/>
                  <w:tcBorders>
                    <w:tl2br w:val="nil"/>
                    <w:tr2bl w:val="nil"/>
                  </w:tcBorders>
                  <w:vAlign w:val="center"/>
                </w:tcPr>
                <w:p w14:paraId="1B9943A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设备</w:t>
                  </w:r>
                  <w:r>
                    <w:rPr>
                      <w:rFonts w:hint="eastAsia"/>
                      <w:color w:val="0D0D0D" w:themeColor="text1" w:themeTint="F2"/>
                      <w:sz w:val="21"/>
                      <w:szCs w:val="21"/>
                      <w14:textFill>
                        <w14:solidFill>
                          <w14:schemeClr w14:val="tx1">
                            <w14:lumMod w14:val="95000"/>
                            <w14:lumOff w14:val="5000"/>
                          </w14:schemeClr>
                        </w14:solidFill>
                      </w14:textFill>
                    </w:rPr>
                    <w:t>安装</w:t>
                  </w:r>
                </w:p>
              </w:tc>
              <w:tc>
                <w:tcPr>
                  <w:tcW w:w="1410" w:type="pct"/>
                  <w:tcBorders>
                    <w:bottom w:val="single" w:color="auto" w:sz="4" w:space="0"/>
                    <w:tl2br w:val="nil"/>
                    <w:tr2bl w:val="nil"/>
                  </w:tcBorders>
                  <w:vAlign w:val="center"/>
                </w:tcPr>
                <w:p w14:paraId="0FE6F40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重型运输车</w:t>
                  </w:r>
                </w:p>
              </w:tc>
              <w:tc>
                <w:tcPr>
                  <w:tcW w:w="1857" w:type="pct"/>
                  <w:tcBorders>
                    <w:bottom w:val="single" w:color="auto" w:sz="4" w:space="0"/>
                    <w:tl2br w:val="nil"/>
                    <w:tr2bl w:val="nil"/>
                  </w:tcBorders>
                  <w:vAlign w:val="center"/>
                </w:tcPr>
                <w:p w14:paraId="6F2148DB">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8</w:t>
                  </w:r>
                  <w:r>
                    <w:rPr>
                      <w:rFonts w:hint="eastAsia"/>
                      <w:color w:val="0D0D0D" w:themeColor="text1" w:themeTint="F2"/>
                      <w:sz w:val="21"/>
                      <w:szCs w:val="21"/>
                      <w:lang w:val="en-US" w:eastAsia="zh-CN"/>
                      <w14:textFill>
                        <w14:solidFill>
                          <w14:schemeClr w14:val="tx1">
                            <w14:lumMod w14:val="95000"/>
                            <w14:lumOff w14:val="5000"/>
                          </w14:schemeClr>
                        </w14:solidFill>
                      </w14:textFill>
                    </w:rPr>
                    <w:t>6</w:t>
                  </w:r>
                </w:p>
              </w:tc>
            </w:tr>
            <w:tr w14:paraId="52383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35" w:type="pct"/>
                  <w:vMerge w:val="continue"/>
                  <w:tcBorders>
                    <w:bottom w:val="single" w:color="auto" w:sz="4" w:space="0"/>
                    <w:tl2br w:val="nil"/>
                    <w:tr2bl w:val="nil"/>
                  </w:tcBorders>
                  <w:vAlign w:val="center"/>
                </w:tcPr>
                <w:p w14:paraId="369C6306">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096" w:type="pct"/>
                  <w:vMerge w:val="continue"/>
                  <w:tcBorders>
                    <w:bottom w:val="single" w:color="auto" w:sz="4" w:space="0"/>
                    <w:tl2br w:val="nil"/>
                    <w:tr2bl w:val="nil"/>
                  </w:tcBorders>
                  <w:vAlign w:val="center"/>
                </w:tcPr>
                <w:p w14:paraId="0D094092">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color w:val="0D0D0D" w:themeColor="text1" w:themeTint="F2"/>
                      <w:sz w:val="21"/>
                      <w:szCs w:val="21"/>
                      <w14:textFill>
                        <w14:solidFill>
                          <w14:schemeClr w14:val="tx1">
                            <w14:lumMod w14:val="95000"/>
                            <w14:lumOff w14:val="5000"/>
                          </w14:schemeClr>
                        </w14:solidFill>
                      </w14:textFill>
                    </w:rPr>
                  </w:pPr>
                </w:p>
              </w:tc>
              <w:tc>
                <w:tcPr>
                  <w:tcW w:w="1410" w:type="pct"/>
                  <w:tcBorders>
                    <w:top w:val="single" w:color="auto" w:sz="4" w:space="0"/>
                    <w:bottom w:val="single" w:color="auto" w:sz="4" w:space="0"/>
                    <w:tl2br w:val="nil"/>
                    <w:tr2bl w:val="nil"/>
                  </w:tcBorders>
                  <w:vAlign w:val="center"/>
                </w:tcPr>
                <w:p w14:paraId="04A9E190">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空压机</w:t>
                  </w:r>
                </w:p>
              </w:tc>
              <w:tc>
                <w:tcPr>
                  <w:tcW w:w="1857" w:type="pct"/>
                  <w:tcBorders>
                    <w:top w:val="single" w:color="auto" w:sz="4" w:space="0"/>
                    <w:bottom w:val="single" w:color="auto" w:sz="4" w:space="0"/>
                    <w:tl2br w:val="nil"/>
                    <w:tr2bl w:val="nil"/>
                  </w:tcBorders>
                  <w:vAlign w:val="center"/>
                </w:tcPr>
                <w:p w14:paraId="2EDC0768">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default" w:eastAsia="宋体"/>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90</w:t>
                  </w:r>
                </w:p>
              </w:tc>
            </w:tr>
          </w:tbl>
          <w:p w14:paraId="2AC856FE">
            <w:pPr>
              <w:snapToGrid w:val="0"/>
              <w:spacing w:line="240" w:lineRule="auto"/>
              <w:contextualSpacing/>
              <w:rPr>
                <w:rFonts w:hint="default"/>
                <w:color w:val="0D0D0D" w:themeColor="text1" w:themeTint="F2"/>
                <w:sz w:val="21"/>
                <w:szCs w:val="21"/>
                <w:lang w:val="en-US" w:eastAsia="zh-CN"/>
                <w14:textFill>
                  <w14:solidFill>
                    <w14:schemeClr w14:val="tx1">
                      <w14:lumMod w14:val="95000"/>
                      <w14:lumOff w14:val="5000"/>
                    </w14:schemeClr>
                  </w14:solidFill>
                </w14:textFill>
              </w:rPr>
            </w:pPr>
            <w:r>
              <w:rPr>
                <w:rFonts w:hint="eastAsia"/>
                <w:color w:val="0D0D0D" w:themeColor="text1" w:themeTint="F2"/>
                <w:sz w:val="21"/>
                <w:szCs w:val="21"/>
                <w:lang w:val="en-US" w:eastAsia="zh-CN"/>
                <w14:textFill>
                  <w14:solidFill>
                    <w14:schemeClr w14:val="tx1">
                      <w14:lumMod w14:val="95000"/>
                      <w14:lumOff w14:val="5000"/>
                    </w14:schemeClr>
                  </w14:solidFill>
                </w14:textFill>
              </w:rPr>
              <w:t>注：施工设备源强参照《低噪声施工设备指导名录》（2024年版）和《环境噪声与振动控制工程技术导则》（</w:t>
            </w:r>
            <w:r>
              <w:rPr>
                <w:rFonts w:hint="default"/>
                <w:color w:val="0D0D0D" w:themeColor="text1" w:themeTint="F2"/>
                <w:sz w:val="21"/>
                <w:szCs w:val="21"/>
                <w:lang w:val="en-US" w:eastAsia="zh-CN"/>
                <w14:textFill>
                  <w14:solidFill>
                    <w14:schemeClr w14:val="tx1">
                      <w14:lumMod w14:val="95000"/>
                      <w14:lumOff w14:val="5000"/>
                    </w14:schemeClr>
                  </w14:solidFill>
                </w14:textFill>
              </w:rPr>
              <w:t>HJ2034-2013</w:t>
            </w:r>
            <w:r>
              <w:rPr>
                <w:rFonts w:hint="eastAsia"/>
                <w:color w:val="0D0D0D" w:themeColor="text1" w:themeTint="F2"/>
                <w:sz w:val="21"/>
                <w:szCs w:val="21"/>
                <w:lang w:val="en-US" w:eastAsia="zh-CN"/>
                <w14:textFill>
                  <w14:solidFill>
                    <w14:schemeClr w14:val="tx1">
                      <w14:lumMod w14:val="95000"/>
                      <w14:lumOff w14:val="5000"/>
                    </w14:schemeClr>
                  </w14:solidFill>
                </w14:textFill>
              </w:rPr>
              <w:t>）附录</w:t>
            </w:r>
            <w:r>
              <w:rPr>
                <w:rFonts w:hint="default"/>
                <w:color w:val="0D0D0D" w:themeColor="text1" w:themeTint="F2"/>
                <w:sz w:val="21"/>
                <w:szCs w:val="21"/>
                <w:lang w:val="en-US" w:eastAsia="zh-CN"/>
                <w14:textFill>
                  <w14:solidFill>
                    <w14:schemeClr w14:val="tx1">
                      <w14:lumMod w14:val="95000"/>
                      <w14:lumOff w14:val="5000"/>
                    </w14:schemeClr>
                  </w14:solidFill>
                </w14:textFill>
              </w:rPr>
              <w:t>A.2</w:t>
            </w:r>
            <w:r>
              <w:rPr>
                <w:rFonts w:hint="eastAsia"/>
                <w:color w:val="0D0D0D" w:themeColor="text1" w:themeTint="F2"/>
                <w:sz w:val="21"/>
                <w:szCs w:val="21"/>
                <w:lang w:val="en-US" w:eastAsia="zh-CN"/>
                <w14:textFill>
                  <w14:solidFill>
                    <w14:schemeClr w14:val="tx1">
                      <w14:lumMod w14:val="95000"/>
                      <w14:lumOff w14:val="5000"/>
                    </w14:schemeClr>
                  </w14:solidFill>
                </w14:textFill>
              </w:rPr>
              <w:t>“常见施工设备噪声源不同距离声压级”取中间值。</w:t>
            </w:r>
          </w:p>
          <w:p w14:paraId="35BCFAC1">
            <w:pPr>
              <w:pStyle w:val="4"/>
              <w:keepNext w:val="0"/>
              <w:keepLines w:val="0"/>
              <w:pageBreakBefore w:val="0"/>
              <w:widowControl w:val="0"/>
              <w:numPr>
                <w:ilvl w:val="-1"/>
                <w:numId w:val="0"/>
              </w:numPr>
              <w:kinsoku/>
              <w:wordWrap/>
              <w:overflowPunct/>
              <w:topLinePunct w:val="0"/>
              <w:autoSpaceDE/>
              <w:autoSpaceDN/>
              <w:bidi w:val="0"/>
              <w:adjustRightInd w:val="0"/>
              <w:snapToGrid/>
              <w:spacing w:before="157" w:beforeLines="50" w:after="0" w:line="360" w:lineRule="auto"/>
              <w:ind w:left="0" w:leftChars="0" w:firstLine="480" w:firstLineChars="200"/>
              <w:textAlignment w:val="baseline"/>
              <w:rPr>
                <w:rFonts w:hint="eastAsia"/>
                <w:b w:val="0"/>
                <w:bCs w:val="0"/>
                <w:color w:val="0D0D0D" w:themeColor="text1" w:themeTint="F2"/>
                <w:sz w:val="24"/>
                <w:szCs w:val="24"/>
                <w:lang w:val="en-US" w:eastAsia="zh-CN"/>
                <w14:textFill>
                  <w14:solidFill>
                    <w14:schemeClr w14:val="tx1">
                      <w14:lumMod w14:val="95000"/>
                      <w14:lumOff w14:val="5000"/>
                    </w14:schemeClr>
                  </w14:solidFill>
                </w14:textFill>
              </w:rPr>
            </w:pPr>
            <w:r>
              <w:rPr>
                <w:rFonts w:hint="eastAsia"/>
                <w:b w:val="0"/>
                <w:bCs w:val="0"/>
                <w:color w:val="0D0D0D" w:themeColor="text1" w:themeTint="F2"/>
                <w:sz w:val="24"/>
                <w:szCs w:val="24"/>
                <w:lang w:eastAsia="zh-CN"/>
                <w14:textFill>
                  <w14:solidFill>
                    <w14:schemeClr w14:val="tx1">
                      <w14:lumMod w14:val="95000"/>
                      <w14:lumOff w14:val="5000"/>
                    </w14:schemeClr>
                  </w14:solidFill>
                </w14:textFill>
              </w:rPr>
              <w:t>（</w:t>
            </w:r>
            <w:r>
              <w:rPr>
                <w:rFonts w:hint="eastAsia"/>
                <w:b w:val="0"/>
                <w:bCs w:val="0"/>
                <w:color w:val="0D0D0D" w:themeColor="text1" w:themeTint="F2"/>
                <w:sz w:val="24"/>
                <w:szCs w:val="24"/>
                <w:lang w:val="en-US" w:eastAsia="zh-CN"/>
                <w14:textFill>
                  <w14:solidFill>
                    <w14:schemeClr w14:val="tx1">
                      <w14:lumMod w14:val="95000"/>
                      <w14:lumOff w14:val="5000"/>
                    </w14:schemeClr>
                  </w14:solidFill>
                </w14:textFill>
              </w:rPr>
              <w:t>2</w:t>
            </w:r>
            <w:r>
              <w:rPr>
                <w:rFonts w:hint="eastAsia"/>
                <w:b w:val="0"/>
                <w:bCs w:val="0"/>
                <w:color w:val="0D0D0D" w:themeColor="text1" w:themeTint="F2"/>
                <w:sz w:val="24"/>
                <w:szCs w:val="24"/>
                <w:lang w:eastAsia="zh-CN"/>
                <w14:textFill>
                  <w14:solidFill>
                    <w14:schemeClr w14:val="tx1">
                      <w14:lumMod w14:val="95000"/>
                      <w14:lumOff w14:val="5000"/>
                    </w14:schemeClr>
                  </w14:solidFill>
                </w14:textFill>
              </w:rPr>
              <w:t>）</w:t>
            </w:r>
            <w:r>
              <w:rPr>
                <w:rFonts w:hint="eastAsia"/>
                <w:b w:val="0"/>
                <w:bCs w:val="0"/>
                <w:color w:val="0D0D0D" w:themeColor="text1" w:themeTint="F2"/>
                <w:sz w:val="24"/>
                <w:szCs w:val="24"/>
                <w14:textFill>
                  <w14:solidFill>
                    <w14:schemeClr w14:val="tx1">
                      <w14:lumMod w14:val="95000"/>
                      <w14:lumOff w14:val="5000"/>
                    </w14:schemeClr>
                  </w14:solidFill>
                </w14:textFill>
              </w:rPr>
              <w:t>施工</w:t>
            </w:r>
            <w:r>
              <w:rPr>
                <w:rFonts w:hint="eastAsia"/>
                <w:b w:val="0"/>
                <w:bCs w:val="0"/>
                <w:color w:val="0D0D0D" w:themeColor="text1" w:themeTint="F2"/>
                <w:sz w:val="24"/>
                <w:szCs w:val="24"/>
                <w:lang w:val="en-US" w:eastAsia="zh-CN"/>
                <w14:textFill>
                  <w14:solidFill>
                    <w14:schemeClr w14:val="tx1">
                      <w14:lumMod w14:val="95000"/>
                      <w14:lumOff w14:val="5000"/>
                    </w14:schemeClr>
                  </w14:solidFill>
                </w14:textFill>
              </w:rPr>
              <w:t>期</w:t>
            </w:r>
            <w:r>
              <w:rPr>
                <w:rFonts w:hint="eastAsia"/>
                <w:b w:val="0"/>
                <w:bCs w:val="0"/>
                <w:color w:val="0D0D0D" w:themeColor="text1" w:themeTint="F2"/>
                <w:sz w:val="24"/>
                <w:szCs w:val="24"/>
                <w14:textFill>
                  <w14:solidFill>
                    <w14:schemeClr w14:val="tx1">
                      <w14:lumMod w14:val="95000"/>
                      <w14:lumOff w14:val="5000"/>
                    </w14:schemeClr>
                  </w14:solidFill>
                </w14:textFill>
              </w:rPr>
              <w:t>噪声</w:t>
            </w:r>
            <w:r>
              <w:rPr>
                <w:rFonts w:hint="eastAsia"/>
                <w:b w:val="0"/>
                <w:bCs w:val="0"/>
                <w:color w:val="0D0D0D" w:themeColor="text1" w:themeTint="F2"/>
                <w:sz w:val="24"/>
                <w:szCs w:val="24"/>
                <w:lang w:val="en-US" w:eastAsia="zh-CN"/>
                <w14:textFill>
                  <w14:solidFill>
                    <w14:schemeClr w14:val="tx1">
                      <w14:lumMod w14:val="95000"/>
                      <w14:lumOff w14:val="5000"/>
                    </w14:schemeClr>
                  </w14:solidFill>
                </w14:textFill>
              </w:rPr>
              <w:t>预测</w:t>
            </w:r>
          </w:p>
          <w:p w14:paraId="70DC81C4">
            <w:pPr>
              <w:autoSpaceDE w:val="0"/>
              <w:autoSpaceDN w:val="0"/>
              <w:snapToGrid w:val="0"/>
              <w:spacing w:line="360" w:lineRule="auto"/>
              <w:ind w:firstLine="480" w:firstLineChars="200"/>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根据</w:t>
            </w:r>
            <w:r>
              <w:rPr>
                <w:rFonts w:ascii="Times New Roman" w:hAnsi="Times New Roman" w:cs="Times New Roman"/>
                <w:color w:val="0D0D0D" w:themeColor="text1" w:themeTint="F2"/>
                <w:sz w:val="24"/>
                <w:szCs w:val="24"/>
                <w14:textFill>
                  <w14:solidFill>
                    <w14:schemeClr w14:val="tx1">
                      <w14:lumMod w14:val="95000"/>
                      <w14:lumOff w14:val="5000"/>
                    </w14:schemeClr>
                  </w14:solidFill>
                </w14:textFill>
              </w:rPr>
              <w:t>《环境影响评价技术导则  声环境》（HJ2.4-2021）</w:t>
            </w:r>
            <w:r>
              <w:rPr>
                <w:rFonts w:hint="default" w:ascii="Times New Roman" w:hAnsi="Times New Roman" w:cs="Times New Roman"/>
                <w:color w:val="0D0D0D" w:themeColor="text1" w:themeTint="F2"/>
                <w:sz w:val="24"/>
                <w:szCs w:val="24"/>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运用点声源几何发散衰减公式，预测</w:t>
            </w:r>
            <w:r>
              <w:rPr>
                <w:rFonts w:hint="eastAsia"/>
                <w:color w:val="0D0D0D" w:themeColor="text1" w:themeTint="F2"/>
                <w:sz w:val="24"/>
                <w:szCs w:val="24"/>
                <w:lang w:val="en-US" w:eastAsia="zh-CN"/>
                <w14:textFill>
                  <w14:solidFill>
                    <w14:schemeClr w14:val="tx1">
                      <w14:lumMod w14:val="95000"/>
                      <w14:lumOff w14:val="5000"/>
                    </w14:schemeClr>
                  </w14:solidFill>
                </w14:textFill>
              </w:rPr>
              <w:t>变电站</w:t>
            </w:r>
            <w:r>
              <w:rPr>
                <w:rFonts w:hint="default"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施工期施工设备噪声对周围环境的影响。</w:t>
            </w:r>
          </w:p>
          <w:p w14:paraId="665F0B26">
            <w:pPr>
              <w:autoSpaceDE w:val="0"/>
              <w:autoSpaceDN w:val="0"/>
              <w:snapToGrid w:val="0"/>
              <w:spacing w:line="360" w:lineRule="auto"/>
              <w:ind w:firstLine="480" w:firstLineChars="200"/>
              <w:rPr>
                <w:rFonts w:hint="default" w:hAnsi="Cambria Math"/>
                <w:i w:val="0"/>
                <w:color w:val="0D0D0D" w:themeColor="text1" w:themeTint="F2"/>
                <w:sz w:val="24"/>
                <w:szCs w:val="24"/>
                <w:lang w:val="en-US" w:eastAsia="zh-CN"/>
                <w14:textFill>
                  <w14:solidFill>
                    <w14:schemeClr w14:val="tx1">
                      <w14:lumMod w14:val="95000"/>
                      <w14:lumOff w14:val="5000"/>
                    </w14:schemeClr>
                  </w14:solidFill>
                </w14:textFill>
              </w:rPr>
            </w:pPr>
            <w:r>
              <w:rPr>
                <w:rFonts w:hint="eastAsia" w:hAnsi="Cambria Math"/>
                <w:i w:val="0"/>
                <w:color w:val="0D0D0D" w:themeColor="text1" w:themeTint="F2"/>
                <w:sz w:val="24"/>
                <w:szCs w:val="24"/>
                <w:lang w:val="en-US" w:eastAsia="zh-CN"/>
                <w14:textFill>
                  <w14:solidFill>
                    <w14:schemeClr w14:val="tx1">
                      <w14:lumMod w14:val="95000"/>
                      <w14:lumOff w14:val="5000"/>
                    </w14:schemeClr>
                  </w14:solidFill>
                </w14:textFill>
              </w:rPr>
              <w:t>1</w:t>
            </w:r>
            <w:r>
              <w:rPr>
                <w:rFonts w:hint="eastAsia" w:hAnsi="Cambria Math"/>
                <w:i w:val="0"/>
                <w:color w:val="0D0D0D" w:themeColor="text1" w:themeTint="F2"/>
                <w:sz w:val="24"/>
                <w:szCs w:val="24"/>
                <w:lang w:eastAsia="zh-CN"/>
                <w14:textFill>
                  <w14:solidFill>
                    <w14:schemeClr w14:val="tx1">
                      <w14:lumMod w14:val="95000"/>
                      <w14:lumOff w14:val="5000"/>
                    </w14:schemeClr>
                  </w14:solidFill>
                </w14:textFill>
              </w:rPr>
              <w:t>）</w:t>
            </w:r>
            <w:r>
              <w:rPr>
                <w:rFonts w:hint="eastAsia" w:hAnsi="Cambria Math"/>
                <w:i w:val="0"/>
                <w:color w:val="0D0D0D" w:themeColor="text1" w:themeTint="F2"/>
                <w:sz w:val="24"/>
                <w:szCs w:val="24"/>
                <w:lang w:val="en-US" w:eastAsia="zh-CN"/>
                <w14:textFill>
                  <w14:solidFill>
                    <w14:schemeClr w14:val="tx1">
                      <w14:lumMod w14:val="95000"/>
                      <w14:lumOff w14:val="5000"/>
                    </w14:schemeClr>
                  </w14:solidFill>
                </w14:textFill>
              </w:rPr>
              <w:t>预测公式</w:t>
            </w:r>
          </w:p>
          <w:p w14:paraId="52689427">
            <w:pPr>
              <w:autoSpaceDE w:val="0"/>
              <w:autoSpaceDN w:val="0"/>
              <w:snapToGrid w:val="0"/>
              <w:spacing w:line="360" w:lineRule="auto"/>
              <w:ind w:firstLine="480" w:firstLineChars="200"/>
              <w:rPr>
                <w:rFonts w:hint="default" w:hAnsi="Cambria Math" w:eastAsia="宋体"/>
                <w:i w:val="0"/>
                <w:color w:val="0D0D0D" w:themeColor="text1" w:themeTint="F2"/>
                <w:sz w:val="24"/>
                <w:szCs w:val="24"/>
                <w:lang w:val="en-US" w:eastAsia="zh-CN"/>
                <w14:textFill>
                  <w14:solidFill>
                    <w14:schemeClr w14:val="tx1">
                      <w14:lumMod w14:val="95000"/>
                      <w14:lumOff w14:val="5000"/>
                    </w14:schemeClr>
                  </w14:solidFill>
                </w14:textFill>
              </w:rPr>
            </w:pPr>
            <w:r>
              <w:rPr>
                <w:rFonts w:hint="eastAsia" w:hAnsi="Cambria Math"/>
                <w:i w:val="0"/>
                <w:color w:val="0D0D0D" w:themeColor="text1" w:themeTint="F2"/>
                <w:sz w:val="24"/>
                <w:szCs w:val="24"/>
                <w:lang w:val="en-US" w:eastAsia="zh-CN"/>
                <w14:textFill>
                  <w14:solidFill>
                    <w14:schemeClr w14:val="tx1">
                      <w14:lumMod w14:val="95000"/>
                      <w14:lumOff w14:val="5000"/>
                    </w14:schemeClr>
                  </w14:solidFill>
                </w14:textFill>
              </w:rPr>
              <w:t>①点声源衰减模式如下：</w:t>
            </w:r>
          </w:p>
          <w:p w14:paraId="1E4C95E6">
            <w:pPr>
              <w:autoSpaceDE w:val="0"/>
              <w:autoSpaceDN w:val="0"/>
              <w:snapToGrid w:val="0"/>
              <w:spacing w:line="360" w:lineRule="auto"/>
              <w:ind w:firstLine="480" w:firstLineChars="200"/>
              <w:rPr>
                <w:rFonts w:hint="eastAsia" w:ascii="宋体" w:hAnsi="宋体"/>
                <w:color w:val="0D0D0D" w:themeColor="text1" w:themeTint="F2"/>
                <w:sz w:val="24"/>
                <w:szCs w:val="24"/>
                <w14:textFill>
                  <w14:solidFill>
                    <w14:schemeClr w14:val="tx1">
                      <w14:lumMod w14:val="95000"/>
                      <w14:lumOff w14:val="5000"/>
                    </w14:schemeClr>
                  </w14:solidFill>
                </w14:textFill>
              </w:rPr>
            </w:pPr>
            <m:oMathPara>
              <m:oMath>
                <m:sSub>
                  <m:sSubPr>
                    <m:ctrlPr>
                      <w:rPr>
                        <w:rFonts w:ascii="Cambria Math" w:hAnsi="Cambria Math"/>
                        <w:color w:val="0D0D0D" w:themeColor="text1" w:themeTint="F2"/>
                        <w:sz w:val="24"/>
                        <w:szCs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szCs w:val="24"/>
                        <w14:textFill>
                          <w14:solidFill>
                            <w14:schemeClr w14:val="tx1">
                              <w14:lumMod w14:val="95000"/>
                              <w14:lumOff w14:val="5000"/>
                            </w14:schemeClr>
                          </w14:solidFill>
                        </w14:textFill>
                      </w:rPr>
                      <m:t>L</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sub>
                    <m:r>
                      <m:rPr/>
                      <w:rPr>
                        <w:rFonts w:ascii="Cambria Math" w:hAnsi="Cambria Math"/>
                        <w:color w:val="0D0D0D" w:themeColor="text1" w:themeTint="F2"/>
                        <w:sz w:val="24"/>
                        <w:szCs w:val="24"/>
                        <w14:textFill>
                          <w14:solidFill>
                            <w14:schemeClr w14:val="tx1">
                              <w14:lumMod w14:val="95000"/>
                              <w14:lumOff w14:val="5000"/>
                            </w14:schemeClr>
                          </w14:solidFill>
                        </w14:textFill>
                      </w:rPr>
                      <m:t>A</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sub>
                </m:sSub>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r>
                      <m:rPr/>
                      <w:rPr>
                        <w:rFonts w:hint="eastAsia" w:ascii="Cambria Math" w:hAnsi="Cambria Math"/>
                        <w:color w:val="0D0D0D" w:themeColor="text1" w:themeTint="F2"/>
                        <w:sz w:val="24"/>
                        <w:szCs w:val="24"/>
                        <w14:textFill>
                          <w14:solidFill>
                            <w14:schemeClr w14:val="tx1">
                              <w14:lumMod w14:val="95000"/>
                              <w14:lumOff w14:val="5000"/>
                            </w14:schemeClr>
                          </w14:solidFill>
                        </w14:textFill>
                      </w:rPr>
                      <m:t>r</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sSub>
                  <m:sSubPr>
                    <m:ctrlPr>
                      <w:rPr>
                        <w:rFonts w:ascii="Cambria Math" w:hAnsi="Cambria Math"/>
                        <w:color w:val="0D0D0D" w:themeColor="text1" w:themeTint="F2"/>
                        <w:sz w:val="24"/>
                        <w:szCs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szCs w:val="24"/>
                        <w14:textFill>
                          <w14:solidFill>
                            <w14:schemeClr w14:val="tx1">
                              <w14:lumMod w14:val="95000"/>
                              <w14:lumOff w14:val="5000"/>
                            </w14:schemeClr>
                          </w14:solidFill>
                        </w14:textFill>
                      </w:rPr>
                      <m:t>L</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sub>
                    <m:r>
                      <m:rPr/>
                      <w:rPr>
                        <w:rFonts w:ascii="Cambria Math" w:hAnsi="Cambria Math"/>
                        <w:color w:val="0D0D0D" w:themeColor="text1" w:themeTint="F2"/>
                        <w:sz w:val="24"/>
                        <w:szCs w:val="24"/>
                        <w14:textFill>
                          <w14:solidFill>
                            <w14:schemeClr w14:val="tx1">
                              <w14:lumMod w14:val="95000"/>
                              <w14:lumOff w14:val="5000"/>
                            </w14:schemeClr>
                          </w14:solidFill>
                        </w14:textFill>
                      </w:rPr>
                      <m:t>A</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sub>
                </m:sSub>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r>
                  <m:rPr>
                    <m:sty m:val="p"/>
                  </m:rPr>
                  <w:rPr>
                    <w:rFonts w:hint="default" w:ascii="Cambria Math" w:hAnsi="Cambria Math" w:cs="Times New Roman"/>
                    <w:color w:val="0D0D0D" w:themeColor="text1" w:themeTint="F2"/>
                    <w:sz w:val="24"/>
                    <w:szCs w:val="24"/>
                    <w14:textFill>
                      <w14:solidFill>
                        <w14:schemeClr w14:val="tx1">
                          <w14:lumMod w14:val="95000"/>
                          <w14:lumOff w14:val="5000"/>
                        </w14:schemeClr>
                      </w14:solidFill>
                    </w14:textFill>
                  </w:rPr>
                  <m:t>20</m:t>
                </m:r>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lg</m:t>
                </m:r>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r>
                      <m:rPr/>
                      <w:rPr>
                        <w:rFonts w:ascii="Cambria Math" w:hAnsi="Cambria Math"/>
                        <w:color w:val="0D0D0D" w:themeColor="text1" w:themeTint="F2"/>
                        <w:sz w:val="24"/>
                        <w:szCs w:val="24"/>
                        <w14:textFill>
                          <w14:solidFill>
                            <w14:schemeClr w14:val="tx1">
                              <w14:lumMod w14:val="95000"/>
                              <w14:lumOff w14:val="5000"/>
                            </w14:schemeClr>
                          </w14:solidFill>
                        </w14:textFill>
                      </w:rPr>
                      <m:t>r</m:t>
                    </m:r>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oMath>
            </m:oMathPara>
          </w:p>
          <w:p w14:paraId="3BA2F67F">
            <w:pPr>
              <w:keepNext w:val="0"/>
              <w:keepLines w:val="0"/>
              <w:widowControl/>
              <w:suppressLineNumbers w:val="0"/>
              <w:spacing w:line="360" w:lineRule="auto"/>
              <w:ind w:firstLine="480" w:firstLineChars="200"/>
              <w:jc w:val="left"/>
              <w:rPr>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式中：</w:t>
            </w: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LA</w:t>
            </w:r>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－距声源</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处的声级，</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dB(A</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704D07E3">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LA</w:t>
            </w:r>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w:t>
            </w:r>
            <m:oMath>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oMath>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－参考位置的声级，</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dB(A</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328C79E0">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m:oMath>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oMath>
            <w:r>
              <w:rPr>
                <w:rFonts w:hint="eastAsia" w:hAnsi="Cambria Math"/>
                <w:i w:val="0"/>
                <w:iCs/>
                <w:color w:val="0D0D0D" w:themeColor="text1" w:themeTint="F2"/>
                <w:sz w:val="24"/>
                <w:szCs w:val="24"/>
                <w:lang w:val="en-US" w:eastAsia="zh-CN"/>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参考位置与点声源之间的距离，</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m</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0F857588">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－预测点与点声源之间的距离，</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m</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5D313354">
            <w:pPr>
              <w:pStyle w:val="215"/>
              <w:spacing w:line="360" w:lineRule="auto"/>
              <w:ind w:firstLine="480"/>
              <w:rPr>
                <w:rFonts w:hint="default" w:ascii="Times New Roman" w:hAnsi="Times New Roman" w:cs="Times New Roman"/>
                <w:color w:val="0D0D0D" w:themeColor="text1" w:themeTint="F2"/>
                <w:spacing w:val="1"/>
                <w:position w:val="-3"/>
                <w:sz w:val="24"/>
                <w:szCs w:val="24"/>
                <w14:textFill>
                  <w14:solidFill>
                    <w14:schemeClr w14:val="tx1">
                      <w14:lumMod w14:val="95000"/>
                      <w14:lumOff w14:val="5000"/>
                    </w14:schemeClr>
                  </w14:solidFill>
                </w14:textFill>
              </w:rPr>
            </w:pPr>
            <w:r>
              <w:rPr>
                <w:rFonts w:hint="eastAsia" w:ascii="Times New Roman" w:hAnsi="Times New Roman" w:cs="Times New Roman"/>
                <w:color w:val="0D0D0D" w:themeColor="text1" w:themeTint="F2"/>
                <w:spacing w:val="1"/>
                <w:position w:val="-3"/>
                <w:sz w:val="24"/>
                <w:szCs w:val="24"/>
                <w:lang w:val="en-US" w:eastAsia="zh-CN"/>
                <w14:textFill>
                  <w14:solidFill>
                    <w14:schemeClr w14:val="tx1">
                      <w14:lumMod w14:val="95000"/>
                      <w14:lumOff w14:val="5000"/>
                    </w14:schemeClr>
                  </w14:solidFill>
                </w14:textFill>
              </w:rPr>
              <w:t>②</w:t>
            </w:r>
            <w:r>
              <w:rPr>
                <w:rFonts w:hint="default" w:ascii="Times New Roman" w:hAnsi="Times New Roman" w:cs="Times New Roman"/>
                <w:color w:val="0D0D0D" w:themeColor="text1" w:themeTint="F2"/>
                <w:spacing w:val="1"/>
                <w:position w:val="-3"/>
                <w:sz w:val="24"/>
                <w:szCs w:val="24"/>
                <w14:textFill>
                  <w14:solidFill>
                    <w14:schemeClr w14:val="tx1">
                      <w14:lumMod w14:val="95000"/>
                      <w14:lumOff w14:val="5000"/>
                    </w14:schemeClr>
                  </w14:solidFill>
                </w14:textFill>
              </w:rPr>
              <w:t>等效声级贡献值计算公式：</w:t>
            </w:r>
          </w:p>
          <w:p w14:paraId="3741EF73">
            <w:pPr>
              <w:pStyle w:val="215"/>
              <w:spacing w:line="240" w:lineRule="auto"/>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114300" distR="114300">
                  <wp:extent cx="1947545" cy="527685"/>
                  <wp:effectExtent l="0" t="0" r="0" b="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36"/>
                          <a:srcRect t="9378"/>
                          <a:stretch>
                            <a:fillRect/>
                          </a:stretch>
                        </pic:blipFill>
                        <pic:spPr>
                          <a:xfrm>
                            <a:off x="0" y="0"/>
                            <a:ext cx="1947545" cy="527685"/>
                          </a:xfrm>
                          <a:prstGeom prst="rect">
                            <a:avLst/>
                          </a:prstGeom>
                          <a:noFill/>
                          <a:ln>
                            <a:noFill/>
                          </a:ln>
                        </pic:spPr>
                      </pic:pic>
                    </a:graphicData>
                  </a:graphic>
                </wp:inline>
              </w:drawing>
            </w:r>
          </w:p>
          <w:p w14:paraId="6C87C340">
            <w:pPr>
              <w:pStyle w:val="215"/>
              <w:rPr>
                <w:color w:val="0D0D0D" w:themeColor="text1" w:themeTint="F2"/>
                <w14:textFill>
                  <w14:solidFill>
                    <w14:schemeClr w14:val="tx1">
                      <w14:lumMod w14:val="95000"/>
                      <w14:lumOff w14:val="5000"/>
                    </w14:schemeClr>
                  </w14:solidFill>
                </w14:textFill>
              </w:rPr>
            </w:pPr>
            <w:r>
              <w:rPr>
                <w:color w:val="0D0D0D" w:themeColor="text1" w:themeTint="F2"/>
                <w:position w:val="-3"/>
                <w14:textFill>
                  <w14:solidFill>
                    <w14:schemeClr w14:val="tx1">
                      <w14:lumMod w14:val="95000"/>
                      <w14:lumOff w14:val="5000"/>
                    </w14:schemeClr>
                  </w14:solidFill>
                </w14:textFill>
              </w:rPr>
              <w:t>式中：</w:t>
            </w:r>
            <w:r>
              <w:rPr>
                <w:i/>
                <w:iCs/>
                <w:color w:val="0D0D0D" w:themeColor="text1" w:themeTint="F2"/>
                <w:position w:val="1"/>
                <w14:textFill>
                  <w14:solidFill>
                    <w14:schemeClr w14:val="tx1">
                      <w14:lumMod w14:val="95000"/>
                      <w14:lumOff w14:val="5000"/>
                    </w14:schemeClr>
                  </w14:solidFill>
                </w14:textFill>
              </w:rPr>
              <w:t>L</w:t>
            </w:r>
            <w:r>
              <w:rPr>
                <w:i/>
                <w:iCs/>
                <w:color w:val="0D0D0D" w:themeColor="text1" w:themeTint="F2"/>
                <w:sz w:val="16"/>
                <w:szCs w:val="16"/>
                <w14:textFill>
                  <w14:solidFill>
                    <w14:schemeClr w14:val="tx1">
                      <w14:lumMod w14:val="95000"/>
                      <w14:lumOff w14:val="5000"/>
                    </w14:schemeClr>
                  </w14:solidFill>
                </w14:textFill>
              </w:rPr>
              <w:t>eqg</w:t>
            </w:r>
            <w:r>
              <w:rPr>
                <w:color w:val="0D0D0D" w:themeColor="text1" w:themeTint="F2"/>
                <w:position w:val="1"/>
                <w14:textFill>
                  <w14:solidFill>
                    <w14:schemeClr w14:val="tx1">
                      <w14:lumMod w14:val="95000"/>
                      <w14:lumOff w14:val="5000"/>
                    </w14:schemeClr>
                  </w14:solidFill>
                </w14:textFill>
              </w:rPr>
              <w:t>——建设项目声源在预测点的等效声级贡献值，dB(A</w:t>
            </w:r>
            <w:r>
              <w:rPr>
                <w:rFonts w:hint="eastAsia"/>
                <w:color w:val="0D0D0D" w:themeColor="text1" w:themeTint="F2"/>
                <w:position w:val="1"/>
                <w:lang w:eastAsia="zh-CN"/>
                <w14:textFill>
                  <w14:solidFill>
                    <w14:schemeClr w14:val="tx1">
                      <w14:lumMod w14:val="95000"/>
                      <w14:lumOff w14:val="5000"/>
                    </w14:schemeClr>
                  </w14:solidFill>
                </w14:textFill>
              </w:rPr>
              <w:t>）</w:t>
            </w:r>
            <w:r>
              <w:rPr>
                <w:color w:val="0D0D0D" w:themeColor="text1" w:themeTint="F2"/>
                <w:position w:val="1"/>
                <w14:textFill>
                  <w14:solidFill>
                    <w14:schemeClr w14:val="tx1">
                      <w14:lumMod w14:val="95000"/>
                      <w14:lumOff w14:val="5000"/>
                    </w14:schemeClr>
                  </w14:solidFill>
                </w14:textFill>
              </w:rPr>
              <w:t>；</w:t>
            </w:r>
          </w:p>
          <w:p w14:paraId="79E9E25F">
            <w:pPr>
              <w:pStyle w:val="215"/>
              <w:keepNext w:val="0"/>
              <w:keepLines w:val="0"/>
              <w:pageBreakBefore w:val="0"/>
              <w:widowControl w:val="0"/>
              <w:kinsoku/>
              <w:wordWrap/>
              <w:overflowPunct/>
              <w:topLinePunct w:val="0"/>
              <w:bidi w:val="0"/>
              <w:adjustRightInd w:val="0"/>
              <w:ind w:firstLine="1200" w:firstLineChars="500"/>
              <w:textAlignment w:val="baseline"/>
              <w:rPr>
                <w:color w:val="0D0D0D" w:themeColor="text1" w:themeTint="F2"/>
                <w:sz w:val="24"/>
                <w:szCs w:val="24"/>
                <w14:textFill>
                  <w14:solidFill>
                    <w14:schemeClr w14:val="tx1">
                      <w14:lumMod w14:val="95000"/>
                      <w14:lumOff w14:val="5000"/>
                    </w14:schemeClr>
                  </w14:solidFill>
                </w14:textFill>
              </w:rPr>
            </w:pPr>
            <w:r>
              <w:rPr>
                <w:i/>
                <w:iCs/>
                <w:color w:val="0D0D0D" w:themeColor="text1" w:themeTint="F2"/>
                <w:position w:val="1"/>
                <w14:textFill>
                  <w14:solidFill>
                    <w14:schemeClr w14:val="tx1">
                      <w14:lumMod w14:val="95000"/>
                      <w14:lumOff w14:val="5000"/>
                    </w14:schemeClr>
                  </w14:solidFill>
                </w14:textFill>
              </w:rPr>
              <w:t>L</w:t>
            </w:r>
            <w:r>
              <w:rPr>
                <w:i/>
                <w:iCs/>
                <w:color w:val="0D0D0D" w:themeColor="text1" w:themeTint="F2"/>
                <w:sz w:val="16"/>
                <w:szCs w:val="16"/>
                <w14:textFill>
                  <w14:solidFill>
                    <w14:schemeClr w14:val="tx1">
                      <w14:lumMod w14:val="95000"/>
                      <w14:lumOff w14:val="5000"/>
                    </w14:schemeClr>
                  </w14:solidFill>
                </w14:textFill>
              </w:rPr>
              <w:t>Ai</w:t>
            </w:r>
            <w:r>
              <w:rPr>
                <w:color w:val="0D0D0D" w:themeColor="text1" w:themeTint="F2"/>
                <w:position w:val="1"/>
                <w14:textFill>
                  <w14:solidFill>
                    <w14:schemeClr w14:val="tx1">
                      <w14:lumMod w14:val="95000"/>
                      <w14:lumOff w14:val="5000"/>
                    </w14:schemeClr>
                  </w14:solidFill>
                </w14:textFill>
              </w:rPr>
              <w:t>——</w:t>
            </w:r>
            <w:r>
              <w:rPr>
                <w:i/>
                <w:iCs/>
                <w:color w:val="0D0D0D" w:themeColor="text1" w:themeTint="F2"/>
                <w:position w:val="1"/>
                <w14:textFill>
                  <w14:solidFill>
                    <w14:schemeClr w14:val="tx1">
                      <w14:lumMod w14:val="95000"/>
                      <w14:lumOff w14:val="5000"/>
                    </w14:schemeClr>
                  </w14:solidFill>
                </w14:textFill>
              </w:rPr>
              <w:t>i</w:t>
            </w:r>
            <w:r>
              <w:rPr>
                <w:color w:val="0D0D0D" w:themeColor="text1" w:themeTint="F2"/>
                <w:position w:val="1"/>
                <w14:textFill>
                  <w14:solidFill>
                    <w14:schemeClr w14:val="tx1">
                      <w14:lumMod w14:val="95000"/>
                      <w14:lumOff w14:val="5000"/>
                    </w14:schemeClr>
                  </w14:solidFill>
                </w14:textFill>
              </w:rPr>
              <w:t>声</w:t>
            </w:r>
            <w:r>
              <w:rPr>
                <w:color w:val="0D0D0D" w:themeColor="text1" w:themeTint="F2"/>
                <w:position w:val="1"/>
                <w:sz w:val="24"/>
                <w:szCs w:val="24"/>
                <w14:textFill>
                  <w14:solidFill>
                    <w14:schemeClr w14:val="tx1">
                      <w14:lumMod w14:val="95000"/>
                      <w14:lumOff w14:val="5000"/>
                    </w14:schemeClr>
                  </w14:solidFill>
                </w14:textFill>
              </w:rPr>
              <w:t>源在预测点产生的A声级，dB(A</w:t>
            </w:r>
            <w:r>
              <w:rPr>
                <w:rFonts w:hint="eastAsia"/>
                <w:color w:val="0D0D0D" w:themeColor="text1" w:themeTint="F2"/>
                <w:position w:val="1"/>
                <w:sz w:val="24"/>
                <w:szCs w:val="24"/>
                <w:lang w:eastAsia="zh-CN"/>
                <w14:textFill>
                  <w14:solidFill>
                    <w14:schemeClr w14:val="tx1">
                      <w14:lumMod w14:val="95000"/>
                      <w14:lumOff w14:val="5000"/>
                    </w14:schemeClr>
                  </w14:solidFill>
                </w14:textFill>
              </w:rPr>
              <w:t>）</w:t>
            </w:r>
            <w:r>
              <w:rPr>
                <w:color w:val="0D0D0D" w:themeColor="text1" w:themeTint="F2"/>
                <w:position w:val="1"/>
                <w:sz w:val="24"/>
                <w:szCs w:val="24"/>
                <w14:textFill>
                  <w14:solidFill>
                    <w14:schemeClr w14:val="tx1">
                      <w14:lumMod w14:val="95000"/>
                      <w14:lumOff w14:val="5000"/>
                    </w14:schemeClr>
                  </w14:solidFill>
                </w14:textFill>
              </w:rPr>
              <w:t>；</w:t>
            </w:r>
          </w:p>
          <w:p w14:paraId="2737E490">
            <w:pPr>
              <w:pStyle w:val="215"/>
              <w:keepNext w:val="0"/>
              <w:keepLines w:val="0"/>
              <w:pageBreakBefore w:val="0"/>
              <w:widowControl w:val="0"/>
              <w:kinsoku/>
              <w:wordWrap/>
              <w:overflowPunct/>
              <w:topLinePunct w:val="0"/>
              <w:bidi w:val="0"/>
              <w:adjustRightInd w:val="0"/>
              <w:ind w:firstLine="1200" w:firstLineChars="500"/>
              <w:textAlignment w:val="baseline"/>
              <w:rPr>
                <w:color w:val="0D0D0D" w:themeColor="text1" w:themeTint="F2"/>
                <w:sz w:val="24"/>
                <w:szCs w:val="24"/>
                <w14:textFill>
                  <w14:solidFill>
                    <w14:schemeClr w14:val="tx1">
                      <w14:lumMod w14:val="95000"/>
                      <w14:lumOff w14:val="5000"/>
                    </w14:schemeClr>
                  </w14:solidFill>
                </w14:textFill>
              </w:rPr>
            </w:pPr>
            <w:r>
              <w:rPr>
                <w:i/>
                <w:iCs/>
                <w:color w:val="0D0D0D" w:themeColor="text1" w:themeTint="F2"/>
                <w:sz w:val="24"/>
                <w:szCs w:val="24"/>
                <w14:textFill>
                  <w14:solidFill>
                    <w14:schemeClr w14:val="tx1">
                      <w14:lumMod w14:val="95000"/>
                      <w14:lumOff w14:val="5000"/>
                    </w14:schemeClr>
                  </w14:solidFill>
                </w14:textFill>
              </w:rPr>
              <w:t>T</w:t>
            </w:r>
            <w:r>
              <w:rPr>
                <w:color w:val="0D0D0D" w:themeColor="text1" w:themeTint="F2"/>
                <w:sz w:val="24"/>
                <w:szCs w:val="24"/>
                <w14:textFill>
                  <w14:solidFill>
                    <w14:schemeClr w14:val="tx1">
                      <w14:lumMod w14:val="95000"/>
                      <w14:lumOff w14:val="5000"/>
                    </w14:schemeClr>
                  </w14:solidFill>
                </w14:textFill>
              </w:rPr>
              <w:t>——预测计算的时间段，s；</w:t>
            </w:r>
          </w:p>
          <w:p w14:paraId="14923EE5">
            <w:pPr>
              <w:keepNext w:val="0"/>
              <w:keepLines w:val="0"/>
              <w:pageBreakBefore w:val="0"/>
              <w:widowControl w:val="0"/>
              <w:kinsoku/>
              <w:wordWrap/>
              <w:overflowPunct/>
              <w:topLinePunct w:val="0"/>
              <w:autoSpaceDE w:val="0"/>
              <w:autoSpaceDN w:val="0"/>
              <w:bidi w:val="0"/>
              <w:adjustRightInd w:val="0"/>
              <w:snapToGrid w:val="0"/>
              <w:spacing w:line="360" w:lineRule="auto"/>
              <w:ind w:firstLine="1210" w:firstLineChars="500"/>
              <w:textAlignment w:val="baseline"/>
              <w:rPr>
                <w:rFonts w:hint="eastAsia" w:ascii="宋体" w:hAnsi="宋体"/>
                <w:color w:val="0D0D0D" w:themeColor="text1" w:themeTint="F2"/>
                <w:szCs w:val="21"/>
                <w14:textFill>
                  <w14:solidFill>
                    <w14:schemeClr w14:val="tx1">
                      <w14:lumMod w14:val="95000"/>
                      <w14:lumOff w14:val="5000"/>
                    </w14:schemeClr>
                  </w14:solidFill>
                </w14:textFill>
              </w:rPr>
            </w:pPr>
            <w:r>
              <w:rPr>
                <w:i/>
                <w:iCs/>
                <w:color w:val="0D0D0D" w:themeColor="text1" w:themeTint="F2"/>
                <w:spacing w:val="1"/>
                <w:position w:val="1"/>
                <w:sz w:val="24"/>
                <w:szCs w:val="24"/>
                <w14:textFill>
                  <w14:solidFill>
                    <w14:schemeClr w14:val="tx1">
                      <w14:lumMod w14:val="95000"/>
                      <w14:lumOff w14:val="5000"/>
                    </w14:schemeClr>
                  </w14:solidFill>
                </w14:textFill>
              </w:rPr>
              <w:t>t</w:t>
            </w:r>
            <w:r>
              <w:rPr>
                <w:i/>
                <w:iCs/>
                <w:color w:val="0D0D0D" w:themeColor="text1" w:themeTint="F2"/>
                <w:sz w:val="24"/>
                <w:szCs w:val="24"/>
                <w14:textFill>
                  <w14:solidFill>
                    <w14:schemeClr w14:val="tx1">
                      <w14:lumMod w14:val="95000"/>
                      <w14:lumOff w14:val="5000"/>
                    </w14:schemeClr>
                  </w14:solidFill>
                </w14:textFill>
              </w:rPr>
              <w:t>i</w:t>
            </w:r>
            <w:r>
              <w:rPr>
                <w:color w:val="0D0D0D" w:themeColor="text1" w:themeTint="F2"/>
                <w:position w:val="1"/>
                <w:sz w:val="24"/>
                <w:szCs w:val="24"/>
                <w14:textFill>
                  <w14:solidFill>
                    <w14:schemeClr w14:val="tx1">
                      <w14:lumMod w14:val="95000"/>
                      <w14:lumOff w14:val="5000"/>
                    </w14:schemeClr>
                  </w14:solidFill>
                </w14:textFill>
              </w:rPr>
              <w:t>——</w:t>
            </w:r>
            <w:r>
              <w:rPr>
                <w:i/>
                <w:iCs/>
                <w:color w:val="0D0D0D" w:themeColor="text1" w:themeTint="F2"/>
                <w:position w:val="1"/>
                <w:sz w:val="24"/>
                <w:szCs w:val="24"/>
                <w14:textFill>
                  <w14:solidFill>
                    <w14:schemeClr w14:val="tx1">
                      <w14:lumMod w14:val="95000"/>
                      <w14:lumOff w14:val="5000"/>
                    </w14:schemeClr>
                  </w14:solidFill>
                </w14:textFill>
              </w:rPr>
              <w:t>i</w:t>
            </w:r>
            <w:r>
              <w:rPr>
                <w:color w:val="0D0D0D" w:themeColor="text1" w:themeTint="F2"/>
                <w:position w:val="1"/>
                <w:sz w:val="24"/>
                <w:szCs w:val="24"/>
                <w14:textFill>
                  <w14:solidFill>
                    <w14:schemeClr w14:val="tx1">
                      <w14:lumMod w14:val="95000"/>
                      <w14:lumOff w14:val="5000"/>
                    </w14:schemeClr>
                  </w14:solidFill>
                </w14:textFill>
              </w:rPr>
              <w:t>声源在T时段内的运行时间，s。</w:t>
            </w:r>
          </w:p>
          <w:p w14:paraId="074BF7B8">
            <w:pPr>
              <w:autoSpaceDE w:val="0"/>
              <w:autoSpaceDN w:val="0"/>
              <w:snapToGrid w:val="0"/>
              <w:spacing w:line="360" w:lineRule="auto"/>
              <w:ind w:firstLine="480" w:firstLineChars="200"/>
              <w:rPr>
                <w:rFonts w:hint="default"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③噪声预测值（</w:t>
            </w:r>
            <w:r>
              <w:rPr>
                <w:rFonts w:hint="default" w:ascii="Times New Roman" w:hAnsi="Times New Roman" w:cs="Times New Roman"/>
                <w:i/>
                <w:iCs/>
                <w:color w:val="0D0D0D" w:themeColor="text1" w:themeTint="F2"/>
                <w:sz w:val="24"/>
                <w:szCs w:val="28"/>
                <w:lang w:val="en-US" w:eastAsia="zh-CN"/>
                <w14:textFill>
                  <w14:solidFill>
                    <w14:schemeClr w14:val="tx1">
                      <w14:lumMod w14:val="95000"/>
                      <w14:lumOff w14:val="5000"/>
                    </w14:schemeClr>
                  </w14:solidFill>
                </w14:textFill>
              </w:rPr>
              <w:t>L</w:t>
            </w:r>
            <w:r>
              <w:rPr>
                <w:rFonts w:hint="default" w:ascii="Times New Roman" w:hAnsi="Times New Roman" w:cs="Times New Roman"/>
                <w:i/>
                <w:iCs/>
                <w:color w:val="0D0D0D" w:themeColor="text1" w:themeTint="F2"/>
                <w:sz w:val="24"/>
                <w:szCs w:val="28"/>
                <w:vertAlign w:val="subscript"/>
                <w:lang w:val="en-US" w:eastAsia="zh-CN"/>
                <w14:textFill>
                  <w14:solidFill>
                    <w14:schemeClr w14:val="tx1">
                      <w14:lumMod w14:val="95000"/>
                      <w14:lumOff w14:val="5000"/>
                    </w14:schemeClr>
                  </w14:solidFill>
                </w14:textFill>
              </w:rPr>
              <w:t>eq</w:t>
            </w:r>
            <w:r>
              <w:rPr>
                <w:rFonts w:hint="default"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）计算公式为：</w:t>
            </w:r>
          </w:p>
          <w:p w14:paraId="6AF70684">
            <w:pPr>
              <w:autoSpaceDE w:val="0"/>
              <w:autoSpaceDN w:val="0"/>
              <w:snapToGrid w:val="0"/>
              <w:spacing w:line="360" w:lineRule="auto"/>
              <w:ind w:firstLine="400" w:firstLineChars="200"/>
              <w:jc w:val="center"/>
              <w:rPr>
                <w:rFonts w:hint="eastAsia" w:ascii="宋体" w:hAnsi="宋体" w:eastAsia="宋体"/>
                <w:color w:val="0D0D0D" w:themeColor="text1" w:themeTint="F2"/>
                <w:szCs w:val="21"/>
                <w:lang w:val="en-US" w:eastAsia="zh-CN"/>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114300" distR="114300">
                  <wp:extent cx="2394585" cy="444500"/>
                  <wp:effectExtent l="0" t="0" r="13335" b="1270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37"/>
                          <a:stretch>
                            <a:fillRect/>
                          </a:stretch>
                        </pic:blipFill>
                        <pic:spPr>
                          <a:xfrm>
                            <a:off x="0" y="0"/>
                            <a:ext cx="2394585" cy="444500"/>
                          </a:xfrm>
                          <a:prstGeom prst="rect">
                            <a:avLst/>
                          </a:prstGeom>
                          <a:noFill/>
                          <a:ln>
                            <a:noFill/>
                          </a:ln>
                        </pic:spPr>
                      </pic:pic>
                    </a:graphicData>
                  </a:graphic>
                </wp:inline>
              </w:drawing>
            </w:r>
          </w:p>
          <w:p w14:paraId="5BEFA20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D0D0D" w:themeColor="text1" w:themeTint="F2"/>
                <w14:textFill>
                  <w14:solidFill>
                    <w14:schemeClr w14:val="tx1">
                      <w14:lumMod w14:val="95000"/>
                      <w14:lumOff w14:val="5000"/>
                    </w14:schemeClr>
                  </w14:solidFill>
                </w14:textFill>
              </w:rPr>
            </w:pP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式中：</w:t>
            </w: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w:t>
            </w:r>
            <w:r>
              <w:rPr>
                <w:rFonts w:hint="default" w:ascii="Times New Roman" w:hAnsi="Times New Roman" w:eastAsia="宋体" w:cs="Times New Roman"/>
                <w:color w:val="0D0D0D" w:themeColor="text1" w:themeTint="F2"/>
                <w:kern w:val="0"/>
                <w:sz w:val="24"/>
                <w:szCs w:val="24"/>
                <w:vertAlign w:val="subscript"/>
                <w:lang w:val="en-US" w:eastAsia="zh-CN" w:bidi="ar"/>
                <w14:textFill>
                  <w14:solidFill>
                    <w14:schemeClr w14:val="tx1">
                      <w14:lumMod w14:val="95000"/>
                      <w14:lumOff w14:val="5000"/>
                    </w14:schemeClr>
                  </w14:solidFill>
                </w14:textFill>
              </w:rPr>
              <w:t>eq</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—预测点的噪声预测值，dB(A</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p>
          <w:p w14:paraId="7CD31835">
            <w:pPr>
              <w:keepNext w:val="0"/>
              <w:keepLines w:val="0"/>
              <w:pageBreakBefore w:val="0"/>
              <w:widowControl/>
              <w:suppressLineNumbers w:val="0"/>
              <w:kinsoku/>
              <w:wordWrap/>
              <w:overflowPunct/>
              <w:topLinePunct w:val="0"/>
              <w:autoSpaceDE/>
              <w:autoSpaceDN/>
              <w:bidi w:val="0"/>
              <w:adjustRightInd/>
              <w:snapToGrid/>
              <w:spacing w:line="360" w:lineRule="auto"/>
              <w:ind w:firstLine="1200" w:firstLineChars="500"/>
              <w:jc w:val="left"/>
              <w:textAlignment w:val="auto"/>
              <w:rPr>
                <w:color w:val="0D0D0D" w:themeColor="text1" w:themeTint="F2"/>
                <w:sz w:val="24"/>
                <w:szCs w:val="24"/>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w:t>
            </w:r>
            <w:r>
              <w:rPr>
                <w:rFonts w:hint="default" w:ascii="Times New Roman" w:hAnsi="Times New Roman" w:eastAsia="宋体" w:cs="Times New Roman"/>
                <w:color w:val="0D0D0D" w:themeColor="text1" w:themeTint="F2"/>
                <w:kern w:val="0"/>
                <w:sz w:val="24"/>
                <w:szCs w:val="24"/>
                <w:vertAlign w:val="subscript"/>
                <w:lang w:val="en-US" w:eastAsia="zh-CN" w:bidi="ar"/>
                <w14:textFill>
                  <w14:solidFill>
                    <w14:schemeClr w14:val="tx1">
                      <w14:lumMod w14:val="95000"/>
                      <w14:lumOff w14:val="5000"/>
                    </w14:schemeClr>
                  </w14:solidFill>
                </w14:textFill>
              </w:rPr>
              <w:t>eqg</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建设项目声源在预测点产生的噪声贡献值，</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（A）</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553D9733">
            <w:pPr>
              <w:pStyle w:val="216"/>
              <w:keepNext w:val="0"/>
              <w:keepLines w:val="0"/>
              <w:pageBreakBefore w:val="0"/>
              <w:kinsoku/>
              <w:wordWrap/>
              <w:overflowPunct/>
              <w:topLinePunct w:val="0"/>
              <w:autoSpaceDE/>
              <w:autoSpaceDN/>
              <w:bidi w:val="0"/>
              <w:snapToGrid/>
              <w:ind w:firstLine="1200" w:firstLineChars="500"/>
              <w:rPr>
                <w:color w:val="0D0D0D" w:themeColor="text1" w:themeTint="F2"/>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w:t>
            </w:r>
            <w:r>
              <w:rPr>
                <w:rFonts w:hint="default" w:ascii="Times New Roman" w:hAnsi="Times New Roman" w:eastAsia="宋体" w:cs="Times New Roman"/>
                <w:color w:val="0D0D0D" w:themeColor="text1" w:themeTint="F2"/>
                <w:kern w:val="0"/>
                <w:sz w:val="24"/>
                <w:szCs w:val="24"/>
                <w:vertAlign w:val="subscript"/>
                <w:lang w:val="en-US" w:eastAsia="zh-CN" w:bidi="ar"/>
                <w14:textFill>
                  <w14:solidFill>
                    <w14:schemeClr w14:val="tx1">
                      <w14:lumMod w14:val="95000"/>
                      <w14:lumOff w14:val="5000"/>
                    </w14:schemeClr>
                  </w14:solidFill>
                </w14:textFill>
              </w:rPr>
              <w:t>eqb</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预测点的背景噪声值，</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（A）</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5919DCFE">
            <w:pPr>
              <w:pStyle w:val="216"/>
              <w:keepNext w:val="0"/>
              <w:keepLines w:val="0"/>
              <w:pageBreakBefore w:val="0"/>
              <w:numPr>
                <w:ilvl w:val="0"/>
                <w:numId w:val="0"/>
              </w:numPr>
              <w:kinsoku/>
              <w:wordWrap/>
              <w:overflowPunct/>
              <w:topLinePunct w:val="0"/>
              <w:autoSpaceDE/>
              <w:autoSpaceDN/>
              <w:bidi w:val="0"/>
              <w:snapToGrid/>
              <w:ind w:left="0" w:leftChars="0" w:firstLine="480" w:firstLineChars="200"/>
              <w:rPr>
                <w:rFonts w:hint="eastAsia"/>
                <w:color w:val="0D0D0D" w:themeColor="text1" w:themeTint="F2"/>
                <w:lang w:val="en-US" w:eastAsia="zh-CN"/>
                <w14:textFill>
                  <w14:solidFill>
                    <w14:schemeClr w14:val="tx1">
                      <w14:lumMod w14:val="95000"/>
                      <w14:lumOff w14:val="5000"/>
                    </w14:schemeClr>
                  </w14:solidFill>
                </w14:textFill>
              </w:rPr>
            </w:pPr>
            <w:r>
              <w:rPr>
                <w:rFonts w:hint="eastAsia" w:cs="Times New Roman"/>
                <w:color w:val="0D0D0D" w:themeColor="text1" w:themeTint="F2"/>
                <w:sz w:val="24"/>
                <w:lang w:val="en-US" w:eastAsia="zh-CN" w:bidi="ar-SA"/>
                <w14:textFill>
                  <w14:solidFill>
                    <w14:schemeClr w14:val="tx1">
                      <w14:lumMod w14:val="95000"/>
                      <w14:lumOff w14:val="5000"/>
                    </w14:schemeClr>
                  </w14:solidFill>
                </w14:textFill>
              </w:rPr>
              <w:t>2</w:t>
            </w:r>
            <w:r>
              <w:rPr>
                <w:rFonts w:hint="eastAsia" w:ascii="Times New Roman" w:hAnsi="Times New Roman" w:eastAsia="宋体" w:cs="Times New Roman"/>
                <w:color w:val="0D0D0D" w:themeColor="text1" w:themeTint="F2"/>
                <w:sz w:val="24"/>
                <w:lang w:val="en-US" w:eastAsia="zh-CN" w:bidi="ar-SA"/>
                <w14:textFill>
                  <w14:solidFill>
                    <w14:schemeClr w14:val="tx1">
                      <w14:lumMod w14:val="95000"/>
                      <w14:lumOff w14:val="5000"/>
                    </w14:schemeClr>
                  </w14:solidFill>
                </w14:textFill>
              </w:rPr>
              <w:t>）</w:t>
            </w:r>
            <w:r>
              <w:rPr>
                <w:rFonts w:hint="eastAsia"/>
                <w:color w:val="0D0D0D" w:themeColor="text1" w:themeTint="F2"/>
                <w:lang w:val="en-US" w:eastAsia="zh-CN"/>
                <w14:textFill>
                  <w14:solidFill>
                    <w14:schemeClr w14:val="tx1">
                      <w14:lumMod w14:val="95000"/>
                      <w14:lumOff w14:val="5000"/>
                    </w14:schemeClr>
                  </w14:solidFill>
                </w14:textFill>
              </w:rPr>
              <w:t>预测结果</w:t>
            </w:r>
          </w:p>
          <w:p w14:paraId="6A47807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olor w:val="0D0D0D" w:themeColor="text1" w:themeTint="F2"/>
                <w:lang w:val="en-US"/>
                <w14:textFill>
                  <w14:solidFill>
                    <w14:schemeClr w14:val="tx1">
                      <w14:lumMod w14:val="95000"/>
                      <w14:lumOff w14:val="5000"/>
                    </w14:schemeClr>
                  </w14:solidFill>
                </w14:textFill>
              </w:rPr>
            </w:pP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各施工阶段典型施工设备组合见</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下表</w:t>
            </w:r>
            <w:r>
              <w:rPr>
                <w:rFonts w:hint="eastAsia"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p>
          <w:p w14:paraId="49AC7E83">
            <w:pPr>
              <w:keepNext w:val="0"/>
              <w:keepLines w:val="0"/>
              <w:widowControl/>
              <w:suppressLineNumbers w:val="0"/>
              <w:spacing w:line="240" w:lineRule="auto"/>
              <w:ind w:left="0" w:leftChars="0" w:firstLine="0" w:firstLineChars="0"/>
              <w:jc w:val="center"/>
              <w:rPr>
                <w:rFonts w:hint="default" w:ascii="Times New Roman" w:hAnsi="Times New Roman"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pPr>
            <w:r>
              <w:rPr>
                <w:rFonts w:hint="default" w:ascii="Times New Roman" w:hAnsi="Times New Roman"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表</w:t>
            </w:r>
            <w:r>
              <w:rPr>
                <w:rFonts w:hint="eastAsia" w:ascii="Times New Roman" w:hAnsi="Times New Roman"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4-</w:t>
            </w:r>
            <w:r>
              <w:rPr>
                <w:rFonts w:hint="eastAsia"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3</w:t>
            </w:r>
            <w:r>
              <w:rPr>
                <w:rFonts w:hint="default" w:ascii="Times New Roman" w:hAnsi="Times New Roman"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 xml:space="preserve">  各施工阶段典型施工设备组合一览表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43"/>
              <w:gridCol w:w="3798"/>
              <w:gridCol w:w="2045"/>
            </w:tblGrid>
            <w:tr w14:paraId="72645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9" w:type="dxa"/>
                  <w:vAlign w:val="center"/>
                </w:tcPr>
                <w:p w14:paraId="65D911C5">
                  <w:pPr>
                    <w:numPr>
                      <w:ilvl w:val="0"/>
                      <w:numId w:val="0"/>
                    </w:numPr>
                    <w:snapToGrid w:val="0"/>
                    <w:spacing w:line="240" w:lineRule="auto"/>
                    <w:ind w:left="0" w:leftChars="0" w:firstLine="0" w:firstLineChars="0"/>
                    <w:contextualSpacing/>
                    <w:jc w:val="center"/>
                    <w:rPr>
                      <w:rFonts w:hint="default"/>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施工阶段</w:t>
                  </w:r>
                </w:p>
              </w:tc>
              <w:tc>
                <w:tcPr>
                  <w:tcW w:w="3600" w:type="dxa"/>
                  <w:vAlign w:val="center"/>
                </w:tcPr>
                <w:p w14:paraId="1B6C297E">
                  <w:pPr>
                    <w:numPr>
                      <w:ilvl w:val="0"/>
                      <w:numId w:val="0"/>
                    </w:numPr>
                    <w:snapToGrid w:val="0"/>
                    <w:spacing w:line="240" w:lineRule="auto"/>
                    <w:ind w:left="0" w:leftChars="0" w:firstLine="0" w:firstLineChars="0"/>
                    <w:contextualSpacing/>
                    <w:jc w:val="center"/>
                    <w:rPr>
                      <w:rFonts w:hint="default"/>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典型施工设备</w:t>
                  </w:r>
                </w:p>
              </w:tc>
              <w:tc>
                <w:tcPr>
                  <w:tcW w:w="1938" w:type="dxa"/>
                  <w:vAlign w:val="center"/>
                </w:tcPr>
                <w:p w14:paraId="62375161">
                  <w:pPr>
                    <w:numPr>
                      <w:ilvl w:val="0"/>
                      <w:numId w:val="0"/>
                    </w:numPr>
                    <w:snapToGrid w:val="0"/>
                    <w:spacing w:line="240" w:lineRule="auto"/>
                    <w:ind w:left="0" w:leftChars="0" w:firstLine="0" w:firstLineChars="0"/>
                    <w:contextualSpacing/>
                    <w:jc w:val="center"/>
                    <w:rPr>
                      <w:rFonts w:hint="default"/>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同时施工设备数量/台（套）</w:t>
                  </w:r>
                </w:p>
              </w:tc>
            </w:tr>
            <w:tr w14:paraId="318E8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9" w:type="dxa"/>
                  <w:vAlign w:val="center"/>
                </w:tcPr>
                <w:p w14:paraId="64DF3293">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场地平整</w:t>
                  </w:r>
                </w:p>
              </w:tc>
              <w:tc>
                <w:tcPr>
                  <w:tcW w:w="3600" w:type="dxa"/>
                  <w:vAlign w:val="center"/>
                </w:tcPr>
                <w:p w14:paraId="4D2080E2">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液压挖掘机</w:t>
                  </w:r>
                  <w:r>
                    <w:rPr>
                      <w:rFonts w:hint="eastAsia"/>
                      <w:color w:val="0D0D0D" w:themeColor="text1" w:themeTint="F2"/>
                      <w:sz w:val="21"/>
                      <w:szCs w:val="21"/>
                      <w:lang w:eastAsia="zh-CN"/>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重型运输</w:t>
                  </w:r>
                  <w:r>
                    <w:rPr>
                      <w:rFonts w:hint="eastAsia"/>
                      <w:color w:val="0D0D0D" w:themeColor="text1" w:themeTint="F2"/>
                      <w:sz w:val="21"/>
                      <w:szCs w:val="21"/>
                      <w14:textFill>
                        <w14:solidFill>
                          <w14:schemeClr w14:val="tx1">
                            <w14:lumMod w14:val="95000"/>
                            <w14:lumOff w14:val="5000"/>
                          </w14:schemeClr>
                        </w14:solidFill>
                      </w14:textFill>
                    </w:rPr>
                    <w:t>车</w:t>
                  </w:r>
                  <w:r>
                    <w:rPr>
                      <w:rFonts w:hint="eastAsia"/>
                      <w:color w:val="0D0D0D" w:themeColor="text1" w:themeTint="F2"/>
                      <w:sz w:val="21"/>
                      <w:szCs w:val="21"/>
                      <w:lang w:eastAsia="zh-CN"/>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推土机</w:t>
                  </w:r>
                  <w:r>
                    <w:rPr>
                      <w:rFonts w:hint="eastAsia"/>
                      <w:color w:val="0D0D0D" w:themeColor="text1" w:themeTint="F2"/>
                      <w:sz w:val="21"/>
                      <w:szCs w:val="21"/>
                      <w:lang w:eastAsia="zh-CN"/>
                      <w14:textFill>
                        <w14:solidFill>
                          <w14:schemeClr w14:val="tx1">
                            <w14:lumMod w14:val="95000"/>
                            <w14:lumOff w14:val="5000"/>
                          </w14:schemeClr>
                        </w14:solidFill>
                      </w14:textFill>
                    </w:rPr>
                    <w:t>、</w:t>
                  </w:r>
                  <w:r>
                    <w:rPr>
                      <w:rFonts w:hint="eastAsia"/>
                      <w:color w:val="0D0D0D" w:themeColor="text1" w:themeTint="F2"/>
                      <w:sz w:val="21"/>
                      <w:szCs w:val="21"/>
                      <w:lang w:val="en-US" w:eastAsia="zh-CN"/>
                      <w14:textFill>
                        <w14:solidFill>
                          <w14:schemeClr w14:val="tx1">
                            <w14:lumMod w14:val="95000"/>
                            <w14:lumOff w14:val="5000"/>
                          </w14:schemeClr>
                        </w14:solidFill>
                      </w14:textFill>
                    </w:rPr>
                    <w:t>压路机</w:t>
                  </w:r>
                </w:p>
              </w:tc>
              <w:tc>
                <w:tcPr>
                  <w:tcW w:w="1938" w:type="dxa"/>
                  <w:vAlign w:val="center"/>
                </w:tcPr>
                <w:p w14:paraId="7DC774E6">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4</w:t>
                  </w:r>
                </w:p>
              </w:tc>
            </w:tr>
            <w:tr w14:paraId="5D65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9" w:type="dxa"/>
                  <w:vAlign w:val="center"/>
                </w:tcPr>
                <w:p w14:paraId="6E349E6D">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土方开挖</w:t>
                  </w:r>
                </w:p>
              </w:tc>
              <w:tc>
                <w:tcPr>
                  <w:tcW w:w="3600" w:type="dxa"/>
                  <w:vAlign w:val="center"/>
                </w:tcPr>
                <w:p w14:paraId="13D45D60">
                  <w:pPr>
                    <w:numPr>
                      <w:ilvl w:val="0"/>
                      <w:numId w:val="0"/>
                    </w:numPr>
                    <w:snapToGrid w:val="0"/>
                    <w:spacing w:line="240" w:lineRule="auto"/>
                    <w:ind w:left="0" w:leftChars="0" w:firstLine="0" w:firstLineChars="0"/>
                    <w:contextualSpacing/>
                    <w:jc w:val="cente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液压</w:t>
                  </w:r>
                  <w:r>
                    <w:rPr>
                      <w:color w:val="0D0D0D" w:themeColor="text1" w:themeTint="F2"/>
                      <w:sz w:val="21"/>
                      <w:szCs w:val="21"/>
                      <w14:textFill>
                        <w14:solidFill>
                          <w14:schemeClr w14:val="tx1">
                            <w14:lumMod w14:val="95000"/>
                            <w14:lumOff w14:val="5000"/>
                          </w14:schemeClr>
                        </w14:solidFill>
                      </w14:textFill>
                    </w:rPr>
                    <w:t>挖掘机</w:t>
                  </w:r>
                  <w:r>
                    <w:rPr>
                      <w:rFonts w:hint="eastAsia"/>
                      <w:color w:val="0D0D0D" w:themeColor="text1" w:themeTint="F2"/>
                      <w:sz w:val="21"/>
                      <w:szCs w:val="21"/>
                      <w:lang w:eastAsia="zh-CN"/>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重型运输</w:t>
                  </w:r>
                  <w:r>
                    <w:rPr>
                      <w:rFonts w:hint="eastAsia"/>
                      <w:color w:val="0D0D0D" w:themeColor="text1" w:themeTint="F2"/>
                      <w:sz w:val="21"/>
                      <w:szCs w:val="21"/>
                      <w14:textFill>
                        <w14:solidFill>
                          <w14:schemeClr w14:val="tx1">
                            <w14:lumMod w14:val="95000"/>
                            <w14:lumOff w14:val="5000"/>
                          </w14:schemeClr>
                        </w14:solidFill>
                      </w14:textFill>
                    </w:rPr>
                    <w:t>车</w:t>
                  </w:r>
                </w:p>
              </w:tc>
              <w:tc>
                <w:tcPr>
                  <w:tcW w:w="1938" w:type="dxa"/>
                  <w:vAlign w:val="center"/>
                </w:tcPr>
                <w:p w14:paraId="61895237">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2</w:t>
                  </w:r>
                </w:p>
              </w:tc>
            </w:tr>
            <w:tr w14:paraId="7F51D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9" w:type="dxa"/>
                  <w:vAlign w:val="center"/>
                </w:tcPr>
                <w:p w14:paraId="1568DCF5">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土建施工</w:t>
                  </w:r>
                </w:p>
              </w:tc>
              <w:tc>
                <w:tcPr>
                  <w:tcW w:w="3600" w:type="dxa"/>
                  <w:vAlign w:val="center"/>
                </w:tcPr>
                <w:p w14:paraId="56F661C0">
                  <w:pPr>
                    <w:numPr>
                      <w:ilvl w:val="0"/>
                      <w:numId w:val="0"/>
                    </w:numPr>
                    <w:snapToGrid w:val="0"/>
                    <w:spacing w:line="240" w:lineRule="auto"/>
                    <w:ind w:left="0" w:leftChars="0" w:firstLine="0" w:firstLineChars="0"/>
                    <w:contextualSpacing/>
                    <w:jc w:val="cente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重型运输车</w:t>
                  </w:r>
                  <w:r>
                    <w:rPr>
                      <w:rFonts w:hint="eastAsia"/>
                      <w:color w:val="0D0D0D" w:themeColor="text1" w:themeTint="F2"/>
                      <w:sz w:val="21"/>
                      <w:szCs w:val="21"/>
                      <w:lang w:eastAsia="zh-CN"/>
                      <w14:textFill>
                        <w14:solidFill>
                          <w14:schemeClr w14:val="tx1">
                            <w14:lumMod w14:val="95000"/>
                            <w14:lumOff w14:val="5000"/>
                          </w14:schemeClr>
                        </w14:solidFill>
                      </w14:textFill>
                    </w:rPr>
                    <w:t>、</w:t>
                  </w:r>
                  <w:r>
                    <w:rPr>
                      <w:color w:val="0D0D0D" w:themeColor="text1" w:themeTint="F2"/>
                      <w:sz w:val="21"/>
                      <w:szCs w:val="21"/>
                      <w14:textFill>
                        <w14:solidFill>
                          <w14:schemeClr w14:val="tx1">
                            <w14:lumMod w14:val="95000"/>
                            <w14:lumOff w14:val="5000"/>
                          </w14:schemeClr>
                        </w14:solidFill>
                      </w14:textFill>
                    </w:rPr>
                    <w:t>混凝土振捣器</w:t>
                  </w:r>
                  <w:r>
                    <w:rPr>
                      <w:rFonts w:hint="eastAsia"/>
                      <w:color w:val="0D0D0D" w:themeColor="text1" w:themeTint="F2"/>
                      <w:sz w:val="21"/>
                      <w:szCs w:val="21"/>
                      <w:lang w:eastAsia="zh-CN"/>
                      <w14:textFill>
                        <w14:solidFill>
                          <w14:schemeClr w14:val="tx1">
                            <w14:lumMod w14:val="95000"/>
                            <w14:lumOff w14:val="5000"/>
                          </w14:schemeClr>
                        </w14:solidFill>
                      </w14:textFill>
                    </w:rPr>
                    <w:t>、</w:t>
                  </w:r>
                  <w:r>
                    <w:rPr>
                      <w:rFonts w:hint="eastAsia"/>
                      <w:color w:val="0D0D0D" w:themeColor="text1" w:themeTint="F2"/>
                      <w:sz w:val="21"/>
                      <w:szCs w:val="21"/>
                      <w:lang w:val="en-US" w:eastAsia="zh-CN"/>
                      <w14:textFill>
                        <w14:solidFill>
                          <w14:schemeClr w14:val="tx1">
                            <w14:lumMod w14:val="95000"/>
                            <w14:lumOff w14:val="5000"/>
                          </w14:schemeClr>
                        </w14:solidFill>
                      </w14:textFill>
                    </w:rPr>
                    <w:t>商砼搅拌车、混凝土输送泵</w:t>
                  </w:r>
                </w:p>
              </w:tc>
              <w:tc>
                <w:tcPr>
                  <w:tcW w:w="1938" w:type="dxa"/>
                  <w:vAlign w:val="center"/>
                </w:tcPr>
                <w:p w14:paraId="462FA0F2">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4</w:t>
                  </w:r>
                </w:p>
              </w:tc>
            </w:tr>
            <w:tr w14:paraId="39574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79" w:type="dxa"/>
                  <w:vAlign w:val="center"/>
                </w:tcPr>
                <w:p w14:paraId="4D5CBE45">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设备安装</w:t>
                  </w:r>
                </w:p>
              </w:tc>
              <w:tc>
                <w:tcPr>
                  <w:tcW w:w="3600" w:type="dxa"/>
                  <w:vAlign w:val="center"/>
                </w:tcPr>
                <w:p w14:paraId="5374BFF2">
                  <w:pPr>
                    <w:numPr>
                      <w:ilvl w:val="0"/>
                      <w:numId w:val="0"/>
                    </w:numPr>
                    <w:snapToGrid w:val="0"/>
                    <w:spacing w:line="240" w:lineRule="auto"/>
                    <w:ind w:left="0" w:leftChars="0" w:firstLine="0" w:firstLineChars="0"/>
                    <w:contextualSpacing/>
                    <w:jc w:val="cente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重型运输车</w:t>
                  </w:r>
                  <w:r>
                    <w:rPr>
                      <w:rFonts w:hint="eastAsia"/>
                      <w:color w:val="0D0D0D" w:themeColor="text1" w:themeTint="F2"/>
                      <w:sz w:val="21"/>
                      <w:szCs w:val="21"/>
                      <w:lang w:eastAsia="zh-CN"/>
                      <w14:textFill>
                        <w14:solidFill>
                          <w14:schemeClr w14:val="tx1">
                            <w14:lumMod w14:val="95000"/>
                            <w14:lumOff w14:val="5000"/>
                          </w14:schemeClr>
                        </w14:solidFill>
                      </w14:textFill>
                    </w:rPr>
                    <w:t>、</w:t>
                  </w:r>
                  <w:r>
                    <w:rPr>
                      <w:rFonts w:hint="eastAsia"/>
                      <w:color w:val="0D0D0D" w:themeColor="text1" w:themeTint="F2"/>
                      <w:sz w:val="21"/>
                      <w:szCs w:val="21"/>
                      <w:lang w:val="en-US" w:eastAsia="zh-CN"/>
                      <w14:textFill>
                        <w14:solidFill>
                          <w14:schemeClr w14:val="tx1">
                            <w14:lumMod w14:val="95000"/>
                            <w14:lumOff w14:val="5000"/>
                          </w14:schemeClr>
                        </w14:solidFill>
                      </w14:textFill>
                    </w:rPr>
                    <w:t>空压机</w:t>
                  </w:r>
                </w:p>
              </w:tc>
              <w:tc>
                <w:tcPr>
                  <w:tcW w:w="1938" w:type="dxa"/>
                  <w:vAlign w:val="center"/>
                </w:tcPr>
                <w:p w14:paraId="0532BB0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2</w:t>
                  </w:r>
                </w:p>
              </w:tc>
            </w:tr>
          </w:tbl>
          <w:p w14:paraId="743FCC36">
            <w:pPr>
              <w:keepNext w:val="0"/>
              <w:keepLines w:val="0"/>
              <w:pageBreakBefore w:val="0"/>
              <w:widowControl/>
              <w:suppressLineNumbers w:val="0"/>
              <w:kinsoku/>
              <w:wordWrap/>
              <w:overflowPunct/>
              <w:topLinePunct w:val="0"/>
              <w:autoSpaceDE/>
              <w:autoSpaceDN/>
              <w:bidi w:val="0"/>
              <w:adjustRightInd w:val="0"/>
              <w:snapToGrid/>
              <w:spacing w:before="164" w:beforeLines="50" w:line="360" w:lineRule="auto"/>
              <w:ind w:firstLine="480" w:firstLineChars="200"/>
              <w:jc w:val="left"/>
              <w:textAlignment w:val="baseline"/>
              <w:rPr>
                <w:rFonts w:hint="eastAsia"/>
                <w:color w:val="0D0D0D" w:themeColor="text1" w:themeTint="F2"/>
                <w:lang w:val="en-US" w:eastAsia="zh-CN"/>
                <w14:textFill>
                  <w14:solidFill>
                    <w14:schemeClr w14:val="tx1">
                      <w14:lumMod w14:val="95000"/>
                      <w14:lumOff w14:val="5000"/>
                    </w14:schemeClr>
                  </w14:solidFill>
                </w14:textFill>
              </w:rPr>
            </w:pP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不同施工阶段施工噪声影响预测结果见</w:t>
            </w:r>
            <w:r>
              <w:rPr>
                <w:rFonts w:hint="eastAsia"/>
                <w:color w:val="0D0D0D" w:themeColor="text1" w:themeTint="F2"/>
                <w:sz w:val="24"/>
                <w:szCs w:val="24"/>
                <w:lang w:val="en-US" w:eastAsia="zh-CN"/>
                <w14:textFill>
                  <w14:solidFill>
                    <w14:schemeClr w14:val="tx1">
                      <w14:lumMod w14:val="95000"/>
                      <w14:lumOff w14:val="5000"/>
                    </w14:schemeClr>
                  </w14:solidFill>
                </w14:textFill>
              </w:rPr>
              <w:t>下表。</w:t>
            </w:r>
          </w:p>
          <w:p w14:paraId="71DF66F8">
            <w:pPr>
              <w:keepNext w:val="0"/>
              <w:keepLines w:val="0"/>
              <w:widowControl/>
              <w:suppressLineNumbers w:val="0"/>
              <w:spacing w:line="240" w:lineRule="auto"/>
              <w:ind w:left="0" w:leftChars="0" w:firstLine="0" w:firstLineChars="0"/>
              <w:jc w:val="center"/>
              <w:rPr>
                <w:rFonts w:hint="default"/>
                <w:b/>
                <w:bCs/>
                <w:color w:val="0D0D0D" w:themeColor="text1" w:themeTint="F2"/>
                <w:sz w:val="21"/>
                <w:szCs w:val="21"/>
                <w:lang w:val="en-US"/>
                <w14:textFill>
                  <w14:solidFill>
                    <w14:schemeClr w14:val="tx1">
                      <w14:lumMod w14:val="95000"/>
                      <w14:lumOff w14:val="5000"/>
                    </w14:schemeClr>
                  </w14:solidFill>
                </w14:textFill>
              </w:rPr>
            </w:pPr>
            <w:r>
              <w:rPr>
                <w:rFonts w:hint="eastAsia"/>
                <w:b/>
                <w:bCs/>
                <w:color w:val="0D0D0D" w:themeColor="text1" w:themeTint="F2"/>
                <w:sz w:val="21"/>
                <w:szCs w:val="21"/>
                <w:lang w:val="en-US" w:eastAsia="zh-CN"/>
                <w14:textFill>
                  <w14:solidFill>
                    <w14:schemeClr w14:val="tx1">
                      <w14:lumMod w14:val="95000"/>
                      <w14:lumOff w14:val="5000"/>
                    </w14:schemeClr>
                  </w14:solidFill>
                </w14:textFill>
              </w:rPr>
              <w:t xml:space="preserve">表4-4  </w:t>
            </w:r>
            <w:r>
              <w:rPr>
                <w:rFonts w:hint="eastAsia" w:ascii="宋体" w:hAnsi="宋体" w:eastAsia="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不同施工阶段施工噪声影响预测结果  单位：</w:t>
            </w:r>
            <w:r>
              <w:rPr>
                <w:rFonts w:hint="default" w:ascii="Times New Roman" w:hAnsi="Times New Roman" w:eastAsia="宋体"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dB（A）</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992"/>
              <w:gridCol w:w="2037"/>
              <w:gridCol w:w="1979"/>
              <w:gridCol w:w="2003"/>
            </w:tblGrid>
            <w:tr w14:paraId="0FAE6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Merge w:val="restart"/>
                  <w:vAlign w:val="center"/>
                </w:tcPr>
                <w:p w14:paraId="0792E45D">
                  <w:pPr>
                    <w:numPr>
                      <w:ilvl w:val="0"/>
                      <w:numId w:val="0"/>
                    </w:numPr>
                    <w:snapToGrid w:val="0"/>
                    <w:spacing w:line="240" w:lineRule="auto"/>
                    <w:contextualSpacing/>
                    <w:jc w:val="center"/>
                    <w:rPr>
                      <w:rFonts w:hint="eastAsia"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距离（m）</w:t>
                  </w:r>
                </w:p>
              </w:tc>
              <w:tc>
                <w:tcPr>
                  <w:tcW w:w="7594" w:type="dxa"/>
                  <w:gridSpan w:val="4"/>
                  <w:vAlign w:val="center"/>
                </w:tcPr>
                <w:p w14:paraId="00B94655">
                  <w:pPr>
                    <w:numPr>
                      <w:ilvl w:val="0"/>
                      <w:numId w:val="0"/>
                    </w:numPr>
                    <w:snapToGrid w:val="0"/>
                    <w:spacing w:line="240" w:lineRule="auto"/>
                    <w:ind w:left="0" w:leftChars="0" w:firstLine="0" w:firstLineChars="0"/>
                    <w:contextualSpacing/>
                    <w:jc w:val="cente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各施工阶段噪声预测结果</w:t>
                  </w:r>
                </w:p>
              </w:tc>
            </w:tr>
            <w:tr w14:paraId="55CC8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Merge w:val="continue"/>
                  <w:vAlign w:val="center"/>
                </w:tcPr>
                <w:p w14:paraId="0AD7167A">
                  <w:pPr>
                    <w:numPr>
                      <w:ilvl w:val="0"/>
                      <w:numId w:val="0"/>
                    </w:numPr>
                    <w:snapToGrid w:val="0"/>
                    <w:spacing w:line="240" w:lineRule="auto"/>
                    <w:contextualSpacing/>
                    <w:jc w:val="cente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p>
              </w:tc>
              <w:tc>
                <w:tcPr>
                  <w:tcW w:w="1888" w:type="dxa"/>
                  <w:vAlign w:val="center"/>
                </w:tcPr>
                <w:p w14:paraId="38F6B36B">
                  <w:pPr>
                    <w:numPr>
                      <w:ilvl w:val="0"/>
                      <w:numId w:val="0"/>
                    </w:numPr>
                    <w:snapToGrid w:val="0"/>
                    <w:spacing w:line="240" w:lineRule="auto"/>
                    <w:contextualSpacing/>
                    <w:jc w:val="center"/>
                    <w:rPr>
                      <w:rFonts w:hint="default"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场地平整</w:t>
                  </w:r>
                </w:p>
              </w:tc>
              <w:tc>
                <w:tcPr>
                  <w:tcW w:w="1931" w:type="dxa"/>
                  <w:vAlign w:val="center"/>
                </w:tcPr>
                <w:p w14:paraId="5C796310">
                  <w:pPr>
                    <w:numPr>
                      <w:ilvl w:val="0"/>
                      <w:numId w:val="0"/>
                    </w:numPr>
                    <w:snapToGrid w:val="0"/>
                    <w:spacing w:line="240" w:lineRule="auto"/>
                    <w:contextualSpacing/>
                    <w:jc w:val="center"/>
                    <w:rPr>
                      <w:rFonts w:hint="default"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土方开挖</w:t>
                  </w:r>
                </w:p>
              </w:tc>
              <w:tc>
                <w:tcPr>
                  <w:tcW w:w="1876" w:type="dxa"/>
                  <w:vAlign w:val="center"/>
                </w:tcPr>
                <w:p w14:paraId="461961EE">
                  <w:pPr>
                    <w:numPr>
                      <w:ilvl w:val="0"/>
                      <w:numId w:val="0"/>
                    </w:numPr>
                    <w:snapToGrid w:val="0"/>
                    <w:spacing w:line="240" w:lineRule="auto"/>
                    <w:ind w:left="0" w:leftChars="0" w:firstLine="0" w:firstLineChars="0"/>
                    <w:contextualSpacing/>
                    <w:jc w:val="center"/>
                    <w:rPr>
                      <w:rFonts w:hint="default" w:ascii="Times New Roman" w:hAnsi="Times New Roman" w:eastAsia="宋体" w:cs="Times New Roman"/>
                      <w:b/>
                      <w:bCs/>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pPr>
                  <w:r>
                    <w:rPr>
                      <w:rFonts w:hint="eastAsia" w:ascii="Times New Roman" w:hAnsi="Times New Roman" w:eastAsia="宋体" w:cs="Times New Roman"/>
                      <w:b/>
                      <w:bCs/>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t>土建施工</w:t>
                  </w:r>
                </w:p>
              </w:tc>
              <w:tc>
                <w:tcPr>
                  <w:tcW w:w="1899" w:type="dxa"/>
                  <w:vAlign w:val="center"/>
                </w:tcPr>
                <w:p w14:paraId="081F0BDB">
                  <w:pPr>
                    <w:numPr>
                      <w:ilvl w:val="0"/>
                      <w:numId w:val="0"/>
                    </w:numPr>
                    <w:snapToGrid w:val="0"/>
                    <w:spacing w:line="240" w:lineRule="auto"/>
                    <w:ind w:left="0" w:leftChars="0" w:firstLine="0" w:firstLineChars="0"/>
                    <w:contextualSpacing/>
                    <w:jc w:val="center"/>
                    <w:rPr>
                      <w:rFonts w:hint="default"/>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kern w:val="2"/>
                      <w:sz w:val="21"/>
                      <w:szCs w:val="21"/>
                      <w:vertAlign w:val="baseline"/>
                      <w:lang w:val="en-US" w:eastAsia="zh-CN"/>
                      <w14:textFill>
                        <w14:solidFill>
                          <w14:schemeClr w14:val="tx1">
                            <w14:lumMod w14:val="95000"/>
                            <w14:lumOff w14:val="5000"/>
                          </w14:schemeClr>
                        </w14:solidFill>
                      </w14:textFill>
                    </w:rPr>
                    <w:t>设备安装</w:t>
                  </w:r>
                </w:p>
              </w:tc>
            </w:tr>
            <w:tr w14:paraId="1B00A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1EB53A77">
                  <w:pPr>
                    <w:numPr>
                      <w:ilvl w:val="0"/>
                      <w:numId w:val="0"/>
                    </w:numPr>
                    <w:snapToGrid w:val="0"/>
                    <w:spacing w:line="240" w:lineRule="auto"/>
                    <w:contextualSpacing/>
                    <w:jc w:val="center"/>
                    <w:rPr>
                      <w:rFonts w:hint="default"/>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t>5</w:t>
                  </w:r>
                </w:p>
              </w:tc>
              <w:tc>
                <w:tcPr>
                  <w:tcW w:w="1888" w:type="dxa"/>
                  <w:vAlign w:val="center"/>
                </w:tcPr>
                <w:p w14:paraId="1BD8C44D">
                  <w:pPr>
                    <w:numPr>
                      <w:ilvl w:val="0"/>
                      <w:numId w:val="0"/>
                    </w:numPr>
                    <w:snapToGrid w:val="0"/>
                    <w:spacing w:line="240" w:lineRule="auto"/>
                    <w:contextualSpacing/>
                    <w:jc w:val="center"/>
                    <w:rPr>
                      <w:rFonts w:hint="default" w:eastAsia="宋体"/>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t>91.6</w:t>
                  </w:r>
                </w:p>
              </w:tc>
              <w:tc>
                <w:tcPr>
                  <w:tcW w:w="1931" w:type="dxa"/>
                  <w:vAlign w:val="center"/>
                </w:tcPr>
                <w:p w14:paraId="506BA42A">
                  <w:pPr>
                    <w:numPr>
                      <w:ilvl w:val="0"/>
                      <w:numId w:val="0"/>
                    </w:numPr>
                    <w:snapToGrid w:val="0"/>
                    <w:spacing w:line="240" w:lineRule="auto"/>
                    <w:contextualSpacing/>
                    <w:jc w:val="center"/>
                    <w:rPr>
                      <w:rFonts w:hint="default" w:eastAsia="宋体"/>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t>89.0</w:t>
                  </w:r>
                </w:p>
              </w:tc>
              <w:tc>
                <w:tcPr>
                  <w:tcW w:w="1876" w:type="dxa"/>
                  <w:vAlign w:val="center"/>
                </w:tcPr>
                <w:p w14:paraId="1B684D5A">
                  <w:pPr>
                    <w:numPr>
                      <w:ilvl w:val="0"/>
                      <w:numId w:val="0"/>
                    </w:numPr>
                    <w:snapToGrid w:val="0"/>
                    <w:spacing w:line="240" w:lineRule="auto"/>
                    <w:ind w:left="0" w:leftChars="0" w:firstLine="0" w:firstLineChars="0"/>
                    <w:contextualSpacing/>
                    <w:jc w:val="center"/>
                    <w:rPr>
                      <w:rFonts w:hint="default" w:ascii="Times New Roman" w:hAnsi="Times New Roman" w:eastAsia="宋体" w:cs="Times New Roman"/>
                      <w:b w:val="0"/>
                      <w:bCs w:val="0"/>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pPr>
                  <w:r>
                    <w:rPr>
                      <w:rFonts w:hint="eastAsia" w:cs="Times New Roman"/>
                      <w:b w:val="0"/>
                      <w:bCs w:val="0"/>
                      <w:color w:val="0D0D0D" w:themeColor="text1" w:themeTint="F2"/>
                      <w:kern w:val="2"/>
                      <w:sz w:val="21"/>
                      <w:szCs w:val="21"/>
                      <w:vertAlign w:val="baseline"/>
                      <w:lang w:val="en-US" w:eastAsia="zh-CN" w:bidi="ar-SA"/>
                      <w14:textFill>
                        <w14:solidFill>
                          <w14:schemeClr w14:val="tx1">
                            <w14:lumMod w14:val="95000"/>
                            <w14:lumOff w14:val="5000"/>
                          </w14:schemeClr>
                        </w14:solidFill>
                      </w14:textFill>
                    </w:rPr>
                    <w:t>94.6</w:t>
                  </w:r>
                </w:p>
              </w:tc>
              <w:tc>
                <w:tcPr>
                  <w:tcW w:w="1899" w:type="dxa"/>
                  <w:vAlign w:val="center"/>
                </w:tcPr>
                <w:p w14:paraId="0D77E000">
                  <w:pPr>
                    <w:numPr>
                      <w:ilvl w:val="0"/>
                      <w:numId w:val="0"/>
                    </w:numPr>
                    <w:snapToGrid w:val="0"/>
                    <w:spacing w:line="240" w:lineRule="auto"/>
                    <w:ind w:left="0" w:leftChars="0" w:firstLine="0" w:firstLineChars="0"/>
                    <w:contextualSpacing/>
                    <w:jc w:val="center"/>
                    <w:rPr>
                      <w:rFonts w:hint="default"/>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kern w:val="2"/>
                      <w:sz w:val="21"/>
                      <w:szCs w:val="21"/>
                      <w:vertAlign w:val="baseline"/>
                      <w:lang w:val="en-US" w:eastAsia="zh-CN"/>
                      <w14:textFill>
                        <w14:solidFill>
                          <w14:schemeClr w14:val="tx1">
                            <w14:lumMod w14:val="95000"/>
                            <w14:lumOff w14:val="5000"/>
                          </w14:schemeClr>
                        </w14:solidFill>
                      </w14:textFill>
                    </w:rPr>
                    <w:t>91.5</w:t>
                  </w:r>
                </w:p>
              </w:tc>
            </w:tr>
            <w:tr w14:paraId="06F4C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34F2CE4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10</w:t>
                  </w:r>
                </w:p>
              </w:tc>
              <w:tc>
                <w:tcPr>
                  <w:tcW w:w="1888" w:type="dxa"/>
                  <w:vAlign w:val="center"/>
                </w:tcPr>
                <w:p w14:paraId="792466F3">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85.6</w:t>
                  </w:r>
                </w:p>
              </w:tc>
              <w:tc>
                <w:tcPr>
                  <w:tcW w:w="1931" w:type="dxa"/>
                  <w:vAlign w:val="center"/>
                </w:tcPr>
                <w:p w14:paraId="62C8FF01">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8</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3</w:t>
                  </w: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.0</w:t>
                  </w:r>
                </w:p>
              </w:tc>
              <w:tc>
                <w:tcPr>
                  <w:tcW w:w="1876" w:type="dxa"/>
                  <w:vAlign w:val="center"/>
                </w:tcPr>
                <w:p w14:paraId="2ED1AC3C">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88.6</w:t>
                  </w:r>
                </w:p>
              </w:tc>
              <w:tc>
                <w:tcPr>
                  <w:tcW w:w="1899" w:type="dxa"/>
                  <w:vAlign w:val="center"/>
                </w:tcPr>
                <w:p w14:paraId="5489967A">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85.5</w:t>
                  </w:r>
                </w:p>
              </w:tc>
            </w:tr>
            <w:tr w14:paraId="0C104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3709DAD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20</w:t>
                  </w:r>
                </w:p>
              </w:tc>
              <w:tc>
                <w:tcPr>
                  <w:tcW w:w="1888" w:type="dxa"/>
                  <w:vAlign w:val="center"/>
                </w:tcPr>
                <w:p w14:paraId="47B6D90E">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79.6</w:t>
                  </w:r>
                </w:p>
              </w:tc>
              <w:tc>
                <w:tcPr>
                  <w:tcW w:w="1931" w:type="dxa"/>
                  <w:vAlign w:val="center"/>
                </w:tcPr>
                <w:p w14:paraId="039635C6">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7</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w:t>
                  </w: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.0</w:t>
                  </w:r>
                </w:p>
              </w:tc>
              <w:tc>
                <w:tcPr>
                  <w:tcW w:w="1876" w:type="dxa"/>
                  <w:vAlign w:val="center"/>
                </w:tcPr>
                <w:p w14:paraId="746DBAC7">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8</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2.6</w:t>
                  </w:r>
                </w:p>
              </w:tc>
              <w:tc>
                <w:tcPr>
                  <w:tcW w:w="1899" w:type="dxa"/>
                  <w:vAlign w:val="center"/>
                </w:tcPr>
                <w:p w14:paraId="1D53A038">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79.5</w:t>
                  </w:r>
                </w:p>
              </w:tc>
            </w:tr>
            <w:tr w14:paraId="626A4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30B1A24A">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30</w:t>
                  </w:r>
                </w:p>
              </w:tc>
              <w:tc>
                <w:tcPr>
                  <w:tcW w:w="1888" w:type="dxa"/>
                  <w:vAlign w:val="center"/>
                </w:tcPr>
                <w:p w14:paraId="32D59D71">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76.0</w:t>
                  </w:r>
                </w:p>
              </w:tc>
              <w:tc>
                <w:tcPr>
                  <w:tcW w:w="1931" w:type="dxa"/>
                  <w:vAlign w:val="center"/>
                </w:tcPr>
                <w:p w14:paraId="0508B123">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7</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3.4</w:t>
                  </w:r>
                </w:p>
              </w:tc>
              <w:tc>
                <w:tcPr>
                  <w:tcW w:w="1876" w:type="dxa"/>
                  <w:vAlign w:val="center"/>
                </w:tcPr>
                <w:p w14:paraId="67650E6A">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79.0</w:t>
                  </w:r>
                </w:p>
              </w:tc>
              <w:tc>
                <w:tcPr>
                  <w:tcW w:w="1899" w:type="dxa"/>
                  <w:vAlign w:val="center"/>
                </w:tcPr>
                <w:p w14:paraId="098DEAB1">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75.9</w:t>
                  </w:r>
                </w:p>
              </w:tc>
            </w:tr>
            <w:tr w14:paraId="4C315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57432CC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40</w:t>
                  </w:r>
                </w:p>
              </w:tc>
              <w:tc>
                <w:tcPr>
                  <w:tcW w:w="1888" w:type="dxa"/>
                  <w:vAlign w:val="center"/>
                </w:tcPr>
                <w:p w14:paraId="6BAA865E">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73.5</w:t>
                  </w:r>
                </w:p>
              </w:tc>
              <w:tc>
                <w:tcPr>
                  <w:tcW w:w="1931" w:type="dxa"/>
                  <w:vAlign w:val="center"/>
                </w:tcPr>
                <w:p w14:paraId="171870CC">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7</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1</w:t>
                  </w: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.0</w:t>
                  </w:r>
                </w:p>
              </w:tc>
              <w:tc>
                <w:tcPr>
                  <w:tcW w:w="1876" w:type="dxa"/>
                  <w:vAlign w:val="center"/>
                </w:tcPr>
                <w:p w14:paraId="4256BF72">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76.5</w:t>
                  </w:r>
                </w:p>
              </w:tc>
              <w:tc>
                <w:tcPr>
                  <w:tcW w:w="1899" w:type="dxa"/>
                  <w:vAlign w:val="center"/>
                </w:tcPr>
                <w:p w14:paraId="4140B221">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73.4</w:t>
                  </w:r>
                </w:p>
              </w:tc>
            </w:tr>
            <w:tr w14:paraId="09EEA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1453795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eastAsia="宋体"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50</w:t>
                  </w:r>
                </w:p>
              </w:tc>
              <w:tc>
                <w:tcPr>
                  <w:tcW w:w="1888" w:type="dxa"/>
                  <w:vAlign w:val="center"/>
                </w:tcPr>
                <w:p w14:paraId="72379EEF">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71.6</w:t>
                  </w:r>
                </w:p>
              </w:tc>
              <w:tc>
                <w:tcPr>
                  <w:tcW w:w="1931" w:type="dxa"/>
                  <w:vAlign w:val="center"/>
                </w:tcPr>
                <w:p w14:paraId="6411CEDF">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69.0</w:t>
                  </w:r>
                </w:p>
              </w:tc>
              <w:tc>
                <w:tcPr>
                  <w:tcW w:w="1876" w:type="dxa"/>
                  <w:vAlign w:val="center"/>
                </w:tcPr>
                <w:p w14:paraId="092F898D">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74.6</w:t>
                  </w:r>
                </w:p>
              </w:tc>
              <w:tc>
                <w:tcPr>
                  <w:tcW w:w="1899" w:type="dxa"/>
                  <w:vAlign w:val="center"/>
                </w:tcPr>
                <w:p w14:paraId="186C1D99">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71.5</w:t>
                  </w:r>
                </w:p>
              </w:tc>
            </w:tr>
            <w:tr w14:paraId="583BC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4109D39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60</w:t>
                  </w:r>
                </w:p>
              </w:tc>
              <w:tc>
                <w:tcPr>
                  <w:tcW w:w="1888" w:type="dxa"/>
                  <w:vAlign w:val="center"/>
                </w:tcPr>
                <w:p w14:paraId="147FB39D">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70.0</w:t>
                  </w:r>
                </w:p>
              </w:tc>
              <w:tc>
                <w:tcPr>
                  <w:tcW w:w="1931" w:type="dxa"/>
                  <w:vAlign w:val="center"/>
                </w:tcPr>
                <w:p w14:paraId="749AC0C9">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6</w:t>
                  </w: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w:t>
                  </w:r>
                  <w:r>
                    <w:rPr>
                      <w:rFonts w:hint="eastAsia"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t>.4</w:t>
                  </w:r>
                </w:p>
              </w:tc>
              <w:tc>
                <w:tcPr>
                  <w:tcW w:w="1876" w:type="dxa"/>
                  <w:vAlign w:val="center"/>
                </w:tcPr>
                <w:p w14:paraId="763965D7">
                  <w:pPr>
                    <w:numPr>
                      <w:ilvl w:val="0"/>
                      <w:numId w:val="0"/>
                    </w:numPr>
                    <w:snapToGrid w:val="0"/>
                    <w:spacing w:line="240" w:lineRule="auto"/>
                    <w:ind w:left="0" w:leftChars="0" w:firstLine="0" w:firstLineChars="0"/>
                    <w:contextualSpacing/>
                    <w:jc w:val="center"/>
                    <w:rPr>
                      <w:rFonts w:hint="default" w:eastAsia="宋体"/>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73.0</w:t>
                  </w:r>
                </w:p>
              </w:tc>
              <w:tc>
                <w:tcPr>
                  <w:tcW w:w="1899" w:type="dxa"/>
                  <w:vAlign w:val="center"/>
                </w:tcPr>
                <w:p w14:paraId="5C69E16A">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69.9</w:t>
                  </w:r>
                </w:p>
              </w:tc>
            </w:tr>
            <w:tr w14:paraId="66D01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5D75A38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70</w:t>
                  </w:r>
                </w:p>
              </w:tc>
              <w:tc>
                <w:tcPr>
                  <w:tcW w:w="1888" w:type="dxa"/>
                  <w:vAlign w:val="center"/>
                </w:tcPr>
                <w:p w14:paraId="5A9A96B2">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68.7</w:t>
                  </w:r>
                </w:p>
              </w:tc>
              <w:tc>
                <w:tcPr>
                  <w:tcW w:w="1931" w:type="dxa"/>
                  <w:vAlign w:val="center"/>
                </w:tcPr>
                <w:p w14:paraId="6F28B27C">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66.1</w:t>
                  </w:r>
                </w:p>
              </w:tc>
              <w:tc>
                <w:tcPr>
                  <w:tcW w:w="1876" w:type="dxa"/>
                  <w:vAlign w:val="center"/>
                </w:tcPr>
                <w:p w14:paraId="322E3304">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71.7</w:t>
                  </w:r>
                </w:p>
              </w:tc>
              <w:tc>
                <w:tcPr>
                  <w:tcW w:w="1899" w:type="dxa"/>
                  <w:vAlign w:val="center"/>
                </w:tcPr>
                <w:p w14:paraId="1B8EEB9A">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68.6</w:t>
                  </w:r>
                </w:p>
              </w:tc>
            </w:tr>
            <w:tr w14:paraId="63559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73EF54B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80</w:t>
                  </w:r>
                </w:p>
              </w:tc>
              <w:tc>
                <w:tcPr>
                  <w:tcW w:w="1888" w:type="dxa"/>
                  <w:vAlign w:val="center"/>
                </w:tcPr>
                <w:p w14:paraId="3DAA9792">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67.5</w:t>
                  </w:r>
                </w:p>
              </w:tc>
              <w:tc>
                <w:tcPr>
                  <w:tcW w:w="1931" w:type="dxa"/>
                  <w:vAlign w:val="center"/>
                </w:tcPr>
                <w:p w14:paraId="3D3028AA">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64.9</w:t>
                  </w:r>
                </w:p>
              </w:tc>
              <w:tc>
                <w:tcPr>
                  <w:tcW w:w="1876" w:type="dxa"/>
                  <w:vAlign w:val="center"/>
                </w:tcPr>
                <w:p w14:paraId="0CC4513A">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70.5</w:t>
                  </w:r>
                </w:p>
              </w:tc>
              <w:tc>
                <w:tcPr>
                  <w:tcW w:w="1899" w:type="dxa"/>
                  <w:vAlign w:val="center"/>
                </w:tcPr>
                <w:p w14:paraId="3B263896">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67.4</w:t>
                  </w:r>
                </w:p>
              </w:tc>
            </w:tr>
            <w:tr w14:paraId="1A19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636531F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90</w:t>
                  </w:r>
                </w:p>
              </w:tc>
              <w:tc>
                <w:tcPr>
                  <w:tcW w:w="1888" w:type="dxa"/>
                  <w:vAlign w:val="center"/>
                </w:tcPr>
                <w:p w14:paraId="2E52910B">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66.5</w:t>
                  </w:r>
                </w:p>
              </w:tc>
              <w:tc>
                <w:tcPr>
                  <w:tcW w:w="1931" w:type="dxa"/>
                  <w:vAlign w:val="center"/>
                </w:tcPr>
                <w:p w14:paraId="20A62416">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63.9</w:t>
                  </w:r>
                </w:p>
              </w:tc>
              <w:tc>
                <w:tcPr>
                  <w:tcW w:w="1876" w:type="dxa"/>
                  <w:vAlign w:val="center"/>
                </w:tcPr>
                <w:p w14:paraId="2DB5A48A">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69.5</w:t>
                  </w:r>
                </w:p>
              </w:tc>
              <w:tc>
                <w:tcPr>
                  <w:tcW w:w="1899" w:type="dxa"/>
                  <w:vAlign w:val="center"/>
                </w:tcPr>
                <w:p w14:paraId="338B764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66.4</w:t>
                  </w:r>
                </w:p>
              </w:tc>
            </w:tr>
            <w:tr w14:paraId="064E7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53FBC73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100</w:t>
                  </w:r>
                </w:p>
              </w:tc>
              <w:tc>
                <w:tcPr>
                  <w:tcW w:w="1888" w:type="dxa"/>
                  <w:vAlign w:val="center"/>
                </w:tcPr>
                <w:p w14:paraId="00F8E1DD">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65.6</w:t>
                  </w:r>
                </w:p>
              </w:tc>
              <w:tc>
                <w:tcPr>
                  <w:tcW w:w="1931" w:type="dxa"/>
                  <w:vAlign w:val="center"/>
                </w:tcPr>
                <w:p w14:paraId="345C3406">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63.0</w:t>
                  </w:r>
                </w:p>
              </w:tc>
              <w:tc>
                <w:tcPr>
                  <w:tcW w:w="1876" w:type="dxa"/>
                  <w:vAlign w:val="center"/>
                </w:tcPr>
                <w:p w14:paraId="736C46B9">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68.6</w:t>
                  </w:r>
                </w:p>
              </w:tc>
              <w:tc>
                <w:tcPr>
                  <w:tcW w:w="1899" w:type="dxa"/>
                  <w:vAlign w:val="center"/>
                </w:tcPr>
                <w:p w14:paraId="682F4535">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65.5</w:t>
                  </w:r>
                </w:p>
              </w:tc>
            </w:tr>
            <w:tr w14:paraId="66433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27423A9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110</w:t>
                  </w:r>
                </w:p>
              </w:tc>
              <w:tc>
                <w:tcPr>
                  <w:tcW w:w="1888" w:type="dxa"/>
                  <w:vAlign w:val="center"/>
                </w:tcPr>
                <w:p w14:paraId="29DEBFC8">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64.8</w:t>
                  </w:r>
                </w:p>
              </w:tc>
              <w:tc>
                <w:tcPr>
                  <w:tcW w:w="1931" w:type="dxa"/>
                  <w:vAlign w:val="center"/>
                </w:tcPr>
                <w:p w14:paraId="482B7BE6">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62.2</w:t>
                  </w:r>
                </w:p>
              </w:tc>
              <w:tc>
                <w:tcPr>
                  <w:tcW w:w="1876" w:type="dxa"/>
                  <w:vAlign w:val="center"/>
                </w:tcPr>
                <w:p w14:paraId="60B1AD63">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67.8</w:t>
                  </w:r>
                </w:p>
              </w:tc>
              <w:tc>
                <w:tcPr>
                  <w:tcW w:w="1899" w:type="dxa"/>
                  <w:vAlign w:val="center"/>
                </w:tcPr>
                <w:p w14:paraId="0E247BF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64.7</w:t>
                  </w:r>
                </w:p>
              </w:tc>
            </w:tr>
            <w:tr w14:paraId="2B1C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603B643D">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120</w:t>
                  </w:r>
                </w:p>
              </w:tc>
              <w:tc>
                <w:tcPr>
                  <w:tcW w:w="1888" w:type="dxa"/>
                  <w:vAlign w:val="center"/>
                </w:tcPr>
                <w:p w14:paraId="39B8E5B7">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64.0</w:t>
                  </w:r>
                </w:p>
              </w:tc>
              <w:tc>
                <w:tcPr>
                  <w:tcW w:w="1931" w:type="dxa"/>
                  <w:vAlign w:val="center"/>
                </w:tcPr>
                <w:p w14:paraId="1B45F221">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61.4</w:t>
                  </w:r>
                </w:p>
              </w:tc>
              <w:tc>
                <w:tcPr>
                  <w:tcW w:w="1876" w:type="dxa"/>
                  <w:vAlign w:val="center"/>
                </w:tcPr>
                <w:p w14:paraId="74431EF8">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67.0</w:t>
                  </w:r>
                </w:p>
              </w:tc>
              <w:tc>
                <w:tcPr>
                  <w:tcW w:w="1899" w:type="dxa"/>
                  <w:vAlign w:val="center"/>
                </w:tcPr>
                <w:p w14:paraId="7B772D8C">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63.9</w:t>
                  </w:r>
                </w:p>
              </w:tc>
            </w:tr>
            <w:tr w14:paraId="201E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01D989C2">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130</w:t>
                  </w:r>
                </w:p>
              </w:tc>
              <w:tc>
                <w:tcPr>
                  <w:tcW w:w="1888" w:type="dxa"/>
                  <w:vAlign w:val="center"/>
                </w:tcPr>
                <w:p w14:paraId="44C39705">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63.3</w:t>
                  </w:r>
                </w:p>
              </w:tc>
              <w:tc>
                <w:tcPr>
                  <w:tcW w:w="1931" w:type="dxa"/>
                  <w:vAlign w:val="center"/>
                </w:tcPr>
                <w:p w14:paraId="424D3453">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60.7</w:t>
                  </w:r>
                </w:p>
              </w:tc>
              <w:tc>
                <w:tcPr>
                  <w:tcW w:w="1876" w:type="dxa"/>
                  <w:vAlign w:val="center"/>
                </w:tcPr>
                <w:p w14:paraId="2AF20413">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66.3</w:t>
                  </w:r>
                </w:p>
              </w:tc>
              <w:tc>
                <w:tcPr>
                  <w:tcW w:w="1899" w:type="dxa"/>
                  <w:vAlign w:val="center"/>
                </w:tcPr>
                <w:p w14:paraId="7BFE0029">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63.2</w:t>
                  </w:r>
                </w:p>
              </w:tc>
            </w:tr>
            <w:tr w14:paraId="79A33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63F2C15F">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140</w:t>
                  </w:r>
                </w:p>
              </w:tc>
              <w:tc>
                <w:tcPr>
                  <w:tcW w:w="1888" w:type="dxa"/>
                  <w:vAlign w:val="center"/>
                </w:tcPr>
                <w:p w14:paraId="7B6C1020">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62.7</w:t>
                  </w:r>
                </w:p>
              </w:tc>
              <w:tc>
                <w:tcPr>
                  <w:tcW w:w="1931" w:type="dxa"/>
                  <w:vAlign w:val="center"/>
                </w:tcPr>
                <w:p w14:paraId="2DD93ED6">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60.1</w:t>
                  </w:r>
                </w:p>
              </w:tc>
              <w:tc>
                <w:tcPr>
                  <w:tcW w:w="1876" w:type="dxa"/>
                  <w:vAlign w:val="center"/>
                </w:tcPr>
                <w:p w14:paraId="3DE2B36D">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65.7</w:t>
                  </w:r>
                </w:p>
              </w:tc>
              <w:tc>
                <w:tcPr>
                  <w:tcW w:w="1899" w:type="dxa"/>
                  <w:vAlign w:val="center"/>
                </w:tcPr>
                <w:p w14:paraId="255327AD">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62.6</w:t>
                  </w:r>
                </w:p>
              </w:tc>
            </w:tr>
            <w:tr w14:paraId="2FE89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636BD77C">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150</w:t>
                  </w:r>
                </w:p>
              </w:tc>
              <w:tc>
                <w:tcPr>
                  <w:tcW w:w="1888" w:type="dxa"/>
                  <w:vAlign w:val="center"/>
                </w:tcPr>
                <w:p w14:paraId="22A5B738">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62.1</w:t>
                  </w:r>
                </w:p>
              </w:tc>
              <w:tc>
                <w:tcPr>
                  <w:tcW w:w="1931" w:type="dxa"/>
                  <w:vAlign w:val="center"/>
                </w:tcPr>
                <w:p w14:paraId="61B136D0">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59.5</w:t>
                  </w:r>
                </w:p>
              </w:tc>
              <w:tc>
                <w:tcPr>
                  <w:tcW w:w="1876" w:type="dxa"/>
                  <w:vAlign w:val="center"/>
                </w:tcPr>
                <w:p w14:paraId="24748457">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65.1</w:t>
                  </w:r>
                </w:p>
              </w:tc>
              <w:tc>
                <w:tcPr>
                  <w:tcW w:w="1899" w:type="dxa"/>
                  <w:vAlign w:val="center"/>
                </w:tcPr>
                <w:p w14:paraId="0401546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62.0</w:t>
                  </w:r>
                </w:p>
              </w:tc>
            </w:tr>
            <w:tr w14:paraId="449DB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920" w:type="dxa"/>
                  <w:vAlign w:val="center"/>
                </w:tcPr>
                <w:p w14:paraId="152B25B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160</w:t>
                  </w:r>
                </w:p>
              </w:tc>
              <w:tc>
                <w:tcPr>
                  <w:tcW w:w="1888" w:type="dxa"/>
                  <w:vAlign w:val="center"/>
                </w:tcPr>
                <w:p w14:paraId="303B06DC">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61.5</w:t>
                  </w:r>
                </w:p>
              </w:tc>
              <w:tc>
                <w:tcPr>
                  <w:tcW w:w="1931" w:type="dxa"/>
                  <w:vAlign w:val="center"/>
                </w:tcPr>
                <w:p w14:paraId="5DACB4E3">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58.9</w:t>
                  </w:r>
                </w:p>
              </w:tc>
              <w:tc>
                <w:tcPr>
                  <w:tcW w:w="1876" w:type="dxa"/>
                  <w:vAlign w:val="center"/>
                </w:tcPr>
                <w:p w14:paraId="654F46AE">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64.5</w:t>
                  </w:r>
                </w:p>
              </w:tc>
              <w:tc>
                <w:tcPr>
                  <w:tcW w:w="1899" w:type="dxa"/>
                  <w:vAlign w:val="center"/>
                </w:tcPr>
                <w:p w14:paraId="41C7BBDE">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61.4</w:t>
                  </w:r>
                </w:p>
              </w:tc>
            </w:tr>
            <w:tr w14:paraId="7C743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72A50CC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170</w:t>
                  </w:r>
                </w:p>
              </w:tc>
              <w:tc>
                <w:tcPr>
                  <w:tcW w:w="1888" w:type="dxa"/>
                  <w:vAlign w:val="center"/>
                </w:tcPr>
                <w:p w14:paraId="3D624B2E">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61.0</w:t>
                  </w:r>
                </w:p>
              </w:tc>
              <w:tc>
                <w:tcPr>
                  <w:tcW w:w="1931" w:type="dxa"/>
                  <w:vAlign w:val="center"/>
                </w:tcPr>
                <w:p w14:paraId="3484CC87">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58.4</w:t>
                  </w:r>
                </w:p>
              </w:tc>
              <w:tc>
                <w:tcPr>
                  <w:tcW w:w="1876" w:type="dxa"/>
                  <w:vAlign w:val="center"/>
                </w:tcPr>
                <w:p w14:paraId="37C114B7">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64.0</w:t>
                  </w:r>
                </w:p>
              </w:tc>
              <w:tc>
                <w:tcPr>
                  <w:tcW w:w="1899" w:type="dxa"/>
                  <w:vAlign w:val="center"/>
                </w:tcPr>
                <w:p w14:paraId="09107FF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60.9</w:t>
                  </w:r>
                </w:p>
              </w:tc>
            </w:tr>
            <w:tr w14:paraId="44A18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41462BA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180</w:t>
                  </w:r>
                </w:p>
              </w:tc>
              <w:tc>
                <w:tcPr>
                  <w:tcW w:w="1888" w:type="dxa"/>
                  <w:vAlign w:val="center"/>
                </w:tcPr>
                <w:p w14:paraId="6D63A981">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60.5</w:t>
                  </w:r>
                </w:p>
              </w:tc>
              <w:tc>
                <w:tcPr>
                  <w:tcW w:w="1931" w:type="dxa"/>
                  <w:vAlign w:val="center"/>
                </w:tcPr>
                <w:p w14:paraId="0DFA3429">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57.9</w:t>
                  </w:r>
                </w:p>
              </w:tc>
              <w:tc>
                <w:tcPr>
                  <w:tcW w:w="1876" w:type="dxa"/>
                  <w:vAlign w:val="center"/>
                </w:tcPr>
                <w:p w14:paraId="5F0005D1">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63.5</w:t>
                  </w:r>
                </w:p>
              </w:tc>
              <w:tc>
                <w:tcPr>
                  <w:tcW w:w="1899" w:type="dxa"/>
                  <w:vAlign w:val="center"/>
                </w:tcPr>
                <w:p w14:paraId="7F4F5B56">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60.4</w:t>
                  </w:r>
                </w:p>
              </w:tc>
            </w:tr>
            <w:tr w14:paraId="5448B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16FD7B84">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190</w:t>
                  </w:r>
                </w:p>
              </w:tc>
              <w:tc>
                <w:tcPr>
                  <w:tcW w:w="1888" w:type="dxa"/>
                  <w:vAlign w:val="center"/>
                </w:tcPr>
                <w:p w14:paraId="66862409">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60.0</w:t>
                  </w:r>
                </w:p>
              </w:tc>
              <w:tc>
                <w:tcPr>
                  <w:tcW w:w="1931" w:type="dxa"/>
                  <w:vAlign w:val="center"/>
                </w:tcPr>
                <w:p w14:paraId="71C5FA21">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57.4</w:t>
                  </w:r>
                </w:p>
              </w:tc>
              <w:tc>
                <w:tcPr>
                  <w:tcW w:w="1876" w:type="dxa"/>
                  <w:vAlign w:val="center"/>
                </w:tcPr>
                <w:p w14:paraId="742BEDD7">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63.0</w:t>
                  </w:r>
                </w:p>
              </w:tc>
              <w:tc>
                <w:tcPr>
                  <w:tcW w:w="1899" w:type="dxa"/>
                  <w:vAlign w:val="center"/>
                </w:tcPr>
                <w:p w14:paraId="5601E5D9">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59.9</w:t>
                  </w:r>
                </w:p>
              </w:tc>
            </w:tr>
            <w:tr w14:paraId="70D97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0" w:type="dxa"/>
                  <w:vAlign w:val="center"/>
                </w:tcPr>
                <w:p w14:paraId="5D9FD99C">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center"/>
                    <w:rPr>
                      <w:rFonts w:hint="default" w:ascii="Times New Roman" w:hAnsi="Times New Roman" w:cs="Times New Roman"/>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200</w:t>
                  </w:r>
                </w:p>
              </w:tc>
              <w:tc>
                <w:tcPr>
                  <w:tcW w:w="1888" w:type="dxa"/>
                  <w:vAlign w:val="center"/>
                </w:tcPr>
                <w:p w14:paraId="4A76D1C0">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59.6</w:t>
                  </w:r>
                </w:p>
              </w:tc>
              <w:tc>
                <w:tcPr>
                  <w:tcW w:w="1931" w:type="dxa"/>
                  <w:vAlign w:val="center"/>
                </w:tcPr>
                <w:p w14:paraId="1854D124">
                  <w:pPr>
                    <w:numPr>
                      <w:ilvl w:val="0"/>
                      <w:numId w:val="0"/>
                    </w:numPr>
                    <w:snapToGrid w:val="0"/>
                    <w:spacing w:line="240" w:lineRule="auto"/>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57.0</w:t>
                  </w:r>
                </w:p>
              </w:tc>
              <w:tc>
                <w:tcPr>
                  <w:tcW w:w="1876" w:type="dxa"/>
                  <w:vAlign w:val="center"/>
                </w:tcPr>
                <w:p w14:paraId="7B2FA43E">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62.6</w:t>
                  </w:r>
                </w:p>
              </w:tc>
              <w:tc>
                <w:tcPr>
                  <w:tcW w:w="1899" w:type="dxa"/>
                  <w:vAlign w:val="center"/>
                </w:tcPr>
                <w:p w14:paraId="536014AF">
                  <w:pPr>
                    <w:numPr>
                      <w:ilvl w:val="0"/>
                      <w:numId w:val="0"/>
                    </w:numPr>
                    <w:snapToGrid w:val="0"/>
                    <w:spacing w:line="240" w:lineRule="auto"/>
                    <w:ind w:left="0" w:leftChars="0" w:firstLine="0" w:firstLineChars="0"/>
                    <w:contextualSpacing/>
                    <w:jc w:val="center"/>
                    <w:rPr>
                      <w:rFonts w:hint="default"/>
                      <w:color w:val="0D0D0D" w:themeColor="text1" w:themeTint="F2"/>
                      <w:kern w:val="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kern w:val="2"/>
                      <w:sz w:val="21"/>
                      <w:szCs w:val="21"/>
                      <w:vertAlign w:val="baseline"/>
                      <w:lang w:val="en-US" w:eastAsia="zh-CN"/>
                      <w14:textFill>
                        <w14:solidFill>
                          <w14:schemeClr w14:val="tx1">
                            <w14:lumMod w14:val="95000"/>
                            <w14:lumOff w14:val="5000"/>
                          </w14:schemeClr>
                        </w14:solidFill>
                      </w14:textFill>
                    </w:rPr>
                    <w:t>59.5</w:t>
                  </w:r>
                </w:p>
              </w:tc>
            </w:tr>
          </w:tbl>
          <w:p w14:paraId="5929811E">
            <w:pPr>
              <w:pStyle w:val="216"/>
              <w:keepNext w:val="0"/>
              <w:keepLines w:val="0"/>
              <w:pageBreakBefore w:val="0"/>
              <w:widowControl w:val="0"/>
              <w:numPr>
                <w:ilvl w:val="0"/>
                <w:numId w:val="0"/>
              </w:numPr>
              <w:kinsoku/>
              <w:wordWrap/>
              <w:overflowPunct/>
              <w:topLinePunct w:val="0"/>
              <w:autoSpaceDE/>
              <w:autoSpaceDN/>
              <w:bidi w:val="0"/>
              <w:adjustRightInd w:val="0"/>
              <w:snapToGrid/>
              <w:spacing w:before="164" w:beforeLines="50"/>
              <w:ind w:leftChars="0" w:firstLine="480" w:firstLineChars="200"/>
              <w:textAlignment w:val="baseline"/>
              <w:rPr>
                <w:rFonts w:hint="default" w:ascii="Times New Roman" w:hAnsi="Times New Roman" w:cs="Times New Roman"/>
                <w:color w:val="0D0D0D" w:themeColor="text1" w:themeTint="F2"/>
                <w:lang w:val="en-US" w:eastAsia="zh-CN"/>
                <w14:textFill>
                  <w14:solidFill>
                    <w14:schemeClr w14:val="tx1">
                      <w14:lumMod w14:val="95000"/>
                      <w14:lumOff w14:val="5000"/>
                    </w14:schemeClr>
                  </w14:solidFill>
                </w14:textFill>
              </w:rPr>
            </w:pPr>
            <w:r>
              <w:rPr>
                <w:rFonts w:hint="eastAsia"/>
                <w:color w:val="0D0D0D" w:themeColor="text1" w:themeTint="F2"/>
                <w:lang w:val="en-US" w:eastAsia="zh-CN"/>
                <w14:textFill>
                  <w14:solidFill>
                    <w14:schemeClr w14:val="tx1">
                      <w14:lumMod w14:val="95000"/>
                      <w14:lumOff w14:val="5000"/>
                    </w14:schemeClr>
                  </w14:solidFill>
                </w14:textFill>
              </w:rPr>
              <w:t>施工期噪声排放执行《建筑施工噪声排放标准》（GB12523-2025）中的相关要求，即昼间不得超过70dB（A），夜间不得超过55dB（A），夜间噪声最大声级</w:t>
            </w:r>
            <w:r>
              <w:rPr>
                <w:rFonts w:hint="default" w:ascii="Times New Roman" w:hAnsi="Times New Roman" w:cs="Times New Roman"/>
                <w:color w:val="0D0D0D" w:themeColor="text1" w:themeTint="F2"/>
                <w:lang w:val="en-US" w:eastAsia="zh-CN"/>
                <w14:textFill>
                  <w14:solidFill>
                    <w14:schemeClr w14:val="tx1">
                      <w14:lumMod w14:val="95000"/>
                      <w14:lumOff w14:val="5000"/>
                    </w14:schemeClr>
                  </w14:solidFill>
                </w14:textFill>
              </w:rPr>
              <w:t>超过限值的幅度不得高于15dB</w:t>
            </w:r>
            <w:r>
              <w:rPr>
                <w:rFonts w:hint="eastAsia"/>
                <w:color w:val="0D0D0D" w:themeColor="text1" w:themeTint="F2"/>
                <w:lang w:val="en-US" w:eastAsia="zh-CN"/>
                <w14:textFill>
                  <w14:solidFill>
                    <w14:schemeClr w14:val="tx1">
                      <w14:lumMod w14:val="95000"/>
                      <w14:lumOff w14:val="5000"/>
                    </w14:schemeClr>
                  </w14:solidFill>
                </w14:textFill>
              </w:rPr>
              <w:t>（A）</w:t>
            </w:r>
            <w:r>
              <w:rPr>
                <w:rFonts w:hint="default" w:ascii="Times New Roman" w:hAnsi="Times New Roman" w:cs="Times New Roman"/>
                <w:color w:val="0D0D0D" w:themeColor="text1" w:themeTint="F2"/>
                <w:lang w:val="en-US" w:eastAsia="zh-CN"/>
                <w14:textFill>
                  <w14:solidFill>
                    <w14:schemeClr w14:val="tx1">
                      <w14:lumMod w14:val="95000"/>
                      <w14:lumOff w14:val="5000"/>
                    </w14:schemeClr>
                  </w14:solidFill>
                </w14:textFill>
              </w:rPr>
              <w:t>。</w:t>
            </w:r>
          </w:p>
          <w:p w14:paraId="4FCCD097">
            <w:pPr>
              <w:keepNext w:val="0"/>
              <w:keepLines w:val="0"/>
              <w:widowControl/>
              <w:suppressLineNumbers w:val="0"/>
              <w:spacing w:line="360" w:lineRule="auto"/>
              <w:ind w:firstLine="480" w:firstLineChars="200"/>
              <w:jc w:val="left"/>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项目</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主变压器</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布置在</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变电站西南侧</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，施工设备通常布置在</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变电站</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站区场地中央施工，且机械噪声一般为间断性噪声</w:t>
            </w:r>
            <w:r>
              <w:rPr>
                <w:rFonts w:hint="eastAsia"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由表</w:t>
            </w:r>
            <w:r>
              <w:rPr>
                <w:rFonts w:hint="eastAsia" w:ascii="Times New Roman" w:hAnsi="Times New Roman" w:cs="Times New Roman"/>
                <w:color w:val="0D0D0D" w:themeColor="text1" w:themeTint="F2"/>
                <w:sz w:val="24"/>
                <w:szCs w:val="28"/>
                <w:lang w:eastAsia="zh-CN"/>
                <w14:textFill>
                  <w14:solidFill>
                    <w14:schemeClr w14:val="tx1">
                      <w14:lumMod w14:val="95000"/>
                      <w14:lumOff w14:val="5000"/>
                    </w14:schemeClr>
                  </w14:solidFill>
                </w14:textFill>
              </w:rPr>
              <w:t>4</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4</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可看出，</w:t>
            </w:r>
            <w:r>
              <w:rPr>
                <w:rFonts w:hint="eastAsia" w:cs="Times New Roman"/>
                <w:color w:val="0D0D0D" w:themeColor="text1" w:themeTint="F2"/>
                <w:sz w:val="24"/>
                <w:szCs w:val="28"/>
                <w:lang w:eastAsia="zh-CN"/>
                <w14:textFill>
                  <w14:solidFill>
                    <w14:schemeClr w14:val="tx1">
                      <w14:lumMod w14:val="95000"/>
                      <w14:lumOff w14:val="5000"/>
                    </w14:schemeClr>
                  </w14:solidFill>
                </w14:textFill>
              </w:rPr>
              <w:t>本工程</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施工场地平整、土石方开挖阶段、土建施工阶段及设备安装阶段，考虑各施工设备同时运行时噪声达到70dB</w:t>
            </w:r>
            <w:r>
              <w:rPr>
                <w:rFonts w:hint="eastAsia" w:cs="Times New Roman"/>
                <w:color w:val="0D0D0D" w:themeColor="text1" w:themeTint="F2"/>
                <w:sz w:val="24"/>
                <w:szCs w:val="28"/>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A</w:t>
            </w:r>
            <w:r>
              <w:rPr>
                <w:rFonts w:hint="eastAsia" w:ascii="Times New Roman" w:hAnsi="Times New Roman" w:cs="Times New Roman"/>
                <w:color w:val="0D0D0D" w:themeColor="text1" w:themeTint="F2"/>
                <w:sz w:val="24"/>
                <w:szCs w:val="28"/>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的距离分别为</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61</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m、</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45</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m</w:t>
            </w:r>
            <w:r>
              <w:rPr>
                <w:rFonts w:hint="eastAsia" w:ascii="Times New Roman" w:hAnsi="Times New Roman" w:cs="Times New Roman"/>
                <w:color w:val="0D0D0D" w:themeColor="text1" w:themeTint="F2"/>
                <w:sz w:val="24"/>
                <w:szCs w:val="28"/>
                <w:lang w:eastAsia="zh-CN"/>
                <w14:textFill>
                  <w14:solidFill>
                    <w14:schemeClr w14:val="tx1">
                      <w14:lumMod w14:val="95000"/>
                      <w14:lumOff w14:val="5000"/>
                    </w14:schemeClr>
                  </w14:solidFill>
                </w14:textFill>
              </w:rPr>
              <w:t>、</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85</w:t>
            </w:r>
            <w:r>
              <w:rPr>
                <w:rFonts w:hint="eastAsia" w:ascii="Times New Roman" w:hAnsi="Times New Roman" w:cs="Times New Roman"/>
                <w:color w:val="0D0D0D" w:themeColor="text1" w:themeTint="F2"/>
                <w:sz w:val="24"/>
                <w:szCs w:val="28"/>
                <w:lang w:val="en-US" w:eastAsia="zh-CN"/>
                <w14:textFill>
                  <w14:solidFill>
                    <w14:schemeClr w14:val="tx1">
                      <w14:lumMod w14:val="95000"/>
                      <w14:lumOff w14:val="5000"/>
                    </w14:schemeClr>
                  </w14:solidFill>
                </w14:textFill>
              </w:rPr>
              <w:t>m</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和</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60</w:t>
            </w:r>
            <w:r>
              <w:rPr>
                <w:rFonts w:hint="default" w:ascii="Times New Roman" w:hAnsi="Times New Roman" w:cs="Times New Roman"/>
                <w:color w:val="0D0D0D" w:themeColor="text1" w:themeTint="F2"/>
                <w:sz w:val="24"/>
                <w:szCs w:val="28"/>
                <w14:textFill>
                  <w14:solidFill>
                    <w14:schemeClr w14:val="tx1">
                      <w14:lumMod w14:val="95000"/>
                      <w14:lumOff w14:val="5000"/>
                    </w14:schemeClr>
                  </w14:solidFill>
                </w14:textFill>
              </w:rPr>
              <w:t>m</w:t>
            </w:r>
            <w:r>
              <w:rPr>
                <w:rFonts w:hint="eastAsia" w:cs="Times New Roman"/>
                <w:color w:val="0D0D0D" w:themeColor="text1" w:themeTint="F2"/>
                <w:sz w:val="24"/>
                <w:szCs w:val="28"/>
                <w:lang w:eastAsia="zh-CN"/>
                <w14:textFill>
                  <w14:solidFill>
                    <w14:schemeClr w14:val="tx1">
                      <w14:lumMod w14:val="95000"/>
                      <w14:lumOff w14:val="5000"/>
                    </w14:schemeClr>
                  </w14:solidFill>
                </w14:textFill>
              </w:rPr>
              <w:t>，</w:t>
            </w: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土建施工阶段声环境影响最大。</w:t>
            </w:r>
          </w:p>
          <w:p w14:paraId="42790DE5">
            <w:pPr>
              <w:keepNext w:val="0"/>
              <w:keepLines w:val="0"/>
              <w:widowControl/>
              <w:suppressLineNumbers w:val="0"/>
              <w:spacing w:line="360" w:lineRule="auto"/>
              <w:ind w:firstLine="480" w:firstLineChars="200"/>
              <w:jc w:val="left"/>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pPr>
            <w:r>
              <w:rPr>
                <w:rFonts w:hint="eastAsia" w:cs="Times New Roman"/>
                <w:color w:val="0D0D0D" w:themeColor="text1" w:themeTint="F2"/>
                <w:sz w:val="24"/>
                <w:szCs w:val="28"/>
                <w:lang w:val="en-US" w:eastAsia="zh-CN"/>
                <w14:textFill>
                  <w14:solidFill>
                    <w14:schemeClr w14:val="tx1">
                      <w14:lumMod w14:val="95000"/>
                      <w14:lumOff w14:val="5000"/>
                    </w14:schemeClr>
                  </w14:solidFill>
                </w14:textFill>
              </w:rPr>
              <w:t>按照保守估计，预测项目施工设施距离场界5m时场界噪声达标情况，预测结果见下表：</w:t>
            </w:r>
          </w:p>
          <w:p w14:paraId="484C0CAA">
            <w:pPr>
              <w:keepNext w:val="0"/>
              <w:keepLines w:val="0"/>
              <w:widowControl/>
              <w:suppressLineNumbers w:val="0"/>
              <w:spacing w:line="240" w:lineRule="auto"/>
              <w:ind w:left="0" w:leftChars="0" w:firstLine="0" w:firstLineChars="0"/>
              <w:jc w:val="center"/>
              <w:rPr>
                <w:rFonts w:hint="default" w:cs="Times New Roman"/>
                <w:color w:val="0D0D0D" w:themeColor="text1" w:themeTint="F2"/>
                <w:sz w:val="21"/>
                <w:szCs w:val="21"/>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lang w:val="en-US" w:eastAsia="zh-CN"/>
                <w14:textFill>
                  <w14:solidFill>
                    <w14:schemeClr w14:val="tx1">
                      <w14:lumMod w14:val="95000"/>
                      <w14:lumOff w14:val="5000"/>
                    </w14:schemeClr>
                  </w14:solidFill>
                </w14:textFill>
              </w:rPr>
              <w:t xml:space="preserve">表4-5  </w:t>
            </w:r>
            <w:r>
              <w:rPr>
                <w:rFonts w:hint="eastAsia" w:ascii="宋体" w:hAnsi="宋体" w:eastAsia="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不同施工阶段</w:t>
            </w:r>
            <w:r>
              <w:rPr>
                <w:rFonts w:hint="eastAsia" w:ascii="宋体" w:hAnsi="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场界达标情况</w:t>
            </w:r>
            <w:r>
              <w:rPr>
                <w:rFonts w:hint="eastAsia" w:ascii="宋体" w:hAnsi="宋体" w:eastAsia="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 xml:space="preserve">  单位：</w:t>
            </w:r>
            <w:r>
              <w:rPr>
                <w:rFonts w:hint="default" w:ascii="Times New Roman" w:hAnsi="Times New Roman" w:eastAsia="宋体"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dB（A）</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6"/>
              <w:gridCol w:w="2246"/>
              <w:gridCol w:w="2246"/>
              <w:gridCol w:w="2248"/>
            </w:tblGrid>
            <w:tr w14:paraId="6B3C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9" w:type="dxa"/>
                  <w:vAlign w:val="center"/>
                </w:tcPr>
                <w:p w14:paraId="50BA619C">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施工阶段</w:t>
                  </w:r>
                </w:p>
              </w:tc>
              <w:tc>
                <w:tcPr>
                  <w:tcW w:w="2129" w:type="dxa"/>
                  <w:vAlign w:val="center"/>
                </w:tcPr>
                <w:p w14:paraId="3378016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噪声影响</w:t>
                  </w:r>
                </w:p>
              </w:tc>
              <w:tc>
                <w:tcPr>
                  <w:tcW w:w="2129" w:type="dxa"/>
                  <w:vAlign w:val="center"/>
                </w:tcPr>
                <w:p w14:paraId="1687267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标准限值</w:t>
                  </w:r>
                </w:p>
              </w:tc>
              <w:tc>
                <w:tcPr>
                  <w:tcW w:w="2130" w:type="dxa"/>
                  <w:vAlign w:val="center"/>
                </w:tcPr>
                <w:p w14:paraId="25CAA97A">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超标值</w:t>
                  </w:r>
                </w:p>
              </w:tc>
            </w:tr>
            <w:tr w14:paraId="45A0A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9" w:type="dxa"/>
                  <w:vAlign w:val="center"/>
                </w:tcPr>
                <w:p w14:paraId="22F9149F">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场地平整</w:t>
                  </w:r>
                </w:p>
              </w:tc>
              <w:tc>
                <w:tcPr>
                  <w:tcW w:w="2129" w:type="dxa"/>
                  <w:vAlign w:val="center"/>
                </w:tcPr>
                <w:p w14:paraId="3187A1F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91.6</w:t>
                  </w:r>
                </w:p>
              </w:tc>
              <w:tc>
                <w:tcPr>
                  <w:tcW w:w="2129" w:type="dxa"/>
                  <w:vAlign w:val="center"/>
                </w:tcPr>
                <w:p w14:paraId="57B4DE16">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70</w:t>
                  </w:r>
                </w:p>
              </w:tc>
              <w:tc>
                <w:tcPr>
                  <w:tcW w:w="2130" w:type="dxa"/>
                  <w:vAlign w:val="center"/>
                </w:tcPr>
                <w:p w14:paraId="7001903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21.6</w:t>
                  </w:r>
                </w:p>
              </w:tc>
            </w:tr>
            <w:tr w14:paraId="3E63F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9" w:type="dxa"/>
                  <w:vAlign w:val="center"/>
                </w:tcPr>
                <w:p w14:paraId="6E49A1FD">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olor w:val="0D0D0D" w:themeColor="text1" w:themeTint="F2"/>
                      <w:sz w:val="21"/>
                      <w:szCs w:val="21"/>
                      <w14:textFill>
                        <w14:solidFill>
                          <w14:schemeClr w14:val="tx1">
                            <w14:lumMod w14:val="95000"/>
                            <w14:lumOff w14:val="5000"/>
                          </w14:schemeClr>
                        </w14:solidFill>
                      </w14:textFill>
                    </w:rPr>
                    <w:t>土方开挖</w:t>
                  </w:r>
                </w:p>
              </w:tc>
              <w:tc>
                <w:tcPr>
                  <w:tcW w:w="2129" w:type="dxa"/>
                  <w:vAlign w:val="center"/>
                </w:tcPr>
                <w:p w14:paraId="0F7789A6">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89.0</w:t>
                  </w:r>
                </w:p>
              </w:tc>
              <w:tc>
                <w:tcPr>
                  <w:tcW w:w="2129" w:type="dxa"/>
                  <w:vAlign w:val="center"/>
                </w:tcPr>
                <w:p w14:paraId="0CDC938D">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70</w:t>
                  </w:r>
                </w:p>
              </w:tc>
              <w:tc>
                <w:tcPr>
                  <w:tcW w:w="2130" w:type="dxa"/>
                  <w:vAlign w:val="center"/>
                </w:tcPr>
                <w:p w14:paraId="5BA9499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19.0</w:t>
                  </w:r>
                </w:p>
              </w:tc>
            </w:tr>
            <w:tr w14:paraId="56674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9" w:type="dxa"/>
                  <w:vAlign w:val="center"/>
                </w:tcPr>
                <w:p w14:paraId="72F82B0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土建施工</w:t>
                  </w:r>
                </w:p>
              </w:tc>
              <w:tc>
                <w:tcPr>
                  <w:tcW w:w="2129" w:type="dxa"/>
                  <w:vAlign w:val="center"/>
                </w:tcPr>
                <w:p w14:paraId="48B60BC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94.6</w:t>
                  </w:r>
                </w:p>
              </w:tc>
              <w:tc>
                <w:tcPr>
                  <w:tcW w:w="2129" w:type="dxa"/>
                  <w:vAlign w:val="center"/>
                </w:tcPr>
                <w:p w14:paraId="5824472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70</w:t>
                  </w:r>
                </w:p>
              </w:tc>
              <w:tc>
                <w:tcPr>
                  <w:tcW w:w="2130" w:type="dxa"/>
                  <w:vAlign w:val="center"/>
                </w:tcPr>
                <w:p w14:paraId="4EC0CE5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24.6</w:t>
                  </w:r>
                </w:p>
              </w:tc>
            </w:tr>
            <w:tr w14:paraId="35162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9" w:type="dxa"/>
                  <w:vAlign w:val="center"/>
                </w:tcPr>
                <w:p w14:paraId="32533C13">
                  <w:pPr>
                    <w:pStyle w:val="214"/>
                    <w:keepNext w:val="0"/>
                    <w:keepLines w:val="0"/>
                    <w:pageBreakBefore w:val="0"/>
                    <w:widowControl w:val="0"/>
                    <w:kinsoku/>
                    <w:wordWrap/>
                    <w:overflowPunct/>
                    <w:topLinePunct w:val="0"/>
                    <w:autoSpaceDE/>
                    <w:autoSpaceDN/>
                    <w:bidi w:val="0"/>
                    <w:adjustRightInd w:val="0"/>
                    <w:snapToGrid/>
                    <w:spacing w:line="240" w:lineRule="auto"/>
                    <w:ind w:firstLine="0" w:firstLineChars="0"/>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color w:val="0D0D0D" w:themeColor="text1" w:themeTint="F2"/>
                      <w:sz w:val="21"/>
                      <w:szCs w:val="21"/>
                      <w14:textFill>
                        <w14:solidFill>
                          <w14:schemeClr w14:val="tx1">
                            <w14:lumMod w14:val="95000"/>
                            <w14:lumOff w14:val="5000"/>
                          </w14:schemeClr>
                        </w14:solidFill>
                      </w14:textFill>
                    </w:rPr>
                    <w:t>设备</w:t>
                  </w:r>
                  <w:r>
                    <w:rPr>
                      <w:rFonts w:hint="eastAsia"/>
                      <w:color w:val="0D0D0D" w:themeColor="text1" w:themeTint="F2"/>
                      <w:sz w:val="21"/>
                      <w:szCs w:val="21"/>
                      <w14:textFill>
                        <w14:solidFill>
                          <w14:schemeClr w14:val="tx1">
                            <w14:lumMod w14:val="95000"/>
                            <w14:lumOff w14:val="5000"/>
                          </w14:schemeClr>
                        </w14:solidFill>
                      </w14:textFill>
                    </w:rPr>
                    <w:t>安装</w:t>
                  </w:r>
                </w:p>
              </w:tc>
              <w:tc>
                <w:tcPr>
                  <w:tcW w:w="2129" w:type="dxa"/>
                  <w:vAlign w:val="center"/>
                </w:tcPr>
                <w:p w14:paraId="4DE52EA2">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91.5</w:t>
                  </w:r>
                </w:p>
              </w:tc>
              <w:tc>
                <w:tcPr>
                  <w:tcW w:w="2129" w:type="dxa"/>
                  <w:vAlign w:val="center"/>
                </w:tcPr>
                <w:p w14:paraId="38650F6C">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70</w:t>
                  </w:r>
                </w:p>
              </w:tc>
              <w:tc>
                <w:tcPr>
                  <w:tcW w:w="2130" w:type="dxa"/>
                  <w:vAlign w:val="center"/>
                </w:tcPr>
                <w:p w14:paraId="25065B8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21.5</w:t>
                  </w:r>
                </w:p>
              </w:tc>
            </w:tr>
          </w:tbl>
          <w:p w14:paraId="2F0D94F9">
            <w:pPr>
              <w:spacing w:line="360" w:lineRule="auto"/>
              <w:ind w:firstLine="480" w:firstLineChars="200"/>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pP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根据表4-</w:t>
            </w:r>
            <w:r>
              <w:rPr>
                <w:rFonts w:hint="eastAsia" w:cs="Times New Roman"/>
                <w:color w:val="0D0D0D" w:themeColor="text1" w:themeTint="F2"/>
                <w:sz w:val="24"/>
                <w:szCs w:val="24"/>
                <w:lang w:val="en-US" w:eastAsia="zh-CN"/>
                <w14:textFill>
                  <w14:solidFill>
                    <w14:schemeClr w14:val="tx1">
                      <w14:lumMod w14:val="95000"/>
                      <w14:lumOff w14:val="5000"/>
                    </w14:schemeClr>
                  </w14:solidFill>
                </w14:textFill>
              </w:rPr>
              <w:t>5</w:t>
            </w: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可知，当项目施工设施距离场界较近时，场界噪声昼间最大超标值为24.6dB（A），因此需要在高噪声设备周围</w:t>
            </w:r>
            <w:r>
              <w:rPr>
                <w:rFonts w:hint="default" w:ascii="Times New Roman" w:hAnsi="Times New Roman" w:cs="Times New Roman"/>
                <w:color w:val="0D0D0D" w:themeColor="text1" w:themeTint="F2"/>
                <w:sz w:val="24"/>
                <w:szCs w:val="24"/>
                <w14:textFill>
                  <w14:solidFill>
                    <w14:schemeClr w14:val="tx1">
                      <w14:lumMod w14:val="95000"/>
                      <w14:lumOff w14:val="5000"/>
                    </w14:schemeClr>
                  </w14:solidFill>
                </w14:textFill>
              </w:rPr>
              <w:t>设置移动隔声屏障</w:t>
            </w:r>
            <w:r>
              <w:rPr>
                <w:rFonts w:hint="default" w:ascii="Times New Roman" w:hAnsi="Times New Roman" w:cs="Times New Roman"/>
                <w:color w:val="0D0D0D" w:themeColor="text1" w:themeTint="F2"/>
                <w:sz w:val="24"/>
                <w:szCs w:val="24"/>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计权隔声量不小于25dB</w:t>
            </w:r>
            <w:r>
              <w:rPr>
                <w:rFonts w:hint="default" w:ascii="Times New Roman" w:hAnsi="Times New Roman" w:cs="Times New Roman"/>
                <w:color w:val="0D0D0D" w:themeColor="text1" w:themeTint="F2"/>
                <w:sz w:val="24"/>
                <w:szCs w:val="24"/>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同时项目施工尽量选用低噪声设备，通过合理布局，降低高噪声设备同时使用数量，</w:t>
            </w:r>
            <w:r>
              <w:rPr>
                <w:rFonts w:hint="eastAsia"/>
                <w:color w:val="0D0D0D" w:themeColor="text1" w:themeTint="F2"/>
                <w:sz w:val="24"/>
                <w:szCs w:val="24"/>
                <w:lang w:val="en-US" w:eastAsia="zh-CN"/>
                <w14:textFill>
                  <w14:solidFill>
                    <w14:schemeClr w14:val="tx1">
                      <w14:lumMod w14:val="95000"/>
                      <w14:lumOff w14:val="5000"/>
                    </w14:schemeClr>
                  </w14:solidFill>
                </w14:textFill>
              </w:rPr>
              <w:t>变电站</w:t>
            </w:r>
            <w:r>
              <w:rPr>
                <w:rFonts w:hint="default" w:ascii="Times New Roman" w:hAnsi="Times New Roman" w:cs="Times New Roman"/>
                <w:color w:val="0D0D0D" w:themeColor="text1" w:themeTint="F2"/>
                <w:sz w:val="24"/>
                <w:szCs w:val="24"/>
                <w:lang w:val="en-US" w:eastAsia="zh-CN"/>
                <w14:textFill>
                  <w14:solidFill>
                    <w14:schemeClr w14:val="tx1">
                      <w14:lumMod w14:val="95000"/>
                      <w14:lumOff w14:val="5000"/>
                    </w14:schemeClr>
                  </w14:solidFill>
                </w14:textFill>
              </w:rPr>
              <w:t>场地平整后</w:t>
            </w:r>
            <w:r>
              <w:rPr>
                <w:rFonts w:hint="default" w:ascii="Times New Roman" w:hAnsi="Times New Roman" w:cs="Times New Roman"/>
                <w:color w:val="0D0D0D" w:themeColor="text1" w:themeTint="F2"/>
                <w:sz w:val="24"/>
                <w:szCs w:val="24"/>
                <w14:textFill>
                  <w14:solidFill>
                    <w14:schemeClr w14:val="tx1">
                      <w14:lumMod w14:val="95000"/>
                      <w14:lumOff w14:val="5000"/>
                    </w14:schemeClr>
                  </w14:solidFill>
                </w14:textFill>
              </w:rPr>
              <w:t>，先建好站区的围墙（混凝土结构</w:t>
            </w:r>
            <w:r>
              <w:rPr>
                <w:rFonts w:hint="default" w:ascii="Times New Roman" w:hAnsi="Times New Roman" w:cs="Times New Roman"/>
                <w:color w:val="0D0D0D" w:themeColor="text1" w:themeTint="F2"/>
                <w:sz w:val="24"/>
                <w:szCs w:val="24"/>
                <w:lang w:eastAsia="zh-CN"/>
                <w14:textFill>
                  <w14:solidFill>
                    <w14:schemeClr w14:val="tx1">
                      <w14:lumMod w14:val="95000"/>
                      <w14:lumOff w14:val="5000"/>
                    </w14:schemeClr>
                  </w14:solidFill>
                </w14:textFill>
              </w:rPr>
              <w:t>）</w:t>
            </w:r>
            <w:r>
              <w:rPr>
                <w:rFonts w:hint="default" w:ascii="Times New Roman" w:hAnsi="Times New Roman" w:cs="Times New Roman"/>
                <w:color w:val="0D0D0D" w:themeColor="text1" w:themeTint="F2"/>
                <w:sz w:val="24"/>
                <w:szCs w:val="24"/>
                <w14:textFill>
                  <w14:solidFill>
                    <w14:schemeClr w14:val="tx1">
                      <w14:lumMod w14:val="95000"/>
                      <w14:lumOff w14:val="5000"/>
                    </w14:schemeClr>
                  </w14:solidFill>
                </w14:textFill>
              </w:rPr>
              <w:t>，围墙具有一定的隔声效果，</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因此，施工场界处昼间噪声排放可满足《</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建筑施工噪声排放标准</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》的要求。</w:t>
            </w:r>
          </w:p>
          <w:p w14:paraId="0951675D">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在采取施工围挡和夜间禁止高噪声设备施工的措施下，</w:t>
            </w:r>
            <w:r>
              <w:rPr>
                <w:rFonts w:hint="eastAsia" w:cs="Times New Roman"/>
                <w:snapToGrid/>
                <w:spacing w:val="0"/>
                <w:kern w:val="0"/>
                <w:sz w:val="24"/>
                <w:szCs w:val="24"/>
                <w:lang w:val="en-US" w:eastAsia="zh-CN"/>
              </w:rPr>
              <w:t>项目所在区域</w:t>
            </w:r>
            <w:r>
              <w:rPr>
                <w:rFonts w:hint="default" w:ascii="Times New Roman" w:hAnsi="Times New Roman" w:eastAsia="宋体" w:cs="Times New Roman"/>
                <w:snapToGrid/>
                <w:spacing w:val="0"/>
                <w:kern w:val="0"/>
                <w:sz w:val="24"/>
                <w:szCs w:val="24"/>
                <w:lang w:val="en-US" w:eastAsia="zh-CN"/>
              </w:rPr>
              <w:t>的声环境质量能够满足《声环境质量标准》（GB3096-2008）</w:t>
            </w:r>
            <w:r>
              <w:rPr>
                <w:rFonts w:hint="eastAsia" w:cs="Times New Roman"/>
                <w:snapToGrid/>
                <w:spacing w:val="0"/>
                <w:kern w:val="0"/>
                <w:sz w:val="24"/>
                <w:szCs w:val="24"/>
                <w:lang w:val="en-US" w:eastAsia="zh-CN"/>
              </w:rPr>
              <w:t>1</w:t>
            </w:r>
            <w:r>
              <w:rPr>
                <w:rFonts w:hint="default" w:ascii="Times New Roman" w:hAnsi="Times New Roman" w:eastAsia="宋体" w:cs="Times New Roman"/>
                <w:snapToGrid/>
                <w:spacing w:val="0"/>
                <w:kern w:val="0"/>
                <w:sz w:val="24"/>
                <w:szCs w:val="24"/>
                <w:lang w:val="en-US" w:eastAsia="zh-CN"/>
              </w:rPr>
              <w:t>类标准要求。</w:t>
            </w:r>
          </w:p>
          <w:p w14:paraId="3A426E43">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（3）声环境保护目标分析</w:t>
            </w:r>
          </w:p>
          <w:p w14:paraId="27812DF0">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变电站施工期间在采取综合降噪措施情况下（综合降噪量按照15dB(A</w:t>
            </w:r>
            <w:r>
              <w:rPr>
                <w:rFonts w:hint="eastAsia" w:cs="Times New Roman"/>
                <w:snapToGrid/>
                <w:spacing w:val="0"/>
                <w:kern w:val="0"/>
                <w:sz w:val="24"/>
                <w:szCs w:val="24"/>
                <w:lang w:val="en-US" w:eastAsia="zh-CN"/>
              </w:rPr>
              <w:t>）</w:t>
            </w:r>
            <w:r>
              <w:rPr>
                <w:rFonts w:hint="default" w:ascii="Times New Roman" w:hAnsi="Times New Roman" w:eastAsia="宋体" w:cs="Times New Roman"/>
                <w:snapToGrid/>
                <w:spacing w:val="0"/>
                <w:kern w:val="0"/>
                <w:sz w:val="24"/>
                <w:szCs w:val="24"/>
                <w:lang w:val="en-US" w:eastAsia="zh-CN"/>
              </w:rPr>
              <w:t>考虑），本次新建变电站施工期周围声环境保护目标处的噪声预测，按照施工时产生的噪声影响最大的施工机械进行理论预测分析。夜间</w:t>
            </w:r>
            <w:r>
              <w:rPr>
                <w:rFonts w:hint="eastAsia" w:cs="Times New Roman"/>
                <w:snapToGrid/>
                <w:spacing w:val="0"/>
                <w:kern w:val="0"/>
                <w:sz w:val="24"/>
                <w:szCs w:val="24"/>
                <w:lang w:val="en-US" w:eastAsia="zh-CN"/>
              </w:rPr>
              <w:t>不</w:t>
            </w:r>
            <w:r>
              <w:rPr>
                <w:rFonts w:hint="default" w:ascii="Times New Roman" w:hAnsi="Times New Roman" w:eastAsia="宋体" w:cs="Times New Roman"/>
                <w:snapToGrid/>
                <w:spacing w:val="0"/>
                <w:kern w:val="0"/>
                <w:sz w:val="24"/>
                <w:szCs w:val="24"/>
                <w:lang w:val="en-US" w:eastAsia="zh-CN"/>
              </w:rPr>
              <w:t>施工，因此只预测昼间施工噪声影响。计算结果见</w:t>
            </w:r>
            <w:r>
              <w:rPr>
                <w:rFonts w:hint="eastAsia" w:cs="Times New Roman"/>
                <w:snapToGrid/>
                <w:spacing w:val="0"/>
                <w:kern w:val="0"/>
                <w:sz w:val="24"/>
                <w:szCs w:val="24"/>
                <w:lang w:val="en-US" w:eastAsia="zh-CN"/>
              </w:rPr>
              <w:t>下表</w:t>
            </w:r>
            <w:r>
              <w:rPr>
                <w:rFonts w:hint="default" w:ascii="Times New Roman" w:hAnsi="Times New Roman" w:eastAsia="宋体" w:cs="Times New Roman"/>
                <w:snapToGrid/>
                <w:spacing w:val="0"/>
                <w:kern w:val="0"/>
                <w:sz w:val="24"/>
                <w:szCs w:val="24"/>
                <w:lang w:val="en-US" w:eastAsia="zh-CN"/>
              </w:rPr>
              <w:t>。</w:t>
            </w:r>
          </w:p>
          <w:p w14:paraId="2E782EB7">
            <w:pPr>
              <w:spacing w:line="240" w:lineRule="auto"/>
              <w:jc w:val="center"/>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表</w:t>
            </w:r>
            <w:r>
              <w:rPr>
                <w:rFonts w:hint="eastAsia" w:cs="Times New Roman"/>
                <w:b/>
                <w:bCs/>
                <w:sz w:val="21"/>
                <w:szCs w:val="21"/>
                <w:lang w:val="en-US" w:eastAsia="zh-CN"/>
              </w:rPr>
              <w:t>4-6</w:t>
            </w:r>
            <w:r>
              <w:rPr>
                <w:rFonts w:hint="eastAsia" w:ascii="Times New Roman" w:hAnsi="Times New Roman" w:eastAsia="宋体" w:cs="Times New Roman"/>
                <w:b/>
                <w:bCs/>
                <w:sz w:val="21"/>
                <w:szCs w:val="21"/>
                <w:lang w:val="en-US" w:eastAsia="zh-CN"/>
              </w:rPr>
              <w:t xml:space="preserve">  变电站施工期声环境保护目标处噪声预测值</w:t>
            </w:r>
            <w:r>
              <w:rPr>
                <w:rFonts w:hint="eastAsia" w:cs="Times New Roman"/>
                <w:b/>
                <w:bCs/>
                <w:sz w:val="21"/>
                <w:szCs w:val="21"/>
                <w:lang w:val="en-US" w:eastAsia="zh-CN"/>
              </w:rPr>
              <w:t xml:space="preserve">    </w:t>
            </w:r>
            <w:r>
              <w:rPr>
                <w:rFonts w:hint="eastAsia" w:ascii="Times New Roman" w:hAnsi="Times New Roman" w:eastAsia="宋体" w:cs="Times New Roman"/>
                <w:b/>
                <w:bCs/>
                <w:sz w:val="21"/>
                <w:szCs w:val="21"/>
                <w:lang w:val="en-US" w:eastAsia="zh-CN"/>
              </w:rPr>
              <w:t>单位：dB（A）</w:t>
            </w:r>
          </w:p>
          <w:tbl>
            <w:tblPr>
              <w:tblStyle w:val="38"/>
              <w:tblW w:w="5000" w:type="pct"/>
              <w:tblInd w:w="-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7"/>
              <w:gridCol w:w="1268"/>
              <w:gridCol w:w="1704"/>
              <w:gridCol w:w="1123"/>
              <w:gridCol w:w="1123"/>
              <w:gridCol w:w="1123"/>
              <w:gridCol w:w="1123"/>
              <w:gridCol w:w="1125"/>
            </w:tblGrid>
            <w:tr w14:paraId="7A98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20" w:type="pct"/>
                  <w:vMerge w:val="restart"/>
                  <w:vAlign w:val="center"/>
                </w:tcPr>
                <w:p w14:paraId="2B8FBF99">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序号</w:t>
                  </w:r>
                </w:p>
              </w:tc>
              <w:tc>
                <w:tcPr>
                  <w:tcW w:w="705" w:type="pct"/>
                  <w:vMerge w:val="restart"/>
                  <w:vAlign w:val="center"/>
                </w:tcPr>
                <w:p w14:paraId="18B4D428">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保护目标名称</w:t>
                  </w:r>
                </w:p>
              </w:tc>
              <w:tc>
                <w:tcPr>
                  <w:tcW w:w="948" w:type="pct"/>
                  <w:vMerge w:val="restart"/>
                  <w:vAlign w:val="center"/>
                </w:tcPr>
                <w:p w14:paraId="0B8EA826">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相对站界位置和距离</w:t>
                  </w:r>
                </w:p>
              </w:tc>
              <w:tc>
                <w:tcPr>
                  <w:tcW w:w="2499" w:type="pct"/>
                  <w:gridSpan w:val="4"/>
                  <w:vAlign w:val="center"/>
                </w:tcPr>
                <w:p w14:paraId="3CA09883">
                  <w:pPr>
                    <w:jc w:val="center"/>
                    <w:rPr>
                      <w:rFonts w:hint="default" w:ascii="Times New Roman" w:hAnsi="Times New Roman" w:eastAsia="宋体" w:cs="Times New Roman"/>
                      <w:b/>
                      <w:bCs/>
                      <w:sz w:val="21"/>
                      <w:szCs w:val="21"/>
                    </w:rPr>
                  </w:pPr>
                  <w:r>
                    <w:rPr>
                      <w:rFonts w:hint="eastAsia" w:cs="Times New Roman"/>
                      <w:b/>
                      <w:bCs/>
                      <w:sz w:val="21"/>
                      <w:szCs w:val="21"/>
                      <w:lang w:val="en-US" w:eastAsia="zh-CN"/>
                    </w:rPr>
                    <w:t>噪声值</w:t>
                  </w:r>
                </w:p>
              </w:tc>
              <w:tc>
                <w:tcPr>
                  <w:tcW w:w="625" w:type="pct"/>
                  <w:vMerge w:val="restart"/>
                  <w:vAlign w:val="center"/>
                </w:tcPr>
                <w:p w14:paraId="5C1C190B">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达标情况</w:t>
                  </w:r>
                </w:p>
              </w:tc>
            </w:tr>
            <w:tr w14:paraId="506D5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Merge w:val="continue"/>
                  <w:vAlign w:val="center"/>
                </w:tcPr>
                <w:p w14:paraId="509B32A1">
                  <w:pPr>
                    <w:jc w:val="center"/>
                    <w:rPr>
                      <w:rFonts w:hint="default" w:ascii="Times New Roman" w:hAnsi="Times New Roman" w:eastAsia="宋体" w:cs="Times New Roman"/>
                      <w:sz w:val="21"/>
                      <w:szCs w:val="21"/>
                    </w:rPr>
                  </w:pPr>
                </w:p>
              </w:tc>
              <w:tc>
                <w:tcPr>
                  <w:tcW w:w="705" w:type="pct"/>
                  <w:vMerge w:val="continue"/>
                  <w:vAlign w:val="center"/>
                </w:tcPr>
                <w:p w14:paraId="36250872">
                  <w:pPr>
                    <w:jc w:val="center"/>
                    <w:rPr>
                      <w:rFonts w:hint="default" w:ascii="Times New Roman" w:hAnsi="Times New Roman" w:eastAsia="宋体" w:cs="Times New Roman"/>
                      <w:sz w:val="21"/>
                      <w:szCs w:val="21"/>
                    </w:rPr>
                  </w:pPr>
                </w:p>
              </w:tc>
              <w:tc>
                <w:tcPr>
                  <w:tcW w:w="948" w:type="pct"/>
                  <w:vMerge w:val="continue"/>
                  <w:vAlign w:val="center"/>
                </w:tcPr>
                <w:p w14:paraId="64B7ADFA">
                  <w:pPr>
                    <w:jc w:val="center"/>
                    <w:rPr>
                      <w:rFonts w:hint="default" w:ascii="Times New Roman" w:hAnsi="Times New Roman" w:eastAsia="宋体" w:cs="Times New Roman"/>
                      <w:sz w:val="21"/>
                      <w:szCs w:val="21"/>
                    </w:rPr>
                  </w:pPr>
                </w:p>
              </w:tc>
              <w:tc>
                <w:tcPr>
                  <w:tcW w:w="624" w:type="pct"/>
                  <w:vAlign w:val="center"/>
                </w:tcPr>
                <w:p w14:paraId="65F24BAF">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贡献值</w:t>
                  </w:r>
                </w:p>
              </w:tc>
              <w:tc>
                <w:tcPr>
                  <w:tcW w:w="624" w:type="pct"/>
                  <w:vAlign w:val="center"/>
                </w:tcPr>
                <w:p w14:paraId="7D27B8FC">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现状监测值</w:t>
                  </w:r>
                </w:p>
              </w:tc>
              <w:tc>
                <w:tcPr>
                  <w:tcW w:w="624" w:type="pct"/>
                  <w:vAlign w:val="center"/>
                </w:tcPr>
                <w:p w14:paraId="77C6EF0C">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噪声预测值</w:t>
                  </w:r>
                </w:p>
              </w:tc>
              <w:tc>
                <w:tcPr>
                  <w:tcW w:w="624" w:type="pct"/>
                  <w:vAlign w:val="center"/>
                </w:tcPr>
                <w:p w14:paraId="45B62469">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标准值</w:t>
                  </w:r>
                </w:p>
              </w:tc>
              <w:tc>
                <w:tcPr>
                  <w:tcW w:w="625" w:type="pct"/>
                  <w:vMerge w:val="continue"/>
                  <w:vAlign w:val="center"/>
                </w:tcPr>
                <w:p w14:paraId="0E02971F">
                  <w:pPr>
                    <w:jc w:val="center"/>
                    <w:rPr>
                      <w:rFonts w:hint="default" w:ascii="Times New Roman" w:hAnsi="Times New Roman" w:eastAsia="宋体" w:cs="Times New Roman"/>
                      <w:sz w:val="21"/>
                      <w:szCs w:val="21"/>
                    </w:rPr>
                  </w:pPr>
                </w:p>
              </w:tc>
            </w:tr>
            <w:tr w14:paraId="4B8E7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7A00AF59">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p>
              </w:tc>
              <w:tc>
                <w:tcPr>
                  <w:tcW w:w="705" w:type="pct"/>
                  <w:vAlign w:val="center"/>
                </w:tcPr>
                <w:p w14:paraId="278D5C4A">
                  <w:pPr>
                    <w:jc w:val="center"/>
                    <w:rPr>
                      <w:rFonts w:hint="default" w:ascii="Times New Roman" w:hAnsi="Times New Roman" w:eastAsia="宋体" w:cs="Times New Roman"/>
                      <w:sz w:val="21"/>
                      <w:szCs w:val="21"/>
                    </w:rPr>
                  </w:pPr>
                  <w:r>
                    <w:rPr>
                      <w:rFonts w:hint="eastAsia" w:cs="Times New Roman"/>
                      <w:color w:val="auto"/>
                      <w:sz w:val="21"/>
                      <w:szCs w:val="21"/>
                      <w:lang w:val="en-US" w:eastAsia="zh-CN"/>
                    </w:rPr>
                    <w:t>金寨县关庙乡沙坪沟</w:t>
                  </w:r>
                </w:p>
              </w:tc>
              <w:tc>
                <w:tcPr>
                  <w:tcW w:w="948" w:type="pct"/>
                  <w:vAlign w:val="center"/>
                </w:tcPr>
                <w:p w14:paraId="28B2616A">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东侧约23m处</w:t>
                  </w:r>
                </w:p>
              </w:tc>
              <w:tc>
                <w:tcPr>
                  <w:tcW w:w="624" w:type="pct"/>
                  <w:vAlign w:val="center"/>
                </w:tcPr>
                <w:p w14:paraId="2761E7D5">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45.2</w:t>
                  </w:r>
                </w:p>
              </w:tc>
              <w:tc>
                <w:tcPr>
                  <w:tcW w:w="624" w:type="pct"/>
                  <w:vAlign w:val="center"/>
                </w:tcPr>
                <w:p w14:paraId="66DFAD4D">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47.0</w:t>
                  </w:r>
                </w:p>
              </w:tc>
              <w:tc>
                <w:tcPr>
                  <w:tcW w:w="624" w:type="pct"/>
                  <w:vAlign w:val="center"/>
                </w:tcPr>
                <w:p w14:paraId="580E4AD8">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49.2</w:t>
                  </w:r>
                </w:p>
              </w:tc>
              <w:tc>
                <w:tcPr>
                  <w:tcW w:w="624" w:type="pct"/>
                  <w:vAlign w:val="center"/>
                </w:tcPr>
                <w:p w14:paraId="25868C99">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625" w:type="pct"/>
                  <w:vAlign w:val="center"/>
                </w:tcPr>
                <w:p w14:paraId="6E9FF031">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达标</w:t>
                  </w:r>
                </w:p>
              </w:tc>
            </w:tr>
            <w:tr w14:paraId="49AEB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3DB448A5">
                  <w:pPr>
                    <w:jc w:val="center"/>
                    <w:rPr>
                      <w:rFonts w:hint="default" w:cs="Times New Roman"/>
                      <w:sz w:val="21"/>
                      <w:szCs w:val="21"/>
                      <w:lang w:val="en-US" w:eastAsia="zh-CN"/>
                    </w:rPr>
                  </w:pPr>
                  <w:r>
                    <w:rPr>
                      <w:rFonts w:hint="eastAsia" w:cs="Times New Roman"/>
                      <w:sz w:val="21"/>
                      <w:szCs w:val="21"/>
                      <w:lang w:val="en-US" w:eastAsia="zh-CN"/>
                    </w:rPr>
                    <w:t>2</w:t>
                  </w:r>
                </w:p>
              </w:tc>
              <w:tc>
                <w:tcPr>
                  <w:tcW w:w="705" w:type="pct"/>
                  <w:vAlign w:val="center"/>
                </w:tcPr>
                <w:p w14:paraId="7F855CBD">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金寨县关庙乡橡岭岗</w:t>
                  </w:r>
                </w:p>
              </w:tc>
              <w:tc>
                <w:tcPr>
                  <w:tcW w:w="948" w:type="pct"/>
                  <w:vAlign w:val="center"/>
                </w:tcPr>
                <w:p w14:paraId="30B8E5A9">
                  <w:pPr>
                    <w:jc w:val="center"/>
                    <w:rPr>
                      <w:rFonts w:hint="default" w:cs="Times New Roman"/>
                      <w:sz w:val="21"/>
                      <w:szCs w:val="21"/>
                      <w:lang w:val="en-US" w:eastAsia="zh-CN"/>
                    </w:rPr>
                  </w:pPr>
                  <w:r>
                    <w:rPr>
                      <w:rFonts w:hint="eastAsia" w:cs="Times New Roman"/>
                      <w:color w:val="auto"/>
                      <w:sz w:val="21"/>
                      <w:szCs w:val="21"/>
                      <w:lang w:val="en-US" w:eastAsia="zh-CN"/>
                    </w:rPr>
                    <w:t>东南侧约175m处</w:t>
                  </w:r>
                </w:p>
              </w:tc>
              <w:tc>
                <w:tcPr>
                  <w:tcW w:w="624" w:type="pct"/>
                  <w:vAlign w:val="center"/>
                </w:tcPr>
                <w:p w14:paraId="6188CA3F">
                  <w:pPr>
                    <w:jc w:val="center"/>
                    <w:rPr>
                      <w:rFonts w:hint="default" w:cs="Times New Roman"/>
                      <w:sz w:val="21"/>
                      <w:szCs w:val="21"/>
                      <w:lang w:val="en-US" w:eastAsia="zh-CN"/>
                    </w:rPr>
                  </w:pPr>
                  <w:r>
                    <w:rPr>
                      <w:rFonts w:hint="eastAsia" w:cs="Times New Roman"/>
                      <w:sz w:val="21"/>
                      <w:szCs w:val="21"/>
                      <w:lang w:val="en-US" w:eastAsia="zh-CN"/>
                    </w:rPr>
                    <w:t>44.5</w:t>
                  </w:r>
                </w:p>
              </w:tc>
              <w:tc>
                <w:tcPr>
                  <w:tcW w:w="624" w:type="pct"/>
                  <w:vAlign w:val="center"/>
                </w:tcPr>
                <w:p w14:paraId="51139915">
                  <w:pPr>
                    <w:jc w:val="center"/>
                    <w:rPr>
                      <w:rFonts w:hint="eastAsia" w:cs="Times New Roman"/>
                      <w:sz w:val="21"/>
                      <w:szCs w:val="21"/>
                      <w:lang w:val="en-US" w:eastAsia="zh-CN"/>
                    </w:rPr>
                  </w:pPr>
                  <w:r>
                    <w:rPr>
                      <w:rFonts w:hint="eastAsia" w:cs="Times New Roman"/>
                      <w:sz w:val="21"/>
                      <w:szCs w:val="21"/>
                      <w:lang w:val="en-US" w:eastAsia="zh-CN"/>
                    </w:rPr>
                    <w:t>47.0</w:t>
                  </w:r>
                </w:p>
              </w:tc>
              <w:tc>
                <w:tcPr>
                  <w:tcW w:w="624" w:type="pct"/>
                  <w:vAlign w:val="center"/>
                </w:tcPr>
                <w:p w14:paraId="23BAD6DF">
                  <w:pPr>
                    <w:jc w:val="center"/>
                    <w:rPr>
                      <w:rFonts w:hint="default" w:cs="Times New Roman"/>
                      <w:sz w:val="21"/>
                      <w:szCs w:val="21"/>
                      <w:lang w:val="en-US" w:eastAsia="zh-CN"/>
                    </w:rPr>
                  </w:pPr>
                  <w:r>
                    <w:rPr>
                      <w:rFonts w:hint="eastAsia" w:cs="Times New Roman"/>
                      <w:sz w:val="21"/>
                      <w:szCs w:val="21"/>
                      <w:lang w:val="en-US" w:eastAsia="zh-CN"/>
                    </w:rPr>
                    <w:t>49.0</w:t>
                  </w:r>
                </w:p>
              </w:tc>
              <w:tc>
                <w:tcPr>
                  <w:tcW w:w="624" w:type="pct"/>
                  <w:vAlign w:val="center"/>
                </w:tcPr>
                <w:p w14:paraId="2D7F3BC0">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27786940">
                  <w:pPr>
                    <w:jc w:val="center"/>
                    <w:rPr>
                      <w:rFonts w:hint="eastAsia" w:cs="Times New Roman"/>
                      <w:sz w:val="21"/>
                      <w:szCs w:val="21"/>
                      <w:lang w:val="en-US" w:eastAsia="zh-CN"/>
                    </w:rPr>
                  </w:pPr>
                  <w:r>
                    <w:rPr>
                      <w:rFonts w:hint="eastAsia" w:cs="Times New Roman"/>
                      <w:sz w:val="21"/>
                      <w:szCs w:val="21"/>
                      <w:lang w:val="en-US" w:eastAsia="zh-CN"/>
                    </w:rPr>
                    <w:t>达标</w:t>
                  </w:r>
                </w:p>
              </w:tc>
            </w:tr>
            <w:tr w14:paraId="709B4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4D8C4AD7">
                  <w:pPr>
                    <w:jc w:val="center"/>
                    <w:rPr>
                      <w:rFonts w:hint="default" w:cs="Times New Roman"/>
                      <w:sz w:val="21"/>
                      <w:szCs w:val="21"/>
                      <w:lang w:val="en-US" w:eastAsia="zh-CN"/>
                    </w:rPr>
                  </w:pPr>
                  <w:r>
                    <w:rPr>
                      <w:rFonts w:hint="eastAsia" w:cs="Times New Roman"/>
                      <w:sz w:val="21"/>
                      <w:szCs w:val="21"/>
                      <w:lang w:val="en-US" w:eastAsia="zh-CN"/>
                    </w:rPr>
                    <w:t>3</w:t>
                  </w:r>
                </w:p>
              </w:tc>
              <w:tc>
                <w:tcPr>
                  <w:tcW w:w="705" w:type="pct"/>
                  <w:vAlign w:val="center"/>
                </w:tcPr>
                <w:p w14:paraId="5C3E0DA8">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金寨县关庙乡詹家湾</w:t>
                  </w:r>
                </w:p>
              </w:tc>
              <w:tc>
                <w:tcPr>
                  <w:tcW w:w="948" w:type="pct"/>
                  <w:vAlign w:val="center"/>
                </w:tcPr>
                <w:p w14:paraId="0ACD38B0">
                  <w:pPr>
                    <w:jc w:val="center"/>
                    <w:rPr>
                      <w:rFonts w:hint="default" w:cs="Times New Roman"/>
                      <w:sz w:val="21"/>
                      <w:szCs w:val="21"/>
                      <w:lang w:val="en-US" w:eastAsia="zh-CN"/>
                    </w:rPr>
                  </w:pPr>
                  <w:r>
                    <w:rPr>
                      <w:rFonts w:hint="eastAsia" w:cs="Times New Roman"/>
                      <w:color w:val="auto"/>
                      <w:sz w:val="21"/>
                      <w:szCs w:val="21"/>
                      <w:lang w:val="en-US" w:eastAsia="zh-CN"/>
                    </w:rPr>
                    <w:t>北侧约138m处</w:t>
                  </w:r>
                </w:p>
              </w:tc>
              <w:tc>
                <w:tcPr>
                  <w:tcW w:w="624" w:type="pct"/>
                  <w:vAlign w:val="center"/>
                </w:tcPr>
                <w:p w14:paraId="33BAFD90">
                  <w:pPr>
                    <w:jc w:val="center"/>
                    <w:rPr>
                      <w:rFonts w:hint="default" w:cs="Times New Roman"/>
                      <w:sz w:val="21"/>
                      <w:szCs w:val="21"/>
                      <w:lang w:val="en-US" w:eastAsia="zh-CN"/>
                    </w:rPr>
                  </w:pPr>
                  <w:r>
                    <w:rPr>
                      <w:rFonts w:hint="eastAsia" w:cs="Times New Roman"/>
                      <w:sz w:val="21"/>
                      <w:szCs w:val="21"/>
                      <w:lang w:val="en-US" w:eastAsia="zh-CN"/>
                    </w:rPr>
                    <w:t>43.8</w:t>
                  </w:r>
                </w:p>
              </w:tc>
              <w:tc>
                <w:tcPr>
                  <w:tcW w:w="624" w:type="pct"/>
                  <w:vAlign w:val="center"/>
                </w:tcPr>
                <w:p w14:paraId="74C5DE9C">
                  <w:pPr>
                    <w:jc w:val="center"/>
                    <w:rPr>
                      <w:rFonts w:hint="default" w:cs="Times New Roman"/>
                      <w:sz w:val="21"/>
                      <w:szCs w:val="21"/>
                      <w:lang w:val="en-US" w:eastAsia="zh-CN"/>
                    </w:rPr>
                  </w:pPr>
                  <w:r>
                    <w:rPr>
                      <w:rFonts w:hint="eastAsia" w:cs="Times New Roman"/>
                      <w:sz w:val="21"/>
                      <w:szCs w:val="21"/>
                      <w:lang w:val="en-US" w:eastAsia="zh-CN"/>
                    </w:rPr>
                    <w:t>42.8</w:t>
                  </w:r>
                </w:p>
              </w:tc>
              <w:tc>
                <w:tcPr>
                  <w:tcW w:w="624" w:type="pct"/>
                  <w:vAlign w:val="center"/>
                </w:tcPr>
                <w:p w14:paraId="6AA8AC77">
                  <w:pPr>
                    <w:jc w:val="center"/>
                    <w:rPr>
                      <w:rFonts w:hint="default" w:cs="Times New Roman"/>
                      <w:sz w:val="21"/>
                      <w:szCs w:val="21"/>
                      <w:lang w:val="en-US" w:eastAsia="zh-CN"/>
                    </w:rPr>
                  </w:pPr>
                  <w:r>
                    <w:rPr>
                      <w:rFonts w:hint="eastAsia" w:cs="Times New Roman"/>
                      <w:sz w:val="21"/>
                      <w:szCs w:val="21"/>
                      <w:lang w:val="en-US" w:eastAsia="zh-CN"/>
                    </w:rPr>
                    <w:t>45.5</w:t>
                  </w:r>
                </w:p>
              </w:tc>
              <w:tc>
                <w:tcPr>
                  <w:tcW w:w="624" w:type="pct"/>
                  <w:vAlign w:val="center"/>
                </w:tcPr>
                <w:p w14:paraId="6C9B5E7E">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21550A6C">
                  <w:pPr>
                    <w:jc w:val="center"/>
                    <w:rPr>
                      <w:rFonts w:hint="eastAsia" w:cs="Times New Roman"/>
                      <w:sz w:val="21"/>
                      <w:szCs w:val="21"/>
                      <w:lang w:val="en-US" w:eastAsia="zh-CN"/>
                    </w:rPr>
                  </w:pPr>
                  <w:r>
                    <w:rPr>
                      <w:rFonts w:hint="eastAsia" w:cs="Times New Roman"/>
                      <w:sz w:val="21"/>
                      <w:szCs w:val="21"/>
                      <w:lang w:val="en-US" w:eastAsia="zh-CN"/>
                    </w:rPr>
                    <w:t>达标</w:t>
                  </w:r>
                </w:p>
              </w:tc>
            </w:tr>
            <w:tr w14:paraId="6A913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5000" w:type="pct"/>
                  <w:gridSpan w:val="8"/>
                  <w:vAlign w:val="center"/>
                </w:tcPr>
                <w:p w14:paraId="06572FD7">
                  <w:pPr>
                    <w:jc w:val="both"/>
                    <w:rPr>
                      <w:rFonts w:hint="default" w:cs="Times New Roman"/>
                      <w:sz w:val="21"/>
                      <w:szCs w:val="21"/>
                      <w:lang w:val="en-US" w:eastAsia="zh-CN"/>
                    </w:rPr>
                  </w:pPr>
                  <w:r>
                    <w:rPr>
                      <w:rFonts w:hint="eastAsia" w:cs="Times New Roman"/>
                      <w:sz w:val="21"/>
                      <w:szCs w:val="21"/>
                      <w:lang w:val="en-US" w:eastAsia="zh-CN"/>
                    </w:rPr>
                    <w:t>注：</w:t>
                  </w:r>
                  <w:r>
                    <w:rPr>
                      <w:rFonts w:hint="eastAsia" w:cs="Times New Roman"/>
                      <w:color w:val="auto"/>
                      <w:sz w:val="21"/>
                      <w:szCs w:val="21"/>
                      <w:lang w:val="en-US" w:eastAsia="zh-CN"/>
                    </w:rPr>
                    <w:t>金寨县关庙乡橡岭岗</w:t>
                  </w:r>
                  <w:r>
                    <w:rPr>
                      <w:rFonts w:hint="eastAsia" w:cs="Times New Roman"/>
                      <w:sz w:val="21"/>
                      <w:szCs w:val="21"/>
                      <w:lang w:val="en-US" w:eastAsia="zh-CN"/>
                    </w:rPr>
                    <w:t>引用</w:t>
                  </w:r>
                  <w:r>
                    <w:rPr>
                      <w:rFonts w:hint="eastAsia" w:cs="Times New Roman"/>
                      <w:color w:val="auto"/>
                      <w:sz w:val="21"/>
                      <w:szCs w:val="21"/>
                      <w:lang w:val="en-US" w:eastAsia="zh-CN"/>
                    </w:rPr>
                    <w:t>金寨县关庙乡沙坪沟</w:t>
                  </w:r>
                  <w:r>
                    <w:rPr>
                      <w:rFonts w:hint="eastAsia" w:cs="Times New Roman"/>
                      <w:sz w:val="21"/>
                      <w:szCs w:val="21"/>
                      <w:lang w:val="en-US" w:eastAsia="zh-CN"/>
                    </w:rPr>
                    <w:t>敏感点的现状监测值。</w:t>
                  </w:r>
                </w:p>
              </w:tc>
            </w:tr>
          </w:tbl>
          <w:p w14:paraId="72481A40">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根据预测结果，变电站施工期间</w:t>
            </w:r>
            <w:r>
              <w:rPr>
                <w:rFonts w:hint="eastAsia" w:cs="Times New Roman"/>
                <w:snapToGrid/>
                <w:spacing w:val="0"/>
                <w:kern w:val="0"/>
                <w:sz w:val="24"/>
                <w:szCs w:val="24"/>
                <w:lang w:val="en-US" w:eastAsia="zh-CN"/>
              </w:rPr>
              <w:t>周围</w:t>
            </w:r>
            <w:r>
              <w:rPr>
                <w:rFonts w:hint="default" w:ascii="Times New Roman" w:hAnsi="Times New Roman" w:eastAsia="宋体" w:cs="Times New Roman"/>
                <w:snapToGrid/>
                <w:spacing w:val="0"/>
                <w:kern w:val="0"/>
                <w:sz w:val="24"/>
                <w:szCs w:val="24"/>
                <w:lang w:val="en-US" w:eastAsia="zh-CN"/>
              </w:rPr>
              <w:t>声环境保护目标处的噪声值能够满足要求，为了进一步减轻施工噪声的影响，本次环评提出施工期应采取如下措施：</w:t>
            </w:r>
          </w:p>
          <w:p w14:paraId="0E9FDF41">
            <w:pPr>
              <w:pStyle w:val="15"/>
              <w:spacing w:after="0" w:line="360" w:lineRule="auto"/>
              <w:ind w:firstLine="480" w:firstLineChars="200"/>
              <w:rPr>
                <w:rFonts w:hint="eastAsia" w:cs="Times New Roman"/>
                <w:snapToGrid/>
                <w:spacing w:val="0"/>
                <w:kern w:val="0"/>
                <w:sz w:val="24"/>
                <w:szCs w:val="24"/>
                <w:lang w:val="en-US" w:eastAsia="zh-CN"/>
              </w:rPr>
            </w:pPr>
            <w:r>
              <w:rPr>
                <w:rFonts w:hint="eastAsia" w:cs="Times New Roman"/>
                <w:snapToGrid/>
                <w:spacing w:val="0"/>
                <w:kern w:val="0"/>
                <w:sz w:val="24"/>
                <w:szCs w:val="24"/>
                <w:lang w:val="en-US" w:eastAsia="zh-CN"/>
              </w:rPr>
              <w:t>①优先采用低噪声施工设备及施工工艺，在高噪声设备周围设置声屏障或隔声罩。</w:t>
            </w:r>
          </w:p>
          <w:p w14:paraId="0A772080">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②</w:t>
            </w:r>
            <w:r>
              <w:rPr>
                <w:rFonts w:hint="default" w:ascii="Times New Roman" w:hAnsi="Times New Roman" w:eastAsia="宋体" w:cs="Times New Roman"/>
                <w:snapToGrid/>
                <w:spacing w:val="0"/>
                <w:kern w:val="0"/>
                <w:sz w:val="24"/>
                <w:szCs w:val="24"/>
                <w:lang w:val="en-US" w:eastAsia="zh-CN"/>
              </w:rPr>
              <w:t>施工时应先建设变电站站区围墙，进一步降低施工噪声</w:t>
            </w:r>
            <w:r>
              <w:rPr>
                <w:rFonts w:hint="eastAsia" w:cs="Times New Roman"/>
                <w:snapToGrid/>
                <w:spacing w:val="0"/>
                <w:kern w:val="0"/>
                <w:sz w:val="24"/>
                <w:szCs w:val="24"/>
                <w:lang w:val="en-US" w:eastAsia="zh-CN"/>
              </w:rPr>
              <w:t>，</w:t>
            </w:r>
            <w:r>
              <w:rPr>
                <w:rFonts w:hint="default" w:ascii="Times New Roman" w:hAnsi="Times New Roman" w:eastAsia="宋体" w:cs="Times New Roman"/>
                <w:snapToGrid/>
                <w:spacing w:val="0"/>
                <w:kern w:val="0"/>
                <w:sz w:val="24"/>
                <w:szCs w:val="24"/>
                <w:lang w:val="en-US" w:eastAsia="zh-CN"/>
              </w:rPr>
              <w:t>推土机、挖掘机尽量于场地中央开展工作。</w:t>
            </w:r>
          </w:p>
          <w:p w14:paraId="2AFE6453">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③</w:t>
            </w:r>
            <w:r>
              <w:rPr>
                <w:rFonts w:hint="default" w:ascii="Times New Roman" w:hAnsi="Times New Roman" w:eastAsia="宋体" w:cs="Times New Roman"/>
                <w:snapToGrid/>
                <w:spacing w:val="0"/>
                <w:kern w:val="0"/>
                <w:sz w:val="24"/>
                <w:szCs w:val="24"/>
                <w:lang w:val="en-US" w:eastAsia="zh-CN"/>
              </w:rPr>
              <w:t>运输车辆应尽量避开噪声敏感区域和噪声敏感时段，禁止随意鸣笛；</w:t>
            </w:r>
          </w:p>
          <w:p w14:paraId="3FB262D1">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④</w:t>
            </w:r>
            <w:r>
              <w:rPr>
                <w:rFonts w:hint="default" w:ascii="Times New Roman" w:hAnsi="Times New Roman" w:eastAsia="宋体" w:cs="Times New Roman"/>
                <w:snapToGrid/>
                <w:spacing w:val="0"/>
                <w:kern w:val="0"/>
                <w:sz w:val="24"/>
                <w:szCs w:val="24"/>
                <w:lang w:val="en-US" w:eastAsia="zh-CN"/>
              </w:rPr>
              <w:t>合理安排施工机械的施工时间，闲置不用的设备应立即关闭，尽量避免高噪声设备同时施工；除因工艺要求或者特殊要求必须连续作业外，禁止夜间进行施工作业，因特殊需要必须连续施工作业的﹐应当取得地方人民政府住房和城乡建设、生态环境主管部门或者地方人民政府指定的部门的证明，并在施工现场显著位置公示或者以其他方式公告附近居民；</w:t>
            </w:r>
          </w:p>
          <w:p w14:paraId="1F6D92D9">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⑤涉及</w:t>
            </w:r>
            <w:r>
              <w:rPr>
                <w:rFonts w:hint="default" w:ascii="Times New Roman" w:hAnsi="Times New Roman" w:eastAsia="宋体" w:cs="Times New Roman"/>
                <w:snapToGrid/>
                <w:spacing w:val="0"/>
                <w:kern w:val="0"/>
                <w:sz w:val="24"/>
                <w:szCs w:val="24"/>
                <w:lang w:val="en-US" w:eastAsia="zh-CN"/>
              </w:rPr>
              <w:t>产生强噪声的成品、半成品加工、制作作业（如预制构件制作等），应尽量放在工厂、车间完成，减少因施工现场加工制作产生的噪声。</w:t>
            </w:r>
          </w:p>
          <w:p w14:paraId="5D1CE326">
            <w:pPr>
              <w:pStyle w:val="15"/>
              <w:spacing w:after="0" w:line="360" w:lineRule="auto"/>
              <w:ind w:firstLine="0" w:firstLineChars="0"/>
              <w:rPr>
                <w:rFonts w:hint="default" w:ascii="Times New Roman" w:hAnsi="Times New Roman" w:eastAsia="宋体" w:cs="Times New Roman"/>
                <w:b/>
                <w:bCs/>
                <w:snapToGrid/>
                <w:spacing w:val="0"/>
                <w:kern w:val="0"/>
                <w:sz w:val="24"/>
                <w:szCs w:val="24"/>
                <w:lang w:val="en-US" w:eastAsia="zh-CN"/>
              </w:rPr>
            </w:pPr>
            <w:r>
              <w:rPr>
                <w:rFonts w:hint="eastAsia" w:cs="Times New Roman"/>
                <w:b/>
                <w:bCs/>
                <w:snapToGrid/>
                <w:spacing w:val="0"/>
                <w:kern w:val="0"/>
                <w:sz w:val="24"/>
                <w:szCs w:val="24"/>
                <w:lang w:val="en-US" w:eastAsia="zh-CN"/>
              </w:rPr>
              <w:t>4.3.2、架空输电线路</w:t>
            </w:r>
          </w:p>
          <w:p w14:paraId="078A0C1A">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（1）</w:t>
            </w:r>
            <w:r>
              <w:rPr>
                <w:rFonts w:hint="default" w:ascii="Times New Roman" w:hAnsi="Times New Roman" w:eastAsia="宋体" w:cs="Times New Roman"/>
                <w:snapToGrid/>
                <w:spacing w:val="0"/>
                <w:kern w:val="0"/>
                <w:sz w:val="24"/>
                <w:szCs w:val="24"/>
                <w:lang w:val="en-US" w:eastAsia="zh-CN"/>
              </w:rPr>
              <w:t>施工噪声源分析</w:t>
            </w:r>
          </w:p>
          <w:p w14:paraId="6B36C498">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输电线路主要施工活动包括场地平整、杆塔基础施工、材料装卸、杆塔组立及导线架设等几个方面；施工机械噪声主要是塔基施工及放线时各种机械设备产生，如混凝土振捣器、灌注桩钻孔机等，多为点声源；施工作业噪声主要指一些零星敲打声、装卸车辆的撞击声等，多为瞬时噪声；施工车辆的噪声属于交通噪声。在这些施工噪声中，对环境影响最大的是机械噪声。</w:t>
            </w:r>
          </w:p>
          <w:p w14:paraId="76CBF10C">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（2）施工期噪声预测</w:t>
            </w:r>
          </w:p>
          <w:p w14:paraId="1EE92B2F">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根据《环境噪声与振动控制工程技术导则》（HJ 2034-2013），并结合工程特点，变电站施工常见施工设备噪声源声压级见</w:t>
            </w:r>
            <w:r>
              <w:rPr>
                <w:rFonts w:hint="eastAsia" w:cs="Times New Roman"/>
                <w:snapToGrid/>
                <w:spacing w:val="0"/>
                <w:kern w:val="0"/>
                <w:sz w:val="24"/>
                <w:szCs w:val="24"/>
                <w:lang w:val="en-US" w:eastAsia="zh-CN"/>
              </w:rPr>
              <w:t>下表</w:t>
            </w:r>
            <w:r>
              <w:rPr>
                <w:rFonts w:hint="default" w:ascii="Times New Roman" w:hAnsi="Times New Roman" w:eastAsia="宋体" w:cs="Times New Roman"/>
                <w:snapToGrid/>
                <w:spacing w:val="0"/>
                <w:kern w:val="0"/>
                <w:sz w:val="24"/>
                <w:szCs w:val="24"/>
                <w:lang w:val="en-US" w:eastAsia="zh-CN"/>
              </w:rPr>
              <w:t>。</w:t>
            </w:r>
          </w:p>
          <w:p w14:paraId="1DD96B18">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color w:val="auto"/>
                <w:spacing w:val="2"/>
                <w:szCs w:val="21"/>
                <w:lang w:val="en-US" w:eastAsia="zh-CN"/>
              </w:rPr>
            </w:pPr>
            <w:r>
              <w:rPr>
                <w:rFonts w:hint="default" w:ascii="Times New Roman" w:hAnsi="Times New Roman" w:cs="Times New Roman"/>
                <w:b/>
                <w:color w:val="auto"/>
                <w:spacing w:val="2"/>
                <w:szCs w:val="21"/>
              </w:rPr>
              <w:t>表</w:t>
            </w:r>
            <w:r>
              <w:rPr>
                <w:rFonts w:hint="eastAsia" w:cs="Times New Roman"/>
                <w:b/>
                <w:color w:val="auto"/>
                <w:spacing w:val="2"/>
                <w:szCs w:val="21"/>
                <w:lang w:val="en-US" w:eastAsia="zh-CN"/>
              </w:rPr>
              <w:t>4-7</w:t>
            </w:r>
            <w:r>
              <w:rPr>
                <w:rFonts w:hint="default" w:ascii="Times New Roman" w:hAnsi="Times New Roman" w:eastAsia="宋体" w:cs="Times New Roman"/>
                <w:b/>
                <w:color w:val="auto"/>
                <w:spacing w:val="2"/>
                <w:szCs w:val="21"/>
                <w:lang w:val="en-US" w:eastAsia="zh-CN"/>
              </w:rPr>
              <w:t xml:space="preserve">  </w:t>
            </w:r>
            <w:r>
              <w:rPr>
                <w:rFonts w:hint="eastAsia" w:cs="Times New Roman"/>
                <w:b/>
                <w:color w:val="auto"/>
                <w:spacing w:val="2"/>
                <w:szCs w:val="21"/>
                <w:lang w:val="en-US" w:eastAsia="zh-CN"/>
              </w:rPr>
              <w:t>架空线路</w:t>
            </w:r>
            <w:r>
              <w:rPr>
                <w:rFonts w:hint="default" w:ascii="Times New Roman" w:hAnsi="Times New Roman" w:eastAsia="宋体" w:cs="Times New Roman"/>
                <w:b/>
                <w:color w:val="auto"/>
                <w:spacing w:val="2"/>
                <w:szCs w:val="21"/>
                <w:lang w:val="en-US" w:eastAsia="zh-CN"/>
              </w:rPr>
              <w:t xml:space="preserve">主要施工机械设备噪声源强噪声限值 </w:t>
            </w:r>
            <w:r>
              <w:rPr>
                <w:rFonts w:hint="eastAsia" w:cs="Times New Roman"/>
                <w:b/>
                <w:color w:val="auto"/>
                <w:spacing w:val="2"/>
                <w:szCs w:val="21"/>
                <w:lang w:val="en-US" w:eastAsia="zh-CN"/>
              </w:rPr>
              <w:t xml:space="preserve">  </w:t>
            </w:r>
            <w:r>
              <w:rPr>
                <w:rFonts w:hint="default" w:ascii="Times New Roman" w:hAnsi="Times New Roman" w:eastAsia="宋体" w:cs="Times New Roman"/>
                <w:b/>
                <w:color w:val="auto"/>
                <w:spacing w:val="2"/>
                <w:szCs w:val="21"/>
                <w:lang w:val="en-US" w:eastAsia="zh-CN"/>
              </w:rPr>
              <w:t>单位：dB(A)</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
              <w:gridCol w:w="1554"/>
              <w:gridCol w:w="1691"/>
              <w:gridCol w:w="2264"/>
              <w:gridCol w:w="1609"/>
              <w:gridCol w:w="1485"/>
            </w:tblGrid>
            <w:tr w14:paraId="5B142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 w:type="pct"/>
                  <w:vMerge w:val="restart"/>
                  <w:noWrap w:val="0"/>
                  <w:vAlign w:val="center"/>
                </w:tcPr>
                <w:p w14:paraId="4E5D692E">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lang w:val="en-US" w:eastAsia="zh-CN"/>
                    </w:rPr>
                  </w:pPr>
                  <w:r>
                    <w:rPr>
                      <w:rFonts w:hint="eastAsia" w:cs="Times New Roman"/>
                      <w:b/>
                      <w:color w:val="auto"/>
                      <w:szCs w:val="21"/>
                      <w:lang w:val="en-US" w:eastAsia="zh-CN"/>
                    </w:rPr>
                    <w:t>序号</w:t>
                  </w:r>
                </w:p>
              </w:tc>
              <w:tc>
                <w:tcPr>
                  <w:tcW w:w="864" w:type="pct"/>
                  <w:vMerge w:val="restart"/>
                  <w:noWrap w:val="0"/>
                  <w:vAlign w:val="center"/>
                </w:tcPr>
                <w:p w14:paraId="1C6CB5A9">
                  <w:pPr>
                    <w:keepNext w:val="0"/>
                    <w:keepLines w:val="0"/>
                    <w:suppressLineNumbers w:val="0"/>
                    <w:spacing w:before="0" w:beforeAutospacing="0" w:after="0" w:afterAutospacing="0"/>
                    <w:ind w:left="0" w:right="0"/>
                    <w:jc w:val="center"/>
                    <w:rPr>
                      <w:rFonts w:hint="default" w:ascii="Times New Roman" w:hAnsi="Times New Roman" w:eastAsia="宋体" w:cs="Times New Roman"/>
                      <w:b/>
                      <w:color w:val="auto"/>
                      <w:kern w:val="2"/>
                      <w:sz w:val="21"/>
                      <w:szCs w:val="21"/>
                      <w:highlight w:val="none"/>
                      <w:shd w:val="clear" w:color="auto" w:fill="auto"/>
                      <w:lang w:val="en-US" w:eastAsia="zh-CN" w:bidi="ar-SA"/>
                    </w:rPr>
                  </w:pPr>
                  <w:r>
                    <w:rPr>
                      <w:rFonts w:hint="eastAsia" w:cs="Times New Roman"/>
                      <w:b/>
                      <w:color w:val="auto"/>
                      <w:kern w:val="2"/>
                      <w:sz w:val="21"/>
                      <w:szCs w:val="21"/>
                      <w:highlight w:val="none"/>
                      <w:shd w:val="clear" w:color="auto" w:fill="auto"/>
                      <w:lang w:val="en-US" w:eastAsia="zh-CN" w:bidi="ar-SA"/>
                    </w:rPr>
                    <w:t>设备名称</w:t>
                  </w:r>
                </w:p>
              </w:tc>
              <w:tc>
                <w:tcPr>
                  <w:tcW w:w="940" w:type="pct"/>
                  <w:vMerge w:val="restart"/>
                  <w:noWrap w:val="0"/>
                  <w:vAlign w:val="center"/>
                </w:tcPr>
                <w:p w14:paraId="2A90D86C">
                  <w:pPr>
                    <w:keepNext w:val="0"/>
                    <w:keepLines w:val="0"/>
                    <w:suppressLineNumbers w:val="0"/>
                    <w:tabs>
                      <w:tab w:val="right" w:leader="middleDot" w:pos="8505"/>
                    </w:tabs>
                    <w:spacing w:before="0" w:beforeAutospacing="0" w:after="0" w:afterAutospacing="0"/>
                    <w:ind w:left="0" w:right="0"/>
                    <w:jc w:val="center"/>
                    <w:rPr>
                      <w:rFonts w:hint="default" w:ascii="Times New Roman" w:hAnsi="Times New Roman" w:cs="Times New Roman" w:eastAsiaTheme="minorEastAsia"/>
                      <w:b/>
                      <w:color w:val="auto"/>
                      <w:kern w:val="2"/>
                      <w:sz w:val="21"/>
                      <w:szCs w:val="21"/>
                      <w:lang w:val="en-US" w:eastAsia="zh-CN" w:bidi="ar-SA"/>
                    </w:rPr>
                  </w:pPr>
                  <w:r>
                    <w:rPr>
                      <w:rFonts w:hint="eastAsia" w:cs="Times New Roman" w:eastAsiaTheme="minorEastAsia"/>
                      <w:b/>
                      <w:color w:val="auto"/>
                      <w:kern w:val="2"/>
                      <w:sz w:val="21"/>
                      <w:szCs w:val="21"/>
                      <w:lang w:val="en-US" w:eastAsia="zh-CN" w:bidi="ar-SA"/>
                    </w:rPr>
                    <w:t>声源特点</w:t>
                  </w:r>
                </w:p>
              </w:tc>
              <w:tc>
                <w:tcPr>
                  <w:tcW w:w="1259" w:type="pct"/>
                  <w:vMerge w:val="restart"/>
                  <w:noWrap w:val="0"/>
                  <w:vAlign w:val="center"/>
                </w:tcPr>
                <w:p w14:paraId="0DEE0E9E">
                  <w:pPr>
                    <w:keepNext w:val="0"/>
                    <w:keepLines w:val="0"/>
                    <w:suppressLineNumbers w:val="0"/>
                    <w:spacing w:before="0" w:beforeAutospacing="0" w:after="0" w:afterAutospacing="0"/>
                    <w:ind w:left="0" w:right="0"/>
                    <w:jc w:val="center"/>
                    <w:rPr>
                      <w:rFonts w:hint="eastAsia" w:ascii="Times New Roman" w:hAnsi="Times New Roman" w:eastAsia="宋体" w:cs="Times New Roman"/>
                      <w:b/>
                      <w:color w:val="auto"/>
                      <w:szCs w:val="21"/>
                      <w:lang w:val="en-US" w:eastAsia="zh-CN"/>
                    </w:rPr>
                  </w:pPr>
                  <w:r>
                    <w:rPr>
                      <w:rFonts w:hint="eastAsia" w:cs="Times New Roman"/>
                      <w:b/>
                      <w:color w:val="auto"/>
                      <w:szCs w:val="21"/>
                      <w:lang w:val="en-US" w:eastAsia="zh-CN"/>
                    </w:rPr>
                    <w:t>声压级（距声源5m）</w:t>
                  </w:r>
                </w:p>
              </w:tc>
              <w:tc>
                <w:tcPr>
                  <w:tcW w:w="1721" w:type="pct"/>
                  <w:gridSpan w:val="2"/>
                  <w:noWrap w:val="0"/>
                  <w:vAlign w:val="center"/>
                </w:tcPr>
                <w:p w14:paraId="1CDC3984">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rPr>
                  </w:pPr>
                  <w:r>
                    <w:rPr>
                      <w:rFonts w:hint="default" w:ascii="Times New Roman" w:hAnsi="Times New Roman" w:cs="Times New Roman"/>
                      <w:b/>
                      <w:color w:val="auto"/>
                      <w:szCs w:val="21"/>
                    </w:rPr>
                    <w:t>《</w:t>
                  </w:r>
                  <w:r>
                    <w:rPr>
                      <w:rFonts w:hint="eastAsia" w:cs="Times New Roman"/>
                      <w:b/>
                      <w:color w:val="auto"/>
                      <w:szCs w:val="21"/>
                      <w:lang w:eastAsia="zh-CN"/>
                    </w:rPr>
                    <w:t>建筑施工噪声排放标准</w:t>
                  </w:r>
                  <w:r>
                    <w:rPr>
                      <w:rFonts w:hint="default" w:ascii="Times New Roman" w:hAnsi="Times New Roman" w:cs="Times New Roman"/>
                      <w:b/>
                      <w:color w:val="auto"/>
                      <w:szCs w:val="21"/>
                    </w:rPr>
                    <w:t>》</w:t>
                  </w:r>
                  <w:r>
                    <w:rPr>
                      <w:rFonts w:hint="default" w:ascii="Times New Roman" w:hAnsi="Times New Roman" w:cs="Times New Roman"/>
                      <w:b/>
                      <w:color w:val="auto"/>
                      <w:szCs w:val="21"/>
                      <w:lang w:eastAsia="zh-CN"/>
                    </w:rPr>
                    <w:t>（</w:t>
                  </w:r>
                  <w:r>
                    <w:rPr>
                      <w:rFonts w:hint="eastAsia" w:cs="Times New Roman"/>
                      <w:b/>
                      <w:color w:val="auto"/>
                      <w:szCs w:val="21"/>
                      <w:lang w:eastAsia="zh-CN"/>
                    </w:rPr>
                    <w:t>GB12523-2025</w:t>
                  </w:r>
                  <w:r>
                    <w:rPr>
                      <w:rFonts w:hint="default" w:ascii="Times New Roman" w:hAnsi="Times New Roman" w:cs="Times New Roman"/>
                      <w:b/>
                      <w:color w:val="auto"/>
                      <w:szCs w:val="21"/>
                      <w:lang w:eastAsia="zh-CN"/>
                    </w:rPr>
                    <w:t>）</w:t>
                  </w:r>
                </w:p>
              </w:tc>
            </w:tr>
            <w:tr w14:paraId="2C29D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 w:type="pct"/>
                  <w:vMerge w:val="continue"/>
                  <w:noWrap w:val="0"/>
                  <w:vAlign w:val="center"/>
                </w:tcPr>
                <w:p w14:paraId="1DB86162">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p>
              </w:tc>
              <w:tc>
                <w:tcPr>
                  <w:tcW w:w="864" w:type="pct"/>
                  <w:vMerge w:val="continue"/>
                  <w:noWrap w:val="0"/>
                  <w:vAlign w:val="center"/>
                </w:tcPr>
                <w:p w14:paraId="7129ACA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zh-CN"/>
                    </w:rPr>
                  </w:pPr>
                </w:p>
              </w:tc>
              <w:tc>
                <w:tcPr>
                  <w:tcW w:w="940" w:type="pct"/>
                  <w:vMerge w:val="continue"/>
                  <w:noWrap w:val="0"/>
                  <w:vAlign w:val="center"/>
                </w:tcPr>
                <w:p w14:paraId="5EED5EF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21"/>
                      <w:szCs w:val="21"/>
                      <w:lang w:val="en-US" w:eastAsia="zh-CN"/>
                    </w:rPr>
                  </w:pPr>
                </w:p>
              </w:tc>
              <w:tc>
                <w:tcPr>
                  <w:tcW w:w="1259" w:type="pct"/>
                  <w:vMerge w:val="continue"/>
                  <w:noWrap w:val="0"/>
                  <w:vAlign w:val="center"/>
                </w:tcPr>
                <w:p w14:paraId="6C0F640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color w:val="auto"/>
                      <w:sz w:val="21"/>
                      <w:szCs w:val="21"/>
                      <w:lang w:val="en-US" w:eastAsia="zh-CN"/>
                    </w:rPr>
                  </w:pPr>
                </w:p>
              </w:tc>
              <w:tc>
                <w:tcPr>
                  <w:tcW w:w="895" w:type="pct"/>
                  <w:noWrap w:val="0"/>
                  <w:vAlign w:val="center"/>
                </w:tcPr>
                <w:p w14:paraId="79DC12E8">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bCs/>
                      <w:color w:val="auto"/>
                      <w:sz w:val="21"/>
                      <w:szCs w:val="21"/>
                      <w:lang w:val="en-US" w:eastAsia="zh-CN"/>
                    </w:rPr>
                  </w:pPr>
                  <w:r>
                    <w:rPr>
                      <w:rFonts w:hint="eastAsia" w:cs="Times New Roman" w:eastAsiaTheme="minorEastAsia"/>
                      <w:b/>
                      <w:bCs/>
                      <w:color w:val="auto"/>
                      <w:sz w:val="21"/>
                      <w:szCs w:val="21"/>
                      <w:lang w:val="en-US" w:eastAsia="zh-CN"/>
                    </w:rPr>
                    <w:t>昼间</w:t>
                  </w:r>
                </w:p>
              </w:tc>
              <w:tc>
                <w:tcPr>
                  <w:tcW w:w="826" w:type="pct"/>
                  <w:noWrap w:val="0"/>
                  <w:vAlign w:val="center"/>
                </w:tcPr>
                <w:p w14:paraId="711F12E9">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bCs/>
                      <w:color w:val="auto"/>
                      <w:sz w:val="21"/>
                      <w:szCs w:val="21"/>
                      <w:lang w:val="en-US" w:eastAsia="zh-CN"/>
                    </w:rPr>
                  </w:pPr>
                  <w:r>
                    <w:rPr>
                      <w:rFonts w:hint="eastAsia" w:cs="Times New Roman" w:eastAsiaTheme="minorEastAsia"/>
                      <w:b/>
                      <w:bCs/>
                      <w:color w:val="auto"/>
                      <w:sz w:val="21"/>
                      <w:szCs w:val="21"/>
                      <w:lang w:val="en-US" w:eastAsia="zh-CN"/>
                    </w:rPr>
                    <w:t>夜间</w:t>
                  </w:r>
                </w:p>
              </w:tc>
            </w:tr>
            <w:tr w14:paraId="77917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 w:type="pct"/>
                  <w:noWrap w:val="0"/>
                  <w:vAlign w:val="center"/>
                </w:tcPr>
                <w:p w14:paraId="38A8EB71">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864" w:type="pct"/>
                  <w:noWrap w:val="0"/>
                  <w:vAlign w:val="center"/>
                </w:tcPr>
                <w:p w14:paraId="7A6105D8">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混凝土捣振器</w:t>
                  </w:r>
                </w:p>
              </w:tc>
              <w:tc>
                <w:tcPr>
                  <w:tcW w:w="940" w:type="pct"/>
                  <w:noWrap w:val="0"/>
                  <w:vAlign w:val="center"/>
                </w:tcPr>
                <w:p w14:paraId="0F95AFE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固定稳定源</w:t>
                  </w:r>
                </w:p>
              </w:tc>
              <w:tc>
                <w:tcPr>
                  <w:tcW w:w="1259" w:type="pct"/>
                  <w:noWrap w:val="0"/>
                  <w:vAlign w:val="center"/>
                </w:tcPr>
                <w:p w14:paraId="4209203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84</w:t>
                  </w:r>
                </w:p>
              </w:tc>
              <w:tc>
                <w:tcPr>
                  <w:tcW w:w="895" w:type="pct"/>
                  <w:noWrap w:val="0"/>
                  <w:vAlign w:val="center"/>
                </w:tcPr>
                <w:p w14:paraId="63043C5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70</w:t>
                  </w:r>
                </w:p>
              </w:tc>
              <w:tc>
                <w:tcPr>
                  <w:tcW w:w="826" w:type="pct"/>
                  <w:noWrap w:val="0"/>
                  <w:vAlign w:val="center"/>
                </w:tcPr>
                <w:p w14:paraId="52E3320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55</w:t>
                  </w:r>
                </w:p>
              </w:tc>
            </w:tr>
            <w:tr w14:paraId="7B059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 w:type="pct"/>
                  <w:noWrap w:val="0"/>
                  <w:vAlign w:val="center"/>
                </w:tcPr>
                <w:p w14:paraId="75B79890">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864" w:type="pct"/>
                  <w:noWrap w:val="0"/>
                  <w:vAlign w:val="center"/>
                </w:tcPr>
                <w:p w14:paraId="4AA68F89">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商砼搅拌车</w:t>
                  </w:r>
                </w:p>
              </w:tc>
              <w:tc>
                <w:tcPr>
                  <w:tcW w:w="940" w:type="pct"/>
                  <w:noWrap w:val="0"/>
                  <w:vAlign w:val="center"/>
                </w:tcPr>
                <w:p w14:paraId="0F522EE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固定稳定源</w:t>
                  </w:r>
                </w:p>
              </w:tc>
              <w:tc>
                <w:tcPr>
                  <w:tcW w:w="1259" w:type="pct"/>
                  <w:noWrap w:val="0"/>
                  <w:vAlign w:val="center"/>
                </w:tcPr>
                <w:p w14:paraId="258D864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87</w:t>
                  </w:r>
                </w:p>
              </w:tc>
              <w:tc>
                <w:tcPr>
                  <w:tcW w:w="1609" w:type="dxa"/>
                  <w:noWrap w:val="0"/>
                  <w:vAlign w:val="center"/>
                </w:tcPr>
                <w:p w14:paraId="5399764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70</w:t>
                  </w:r>
                </w:p>
              </w:tc>
              <w:tc>
                <w:tcPr>
                  <w:tcW w:w="1485" w:type="dxa"/>
                  <w:noWrap w:val="0"/>
                  <w:vAlign w:val="center"/>
                </w:tcPr>
                <w:p w14:paraId="576EC81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55</w:t>
                  </w:r>
                </w:p>
              </w:tc>
            </w:tr>
            <w:tr w14:paraId="315C7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3" w:type="pct"/>
                  <w:noWrap w:val="0"/>
                  <w:vAlign w:val="center"/>
                </w:tcPr>
                <w:p w14:paraId="3D241B3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w:t>
                  </w:r>
                </w:p>
              </w:tc>
              <w:tc>
                <w:tcPr>
                  <w:tcW w:w="864" w:type="pct"/>
                  <w:noWrap w:val="0"/>
                  <w:vAlign w:val="center"/>
                </w:tcPr>
                <w:p w14:paraId="57B85AF8">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钻孔机</w:t>
                  </w:r>
                </w:p>
              </w:tc>
              <w:tc>
                <w:tcPr>
                  <w:tcW w:w="940" w:type="pct"/>
                  <w:noWrap w:val="0"/>
                  <w:vAlign w:val="center"/>
                </w:tcPr>
                <w:p w14:paraId="3CDF7A4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SA"/>
                    </w:rPr>
                    <w:t>固定稳定源</w:t>
                  </w:r>
                </w:p>
              </w:tc>
              <w:tc>
                <w:tcPr>
                  <w:tcW w:w="1259" w:type="pct"/>
                  <w:noWrap w:val="0"/>
                  <w:vAlign w:val="center"/>
                </w:tcPr>
                <w:p w14:paraId="49DB40E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73</w:t>
                  </w:r>
                </w:p>
              </w:tc>
              <w:tc>
                <w:tcPr>
                  <w:tcW w:w="1609" w:type="dxa"/>
                  <w:noWrap w:val="0"/>
                  <w:vAlign w:val="center"/>
                </w:tcPr>
                <w:p w14:paraId="4CEEB3F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70</w:t>
                  </w:r>
                </w:p>
              </w:tc>
              <w:tc>
                <w:tcPr>
                  <w:tcW w:w="1485" w:type="dxa"/>
                  <w:noWrap w:val="0"/>
                  <w:vAlign w:val="center"/>
                </w:tcPr>
                <w:p w14:paraId="70EE6CE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kern w:val="0"/>
                      <w:sz w:val="21"/>
                      <w:szCs w:val="21"/>
                      <w:lang w:val="en-US" w:eastAsia="zh-CN" w:bidi="ar-SA"/>
                    </w:rPr>
                  </w:pPr>
                  <w:r>
                    <w:rPr>
                      <w:rFonts w:hint="eastAsia" w:cs="Times New Roman"/>
                      <w:color w:val="000000"/>
                      <w:kern w:val="0"/>
                      <w:sz w:val="21"/>
                      <w:szCs w:val="21"/>
                      <w:lang w:val="en-US" w:eastAsia="zh-CN" w:bidi="ar-SA"/>
                    </w:rPr>
                    <w:t>55</w:t>
                  </w:r>
                </w:p>
              </w:tc>
            </w:tr>
          </w:tbl>
          <w:p w14:paraId="555553EF">
            <w:pPr>
              <w:autoSpaceDE w:val="0"/>
              <w:autoSpaceDN w:val="0"/>
              <w:snapToGrid w:val="0"/>
              <w:spacing w:line="360" w:lineRule="auto"/>
              <w:ind w:firstLine="480" w:firstLineChars="200"/>
              <w:rPr>
                <w:rFonts w:hint="default" w:hAnsi="Cambria Math"/>
                <w:i w:val="0"/>
                <w:color w:val="0D0D0D" w:themeColor="text1" w:themeTint="F2"/>
                <w:sz w:val="24"/>
                <w:szCs w:val="24"/>
                <w:lang w:val="en-US" w:eastAsia="zh-CN"/>
                <w14:textFill>
                  <w14:solidFill>
                    <w14:schemeClr w14:val="tx1">
                      <w14:lumMod w14:val="95000"/>
                      <w14:lumOff w14:val="5000"/>
                    </w14:schemeClr>
                  </w14:solidFill>
                </w14:textFill>
              </w:rPr>
            </w:pPr>
            <w:r>
              <w:rPr>
                <w:rFonts w:hint="eastAsia" w:hAnsi="Cambria Math"/>
                <w:i w:val="0"/>
                <w:color w:val="0D0D0D" w:themeColor="text1" w:themeTint="F2"/>
                <w:sz w:val="24"/>
                <w:szCs w:val="24"/>
                <w:lang w:val="en-US" w:eastAsia="zh-CN"/>
                <w14:textFill>
                  <w14:solidFill>
                    <w14:schemeClr w14:val="tx1">
                      <w14:lumMod w14:val="95000"/>
                      <w14:lumOff w14:val="5000"/>
                    </w14:schemeClr>
                  </w14:solidFill>
                </w14:textFill>
              </w:rPr>
              <w:t>1）预测公式</w:t>
            </w:r>
          </w:p>
          <w:p w14:paraId="33FE6F61">
            <w:pPr>
              <w:autoSpaceDE w:val="0"/>
              <w:autoSpaceDN w:val="0"/>
              <w:snapToGrid w:val="0"/>
              <w:spacing w:line="360" w:lineRule="auto"/>
              <w:ind w:firstLine="480" w:firstLineChars="200"/>
              <w:rPr>
                <w:rFonts w:hint="default" w:hAnsi="Cambria Math" w:eastAsia="宋体"/>
                <w:i w:val="0"/>
                <w:color w:val="0D0D0D" w:themeColor="text1" w:themeTint="F2"/>
                <w:sz w:val="24"/>
                <w:szCs w:val="24"/>
                <w:lang w:val="en-US" w:eastAsia="zh-CN"/>
                <w14:textFill>
                  <w14:solidFill>
                    <w14:schemeClr w14:val="tx1">
                      <w14:lumMod w14:val="95000"/>
                      <w14:lumOff w14:val="5000"/>
                    </w14:schemeClr>
                  </w14:solidFill>
                </w14:textFill>
              </w:rPr>
            </w:pPr>
            <w:r>
              <w:rPr>
                <w:rFonts w:hint="eastAsia" w:hAnsi="Cambria Math"/>
                <w:i w:val="0"/>
                <w:color w:val="0D0D0D" w:themeColor="text1" w:themeTint="F2"/>
                <w:sz w:val="24"/>
                <w:szCs w:val="24"/>
                <w:lang w:val="en-US" w:eastAsia="zh-CN"/>
                <w14:textFill>
                  <w14:solidFill>
                    <w14:schemeClr w14:val="tx1">
                      <w14:lumMod w14:val="95000"/>
                      <w14:lumOff w14:val="5000"/>
                    </w14:schemeClr>
                  </w14:solidFill>
                </w14:textFill>
              </w:rPr>
              <w:t>①点声源衰减模式如下：</w:t>
            </w:r>
          </w:p>
          <w:p w14:paraId="29A752B9">
            <w:pPr>
              <w:autoSpaceDE w:val="0"/>
              <w:autoSpaceDN w:val="0"/>
              <w:snapToGrid w:val="0"/>
              <w:spacing w:line="360" w:lineRule="auto"/>
              <w:ind w:firstLine="480" w:firstLineChars="200"/>
              <w:rPr>
                <w:rFonts w:hint="eastAsia" w:ascii="宋体" w:hAnsi="宋体"/>
                <w:color w:val="0D0D0D" w:themeColor="text1" w:themeTint="F2"/>
                <w:sz w:val="24"/>
                <w:szCs w:val="24"/>
                <w14:textFill>
                  <w14:solidFill>
                    <w14:schemeClr w14:val="tx1">
                      <w14:lumMod w14:val="95000"/>
                      <w14:lumOff w14:val="5000"/>
                    </w14:schemeClr>
                  </w14:solidFill>
                </w14:textFill>
              </w:rPr>
            </w:pPr>
            <m:oMathPara>
              <m:oMath>
                <m:sSub>
                  <m:sSubPr>
                    <m:ctrlPr>
                      <w:rPr>
                        <w:rFonts w:ascii="Cambria Math" w:hAnsi="Cambria Math"/>
                        <w:color w:val="0D0D0D" w:themeColor="text1" w:themeTint="F2"/>
                        <w:sz w:val="24"/>
                        <w:szCs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szCs w:val="24"/>
                        <w14:textFill>
                          <w14:solidFill>
                            <w14:schemeClr w14:val="tx1">
                              <w14:lumMod w14:val="95000"/>
                              <w14:lumOff w14:val="5000"/>
                            </w14:schemeClr>
                          </w14:solidFill>
                        </w14:textFill>
                      </w:rPr>
                      <m:t>L</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sub>
                    <m:r>
                      <m:rPr/>
                      <w:rPr>
                        <w:rFonts w:ascii="Cambria Math" w:hAnsi="Cambria Math"/>
                        <w:color w:val="0D0D0D" w:themeColor="text1" w:themeTint="F2"/>
                        <w:sz w:val="24"/>
                        <w:szCs w:val="24"/>
                        <w14:textFill>
                          <w14:solidFill>
                            <w14:schemeClr w14:val="tx1">
                              <w14:lumMod w14:val="95000"/>
                              <w14:lumOff w14:val="5000"/>
                            </w14:schemeClr>
                          </w14:solidFill>
                        </w14:textFill>
                      </w:rPr>
                      <m:t>A</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sub>
                </m:sSub>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r>
                      <m:rPr/>
                      <w:rPr>
                        <w:rFonts w:hint="eastAsia" w:ascii="Cambria Math" w:hAnsi="Cambria Math"/>
                        <w:color w:val="0D0D0D" w:themeColor="text1" w:themeTint="F2"/>
                        <w:sz w:val="24"/>
                        <w:szCs w:val="24"/>
                        <w14:textFill>
                          <w14:solidFill>
                            <w14:schemeClr w14:val="tx1">
                              <w14:lumMod w14:val="95000"/>
                              <w14:lumOff w14:val="5000"/>
                            </w14:schemeClr>
                          </w14:solidFill>
                        </w14:textFill>
                      </w:rPr>
                      <m:t>r</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sSub>
                  <m:sSubPr>
                    <m:ctrlPr>
                      <w:rPr>
                        <w:rFonts w:ascii="Cambria Math" w:hAnsi="Cambria Math"/>
                        <w:color w:val="0D0D0D" w:themeColor="text1" w:themeTint="F2"/>
                        <w:sz w:val="24"/>
                        <w:szCs w:val="24"/>
                        <w14:textFill>
                          <w14:solidFill>
                            <w14:schemeClr w14:val="tx1">
                              <w14:lumMod w14:val="95000"/>
                              <w14:lumOff w14:val="5000"/>
                            </w14:schemeClr>
                          </w14:solidFill>
                        </w14:textFill>
                      </w:rPr>
                    </m:ctrlPr>
                  </m:sSubPr>
                  <m:e>
                    <m:r>
                      <m:rPr/>
                      <w:rPr>
                        <w:rFonts w:ascii="Cambria Math" w:hAnsi="Cambria Math"/>
                        <w:color w:val="0D0D0D" w:themeColor="text1" w:themeTint="F2"/>
                        <w:sz w:val="24"/>
                        <w:szCs w:val="24"/>
                        <w14:textFill>
                          <w14:solidFill>
                            <w14:schemeClr w14:val="tx1">
                              <w14:lumMod w14:val="95000"/>
                              <w14:lumOff w14:val="5000"/>
                            </w14:schemeClr>
                          </w14:solidFill>
                        </w14:textFill>
                      </w:rPr>
                      <m:t>L</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e>
                  <m:sub>
                    <m:r>
                      <m:rPr/>
                      <w:rPr>
                        <w:rFonts w:ascii="Cambria Math" w:hAnsi="Cambria Math"/>
                        <w:color w:val="0D0D0D" w:themeColor="text1" w:themeTint="F2"/>
                        <w:sz w:val="24"/>
                        <w:szCs w:val="24"/>
                        <w14:textFill>
                          <w14:solidFill>
                            <w14:schemeClr w14:val="tx1">
                              <w14:lumMod w14:val="95000"/>
                              <w14:lumOff w14:val="5000"/>
                            </w14:schemeClr>
                          </w14:solidFill>
                        </w14:textFill>
                      </w:rPr>
                      <m:t>A</m:t>
                    </m:r>
                    <m:ctrlPr>
                      <w:rPr>
                        <w:rFonts w:ascii="Cambria Math" w:hAnsi="Cambria Math"/>
                        <w:color w:val="0D0D0D" w:themeColor="text1" w:themeTint="F2"/>
                        <w:sz w:val="24"/>
                        <w:szCs w:val="24"/>
                        <w14:textFill>
                          <w14:solidFill>
                            <w14:schemeClr w14:val="tx1">
                              <w14:lumMod w14:val="95000"/>
                              <w14:lumOff w14:val="5000"/>
                            </w14:schemeClr>
                          </w14:solidFill>
                        </w14:textFill>
                      </w:rPr>
                    </m:ctrlPr>
                  </m:sub>
                </m:sSub>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r>
                  <m:rPr>
                    <m:sty m:val="p"/>
                  </m:rPr>
                  <w:rPr>
                    <w:rFonts w:hint="default" w:ascii="Cambria Math" w:hAnsi="Cambria Math" w:cs="Times New Roman"/>
                    <w:color w:val="0D0D0D" w:themeColor="text1" w:themeTint="F2"/>
                    <w:sz w:val="24"/>
                    <w:szCs w:val="24"/>
                    <w14:textFill>
                      <w14:solidFill>
                        <w14:schemeClr w14:val="tx1">
                          <w14:lumMod w14:val="95000"/>
                          <w14:lumOff w14:val="5000"/>
                        </w14:schemeClr>
                      </w14:solidFill>
                    </w14:textFill>
                  </w:rPr>
                  <m:t>20</m:t>
                </m:r>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lg</m:t>
                </m:r>
                <m:d>
                  <m:dPr>
                    <m:ctrlPr>
                      <w:rPr>
                        <w:rFonts w:ascii="Cambria Math" w:hAnsi="Cambria Math"/>
                        <w:color w:val="0D0D0D" w:themeColor="text1" w:themeTint="F2"/>
                        <w:sz w:val="24"/>
                        <w:szCs w:val="24"/>
                        <w14:textFill>
                          <w14:solidFill>
                            <w14:schemeClr w14:val="tx1">
                              <w14:lumMod w14:val="95000"/>
                              <w14:lumOff w14:val="5000"/>
                            </w14:schemeClr>
                          </w14:solidFill>
                        </w14:textFill>
                      </w:rPr>
                    </m:ctrlPr>
                  </m:dPr>
                  <m:e>
                    <m:r>
                      <m:rPr/>
                      <w:rPr>
                        <w:rFonts w:ascii="Cambria Math" w:hAnsi="Cambria Math"/>
                        <w:color w:val="0D0D0D" w:themeColor="text1" w:themeTint="F2"/>
                        <w:sz w:val="24"/>
                        <w:szCs w:val="24"/>
                        <w14:textFill>
                          <w14:solidFill>
                            <w14:schemeClr w14:val="tx1">
                              <w14:lumMod w14:val="95000"/>
                              <w14:lumOff w14:val="5000"/>
                            </w14:schemeClr>
                          </w14:solidFill>
                        </w14:textFill>
                      </w:rPr>
                      <m:t>r</m:t>
                    </m:r>
                    <m:r>
                      <m:rPr>
                        <m:sty m:val="p"/>
                      </m:rPr>
                      <w:rPr>
                        <w:rFonts w:ascii="Cambria Math" w:hAnsi="Cambria Math"/>
                        <w:color w:val="0D0D0D" w:themeColor="text1" w:themeTint="F2"/>
                        <w:sz w:val="24"/>
                        <w:szCs w:val="24"/>
                        <w14:textFill>
                          <w14:solidFill>
                            <w14:schemeClr w14:val="tx1">
                              <w14:lumMod w14:val="95000"/>
                              <w14:lumOff w14:val="5000"/>
                            </w14:schemeClr>
                          </w14:solidFill>
                        </w14:textFill>
                      </w:rPr>
                      <m:t>/</m:t>
                    </m:r>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ctrlPr>
                      <w:rPr>
                        <w:rFonts w:ascii="Cambria Math" w:hAnsi="Cambria Math"/>
                        <w:color w:val="0D0D0D" w:themeColor="text1" w:themeTint="F2"/>
                        <w:sz w:val="24"/>
                        <w:szCs w:val="24"/>
                        <w14:textFill>
                          <w14:solidFill>
                            <w14:schemeClr w14:val="tx1">
                              <w14:lumMod w14:val="95000"/>
                              <w14:lumOff w14:val="5000"/>
                            </w14:schemeClr>
                          </w14:solidFill>
                        </w14:textFill>
                      </w:rPr>
                    </m:ctrlPr>
                  </m:e>
                </m:d>
              </m:oMath>
            </m:oMathPara>
          </w:p>
          <w:p w14:paraId="28738178">
            <w:pPr>
              <w:keepNext w:val="0"/>
              <w:keepLines w:val="0"/>
              <w:widowControl/>
              <w:suppressLineNumbers w:val="0"/>
              <w:spacing w:line="360" w:lineRule="auto"/>
              <w:ind w:firstLine="480" w:firstLineChars="200"/>
              <w:jc w:val="left"/>
              <w:rPr>
                <w:color w:val="0D0D0D" w:themeColor="text1" w:themeTint="F2"/>
                <w:sz w:val="24"/>
                <w:szCs w:val="24"/>
                <w14:textFill>
                  <w14:solidFill>
                    <w14:schemeClr w14:val="tx1">
                      <w14:lumMod w14:val="95000"/>
                      <w14:lumOff w14:val="5000"/>
                    </w14:schemeClr>
                  </w14:solidFill>
                </w14:textFill>
              </w:rPr>
            </w:pP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式中：</w:t>
            </w: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LA</w:t>
            </w:r>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－距声源</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处的声级，</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dB(A</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48A82660">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LA</w:t>
            </w:r>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w:t>
            </w:r>
            <m:oMath>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oMath>
            <w:r>
              <w:rPr>
                <w:rFonts w:hint="eastAsia"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－参考位置的声级，</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dB(A</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1A3000A8">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m:oMath>
              <m:sSub>
                <m:sSubP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SubPr>
                <m:e>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r</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e>
                <m:sub>
                  <m:r>
                    <m:rPr/>
                    <w:rPr>
                      <w:rFonts w:hint="default" w:ascii="Cambria Math" w:hAnsi="Cambria Math"/>
                      <w:color w:val="0D0D0D" w:themeColor="text1" w:themeTint="F2"/>
                      <w:sz w:val="24"/>
                      <w:szCs w:val="24"/>
                      <w:lang w:val="en-US" w:eastAsia="zh-CN"/>
                      <w14:textFill>
                        <w14:solidFill>
                          <w14:schemeClr w14:val="tx1">
                            <w14:lumMod w14:val="95000"/>
                            <w14:lumOff w14:val="5000"/>
                          </w14:schemeClr>
                        </w14:solidFill>
                      </w14:textFill>
                    </w:rPr>
                    <m:t>0</m:t>
                  </m:r>
                  <m:ctrlPr>
                    <w:rPr>
                      <w:rFonts w:ascii="Cambria Math" w:hAnsi="Cambria Math"/>
                      <w:i/>
                      <w:iCs/>
                      <w:color w:val="0D0D0D" w:themeColor="text1" w:themeTint="F2"/>
                      <w:sz w:val="24"/>
                      <w:szCs w:val="24"/>
                      <w14:textFill>
                        <w14:solidFill>
                          <w14:schemeClr w14:val="tx1">
                            <w14:lumMod w14:val="95000"/>
                            <w14:lumOff w14:val="5000"/>
                          </w14:schemeClr>
                        </w14:solidFill>
                      </w14:textFill>
                    </w:rPr>
                  </m:ctrlPr>
                </m:sub>
              </m:sSub>
            </m:oMath>
            <w:r>
              <w:rPr>
                <w:rFonts w:hint="eastAsia" w:hAnsi="Cambria Math"/>
                <w:i w:val="0"/>
                <w:iCs/>
                <w:color w:val="0D0D0D" w:themeColor="text1" w:themeTint="F2"/>
                <w:sz w:val="24"/>
                <w:szCs w:val="24"/>
                <w:lang w:val="en-US" w:eastAsia="zh-CN"/>
                <w14:textFill>
                  <w14:solidFill>
                    <w14:schemeClr w14:val="tx1">
                      <w14:lumMod w14:val="95000"/>
                      <w14:lumOff w14:val="5000"/>
                    </w14:schemeClr>
                  </w14:solidFill>
                </w14:textFill>
              </w:rPr>
              <w:t>-</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参考位置与点声源之间的距离，</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m</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538E92A8">
            <w:pPr>
              <w:keepNext w:val="0"/>
              <w:keepLines w:val="0"/>
              <w:pageBreakBefore w:val="0"/>
              <w:widowControl/>
              <w:suppressLineNumbers w:val="0"/>
              <w:kinsoku/>
              <w:wordWrap/>
              <w:overflowPunct/>
              <w:topLinePunct w:val="0"/>
              <w:autoSpaceDE/>
              <w:autoSpaceDN/>
              <w:bidi w:val="0"/>
              <w:adjustRightInd w:val="0"/>
              <w:snapToGrid/>
              <w:spacing w:line="360" w:lineRule="auto"/>
              <w:ind w:firstLine="480" w:firstLineChars="200"/>
              <w:jc w:val="left"/>
              <w:textAlignment w:val="baseline"/>
              <w:rPr>
                <w:color w:val="0D0D0D" w:themeColor="text1" w:themeTint="F2"/>
                <w:sz w:val="24"/>
                <w:szCs w:val="24"/>
                <w14:textFill>
                  <w14:solidFill>
                    <w14:schemeClr w14:val="tx1">
                      <w14:lumMod w14:val="95000"/>
                      <w14:lumOff w14:val="5000"/>
                    </w14:schemeClr>
                  </w14:solidFill>
                </w14:textFill>
              </w:rPr>
            </w:pPr>
            <w:r>
              <w:rPr>
                <w:rFonts w:hint="default" w:ascii="Times New Roman" w:hAnsi="Times New Roman" w:eastAsia="宋体" w:cs="Times New Roman"/>
                <w:i/>
                <w:iCs/>
                <w:color w:val="0D0D0D" w:themeColor="text1" w:themeTint="F2"/>
                <w:kern w:val="0"/>
                <w:sz w:val="24"/>
                <w:szCs w:val="24"/>
                <w:lang w:val="en-US" w:eastAsia="zh-CN" w:bidi="ar"/>
                <w14:textFill>
                  <w14:solidFill>
                    <w14:schemeClr w14:val="tx1">
                      <w14:lumMod w14:val="95000"/>
                      <w14:lumOff w14:val="5000"/>
                    </w14:schemeClr>
                  </w14:solidFill>
                </w14:textFill>
              </w:rPr>
              <w:t>r</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－预测点与点声源之间的距离，</w:t>
            </w:r>
            <w:r>
              <w:rPr>
                <w:rFonts w:hint="default" w:ascii="Times New Roman" w:hAnsi="Times New Roman" w:eastAsia="宋体" w:cs="Times New Roman"/>
                <w:color w:val="0D0D0D" w:themeColor="text1" w:themeTint="F2"/>
                <w:kern w:val="0"/>
                <w:sz w:val="24"/>
                <w:szCs w:val="24"/>
                <w:lang w:val="en-US" w:eastAsia="zh-CN" w:bidi="ar"/>
                <w14:textFill>
                  <w14:solidFill>
                    <w14:schemeClr w14:val="tx1">
                      <w14:lumMod w14:val="95000"/>
                      <w14:lumOff w14:val="5000"/>
                    </w14:schemeClr>
                  </w14:solidFill>
                </w14:textFill>
              </w:rPr>
              <w:t>m</w:t>
            </w:r>
            <w:r>
              <w:rPr>
                <w:rFonts w:hint="eastAsia" w:ascii="宋体" w:hAnsi="宋体" w:eastAsia="宋体" w:cs="宋体"/>
                <w:color w:val="0D0D0D" w:themeColor="text1" w:themeTint="F2"/>
                <w:kern w:val="0"/>
                <w:sz w:val="24"/>
                <w:szCs w:val="24"/>
                <w:lang w:val="en-US" w:eastAsia="zh-CN" w:bidi="ar"/>
                <w14:textFill>
                  <w14:solidFill>
                    <w14:schemeClr w14:val="tx1">
                      <w14:lumMod w14:val="95000"/>
                      <w14:lumOff w14:val="5000"/>
                    </w14:schemeClr>
                  </w14:solidFill>
                </w14:textFill>
              </w:rPr>
              <w:t>。</w:t>
            </w:r>
          </w:p>
          <w:p w14:paraId="3F62DED5">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2）预测结果</w:t>
            </w:r>
          </w:p>
          <w:p w14:paraId="23F7DD39">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本工程</w:t>
            </w:r>
            <w:r>
              <w:rPr>
                <w:rFonts w:hint="default" w:ascii="Times New Roman" w:hAnsi="Times New Roman" w:eastAsia="宋体" w:cs="Times New Roman"/>
                <w:snapToGrid/>
                <w:spacing w:val="0"/>
                <w:kern w:val="0"/>
                <w:sz w:val="24"/>
                <w:szCs w:val="24"/>
                <w:lang w:val="en-US" w:eastAsia="zh-CN"/>
              </w:rPr>
              <w:t>线路施工塔基采用钢筋混凝土板式基础、灌注桩基础、掏挖基础和挖孔桩基础，声源主要为钻孔机、混凝土捣振器。各施工机械施工噪声预测结果见</w:t>
            </w:r>
            <w:r>
              <w:rPr>
                <w:rFonts w:hint="eastAsia" w:cs="Times New Roman"/>
                <w:snapToGrid/>
                <w:spacing w:val="0"/>
                <w:kern w:val="0"/>
                <w:sz w:val="24"/>
                <w:szCs w:val="24"/>
                <w:lang w:val="en-US" w:eastAsia="zh-CN"/>
              </w:rPr>
              <w:t>下表</w:t>
            </w:r>
            <w:r>
              <w:rPr>
                <w:rFonts w:hint="default" w:ascii="Times New Roman" w:hAnsi="Times New Roman" w:eastAsia="宋体" w:cs="Times New Roman"/>
                <w:snapToGrid/>
                <w:spacing w:val="0"/>
                <w:kern w:val="0"/>
                <w:sz w:val="24"/>
                <w:szCs w:val="24"/>
                <w:lang w:val="en-US" w:eastAsia="zh-CN"/>
              </w:rPr>
              <w:t>。</w:t>
            </w:r>
          </w:p>
          <w:p w14:paraId="2099371B">
            <w:pPr>
              <w:keepNext w:val="0"/>
              <w:keepLines w:val="0"/>
              <w:widowControl/>
              <w:suppressLineNumbers w:val="0"/>
              <w:spacing w:line="240" w:lineRule="auto"/>
              <w:ind w:left="0" w:leftChars="0" w:firstLine="0" w:firstLineChars="0"/>
              <w:jc w:val="center"/>
              <w:rPr>
                <w:rFonts w:hint="default" w:cs="Times New Roman"/>
                <w:color w:val="0D0D0D" w:themeColor="text1" w:themeTint="F2"/>
                <w:sz w:val="21"/>
                <w:szCs w:val="21"/>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lang w:val="en-US" w:eastAsia="zh-CN"/>
                <w14:textFill>
                  <w14:solidFill>
                    <w14:schemeClr w14:val="tx1">
                      <w14:lumMod w14:val="95000"/>
                      <w14:lumOff w14:val="5000"/>
                    </w14:schemeClr>
                  </w14:solidFill>
                </w14:textFill>
              </w:rPr>
              <w:t>表4-8  不同施工机械施工噪声预测结果</w:t>
            </w:r>
            <w:r>
              <w:rPr>
                <w:rFonts w:hint="eastAsia" w:ascii="宋体" w:hAnsi="宋体" w:eastAsia="宋体" w:cs="宋体"/>
                <w:b/>
                <w:bCs/>
                <w:color w:val="0D0D0D" w:themeColor="text1" w:themeTint="F2"/>
                <w:kern w:val="0"/>
                <w:sz w:val="21"/>
                <w:szCs w:val="21"/>
                <w:lang w:val="en-US" w:eastAsia="zh-CN" w:bidi="ar"/>
                <w14:textFill>
                  <w14:solidFill>
                    <w14:schemeClr w14:val="tx1">
                      <w14:lumMod w14:val="95000"/>
                      <w14:lumOff w14:val="5000"/>
                    </w14:schemeClr>
                  </w14:solidFill>
                </w14:textFill>
              </w:rPr>
              <w:t xml:space="preserve">  单位：</w:t>
            </w:r>
            <w:r>
              <w:rPr>
                <w:rFonts w:hint="default" w:ascii="Times New Roman" w:hAnsi="Times New Roman" w:eastAsia="宋体"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dB（A）</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691"/>
              <w:gridCol w:w="691"/>
              <w:gridCol w:w="691"/>
              <w:gridCol w:w="691"/>
              <w:gridCol w:w="691"/>
              <w:gridCol w:w="691"/>
              <w:gridCol w:w="691"/>
              <w:gridCol w:w="691"/>
              <w:gridCol w:w="691"/>
              <w:gridCol w:w="691"/>
              <w:gridCol w:w="691"/>
              <w:gridCol w:w="694"/>
            </w:tblGrid>
            <w:tr w14:paraId="44C67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dxa"/>
                  <w:vMerge w:val="restart"/>
                  <w:vAlign w:val="center"/>
                </w:tcPr>
                <w:p w14:paraId="75E22310">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施工阶段</w:t>
                  </w:r>
                </w:p>
              </w:tc>
              <w:tc>
                <w:tcPr>
                  <w:tcW w:w="691" w:type="dxa"/>
                  <w:vMerge w:val="restart"/>
                  <w:vAlign w:val="center"/>
                </w:tcPr>
                <w:p w14:paraId="45BAB55D">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施工机械</w:t>
                  </w:r>
                </w:p>
              </w:tc>
              <w:tc>
                <w:tcPr>
                  <w:tcW w:w="7604" w:type="dxa"/>
                  <w:gridSpan w:val="11"/>
                  <w:vAlign w:val="center"/>
                </w:tcPr>
                <w:p w14:paraId="02BEFD1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距离施工机械的距离</w:t>
                  </w:r>
                </w:p>
              </w:tc>
            </w:tr>
            <w:tr w14:paraId="0E57B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dxa"/>
                  <w:vMerge w:val="continue"/>
                  <w:vAlign w:val="center"/>
                </w:tcPr>
                <w:p w14:paraId="189873D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691" w:type="dxa"/>
                  <w:vMerge w:val="continue"/>
                  <w:vAlign w:val="center"/>
                </w:tcPr>
                <w:p w14:paraId="467CBBD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691" w:type="dxa"/>
                  <w:vAlign w:val="center"/>
                </w:tcPr>
                <w:p w14:paraId="343D90A3">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5m</w:t>
                  </w:r>
                </w:p>
              </w:tc>
              <w:tc>
                <w:tcPr>
                  <w:tcW w:w="691" w:type="dxa"/>
                  <w:vAlign w:val="center"/>
                </w:tcPr>
                <w:p w14:paraId="5F2D997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8m</w:t>
                  </w:r>
                </w:p>
              </w:tc>
              <w:tc>
                <w:tcPr>
                  <w:tcW w:w="691" w:type="dxa"/>
                  <w:vAlign w:val="center"/>
                </w:tcPr>
                <w:p w14:paraId="214BA58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10m</w:t>
                  </w:r>
                </w:p>
              </w:tc>
              <w:tc>
                <w:tcPr>
                  <w:tcW w:w="691" w:type="dxa"/>
                  <w:vAlign w:val="center"/>
                </w:tcPr>
                <w:p w14:paraId="57ED1B0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25m</w:t>
                  </w:r>
                </w:p>
              </w:tc>
              <w:tc>
                <w:tcPr>
                  <w:tcW w:w="691" w:type="dxa"/>
                  <w:vAlign w:val="center"/>
                </w:tcPr>
                <w:p w14:paraId="50CBD43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30m</w:t>
                  </w:r>
                </w:p>
              </w:tc>
              <w:tc>
                <w:tcPr>
                  <w:tcW w:w="691" w:type="dxa"/>
                  <w:vAlign w:val="center"/>
                </w:tcPr>
                <w:p w14:paraId="5BE08D7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36m</w:t>
                  </w:r>
                </w:p>
              </w:tc>
              <w:tc>
                <w:tcPr>
                  <w:tcW w:w="691" w:type="dxa"/>
                  <w:vAlign w:val="center"/>
                </w:tcPr>
                <w:p w14:paraId="2A528B03">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40m</w:t>
                  </w:r>
                </w:p>
              </w:tc>
              <w:tc>
                <w:tcPr>
                  <w:tcW w:w="691" w:type="dxa"/>
                  <w:vAlign w:val="center"/>
                </w:tcPr>
                <w:p w14:paraId="68FDE5C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50m</w:t>
                  </w:r>
                </w:p>
              </w:tc>
              <w:tc>
                <w:tcPr>
                  <w:tcW w:w="691" w:type="dxa"/>
                  <w:vAlign w:val="center"/>
                </w:tcPr>
                <w:p w14:paraId="39CC00B6">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60m</w:t>
                  </w:r>
                </w:p>
              </w:tc>
              <w:tc>
                <w:tcPr>
                  <w:tcW w:w="691" w:type="dxa"/>
                  <w:vAlign w:val="center"/>
                </w:tcPr>
                <w:p w14:paraId="294928E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70m</w:t>
                  </w:r>
                </w:p>
              </w:tc>
              <w:tc>
                <w:tcPr>
                  <w:tcW w:w="694" w:type="dxa"/>
                  <w:vAlign w:val="center"/>
                </w:tcPr>
                <w:p w14:paraId="30A3D1C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bCs/>
                      <w:color w:val="0D0D0D" w:themeColor="text1" w:themeTint="F2"/>
                      <w:sz w:val="21"/>
                      <w:szCs w:val="21"/>
                      <w:vertAlign w:val="baseline"/>
                      <w:lang w:val="en-US" w:eastAsia="zh-CN"/>
                      <w14:textFill>
                        <w14:solidFill>
                          <w14:schemeClr w14:val="tx1">
                            <w14:lumMod w14:val="95000"/>
                            <w14:lumOff w14:val="5000"/>
                          </w14:schemeClr>
                        </w14:solidFill>
                      </w14:textFill>
                    </w:rPr>
                    <w:t>80m</w:t>
                  </w:r>
                </w:p>
              </w:tc>
            </w:tr>
            <w:tr w14:paraId="2F952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dxa"/>
                  <w:vAlign w:val="center"/>
                </w:tcPr>
                <w:p w14:paraId="78EEE4E0">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基坑开挖</w:t>
                  </w:r>
                </w:p>
              </w:tc>
              <w:tc>
                <w:tcPr>
                  <w:tcW w:w="691" w:type="dxa"/>
                  <w:vAlign w:val="center"/>
                </w:tcPr>
                <w:p w14:paraId="0F287FF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cs="Times New Roman" w:eastAsiaTheme="minorEastAsia"/>
                      <w:color w:val="auto"/>
                      <w:kern w:val="2"/>
                      <w:sz w:val="21"/>
                      <w:szCs w:val="21"/>
                      <w:highlight w:val="none"/>
                      <w:lang w:val="en-US" w:eastAsia="zh-CN" w:bidi="ar-SA"/>
                    </w:rPr>
                    <w:t>钻孔机</w:t>
                  </w:r>
                </w:p>
              </w:tc>
              <w:tc>
                <w:tcPr>
                  <w:tcW w:w="691" w:type="dxa"/>
                  <w:vAlign w:val="center"/>
                </w:tcPr>
                <w:p w14:paraId="4C3B1084">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73</w:t>
                  </w:r>
                </w:p>
              </w:tc>
              <w:tc>
                <w:tcPr>
                  <w:tcW w:w="691" w:type="dxa"/>
                  <w:vAlign w:val="center"/>
                </w:tcPr>
                <w:p w14:paraId="122CF33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68.9</w:t>
                  </w:r>
                </w:p>
              </w:tc>
              <w:tc>
                <w:tcPr>
                  <w:tcW w:w="691" w:type="dxa"/>
                  <w:vAlign w:val="center"/>
                </w:tcPr>
                <w:p w14:paraId="19348C1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67</w:t>
                  </w:r>
                </w:p>
              </w:tc>
              <w:tc>
                <w:tcPr>
                  <w:tcW w:w="691" w:type="dxa"/>
                  <w:vAlign w:val="center"/>
                </w:tcPr>
                <w:p w14:paraId="69C95EE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59</w:t>
                  </w:r>
                </w:p>
              </w:tc>
              <w:tc>
                <w:tcPr>
                  <w:tcW w:w="691" w:type="dxa"/>
                  <w:vAlign w:val="center"/>
                </w:tcPr>
                <w:p w14:paraId="4CC71BB3">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57.4</w:t>
                  </w:r>
                </w:p>
              </w:tc>
              <w:tc>
                <w:tcPr>
                  <w:tcW w:w="691" w:type="dxa"/>
                  <w:vAlign w:val="center"/>
                </w:tcPr>
                <w:p w14:paraId="5BDDDDE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55.9</w:t>
                  </w:r>
                </w:p>
              </w:tc>
              <w:tc>
                <w:tcPr>
                  <w:tcW w:w="691" w:type="dxa"/>
                  <w:vAlign w:val="center"/>
                </w:tcPr>
                <w:p w14:paraId="026825C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54.9</w:t>
                  </w:r>
                </w:p>
              </w:tc>
              <w:tc>
                <w:tcPr>
                  <w:tcW w:w="691" w:type="dxa"/>
                  <w:vAlign w:val="center"/>
                </w:tcPr>
                <w:p w14:paraId="6082C257">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53</w:t>
                  </w:r>
                </w:p>
              </w:tc>
              <w:tc>
                <w:tcPr>
                  <w:tcW w:w="691" w:type="dxa"/>
                  <w:vAlign w:val="center"/>
                </w:tcPr>
                <w:p w14:paraId="49C8BAF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51.4</w:t>
                  </w:r>
                </w:p>
              </w:tc>
              <w:tc>
                <w:tcPr>
                  <w:tcW w:w="691" w:type="dxa"/>
                  <w:vAlign w:val="center"/>
                </w:tcPr>
                <w:p w14:paraId="4D11411A">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50.1</w:t>
                  </w:r>
                </w:p>
              </w:tc>
              <w:tc>
                <w:tcPr>
                  <w:tcW w:w="694" w:type="dxa"/>
                  <w:vAlign w:val="center"/>
                </w:tcPr>
                <w:p w14:paraId="6C69D7CD">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48.9</w:t>
                  </w:r>
                </w:p>
              </w:tc>
            </w:tr>
            <w:tr w14:paraId="5AC0D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dxa"/>
                  <w:vMerge w:val="restart"/>
                  <w:vAlign w:val="center"/>
                </w:tcPr>
                <w:p w14:paraId="64D2296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基础浇筑</w:t>
                  </w:r>
                </w:p>
              </w:tc>
              <w:tc>
                <w:tcPr>
                  <w:tcW w:w="691" w:type="dxa"/>
                  <w:vAlign w:val="center"/>
                </w:tcPr>
                <w:p w14:paraId="29329CB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cs="Times New Roman" w:eastAsiaTheme="minorEastAsia"/>
                      <w:color w:val="auto"/>
                      <w:kern w:val="2"/>
                      <w:sz w:val="21"/>
                      <w:szCs w:val="21"/>
                      <w:highlight w:val="none"/>
                      <w:lang w:val="en-US" w:eastAsia="zh-CN" w:bidi="ar-SA"/>
                    </w:rPr>
                    <w:t>商砼搅拌车</w:t>
                  </w:r>
                </w:p>
              </w:tc>
              <w:tc>
                <w:tcPr>
                  <w:tcW w:w="691" w:type="dxa"/>
                  <w:vAlign w:val="center"/>
                </w:tcPr>
                <w:p w14:paraId="02518078">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87</w:t>
                  </w:r>
                </w:p>
              </w:tc>
              <w:tc>
                <w:tcPr>
                  <w:tcW w:w="691" w:type="dxa"/>
                  <w:vAlign w:val="center"/>
                </w:tcPr>
                <w:p w14:paraId="5817BF43">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82.9</w:t>
                  </w:r>
                </w:p>
              </w:tc>
              <w:tc>
                <w:tcPr>
                  <w:tcW w:w="691" w:type="dxa"/>
                  <w:vAlign w:val="center"/>
                </w:tcPr>
                <w:p w14:paraId="52A391A6">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81</w:t>
                  </w:r>
                </w:p>
              </w:tc>
              <w:tc>
                <w:tcPr>
                  <w:tcW w:w="691" w:type="dxa"/>
                  <w:vAlign w:val="center"/>
                </w:tcPr>
                <w:p w14:paraId="62BEA5C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73</w:t>
                  </w:r>
                </w:p>
              </w:tc>
              <w:tc>
                <w:tcPr>
                  <w:tcW w:w="691" w:type="dxa"/>
                  <w:vAlign w:val="center"/>
                </w:tcPr>
                <w:p w14:paraId="7419F0C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71.4</w:t>
                  </w:r>
                </w:p>
              </w:tc>
              <w:tc>
                <w:tcPr>
                  <w:tcW w:w="691" w:type="dxa"/>
                  <w:vAlign w:val="center"/>
                </w:tcPr>
                <w:p w14:paraId="69F140CF">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69.9</w:t>
                  </w:r>
                </w:p>
              </w:tc>
              <w:tc>
                <w:tcPr>
                  <w:tcW w:w="691" w:type="dxa"/>
                  <w:vAlign w:val="center"/>
                </w:tcPr>
                <w:p w14:paraId="38BDF3C0">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68.9</w:t>
                  </w:r>
                </w:p>
              </w:tc>
              <w:tc>
                <w:tcPr>
                  <w:tcW w:w="691" w:type="dxa"/>
                  <w:vAlign w:val="center"/>
                </w:tcPr>
                <w:p w14:paraId="18D26FE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67</w:t>
                  </w:r>
                </w:p>
              </w:tc>
              <w:tc>
                <w:tcPr>
                  <w:tcW w:w="691" w:type="dxa"/>
                  <w:vAlign w:val="center"/>
                </w:tcPr>
                <w:p w14:paraId="1DCA3A14">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65.4</w:t>
                  </w:r>
                </w:p>
              </w:tc>
              <w:tc>
                <w:tcPr>
                  <w:tcW w:w="691" w:type="dxa"/>
                  <w:vAlign w:val="center"/>
                </w:tcPr>
                <w:p w14:paraId="3A1EA380">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64.1</w:t>
                  </w:r>
                </w:p>
              </w:tc>
              <w:tc>
                <w:tcPr>
                  <w:tcW w:w="694" w:type="dxa"/>
                  <w:vAlign w:val="center"/>
                </w:tcPr>
                <w:p w14:paraId="3C113061">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62.9</w:t>
                  </w:r>
                </w:p>
              </w:tc>
            </w:tr>
            <w:tr w14:paraId="52256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1" w:type="dxa"/>
                  <w:vMerge w:val="continue"/>
                  <w:vAlign w:val="center"/>
                </w:tcPr>
                <w:p w14:paraId="49BCBCAA">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691" w:type="dxa"/>
                  <w:vAlign w:val="center"/>
                </w:tcPr>
                <w:p w14:paraId="16482E7C">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default" w:ascii="Times New Roman" w:hAnsi="Times New Roman" w:cs="Times New Roman" w:eastAsiaTheme="minorEastAsia"/>
                      <w:color w:val="auto"/>
                      <w:kern w:val="2"/>
                      <w:sz w:val="21"/>
                      <w:szCs w:val="21"/>
                      <w:highlight w:val="none"/>
                      <w:lang w:val="en-US" w:eastAsia="zh-CN" w:bidi="ar-SA"/>
                    </w:rPr>
                    <w:t>混凝土捣振器</w:t>
                  </w:r>
                </w:p>
              </w:tc>
              <w:tc>
                <w:tcPr>
                  <w:tcW w:w="691" w:type="dxa"/>
                  <w:vAlign w:val="center"/>
                </w:tcPr>
                <w:p w14:paraId="095F7292">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84</w:t>
                  </w:r>
                </w:p>
              </w:tc>
              <w:tc>
                <w:tcPr>
                  <w:tcW w:w="691" w:type="dxa"/>
                  <w:vAlign w:val="center"/>
                </w:tcPr>
                <w:p w14:paraId="5D6A2164">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79.9</w:t>
                  </w:r>
                </w:p>
              </w:tc>
              <w:tc>
                <w:tcPr>
                  <w:tcW w:w="691" w:type="dxa"/>
                  <w:vAlign w:val="center"/>
                </w:tcPr>
                <w:p w14:paraId="3516CCB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78</w:t>
                  </w:r>
                </w:p>
              </w:tc>
              <w:tc>
                <w:tcPr>
                  <w:tcW w:w="691" w:type="dxa"/>
                  <w:vAlign w:val="center"/>
                </w:tcPr>
                <w:p w14:paraId="0A5E47F4">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70</w:t>
                  </w:r>
                </w:p>
              </w:tc>
              <w:tc>
                <w:tcPr>
                  <w:tcW w:w="691" w:type="dxa"/>
                  <w:vAlign w:val="center"/>
                </w:tcPr>
                <w:p w14:paraId="5B40837B">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68.4</w:t>
                  </w:r>
                </w:p>
              </w:tc>
              <w:tc>
                <w:tcPr>
                  <w:tcW w:w="691" w:type="dxa"/>
                  <w:vAlign w:val="center"/>
                </w:tcPr>
                <w:p w14:paraId="7FCA503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66.9</w:t>
                  </w:r>
                </w:p>
              </w:tc>
              <w:tc>
                <w:tcPr>
                  <w:tcW w:w="691" w:type="dxa"/>
                  <w:vAlign w:val="center"/>
                </w:tcPr>
                <w:p w14:paraId="23EA1CB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65.9</w:t>
                  </w:r>
                </w:p>
              </w:tc>
              <w:tc>
                <w:tcPr>
                  <w:tcW w:w="691" w:type="dxa"/>
                  <w:vAlign w:val="center"/>
                </w:tcPr>
                <w:p w14:paraId="109651B5">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64</w:t>
                  </w:r>
                </w:p>
              </w:tc>
              <w:tc>
                <w:tcPr>
                  <w:tcW w:w="691" w:type="dxa"/>
                  <w:vAlign w:val="center"/>
                </w:tcPr>
                <w:p w14:paraId="5D7BF58A">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62.4</w:t>
                  </w:r>
                </w:p>
              </w:tc>
              <w:tc>
                <w:tcPr>
                  <w:tcW w:w="691" w:type="dxa"/>
                  <w:vAlign w:val="center"/>
                </w:tcPr>
                <w:p w14:paraId="61D83DF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61.1</w:t>
                  </w:r>
                </w:p>
              </w:tc>
              <w:tc>
                <w:tcPr>
                  <w:tcW w:w="694" w:type="dxa"/>
                  <w:vAlign w:val="center"/>
                </w:tcPr>
                <w:p w14:paraId="7D766CB9">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center"/>
                    <w:textAlignment w:val="baseline"/>
                    <w:rPr>
                      <w:rFonts w:hint="default"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color w:val="0D0D0D" w:themeColor="text1" w:themeTint="F2"/>
                      <w:sz w:val="21"/>
                      <w:szCs w:val="21"/>
                      <w:vertAlign w:val="baseline"/>
                      <w:lang w:val="en-US" w:eastAsia="zh-CN"/>
                      <w14:textFill>
                        <w14:solidFill>
                          <w14:schemeClr w14:val="tx1">
                            <w14:lumMod w14:val="95000"/>
                            <w14:lumOff w14:val="5000"/>
                          </w14:schemeClr>
                        </w14:solidFill>
                      </w14:textFill>
                    </w:rPr>
                    <w:t>59.9</w:t>
                  </w:r>
                </w:p>
              </w:tc>
            </w:tr>
          </w:tbl>
          <w:p w14:paraId="7AB9A68D">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根据</w:t>
            </w:r>
            <w:r>
              <w:rPr>
                <w:rFonts w:hint="eastAsia" w:cs="Times New Roman"/>
                <w:snapToGrid/>
                <w:spacing w:val="0"/>
                <w:kern w:val="0"/>
                <w:sz w:val="24"/>
                <w:szCs w:val="24"/>
                <w:lang w:val="en-US" w:eastAsia="zh-CN"/>
              </w:rPr>
              <w:t>预测</w:t>
            </w:r>
            <w:r>
              <w:rPr>
                <w:rFonts w:hint="default" w:ascii="Times New Roman" w:hAnsi="Times New Roman" w:eastAsia="宋体" w:cs="Times New Roman"/>
                <w:snapToGrid/>
                <w:spacing w:val="0"/>
                <w:kern w:val="0"/>
                <w:sz w:val="24"/>
                <w:szCs w:val="24"/>
                <w:lang w:val="en-US" w:eastAsia="zh-CN"/>
              </w:rPr>
              <w:t>结果</w:t>
            </w:r>
            <w:r>
              <w:rPr>
                <w:rFonts w:hint="eastAsia" w:cs="Times New Roman"/>
                <w:snapToGrid/>
                <w:spacing w:val="0"/>
                <w:kern w:val="0"/>
                <w:sz w:val="24"/>
                <w:szCs w:val="24"/>
                <w:lang w:val="en-US" w:eastAsia="zh-CN"/>
              </w:rPr>
              <w:t>可知</w:t>
            </w:r>
            <w:r>
              <w:rPr>
                <w:rFonts w:hint="default" w:ascii="Times New Roman" w:hAnsi="Times New Roman" w:eastAsia="宋体" w:cs="Times New Roman"/>
                <w:snapToGrid/>
                <w:spacing w:val="0"/>
                <w:kern w:val="0"/>
                <w:sz w:val="24"/>
                <w:szCs w:val="24"/>
                <w:lang w:val="en-US" w:eastAsia="zh-CN"/>
              </w:rPr>
              <w:t>，在不采取任何措施情况下，单台设备施工时，昼间</w:t>
            </w:r>
            <w:r>
              <w:rPr>
                <w:rFonts w:hint="eastAsia" w:cs="Times New Roman"/>
                <w:snapToGrid/>
                <w:spacing w:val="0"/>
                <w:kern w:val="0"/>
                <w:sz w:val="24"/>
                <w:szCs w:val="24"/>
                <w:lang w:val="en-US" w:eastAsia="zh-CN"/>
              </w:rPr>
              <w:t>塔基</w:t>
            </w:r>
            <w:r>
              <w:rPr>
                <w:rFonts w:hint="default" w:ascii="Times New Roman" w:hAnsi="Times New Roman" w:eastAsia="宋体" w:cs="Times New Roman"/>
                <w:snapToGrid/>
                <w:spacing w:val="0"/>
                <w:kern w:val="0"/>
                <w:sz w:val="24"/>
                <w:szCs w:val="24"/>
                <w:lang w:val="en-US" w:eastAsia="zh-CN"/>
              </w:rPr>
              <w:t>基础开挖阶段，距离噪声源8m时才能达到建筑施工场界噪声限值；昼间</w:t>
            </w:r>
            <w:r>
              <w:rPr>
                <w:rFonts w:hint="eastAsia" w:cs="Times New Roman"/>
                <w:snapToGrid/>
                <w:spacing w:val="0"/>
                <w:kern w:val="0"/>
                <w:sz w:val="24"/>
                <w:szCs w:val="24"/>
                <w:lang w:val="en-US" w:eastAsia="zh-CN"/>
              </w:rPr>
              <w:t>塔基</w:t>
            </w:r>
            <w:r>
              <w:rPr>
                <w:rFonts w:hint="default" w:ascii="Times New Roman" w:hAnsi="Times New Roman" w:eastAsia="宋体" w:cs="Times New Roman"/>
                <w:snapToGrid/>
                <w:spacing w:val="0"/>
                <w:kern w:val="0"/>
                <w:sz w:val="24"/>
                <w:szCs w:val="24"/>
                <w:lang w:val="en-US" w:eastAsia="zh-CN"/>
              </w:rPr>
              <w:t>基础浇筑阶段，距混凝土捣振器噪声源25m时才能达到建筑施工场界噪声限值；距商砼搅拌车噪声源36m时才能达到建筑施工场界噪声限值。</w:t>
            </w:r>
          </w:p>
          <w:p w14:paraId="01B115FA">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输电线路塔基的施工场地一般为塔基根开外扩10m范围，为保证施工场界噪声达标，施工时可采取综合降噪措施，例如选择低噪声施工机械的同时在施工机械周边设置移动隔声屏障等，综合降噪量按照15dB(A</w:t>
            </w:r>
            <w:r>
              <w:rPr>
                <w:rFonts w:hint="eastAsia" w:cs="Times New Roman"/>
                <w:snapToGrid/>
                <w:spacing w:val="0"/>
                <w:kern w:val="0"/>
                <w:sz w:val="24"/>
                <w:szCs w:val="24"/>
                <w:lang w:val="en-US" w:eastAsia="zh-CN"/>
              </w:rPr>
              <w:t>）</w:t>
            </w:r>
            <w:r>
              <w:rPr>
                <w:rFonts w:hint="default" w:ascii="Times New Roman" w:hAnsi="Times New Roman" w:eastAsia="宋体" w:cs="Times New Roman"/>
                <w:snapToGrid/>
                <w:spacing w:val="0"/>
                <w:kern w:val="0"/>
                <w:sz w:val="24"/>
                <w:szCs w:val="24"/>
                <w:lang w:val="en-US" w:eastAsia="zh-CN"/>
              </w:rPr>
              <w:t>考虑的情况下，可确保施工场界达标。</w:t>
            </w:r>
          </w:p>
          <w:p w14:paraId="482F2450">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eastAsia" w:cs="Times New Roman"/>
                <w:snapToGrid/>
                <w:spacing w:val="0"/>
                <w:kern w:val="0"/>
                <w:sz w:val="24"/>
                <w:szCs w:val="24"/>
                <w:lang w:val="en-US" w:eastAsia="zh-CN"/>
              </w:rPr>
              <w:t>（3）声环境保护目标分析</w:t>
            </w:r>
          </w:p>
          <w:p w14:paraId="5904D8F5">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输电线路塔基施工时，在塔基施工场界处采取综合降噪措施情况下（综合降噪量按照15dB(A)考虑），塔基施工期间在保证施工场界达标的情况下，塔基施工期噪声预测，按照不利原则选择施工期间产生噪声影响最大的施工机械商砼搅拌车进行预测分析，夜间限制施工，因此只预测昼间施工噪声影响。计算结果见</w:t>
            </w:r>
            <w:r>
              <w:rPr>
                <w:rFonts w:hint="eastAsia" w:cs="Times New Roman"/>
                <w:snapToGrid/>
                <w:spacing w:val="0"/>
                <w:kern w:val="0"/>
                <w:sz w:val="24"/>
                <w:szCs w:val="24"/>
                <w:lang w:val="en-US" w:eastAsia="zh-CN"/>
              </w:rPr>
              <w:t>下表</w:t>
            </w:r>
            <w:r>
              <w:rPr>
                <w:rFonts w:hint="default" w:ascii="Times New Roman" w:hAnsi="Times New Roman" w:eastAsia="宋体" w:cs="Times New Roman"/>
                <w:snapToGrid/>
                <w:spacing w:val="0"/>
                <w:kern w:val="0"/>
                <w:sz w:val="24"/>
                <w:szCs w:val="24"/>
                <w:lang w:val="en-US" w:eastAsia="zh-CN"/>
              </w:rPr>
              <w:t>。</w:t>
            </w:r>
          </w:p>
          <w:p w14:paraId="221E3276">
            <w:pPr>
              <w:spacing w:line="240" w:lineRule="auto"/>
              <w:jc w:val="center"/>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表</w:t>
            </w:r>
            <w:r>
              <w:rPr>
                <w:rFonts w:hint="eastAsia" w:cs="Times New Roman"/>
                <w:b/>
                <w:bCs/>
                <w:sz w:val="21"/>
                <w:szCs w:val="21"/>
                <w:lang w:val="en-US" w:eastAsia="zh-CN"/>
              </w:rPr>
              <w:t>4-9</w:t>
            </w:r>
            <w:r>
              <w:rPr>
                <w:rFonts w:hint="eastAsia" w:ascii="Times New Roman" w:hAnsi="Times New Roman" w:eastAsia="宋体" w:cs="Times New Roman"/>
                <w:b/>
                <w:bCs/>
                <w:sz w:val="21"/>
                <w:szCs w:val="21"/>
                <w:lang w:val="en-US" w:eastAsia="zh-CN"/>
              </w:rPr>
              <w:t xml:space="preserve">  施工期</w:t>
            </w:r>
            <w:r>
              <w:rPr>
                <w:rFonts w:hint="eastAsia" w:cs="Times New Roman"/>
                <w:b/>
                <w:bCs/>
                <w:sz w:val="21"/>
                <w:szCs w:val="21"/>
                <w:lang w:val="en-US" w:eastAsia="zh-CN"/>
              </w:rPr>
              <w:t>输电线路沿线</w:t>
            </w:r>
            <w:r>
              <w:rPr>
                <w:rFonts w:hint="eastAsia" w:ascii="Times New Roman" w:hAnsi="Times New Roman" w:eastAsia="宋体" w:cs="Times New Roman"/>
                <w:b/>
                <w:bCs/>
                <w:sz w:val="21"/>
                <w:szCs w:val="21"/>
                <w:lang w:val="en-US" w:eastAsia="zh-CN"/>
              </w:rPr>
              <w:t>声环境保护目标处噪声预测值</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7"/>
              <w:gridCol w:w="1268"/>
              <w:gridCol w:w="1405"/>
              <w:gridCol w:w="872"/>
              <w:gridCol w:w="1514"/>
              <w:gridCol w:w="1282"/>
              <w:gridCol w:w="1123"/>
              <w:gridCol w:w="1125"/>
            </w:tblGrid>
            <w:tr w14:paraId="22147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20" w:type="pct"/>
                  <w:vMerge w:val="restart"/>
                  <w:vAlign w:val="center"/>
                </w:tcPr>
                <w:p w14:paraId="61BADF82">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序号</w:t>
                  </w:r>
                </w:p>
              </w:tc>
              <w:tc>
                <w:tcPr>
                  <w:tcW w:w="705" w:type="pct"/>
                  <w:vMerge w:val="restart"/>
                  <w:vAlign w:val="center"/>
                </w:tcPr>
                <w:p w14:paraId="3281833C">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保护目标名称</w:t>
                  </w:r>
                </w:p>
              </w:tc>
              <w:tc>
                <w:tcPr>
                  <w:tcW w:w="781" w:type="pct"/>
                  <w:vMerge w:val="restart"/>
                  <w:vAlign w:val="center"/>
                </w:tcPr>
                <w:p w14:paraId="181DAD94">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距塔基施工厂界距离（m）</w:t>
                  </w:r>
                </w:p>
              </w:tc>
              <w:tc>
                <w:tcPr>
                  <w:tcW w:w="2665" w:type="pct"/>
                  <w:gridSpan w:val="4"/>
                  <w:vAlign w:val="center"/>
                </w:tcPr>
                <w:p w14:paraId="19A5160C">
                  <w:pPr>
                    <w:jc w:val="center"/>
                    <w:rPr>
                      <w:rFonts w:hint="default" w:ascii="Times New Roman" w:hAnsi="Times New Roman" w:eastAsia="宋体" w:cs="Times New Roman"/>
                      <w:b/>
                      <w:bCs/>
                      <w:sz w:val="21"/>
                      <w:szCs w:val="21"/>
                    </w:rPr>
                  </w:pPr>
                  <w:r>
                    <w:rPr>
                      <w:rFonts w:hint="eastAsia" w:cs="Times New Roman"/>
                      <w:b/>
                      <w:bCs/>
                      <w:sz w:val="21"/>
                      <w:szCs w:val="21"/>
                      <w:lang w:val="en-US" w:eastAsia="zh-CN"/>
                    </w:rPr>
                    <w:t>噪声值（dB（A））</w:t>
                  </w:r>
                </w:p>
              </w:tc>
              <w:tc>
                <w:tcPr>
                  <w:tcW w:w="625" w:type="pct"/>
                  <w:vMerge w:val="restart"/>
                  <w:vAlign w:val="center"/>
                </w:tcPr>
                <w:p w14:paraId="211AA2E8">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达标情况</w:t>
                  </w:r>
                </w:p>
              </w:tc>
            </w:tr>
            <w:tr w14:paraId="592B6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220" w:type="pct"/>
                  <w:vMerge w:val="continue"/>
                  <w:vAlign w:val="center"/>
                </w:tcPr>
                <w:p w14:paraId="5775CEED">
                  <w:pPr>
                    <w:jc w:val="center"/>
                    <w:rPr>
                      <w:rFonts w:hint="default" w:ascii="Times New Roman" w:hAnsi="Times New Roman" w:eastAsia="宋体" w:cs="Times New Roman"/>
                      <w:sz w:val="21"/>
                      <w:szCs w:val="21"/>
                    </w:rPr>
                  </w:pPr>
                </w:p>
              </w:tc>
              <w:tc>
                <w:tcPr>
                  <w:tcW w:w="705" w:type="pct"/>
                  <w:vMerge w:val="continue"/>
                  <w:vAlign w:val="center"/>
                </w:tcPr>
                <w:p w14:paraId="4E0273D0">
                  <w:pPr>
                    <w:jc w:val="center"/>
                    <w:rPr>
                      <w:rFonts w:hint="default" w:ascii="Times New Roman" w:hAnsi="Times New Roman" w:eastAsia="宋体" w:cs="Times New Roman"/>
                      <w:sz w:val="21"/>
                      <w:szCs w:val="21"/>
                    </w:rPr>
                  </w:pPr>
                </w:p>
              </w:tc>
              <w:tc>
                <w:tcPr>
                  <w:tcW w:w="781" w:type="pct"/>
                  <w:vMerge w:val="continue"/>
                  <w:vAlign w:val="center"/>
                </w:tcPr>
                <w:p w14:paraId="6857FA2E">
                  <w:pPr>
                    <w:jc w:val="center"/>
                    <w:rPr>
                      <w:rFonts w:hint="default" w:ascii="Times New Roman" w:hAnsi="Times New Roman" w:eastAsia="宋体" w:cs="Times New Roman"/>
                      <w:sz w:val="21"/>
                      <w:szCs w:val="21"/>
                    </w:rPr>
                  </w:pPr>
                </w:p>
              </w:tc>
              <w:tc>
                <w:tcPr>
                  <w:tcW w:w="485" w:type="pct"/>
                  <w:vAlign w:val="center"/>
                </w:tcPr>
                <w:p w14:paraId="206E3D29">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贡献值</w:t>
                  </w:r>
                </w:p>
              </w:tc>
              <w:tc>
                <w:tcPr>
                  <w:tcW w:w="842" w:type="pct"/>
                  <w:vAlign w:val="center"/>
                </w:tcPr>
                <w:p w14:paraId="0F391F41">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现状监测值</w:t>
                  </w:r>
                </w:p>
              </w:tc>
              <w:tc>
                <w:tcPr>
                  <w:tcW w:w="713" w:type="pct"/>
                  <w:vAlign w:val="center"/>
                </w:tcPr>
                <w:p w14:paraId="5F24E4EC">
                  <w:pPr>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噪声预测值</w:t>
                  </w:r>
                </w:p>
              </w:tc>
              <w:tc>
                <w:tcPr>
                  <w:tcW w:w="624" w:type="pct"/>
                  <w:vAlign w:val="center"/>
                </w:tcPr>
                <w:p w14:paraId="533E7740">
                  <w:pPr>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标准值</w:t>
                  </w:r>
                </w:p>
              </w:tc>
              <w:tc>
                <w:tcPr>
                  <w:tcW w:w="625" w:type="pct"/>
                  <w:vMerge w:val="continue"/>
                  <w:vAlign w:val="center"/>
                </w:tcPr>
                <w:p w14:paraId="244EE414">
                  <w:pPr>
                    <w:jc w:val="center"/>
                    <w:rPr>
                      <w:rFonts w:hint="default" w:ascii="Times New Roman" w:hAnsi="Times New Roman" w:eastAsia="宋体" w:cs="Times New Roman"/>
                      <w:sz w:val="21"/>
                      <w:szCs w:val="21"/>
                    </w:rPr>
                  </w:pPr>
                </w:p>
              </w:tc>
            </w:tr>
            <w:tr w14:paraId="3D983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1232C411">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w:t>
                  </w:r>
                </w:p>
              </w:tc>
              <w:tc>
                <w:tcPr>
                  <w:tcW w:w="705" w:type="pct"/>
                  <w:vAlign w:val="center"/>
                </w:tcPr>
                <w:p w14:paraId="766D8A3E">
                  <w:pPr>
                    <w:jc w:val="center"/>
                    <w:rPr>
                      <w:rFonts w:hint="default" w:ascii="Times New Roman" w:hAnsi="Times New Roman" w:eastAsia="宋体" w:cs="Times New Roman"/>
                      <w:sz w:val="21"/>
                      <w:szCs w:val="21"/>
                    </w:rPr>
                  </w:pPr>
                  <w:r>
                    <w:rPr>
                      <w:rFonts w:hint="eastAsia" w:cs="Times New Roman"/>
                      <w:color w:val="auto"/>
                      <w:sz w:val="21"/>
                      <w:szCs w:val="21"/>
                      <w:lang w:val="en-US" w:eastAsia="zh-CN"/>
                    </w:rPr>
                    <w:t>金寨县古碑镇田家塆（其中1户已拆迁）</w:t>
                  </w:r>
                </w:p>
              </w:tc>
              <w:tc>
                <w:tcPr>
                  <w:tcW w:w="781" w:type="pct"/>
                  <w:vAlign w:val="center"/>
                </w:tcPr>
                <w:p w14:paraId="3F8BF700">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21</w:t>
                  </w:r>
                </w:p>
              </w:tc>
              <w:tc>
                <w:tcPr>
                  <w:tcW w:w="485" w:type="pct"/>
                  <w:vAlign w:val="center"/>
                </w:tcPr>
                <w:p w14:paraId="3378C2CD">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44.8</w:t>
                  </w:r>
                </w:p>
              </w:tc>
              <w:tc>
                <w:tcPr>
                  <w:tcW w:w="842" w:type="pct"/>
                  <w:vAlign w:val="center"/>
                </w:tcPr>
                <w:p w14:paraId="48E9E6D8">
                  <w:pPr>
                    <w:jc w:val="center"/>
                    <w:rPr>
                      <w:rFonts w:hint="default" w:ascii="Times New Roman" w:hAnsi="Times New Roman" w:eastAsia="宋体" w:cs="Times New Roman"/>
                      <w:sz w:val="21"/>
                      <w:szCs w:val="21"/>
                      <w:lang w:val="en-US"/>
                    </w:rPr>
                  </w:pPr>
                  <w:r>
                    <w:rPr>
                      <w:rFonts w:hint="eastAsia"/>
                      <w:lang w:val="en-US" w:eastAsia="zh-CN"/>
                    </w:rPr>
                    <w:t>45.6</w:t>
                  </w:r>
                </w:p>
              </w:tc>
              <w:tc>
                <w:tcPr>
                  <w:tcW w:w="713" w:type="pct"/>
                  <w:vAlign w:val="center"/>
                </w:tcPr>
                <w:p w14:paraId="5BD4A0DF">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46.6</w:t>
                  </w:r>
                </w:p>
              </w:tc>
              <w:tc>
                <w:tcPr>
                  <w:tcW w:w="624" w:type="pct"/>
                  <w:vAlign w:val="center"/>
                </w:tcPr>
                <w:p w14:paraId="667A9597">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625" w:type="pct"/>
                  <w:vAlign w:val="center"/>
                </w:tcPr>
                <w:p w14:paraId="40BD101B">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达标</w:t>
                  </w:r>
                </w:p>
              </w:tc>
            </w:tr>
            <w:tr w14:paraId="45FA5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3EFD5555">
                  <w:pPr>
                    <w:jc w:val="center"/>
                    <w:rPr>
                      <w:rFonts w:hint="default" w:cs="Times New Roman"/>
                      <w:sz w:val="21"/>
                      <w:szCs w:val="21"/>
                      <w:lang w:val="en-US" w:eastAsia="zh-CN"/>
                    </w:rPr>
                  </w:pPr>
                  <w:r>
                    <w:rPr>
                      <w:rFonts w:hint="eastAsia" w:cs="Times New Roman"/>
                      <w:sz w:val="21"/>
                      <w:szCs w:val="21"/>
                      <w:lang w:val="en-US" w:eastAsia="zh-CN"/>
                    </w:rPr>
                    <w:t>2</w:t>
                  </w:r>
                </w:p>
              </w:tc>
              <w:tc>
                <w:tcPr>
                  <w:tcW w:w="705" w:type="pct"/>
                  <w:vAlign w:val="center"/>
                </w:tcPr>
                <w:p w14:paraId="3349EA0A">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金寨县古碑镇袁家老屋</w:t>
                  </w:r>
                </w:p>
              </w:tc>
              <w:tc>
                <w:tcPr>
                  <w:tcW w:w="781" w:type="pct"/>
                  <w:vAlign w:val="center"/>
                </w:tcPr>
                <w:p w14:paraId="275E4515">
                  <w:pPr>
                    <w:jc w:val="center"/>
                    <w:rPr>
                      <w:rFonts w:hint="default" w:cs="Times New Roman"/>
                      <w:sz w:val="21"/>
                      <w:szCs w:val="21"/>
                      <w:lang w:val="en-US" w:eastAsia="zh-CN"/>
                    </w:rPr>
                  </w:pPr>
                  <w:r>
                    <w:rPr>
                      <w:rFonts w:hint="eastAsia" w:cs="Times New Roman"/>
                      <w:sz w:val="21"/>
                      <w:szCs w:val="21"/>
                      <w:lang w:val="en-US" w:eastAsia="zh-CN"/>
                    </w:rPr>
                    <w:t>13</w:t>
                  </w:r>
                </w:p>
              </w:tc>
              <w:tc>
                <w:tcPr>
                  <w:tcW w:w="485" w:type="pct"/>
                  <w:vAlign w:val="center"/>
                </w:tcPr>
                <w:p w14:paraId="03FB4462">
                  <w:pPr>
                    <w:jc w:val="center"/>
                    <w:rPr>
                      <w:rFonts w:hint="default" w:cs="Times New Roman"/>
                      <w:sz w:val="21"/>
                      <w:szCs w:val="21"/>
                      <w:lang w:val="en-US" w:eastAsia="zh-CN"/>
                    </w:rPr>
                  </w:pPr>
                  <w:r>
                    <w:rPr>
                      <w:rFonts w:hint="eastAsia" w:cs="Times New Roman"/>
                      <w:sz w:val="21"/>
                      <w:szCs w:val="21"/>
                      <w:lang w:val="en-US" w:eastAsia="zh-CN"/>
                    </w:rPr>
                    <w:t>45.0</w:t>
                  </w:r>
                </w:p>
              </w:tc>
              <w:tc>
                <w:tcPr>
                  <w:tcW w:w="842" w:type="pct"/>
                  <w:vAlign w:val="center"/>
                </w:tcPr>
                <w:p w14:paraId="098FD277">
                  <w:pPr>
                    <w:jc w:val="center"/>
                    <w:rPr>
                      <w:rFonts w:hint="default" w:eastAsia="宋体"/>
                      <w:lang w:val="en-US" w:eastAsia="zh-CN"/>
                    </w:rPr>
                  </w:pPr>
                  <w:r>
                    <w:rPr>
                      <w:rFonts w:hint="eastAsia"/>
                      <w:lang w:val="en-US" w:eastAsia="zh-CN"/>
                    </w:rPr>
                    <w:t>45.6</w:t>
                  </w:r>
                </w:p>
              </w:tc>
              <w:tc>
                <w:tcPr>
                  <w:tcW w:w="713" w:type="pct"/>
                  <w:vAlign w:val="center"/>
                </w:tcPr>
                <w:p w14:paraId="0C24FC55">
                  <w:pPr>
                    <w:jc w:val="center"/>
                    <w:rPr>
                      <w:rFonts w:hint="default" w:cs="Times New Roman"/>
                      <w:sz w:val="21"/>
                      <w:szCs w:val="21"/>
                      <w:lang w:val="en-US" w:eastAsia="zh-CN"/>
                    </w:rPr>
                  </w:pPr>
                  <w:r>
                    <w:rPr>
                      <w:rFonts w:hint="eastAsia" w:cs="Times New Roman"/>
                      <w:sz w:val="21"/>
                      <w:szCs w:val="21"/>
                      <w:lang w:val="en-US" w:eastAsia="zh-CN"/>
                    </w:rPr>
                    <w:t>46.7</w:t>
                  </w:r>
                </w:p>
              </w:tc>
              <w:tc>
                <w:tcPr>
                  <w:tcW w:w="624" w:type="pct"/>
                  <w:vAlign w:val="center"/>
                </w:tcPr>
                <w:p w14:paraId="3A81B316">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0DF22FCF">
                  <w:pPr>
                    <w:jc w:val="center"/>
                    <w:rPr>
                      <w:rFonts w:hint="eastAsia" w:cs="Times New Roman"/>
                      <w:sz w:val="21"/>
                      <w:szCs w:val="21"/>
                      <w:lang w:val="en-US" w:eastAsia="zh-CN"/>
                    </w:rPr>
                  </w:pPr>
                  <w:r>
                    <w:rPr>
                      <w:rFonts w:hint="eastAsia" w:cs="Times New Roman"/>
                      <w:sz w:val="21"/>
                      <w:szCs w:val="21"/>
                      <w:lang w:val="en-US" w:eastAsia="zh-CN"/>
                    </w:rPr>
                    <w:t>达标</w:t>
                  </w:r>
                </w:p>
              </w:tc>
            </w:tr>
            <w:tr w14:paraId="555AA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30278015">
                  <w:pPr>
                    <w:jc w:val="center"/>
                    <w:rPr>
                      <w:rFonts w:hint="default" w:cs="Times New Roman"/>
                      <w:sz w:val="21"/>
                      <w:szCs w:val="21"/>
                      <w:lang w:val="en-US" w:eastAsia="zh-CN"/>
                    </w:rPr>
                  </w:pPr>
                  <w:r>
                    <w:rPr>
                      <w:rFonts w:hint="eastAsia" w:cs="Times New Roman"/>
                      <w:sz w:val="21"/>
                      <w:szCs w:val="21"/>
                      <w:lang w:val="en-US" w:eastAsia="zh-CN"/>
                    </w:rPr>
                    <w:t>3</w:t>
                  </w:r>
                </w:p>
              </w:tc>
              <w:tc>
                <w:tcPr>
                  <w:tcW w:w="705" w:type="pct"/>
                  <w:vAlign w:val="center"/>
                </w:tcPr>
                <w:p w14:paraId="67C9A90D">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金寨县槐树湾乡笔架塆</w:t>
                  </w:r>
                </w:p>
              </w:tc>
              <w:tc>
                <w:tcPr>
                  <w:tcW w:w="781" w:type="pct"/>
                  <w:vAlign w:val="center"/>
                </w:tcPr>
                <w:p w14:paraId="01118138">
                  <w:pPr>
                    <w:jc w:val="center"/>
                    <w:rPr>
                      <w:rFonts w:hint="default" w:cs="Times New Roman"/>
                      <w:sz w:val="21"/>
                      <w:szCs w:val="21"/>
                      <w:lang w:val="en-US" w:eastAsia="zh-CN"/>
                    </w:rPr>
                  </w:pPr>
                  <w:r>
                    <w:rPr>
                      <w:rFonts w:hint="eastAsia" w:cs="Times New Roman"/>
                      <w:sz w:val="21"/>
                      <w:szCs w:val="21"/>
                      <w:lang w:val="en-US" w:eastAsia="zh-CN"/>
                    </w:rPr>
                    <w:t>7</w:t>
                  </w:r>
                </w:p>
              </w:tc>
              <w:tc>
                <w:tcPr>
                  <w:tcW w:w="485" w:type="pct"/>
                  <w:vAlign w:val="center"/>
                </w:tcPr>
                <w:p w14:paraId="7008159E">
                  <w:pPr>
                    <w:jc w:val="center"/>
                    <w:rPr>
                      <w:rFonts w:hint="default" w:cs="Times New Roman"/>
                      <w:sz w:val="21"/>
                      <w:szCs w:val="21"/>
                      <w:lang w:val="en-US" w:eastAsia="zh-CN"/>
                    </w:rPr>
                  </w:pPr>
                  <w:r>
                    <w:rPr>
                      <w:rFonts w:hint="eastAsia" w:cs="Times New Roman"/>
                      <w:sz w:val="21"/>
                      <w:szCs w:val="21"/>
                      <w:lang w:val="en-US" w:eastAsia="zh-CN"/>
                    </w:rPr>
                    <w:t>45.5</w:t>
                  </w:r>
                </w:p>
              </w:tc>
              <w:tc>
                <w:tcPr>
                  <w:tcW w:w="842" w:type="pct"/>
                  <w:vAlign w:val="center"/>
                </w:tcPr>
                <w:p w14:paraId="57FB4828">
                  <w:pPr>
                    <w:jc w:val="center"/>
                    <w:rPr>
                      <w:rFonts w:hint="default" w:eastAsia="宋体"/>
                      <w:lang w:val="en-US" w:eastAsia="zh-CN"/>
                    </w:rPr>
                  </w:pPr>
                  <w:r>
                    <w:rPr>
                      <w:rFonts w:hint="eastAsia"/>
                      <w:lang w:val="en-US" w:eastAsia="zh-CN"/>
                    </w:rPr>
                    <w:t>45.6</w:t>
                  </w:r>
                </w:p>
              </w:tc>
              <w:tc>
                <w:tcPr>
                  <w:tcW w:w="713" w:type="pct"/>
                  <w:vAlign w:val="center"/>
                </w:tcPr>
                <w:p w14:paraId="67740A31">
                  <w:pPr>
                    <w:jc w:val="center"/>
                    <w:rPr>
                      <w:rFonts w:hint="default" w:cs="Times New Roman"/>
                      <w:sz w:val="21"/>
                      <w:szCs w:val="21"/>
                      <w:lang w:val="en-US" w:eastAsia="zh-CN"/>
                    </w:rPr>
                  </w:pPr>
                  <w:r>
                    <w:rPr>
                      <w:rFonts w:hint="eastAsia" w:cs="Times New Roman"/>
                      <w:sz w:val="21"/>
                      <w:szCs w:val="21"/>
                      <w:lang w:val="en-US" w:eastAsia="zh-CN"/>
                    </w:rPr>
                    <w:t>48.6</w:t>
                  </w:r>
                </w:p>
              </w:tc>
              <w:tc>
                <w:tcPr>
                  <w:tcW w:w="624" w:type="pct"/>
                  <w:vAlign w:val="center"/>
                </w:tcPr>
                <w:p w14:paraId="47C8713B">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6BB35918">
                  <w:pPr>
                    <w:jc w:val="center"/>
                    <w:rPr>
                      <w:rFonts w:hint="eastAsia" w:cs="Times New Roman"/>
                      <w:sz w:val="21"/>
                      <w:szCs w:val="21"/>
                      <w:lang w:val="en-US" w:eastAsia="zh-CN"/>
                    </w:rPr>
                  </w:pPr>
                  <w:r>
                    <w:rPr>
                      <w:rFonts w:hint="eastAsia" w:cs="Times New Roman"/>
                      <w:sz w:val="21"/>
                      <w:szCs w:val="21"/>
                      <w:lang w:val="en-US" w:eastAsia="zh-CN"/>
                    </w:rPr>
                    <w:t>达标</w:t>
                  </w:r>
                </w:p>
              </w:tc>
            </w:tr>
            <w:tr w14:paraId="6A08A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674A0636">
                  <w:pPr>
                    <w:jc w:val="center"/>
                    <w:rPr>
                      <w:rFonts w:hint="eastAsia" w:cs="Times New Roman"/>
                      <w:sz w:val="21"/>
                      <w:szCs w:val="21"/>
                      <w:lang w:val="en-US" w:eastAsia="zh-CN"/>
                    </w:rPr>
                  </w:pPr>
                  <w:r>
                    <w:rPr>
                      <w:rFonts w:hint="eastAsia" w:cs="Times New Roman"/>
                      <w:sz w:val="21"/>
                      <w:szCs w:val="21"/>
                      <w:lang w:val="en-US" w:eastAsia="zh-CN"/>
                    </w:rPr>
                    <w:t>4</w:t>
                  </w:r>
                </w:p>
              </w:tc>
              <w:tc>
                <w:tcPr>
                  <w:tcW w:w="1268" w:type="dxa"/>
                  <w:vAlign w:val="center"/>
                </w:tcPr>
                <w:p w14:paraId="1EC3A5EE">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金寨县槐树湾乡姜家塆</w:t>
                  </w:r>
                </w:p>
              </w:tc>
              <w:tc>
                <w:tcPr>
                  <w:tcW w:w="781" w:type="pct"/>
                  <w:vAlign w:val="center"/>
                </w:tcPr>
                <w:p w14:paraId="6E72170C">
                  <w:pPr>
                    <w:jc w:val="center"/>
                    <w:rPr>
                      <w:rFonts w:hint="default" w:cs="Times New Roman"/>
                      <w:sz w:val="21"/>
                      <w:szCs w:val="21"/>
                      <w:lang w:val="en-US" w:eastAsia="zh-CN"/>
                    </w:rPr>
                  </w:pPr>
                  <w:r>
                    <w:rPr>
                      <w:rFonts w:hint="eastAsia" w:cs="Times New Roman"/>
                      <w:sz w:val="21"/>
                      <w:szCs w:val="21"/>
                      <w:lang w:val="en-US" w:eastAsia="zh-CN"/>
                    </w:rPr>
                    <w:t>102</w:t>
                  </w:r>
                </w:p>
              </w:tc>
              <w:tc>
                <w:tcPr>
                  <w:tcW w:w="485" w:type="pct"/>
                  <w:vAlign w:val="center"/>
                </w:tcPr>
                <w:p w14:paraId="50361FD8">
                  <w:pPr>
                    <w:jc w:val="center"/>
                    <w:rPr>
                      <w:rFonts w:hint="default" w:cs="Times New Roman"/>
                      <w:sz w:val="21"/>
                      <w:szCs w:val="21"/>
                      <w:lang w:val="en-US" w:eastAsia="zh-CN"/>
                    </w:rPr>
                  </w:pPr>
                  <w:r>
                    <w:rPr>
                      <w:rFonts w:hint="eastAsia" w:cs="Times New Roman"/>
                      <w:sz w:val="21"/>
                      <w:szCs w:val="21"/>
                      <w:lang w:val="en-US" w:eastAsia="zh-CN"/>
                    </w:rPr>
                    <w:t>37.2</w:t>
                  </w:r>
                </w:p>
              </w:tc>
              <w:tc>
                <w:tcPr>
                  <w:tcW w:w="842" w:type="pct"/>
                  <w:vAlign w:val="center"/>
                </w:tcPr>
                <w:p w14:paraId="49D0645D">
                  <w:pPr>
                    <w:jc w:val="center"/>
                    <w:rPr>
                      <w:rFonts w:hint="default"/>
                      <w:lang w:val="en-US" w:eastAsia="zh-CN"/>
                    </w:rPr>
                  </w:pPr>
                  <w:r>
                    <w:rPr>
                      <w:rFonts w:hint="eastAsia"/>
                      <w:lang w:val="en-US" w:eastAsia="zh-CN"/>
                    </w:rPr>
                    <w:t>45.6</w:t>
                  </w:r>
                </w:p>
              </w:tc>
              <w:tc>
                <w:tcPr>
                  <w:tcW w:w="713" w:type="pct"/>
                  <w:vAlign w:val="center"/>
                </w:tcPr>
                <w:p w14:paraId="2E217FBD">
                  <w:pPr>
                    <w:jc w:val="center"/>
                    <w:rPr>
                      <w:rFonts w:hint="default" w:cs="Times New Roman"/>
                      <w:sz w:val="21"/>
                      <w:szCs w:val="21"/>
                      <w:lang w:val="en-US" w:eastAsia="zh-CN"/>
                    </w:rPr>
                  </w:pPr>
                  <w:r>
                    <w:rPr>
                      <w:rFonts w:hint="eastAsia" w:cs="Times New Roman"/>
                      <w:sz w:val="21"/>
                      <w:szCs w:val="21"/>
                      <w:lang w:val="en-US" w:eastAsia="zh-CN"/>
                    </w:rPr>
                    <w:t>45.9</w:t>
                  </w:r>
                </w:p>
              </w:tc>
              <w:tc>
                <w:tcPr>
                  <w:tcW w:w="624" w:type="pct"/>
                  <w:vAlign w:val="center"/>
                </w:tcPr>
                <w:p w14:paraId="61006B53">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6EAFE04C">
                  <w:pPr>
                    <w:jc w:val="center"/>
                    <w:rPr>
                      <w:rFonts w:hint="eastAsia" w:cs="Times New Roman"/>
                      <w:sz w:val="21"/>
                      <w:szCs w:val="21"/>
                      <w:lang w:val="en-US" w:eastAsia="zh-CN"/>
                    </w:rPr>
                  </w:pPr>
                  <w:r>
                    <w:rPr>
                      <w:rFonts w:hint="eastAsia" w:cs="Times New Roman"/>
                      <w:sz w:val="21"/>
                      <w:szCs w:val="21"/>
                      <w:lang w:val="en-US" w:eastAsia="zh-CN"/>
                    </w:rPr>
                    <w:t>达标</w:t>
                  </w:r>
                </w:p>
              </w:tc>
            </w:tr>
            <w:tr w14:paraId="3F94A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7CCAF2B5">
                  <w:pPr>
                    <w:jc w:val="center"/>
                    <w:rPr>
                      <w:rFonts w:hint="eastAsia" w:cs="Times New Roman"/>
                      <w:sz w:val="21"/>
                      <w:szCs w:val="21"/>
                      <w:lang w:val="en-US" w:eastAsia="zh-CN"/>
                    </w:rPr>
                  </w:pPr>
                  <w:r>
                    <w:rPr>
                      <w:rFonts w:hint="eastAsia" w:cs="Times New Roman"/>
                      <w:sz w:val="21"/>
                      <w:szCs w:val="21"/>
                      <w:lang w:val="en-US" w:eastAsia="zh-CN"/>
                    </w:rPr>
                    <w:t>5</w:t>
                  </w:r>
                </w:p>
              </w:tc>
              <w:tc>
                <w:tcPr>
                  <w:tcW w:w="1268" w:type="dxa"/>
                  <w:vAlign w:val="center"/>
                </w:tcPr>
                <w:p w14:paraId="280919FF">
                  <w:pPr>
                    <w:jc w:val="center"/>
                    <w:rPr>
                      <w:rFonts w:hint="eastAsia" w:cs="Times New Roman"/>
                      <w:color w:val="auto"/>
                      <w:sz w:val="21"/>
                      <w:szCs w:val="21"/>
                      <w:lang w:val="en-US" w:eastAsia="zh-CN"/>
                    </w:rPr>
                  </w:pPr>
                  <w:r>
                    <w:rPr>
                      <w:rFonts w:hint="eastAsia" w:cs="Times New Roman"/>
                      <w:color w:val="auto"/>
                      <w:sz w:val="21"/>
                      <w:szCs w:val="21"/>
                      <w:highlight w:val="none"/>
                      <w:lang w:val="en-US" w:eastAsia="zh-CN"/>
                    </w:rPr>
                    <w:t>金寨县槐树湾乡程塆</w:t>
                  </w:r>
                </w:p>
              </w:tc>
              <w:tc>
                <w:tcPr>
                  <w:tcW w:w="781" w:type="pct"/>
                  <w:vAlign w:val="center"/>
                </w:tcPr>
                <w:p w14:paraId="21BD4FA7">
                  <w:pPr>
                    <w:jc w:val="center"/>
                    <w:rPr>
                      <w:rFonts w:hint="default" w:cs="Times New Roman"/>
                      <w:sz w:val="21"/>
                      <w:szCs w:val="21"/>
                      <w:lang w:val="en-US" w:eastAsia="zh-CN"/>
                    </w:rPr>
                  </w:pPr>
                  <w:r>
                    <w:rPr>
                      <w:rFonts w:hint="eastAsia" w:cs="Times New Roman"/>
                      <w:sz w:val="21"/>
                      <w:szCs w:val="21"/>
                      <w:lang w:val="en-US" w:eastAsia="zh-CN"/>
                    </w:rPr>
                    <w:t>39</w:t>
                  </w:r>
                </w:p>
              </w:tc>
              <w:tc>
                <w:tcPr>
                  <w:tcW w:w="485" w:type="pct"/>
                  <w:vAlign w:val="center"/>
                </w:tcPr>
                <w:p w14:paraId="7DE0D12B">
                  <w:pPr>
                    <w:jc w:val="center"/>
                    <w:rPr>
                      <w:rFonts w:hint="default" w:cs="Times New Roman"/>
                      <w:sz w:val="21"/>
                      <w:szCs w:val="21"/>
                      <w:lang w:val="en-US" w:eastAsia="zh-CN"/>
                    </w:rPr>
                  </w:pPr>
                  <w:r>
                    <w:rPr>
                      <w:rFonts w:hint="eastAsia" w:cs="Times New Roman"/>
                      <w:sz w:val="21"/>
                      <w:szCs w:val="21"/>
                      <w:lang w:val="en-US" w:eastAsia="zh-CN"/>
                    </w:rPr>
                    <w:t>43.9</w:t>
                  </w:r>
                </w:p>
              </w:tc>
              <w:tc>
                <w:tcPr>
                  <w:tcW w:w="842" w:type="pct"/>
                  <w:vAlign w:val="center"/>
                </w:tcPr>
                <w:p w14:paraId="33DD3222">
                  <w:pPr>
                    <w:jc w:val="center"/>
                    <w:rPr>
                      <w:rFonts w:hint="default"/>
                      <w:lang w:val="en-US" w:eastAsia="zh-CN"/>
                    </w:rPr>
                  </w:pPr>
                  <w:r>
                    <w:rPr>
                      <w:rFonts w:hint="eastAsia"/>
                      <w:lang w:val="en-US" w:eastAsia="zh-CN"/>
                    </w:rPr>
                    <w:t>45.6</w:t>
                  </w:r>
                </w:p>
              </w:tc>
              <w:tc>
                <w:tcPr>
                  <w:tcW w:w="713" w:type="pct"/>
                  <w:vAlign w:val="center"/>
                </w:tcPr>
                <w:p w14:paraId="2F330016">
                  <w:pPr>
                    <w:jc w:val="center"/>
                    <w:rPr>
                      <w:rFonts w:hint="default" w:cs="Times New Roman"/>
                      <w:sz w:val="21"/>
                      <w:szCs w:val="21"/>
                      <w:lang w:val="en-US" w:eastAsia="zh-CN"/>
                    </w:rPr>
                  </w:pPr>
                  <w:r>
                    <w:rPr>
                      <w:rFonts w:hint="eastAsia" w:cs="Times New Roman"/>
                      <w:sz w:val="21"/>
                      <w:szCs w:val="21"/>
                      <w:lang w:val="en-US" w:eastAsia="zh-CN"/>
                    </w:rPr>
                    <w:t>46.6</w:t>
                  </w:r>
                </w:p>
              </w:tc>
              <w:tc>
                <w:tcPr>
                  <w:tcW w:w="624" w:type="pct"/>
                  <w:vAlign w:val="center"/>
                </w:tcPr>
                <w:p w14:paraId="35A30620">
                  <w:pPr>
                    <w:jc w:val="center"/>
                    <w:rPr>
                      <w:rFonts w:hint="default" w:cs="Times New Roman"/>
                      <w:sz w:val="21"/>
                      <w:szCs w:val="21"/>
                      <w:lang w:val="en-US" w:eastAsia="zh-CN"/>
                    </w:rPr>
                  </w:pPr>
                  <w:r>
                    <w:rPr>
                      <w:rFonts w:hint="eastAsia" w:cs="Times New Roman"/>
                      <w:sz w:val="21"/>
                      <w:szCs w:val="21"/>
                      <w:lang w:val="en-US" w:eastAsia="zh-CN"/>
                    </w:rPr>
                    <w:t>55</w:t>
                  </w:r>
                </w:p>
              </w:tc>
              <w:tc>
                <w:tcPr>
                  <w:tcW w:w="625" w:type="pct"/>
                  <w:vAlign w:val="center"/>
                </w:tcPr>
                <w:p w14:paraId="3FE75557">
                  <w:pPr>
                    <w:jc w:val="center"/>
                    <w:rPr>
                      <w:rFonts w:hint="eastAsia" w:cs="Times New Roman"/>
                      <w:sz w:val="21"/>
                      <w:szCs w:val="21"/>
                      <w:lang w:val="en-US" w:eastAsia="zh-CN"/>
                    </w:rPr>
                  </w:pPr>
                  <w:r>
                    <w:rPr>
                      <w:rFonts w:hint="eastAsia" w:cs="Times New Roman"/>
                      <w:sz w:val="21"/>
                      <w:szCs w:val="21"/>
                      <w:lang w:val="en-US" w:eastAsia="zh-CN"/>
                    </w:rPr>
                    <w:t>达标</w:t>
                  </w:r>
                </w:p>
              </w:tc>
            </w:tr>
            <w:tr w14:paraId="4F22B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46D1884C">
                  <w:pPr>
                    <w:jc w:val="center"/>
                    <w:rPr>
                      <w:rFonts w:hint="default" w:cs="Times New Roman"/>
                      <w:sz w:val="21"/>
                      <w:szCs w:val="21"/>
                      <w:lang w:val="en-US" w:eastAsia="zh-CN"/>
                    </w:rPr>
                  </w:pPr>
                  <w:r>
                    <w:rPr>
                      <w:rFonts w:hint="eastAsia" w:cs="Times New Roman"/>
                      <w:sz w:val="21"/>
                      <w:szCs w:val="21"/>
                      <w:lang w:val="en-US" w:eastAsia="zh-CN"/>
                    </w:rPr>
                    <w:t>6</w:t>
                  </w:r>
                </w:p>
              </w:tc>
              <w:tc>
                <w:tcPr>
                  <w:tcW w:w="1268" w:type="dxa"/>
                  <w:vAlign w:val="center"/>
                </w:tcPr>
                <w:p w14:paraId="55D907B5">
                  <w:pPr>
                    <w:jc w:val="center"/>
                    <w:rPr>
                      <w:rFonts w:hint="default" w:cs="Times New Roman"/>
                      <w:color w:val="auto"/>
                      <w:sz w:val="21"/>
                      <w:szCs w:val="21"/>
                      <w:lang w:val="en-US" w:eastAsia="zh-CN"/>
                    </w:rPr>
                  </w:pPr>
                  <w:r>
                    <w:rPr>
                      <w:rFonts w:hint="eastAsia" w:cs="Times New Roman"/>
                      <w:color w:val="auto"/>
                      <w:sz w:val="21"/>
                      <w:szCs w:val="21"/>
                      <w:highlight w:val="none"/>
                      <w:lang w:val="en-US" w:eastAsia="zh-CN"/>
                    </w:rPr>
                    <w:t>金寨县槐树湾乡码头村</w:t>
                  </w:r>
                </w:p>
              </w:tc>
              <w:tc>
                <w:tcPr>
                  <w:tcW w:w="781" w:type="pct"/>
                  <w:vAlign w:val="center"/>
                </w:tcPr>
                <w:p w14:paraId="3C7E4953">
                  <w:pPr>
                    <w:jc w:val="center"/>
                    <w:rPr>
                      <w:rFonts w:hint="default" w:cs="Times New Roman"/>
                      <w:sz w:val="21"/>
                      <w:szCs w:val="21"/>
                      <w:lang w:val="en-US" w:eastAsia="zh-CN"/>
                    </w:rPr>
                  </w:pPr>
                  <w:r>
                    <w:rPr>
                      <w:rFonts w:hint="eastAsia" w:cs="Times New Roman"/>
                      <w:sz w:val="21"/>
                      <w:szCs w:val="21"/>
                      <w:lang w:val="en-US" w:eastAsia="zh-CN"/>
                    </w:rPr>
                    <w:t>65</w:t>
                  </w:r>
                </w:p>
              </w:tc>
              <w:tc>
                <w:tcPr>
                  <w:tcW w:w="485" w:type="pct"/>
                  <w:vAlign w:val="center"/>
                </w:tcPr>
                <w:p w14:paraId="228BB268">
                  <w:pPr>
                    <w:jc w:val="center"/>
                    <w:rPr>
                      <w:rFonts w:hint="default" w:cs="Times New Roman"/>
                      <w:sz w:val="21"/>
                      <w:szCs w:val="21"/>
                      <w:lang w:val="en-US" w:eastAsia="zh-CN"/>
                    </w:rPr>
                  </w:pPr>
                  <w:r>
                    <w:rPr>
                      <w:rFonts w:hint="eastAsia" w:cs="Times New Roman"/>
                      <w:sz w:val="21"/>
                      <w:szCs w:val="21"/>
                      <w:lang w:val="en-US" w:eastAsia="zh-CN"/>
                    </w:rPr>
                    <w:t>43.7</w:t>
                  </w:r>
                </w:p>
              </w:tc>
              <w:tc>
                <w:tcPr>
                  <w:tcW w:w="842" w:type="pct"/>
                  <w:vAlign w:val="center"/>
                </w:tcPr>
                <w:p w14:paraId="0BC26F49">
                  <w:pPr>
                    <w:jc w:val="center"/>
                    <w:rPr>
                      <w:rFonts w:hint="default"/>
                      <w:lang w:val="en-US" w:eastAsia="zh-CN"/>
                    </w:rPr>
                  </w:pPr>
                  <w:r>
                    <w:rPr>
                      <w:rFonts w:hint="eastAsia"/>
                      <w:lang w:val="en-US" w:eastAsia="zh-CN"/>
                    </w:rPr>
                    <w:t>45.6</w:t>
                  </w:r>
                </w:p>
              </w:tc>
              <w:tc>
                <w:tcPr>
                  <w:tcW w:w="713" w:type="pct"/>
                  <w:vAlign w:val="center"/>
                </w:tcPr>
                <w:p w14:paraId="33B79A26">
                  <w:pPr>
                    <w:jc w:val="center"/>
                    <w:rPr>
                      <w:rFonts w:hint="default" w:cs="Times New Roman"/>
                      <w:sz w:val="21"/>
                      <w:szCs w:val="21"/>
                      <w:lang w:val="en-US" w:eastAsia="zh-CN"/>
                    </w:rPr>
                  </w:pPr>
                  <w:r>
                    <w:rPr>
                      <w:rFonts w:hint="eastAsia" w:cs="Times New Roman"/>
                      <w:sz w:val="21"/>
                      <w:szCs w:val="21"/>
                      <w:lang w:val="en-US" w:eastAsia="zh-CN"/>
                    </w:rPr>
                    <w:t>48.4</w:t>
                  </w:r>
                </w:p>
              </w:tc>
              <w:tc>
                <w:tcPr>
                  <w:tcW w:w="1123" w:type="dxa"/>
                  <w:vAlign w:val="center"/>
                </w:tcPr>
                <w:p w14:paraId="58887363">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688ABAE9">
                  <w:pPr>
                    <w:jc w:val="center"/>
                    <w:rPr>
                      <w:rFonts w:hint="eastAsia" w:cs="Times New Roman"/>
                      <w:sz w:val="21"/>
                      <w:szCs w:val="21"/>
                      <w:lang w:val="en-US" w:eastAsia="zh-CN"/>
                    </w:rPr>
                  </w:pPr>
                  <w:r>
                    <w:rPr>
                      <w:rFonts w:hint="eastAsia" w:cs="Times New Roman"/>
                      <w:sz w:val="21"/>
                      <w:szCs w:val="21"/>
                      <w:lang w:val="en-US" w:eastAsia="zh-CN"/>
                    </w:rPr>
                    <w:t>达标</w:t>
                  </w:r>
                </w:p>
              </w:tc>
            </w:tr>
            <w:tr w14:paraId="2F15D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6EF13D59">
                  <w:pPr>
                    <w:jc w:val="center"/>
                    <w:rPr>
                      <w:rFonts w:hint="default" w:cs="Times New Roman"/>
                      <w:sz w:val="21"/>
                      <w:szCs w:val="21"/>
                      <w:lang w:val="en-US" w:eastAsia="zh-CN"/>
                    </w:rPr>
                  </w:pPr>
                  <w:r>
                    <w:rPr>
                      <w:rFonts w:hint="eastAsia" w:cs="Times New Roman"/>
                      <w:sz w:val="21"/>
                      <w:szCs w:val="21"/>
                      <w:lang w:val="en-US" w:eastAsia="zh-CN"/>
                    </w:rPr>
                    <w:t>7</w:t>
                  </w:r>
                </w:p>
              </w:tc>
              <w:tc>
                <w:tcPr>
                  <w:tcW w:w="705" w:type="pct"/>
                  <w:vAlign w:val="center"/>
                </w:tcPr>
                <w:p w14:paraId="79B027AE">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金寨县南溪镇曹畈村</w:t>
                  </w:r>
                </w:p>
              </w:tc>
              <w:tc>
                <w:tcPr>
                  <w:tcW w:w="781" w:type="pct"/>
                  <w:vAlign w:val="center"/>
                </w:tcPr>
                <w:p w14:paraId="2382EF57">
                  <w:pPr>
                    <w:jc w:val="center"/>
                    <w:rPr>
                      <w:rFonts w:hint="default" w:cs="Times New Roman"/>
                      <w:sz w:val="21"/>
                      <w:szCs w:val="21"/>
                      <w:lang w:val="en-US" w:eastAsia="zh-CN"/>
                    </w:rPr>
                  </w:pPr>
                  <w:r>
                    <w:rPr>
                      <w:rFonts w:hint="eastAsia" w:cs="Times New Roman"/>
                      <w:sz w:val="21"/>
                      <w:szCs w:val="21"/>
                      <w:lang w:val="en-US" w:eastAsia="zh-CN"/>
                    </w:rPr>
                    <w:t>12</w:t>
                  </w:r>
                </w:p>
              </w:tc>
              <w:tc>
                <w:tcPr>
                  <w:tcW w:w="485" w:type="pct"/>
                  <w:vAlign w:val="center"/>
                </w:tcPr>
                <w:p w14:paraId="0D32F8FC">
                  <w:pPr>
                    <w:jc w:val="center"/>
                    <w:rPr>
                      <w:rFonts w:hint="default" w:cs="Times New Roman"/>
                      <w:sz w:val="21"/>
                      <w:szCs w:val="21"/>
                      <w:lang w:val="en-US" w:eastAsia="zh-CN"/>
                    </w:rPr>
                  </w:pPr>
                  <w:r>
                    <w:rPr>
                      <w:rFonts w:hint="eastAsia" w:cs="Times New Roman"/>
                      <w:sz w:val="21"/>
                      <w:szCs w:val="21"/>
                      <w:lang w:val="en-US" w:eastAsia="zh-CN"/>
                    </w:rPr>
                    <w:t>45.1</w:t>
                  </w:r>
                </w:p>
              </w:tc>
              <w:tc>
                <w:tcPr>
                  <w:tcW w:w="842" w:type="pct"/>
                  <w:vAlign w:val="center"/>
                </w:tcPr>
                <w:p w14:paraId="2863375C">
                  <w:pPr>
                    <w:jc w:val="center"/>
                    <w:rPr>
                      <w:rFonts w:hint="default"/>
                      <w:lang w:val="en-US" w:eastAsia="zh-CN"/>
                    </w:rPr>
                  </w:pPr>
                  <w:r>
                    <w:rPr>
                      <w:rFonts w:hint="eastAsia"/>
                      <w:lang w:val="en-US" w:eastAsia="zh-CN"/>
                    </w:rPr>
                    <w:t>43.4</w:t>
                  </w:r>
                </w:p>
              </w:tc>
              <w:tc>
                <w:tcPr>
                  <w:tcW w:w="713" w:type="pct"/>
                  <w:vAlign w:val="center"/>
                </w:tcPr>
                <w:p w14:paraId="72586241">
                  <w:pPr>
                    <w:jc w:val="center"/>
                    <w:rPr>
                      <w:rFonts w:hint="default" w:cs="Times New Roman"/>
                      <w:sz w:val="21"/>
                      <w:szCs w:val="21"/>
                      <w:lang w:val="en-US" w:eastAsia="zh-CN"/>
                    </w:rPr>
                  </w:pPr>
                  <w:r>
                    <w:rPr>
                      <w:rFonts w:hint="eastAsia" w:cs="Times New Roman"/>
                      <w:sz w:val="21"/>
                      <w:szCs w:val="21"/>
                      <w:lang w:val="en-US" w:eastAsia="zh-CN"/>
                    </w:rPr>
                    <w:t>47.0</w:t>
                  </w:r>
                </w:p>
              </w:tc>
              <w:tc>
                <w:tcPr>
                  <w:tcW w:w="1123" w:type="dxa"/>
                  <w:vAlign w:val="center"/>
                </w:tcPr>
                <w:p w14:paraId="7C326ACB">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4121A6E7">
                  <w:pPr>
                    <w:jc w:val="center"/>
                    <w:rPr>
                      <w:rFonts w:hint="eastAsia" w:cs="Times New Roman"/>
                      <w:sz w:val="21"/>
                      <w:szCs w:val="21"/>
                      <w:lang w:val="en-US" w:eastAsia="zh-CN"/>
                    </w:rPr>
                  </w:pPr>
                  <w:r>
                    <w:rPr>
                      <w:rFonts w:hint="eastAsia" w:cs="Times New Roman"/>
                      <w:sz w:val="21"/>
                      <w:szCs w:val="21"/>
                      <w:lang w:val="en-US" w:eastAsia="zh-CN"/>
                    </w:rPr>
                    <w:t>达标</w:t>
                  </w:r>
                </w:p>
              </w:tc>
            </w:tr>
            <w:tr w14:paraId="64C31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1CD74C94">
                  <w:pPr>
                    <w:jc w:val="center"/>
                    <w:rPr>
                      <w:rFonts w:hint="default" w:cs="Times New Roman"/>
                      <w:sz w:val="21"/>
                      <w:szCs w:val="21"/>
                      <w:lang w:val="en-US" w:eastAsia="zh-CN"/>
                    </w:rPr>
                  </w:pPr>
                  <w:r>
                    <w:rPr>
                      <w:rFonts w:hint="eastAsia" w:cs="Times New Roman"/>
                      <w:sz w:val="21"/>
                      <w:szCs w:val="21"/>
                      <w:lang w:val="en-US" w:eastAsia="zh-CN"/>
                    </w:rPr>
                    <w:t>8</w:t>
                  </w:r>
                </w:p>
              </w:tc>
              <w:tc>
                <w:tcPr>
                  <w:tcW w:w="705" w:type="pct"/>
                  <w:vAlign w:val="center"/>
                </w:tcPr>
                <w:p w14:paraId="4633B895">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金寨县南溪镇上冲</w:t>
                  </w:r>
                </w:p>
              </w:tc>
              <w:tc>
                <w:tcPr>
                  <w:tcW w:w="781" w:type="pct"/>
                  <w:vAlign w:val="center"/>
                </w:tcPr>
                <w:p w14:paraId="5A556258">
                  <w:pPr>
                    <w:jc w:val="center"/>
                    <w:rPr>
                      <w:rFonts w:hint="default" w:cs="Times New Roman"/>
                      <w:sz w:val="21"/>
                      <w:szCs w:val="21"/>
                      <w:lang w:val="en-US" w:eastAsia="zh-CN"/>
                    </w:rPr>
                  </w:pPr>
                  <w:r>
                    <w:rPr>
                      <w:rFonts w:hint="eastAsia" w:cs="Times New Roman"/>
                      <w:sz w:val="21"/>
                      <w:szCs w:val="21"/>
                      <w:lang w:val="en-US" w:eastAsia="zh-CN"/>
                    </w:rPr>
                    <w:t>40</w:t>
                  </w:r>
                </w:p>
              </w:tc>
              <w:tc>
                <w:tcPr>
                  <w:tcW w:w="485" w:type="pct"/>
                  <w:vAlign w:val="center"/>
                </w:tcPr>
                <w:p w14:paraId="04378F91">
                  <w:pPr>
                    <w:jc w:val="center"/>
                    <w:rPr>
                      <w:rFonts w:hint="default" w:cs="Times New Roman"/>
                      <w:sz w:val="21"/>
                      <w:szCs w:val="21"/>
                      <w:lang w:val="en-US" w:eastAsia="zh-CN"/>
                    </w:rPr>
                  </w:pPr>
                  <w:r>
                    <w:rPr>
                      <w:rFonts w:hint="eastAsia" w:cs="Times New Roman"/>
                      <w:sz w:val="21"/>
                      <w:szCs w:val="21"/>
                      <w:lang w:val="en-US" w:eastAsia="zh-CN"/>
                    </w:rPr>
                    <w:t>44.1</w:t>
                  </w:r>
                </w:p>
              </w:tc>
              <w:tc>
                <w:tcPr>
                  <w:tcW w:w="842" w:type="pct"/>
                  <w:vAlign w:val="center"/>
                </w:tcPr>
                <w:p w14:paraId="0334D138">
                  <w:pPr>
                    <w:jc w:val="center"/>
                    <w:rPr>
                      <w:rFonts w:hint="default"/>
                      <w:lang w:val="en-US" w:eastAsia="zh-CN"/>
                    </w:rPr>
                  </w:pPr>
                  <w:r>
                    <w:rPr>
                      <w:rFonts w:hint="eastAsia"/>
                      <w:lang w:val="en-US" w:eastAsia="zh-CN"/>
                    </w:rPr>
                    <w:t>50.9</w:t>
                  </w:r>
                </w:p>
              </w:tc>
              <w:tc>
                <w:tcPr>
                  <w:tcW w:w="713" w:type="pct"/>
                  <w:vAlign w:val="center"/>
                </w:tcPr>
                <w:p w14:paraId="2B70873D">
                  <w:pPr>
                    <w:jc w:val="center"/>
                    <w:rPr>
                      <w:rFonts w:hint="default" w:cs="Times New Roman"/>
                      <w:sz w:val="21"/>
                      <w:szCs w:val="21"/>
                      <w:lang w:val="en-US" w:eastAsia="zh-CN"/>
                    </w:rPr>
                  </w:pPr>
                  <w:r>
                    <w:rPr>
                      <w:rFonts w:hint="eastAsia" w:cs="Times New Roman"/>
                      <w:sz w:val="21"/>
                      <w:szCs w:val="21"/>
                      <w:lang w:val="en-US" w:eastAsia="zh-CN"/>
                    </w:rPr>
                    <w:t>51.7</w:t>
                  </w:r>
                </w:p>
              </w:tc>
              <w:tc>
                <w:tcPr>
                  <w:tcW w:w="1123" w:type="dxa"/>
                  <w:vAlign w:val="center"/>
                </w:tcPr>
                <w:p w14:paraId="087FEDA9">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6B3FF343">
                  <w:pPr>
                    <w:jc w:val="center"/>
                    <w:rPr>
                      <w:rFonts w:hint="eastAsia" w:cs="Times New Roman"/>
                      <w:sz w:val="21"/>
                      <w:szCs w:val="21"/>
                      <w:lang w:val="en-US" w:eastAsia="zh-CN"/>
                    </w:rPr>
                  </w:pPr>
                  <w:r>
                    <w:rPr>
                      <w:rFonts w:hint="eastAsia" w:cs="Times New Roman"/>
                      <w:sz w:val="21"/>
                      <w:szCs w:val="21"/>
                      <w:lang w:val="en-US" w:eastAsia="zh-CN"/>
                    </w:rPr>
                    <w:t>达标</w:t>
                  </w:r>
                </w:p>
              </w:tc>
            </w:tr>
            <w:tr w14:paraId="0170C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603493F2">
                  <w:pPr>
                    <w:jc w:val="center"/>
                    <w:rPr>
                      <w:rFonts w:hint="default" w:cs="Times New Roman"/>
                      <w:sz w:val="21"/>
                      <w:szCs w:val="21"/>
                      <w:lang w:val="en-US" w:eastAsia="zh-CN"/>
                    </w:rPr>
                  </w:pPr>
                  <w:r>
                    <w:rPr>
                      <w:rFonts w:hint="eastAsia" w:cs="Times New Roman"/>
                      <w:sz w:val="21"/>
                      <w:szCs w:val="21"/>
                      <w:lang w:val="en-US" w:eastAsia="zh-CN"/>
                    </w:rPr>
                    <w:t>9</w:t>
                  </w:r>
                </w:p>
              </w:tc>
              <w:tc>
                <w:tcPr>
                  <w:tcW w:w="705" w:type="pct"/>
                  <w:vAlign w:val="center"/>
                </w:tcPr>
                <w:p w14:paraId="3B72C494">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金寨县南溪镇吕大院</w:t>
                  </w:r>
                </w:p>
              </w:tc>
              <w:tc>
                <w:tcPr>
                  <w:tcW w:w="781" w:type="pct"/>
                  <w:vAlign w:val="center"/>
                </w:tcPr>
                <w:p w14:paraId="549DB864">
                  <w:pPr>
                    <w:jc w:val="center"/>
                    <w:rPr>
                      <w:rFonts w:hint="default" w:cs="Times New Roman"/>
                      <w:sz w:val="21"/>
                      <w:szCs w:val="21"/>
                      <w:lang w:val="en-US" w:eastAsia="zh-CN"/>
                    </w:rPr>
                  </w:pPr>
                  <w:r>
                    <w:rPr>
                      <w:rFonts w:hint="eastAsia" w:cs="Times New Roman"/>
                      <w:sz w:val="21"/>
                      <w:szCs w:val="21"/>
                      <w:lang w:val="en-US" w:eastAsia="zh-CN"/>
                    </w:rPr>
                    <w:t>35</w:t>
                  </w:r>
                </w:p>
              </w:tc>
              <w:tc>
                <w:tcPr>
                  <w:tcW w:w="485" w:type="pct"/>
                  <w:vAlign w:val="center"/>
                </w:tcPr>
                <w:p w14:paraId="17E5E59F">
                  <w:pPr>
                    <w:jc w:val="center"/>
                    <w:rPr>
                      <w:rFonts w:hint="default" w:cs="Times New Roman"/>
                      <w:sz w:val="21"/>
                      <w:szCs w:val="21"/>
                      <w:lang w:val="en-US" w:eastAsia="zh-CN"/>
                    </w:rPr>
                  </w:pPr>
                  <w:r>
                    <w:rPr>
                      <w:rFonts w:hint="eastAsia" w:cs="Times New Roman"/>
                      <w:sz w:val="21"/>
                      <w:szCs w:val="21"/>
                      <w:lang w:val="en-US" w:eastAsia="zh-CN"/>
                    </w:rPr>
                    <w:t>44.1</w:t>
                  </w:r>
                </w:p>
              </w:tc>
              <w:tc>
                <w:tcPr>
                  <w:tcW w:w="842" w:type="pct"/>
                  <w:vAlign w:val="center"/>
                </w:tcPr>
                <w:p w14:paraId="5D819FBE">
                  <w:pPr>
                    <w:jc w:val="center"/>
                    <w:rPr>
                      <w:rFonts w:hint="default"/>
                      <w:lang w:val="en-US" w:eastAsia="zh-CN"/>
                    </w:rPr>
                  </w:pPr>
                  <w:r>
                    <w:rPr>
                      <w:rFonts w:hint="eastAsia"/>
                      <w:lang w:val="en-US" w:eastAsia="zh-CN"/>
                    </w:rPr>
                    <w:t>50.9</w:t>
                  </w:r>
                </w:p>
              </w:tc>
              <w:tc>
                <w:tcPr>
                  <w:tcW w:w="713" w:type="pct"/>
                  <w:vAlign w:val="center"/>
                </w:tcPr>
                <w:p w14:paraId="0DF6E557">
                  <w:pPr>
                    <w:jc w:val="center"/>
                    <w:rPr>
                      <w:rFonts w:hint="default" w:cs="Times New Roman"/>
                      <w:sz w:val="21"/>
                      <w:szCs w:val="21"/>
                      <w:lang w:val="en-US" w:eastAsia="zh-CN"/>
                    </w:rPr>
                  </w:pPr>
                  <w:r>
                    <w:rPr>
                      <w:rFonts w:hint="eastAsia" w:cs="Times New Roman"/>
                      <w:sz w:val="21"/>
                      <w:szCs w:val="21"/>
                      <w:lang w:val="en-US" w:eastAsia="zh-CN"/>
                    </w:rPr>
                    <w:t>51.7</w:t>
                  </w:r>
                </w:p>
              </w:tc>
              <w:tc>
                <w:tcPr>
                  <w:tcW w:w="1123" w:type="dxa"/>
                  <w:vAlign w:val="center"/>
                </w:tcPr>
                <w:p w14:paraId="19E5033D">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0D76C2AC">
                  <w:pPr>
                    <w:jc w:val="center"/>
                    <w:rPr>
                      <w:rFonts w:hint="eastAsia" w:cs="Times New Roman"/>
                      <w:sz w:val="21"/>
                      <w:szCs w:val="21"/>
                      <w:lang w:val="en-US" w:eastAsia="zh-CN"/>
                    </w:rPr>
                  </w:pPr>
                  <w:r>
                    <w:rPr>
                      <w:rFonts w:hint="eastAsia" w:cs="Times New Roman"/>
                      <w:sz w:val="21"/>
                      <w:szCs w:val="21"/>
                      <w:lang w:val="en-US" w:eastAsia="zh-CN"/>
                    </w:rPr>
                    <w:t>达标</w:t>
                  </w:r>
                </w:p>
              </w:tc>
            </w:tr>
            <w:tr w14:paraId="62949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4E4833A6">
                  <w:pPr>
                    <w:jc w:val="center"/>
                    <w:rPr>
                      <w:rFonts w:hint="default" w:cs="Times New Roman"/>
                      <w:sz w:val="21"/>
                      <w:szCs w:val="21"/>
                      <w:lang w:val="en-US" w:eastAsia="zh-CN"/>
                    </w:rPr>
                  </w:pPr>
                  <w:r>
                    <w:rPr>
                      <w:rFonts w:hint="eastAsia" w:cs="Times New Roman"/>
                      <w:sz w:val="21"/>
                      <w:szCs w:val="21"/>
                      <w:lang w:val="en-US" w:eastAsia="zh-CN"/>
                    </w:rPr>
                    <w:t>10</w:t>
                  </w:r>
                </w:p>
              </w:tc>
              <w:tc>
                <w:tcPr>
                  <w:tcW w:w="705" w:type="pct"/>
                  <w:vAlign w:val="center"/>
                </w:tcPr>
                <w:p w14:paraId="302B8FFC">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金寨县南溪镇石林沟</w:t>
                  </w:r>
                </w:p>
              </w:tc>
              <w:tc>
                <w:tcPr>
                  <w:tcW w:w="781" w:type="pct"/>
                  <w:vAlign w:val="center"/>
                </w:tcPr>
                <w:p w14:paraId="1B8B1438">
                  <w:pPr>
                    <w:jc w:val="center"/>
                    <w:rPr>
                      <w:rFonts w:hint="default" w:cs="Times New Roman"/>
                      <w:sz w:val="21"/>
                      <w:szCs w:val="21"/>
                      <w:lang w:val="en-US" w:eastAsia="zh-CN"/>
                    </w:rPr>
                  </w:pPr>
                  <w:r>
                    <w:rPr>
                      <w:rFonts w:hint="eastAsia" w:cs="Times New Roman"/>
                      <w:sz w:val="21"/>
                      <w:szCs w:val="21"/>
                      <w:lang w:val="en-US" w:eastAsia="zh-CN"/>
                    </w:rPr>
                    <w:t>23</w:t>
                  </w:r>
                </w:p>
              </w:tc>
              <w:tc>
                <w:tcPr>
                  <w:tcW w:w="485" w:type="pct"/>
                  <w:vAlign w:val="center"/>
                </w:tcPr>
                <w:p w14:paraId="558C1B9C">
                  <w:pPr>
                    <w:jc w:val="center"/>
                    <w:rPr>
                      <w:rFonts w:hint="default" w:cs="Times New Roman"/>
                      <w:sz w:val="21"/>
                      <w:szCs w:val="21"/>
                      <w:lang w:val="en-US" w:eastAsia="zh-CN"/>
                    </w:rPr>
                  </w:pPr>
                  <w:r>
                    <w:rPr>
                      <w:rFonts w:hint="eastAsia" w:cs="Times New Roman"/>
                      <w:sz w:val="21"/>
                      <w:szCs w:val="21"/>
                      <w:lang w:val="en-US" w:eastAsia="zh-CN"/>
                    </w:rPr>
                    <w:t>44.2</w:t>
                  </w:r>
                </w:p>
              </w:tc>
              <w:tc>
                <w:tcPr>
                  <w:tcW w:w="842" w:type="pct"/>
                  <w:vAlign w:val="center"/>
                </w:tcPr>
                <w:p w14:paraId="7F2A038F">
                  <w:pPr>
                    <w:jc w:val="center"/>
                    <w:rPr>
                      <w:rFonts w:hint="default"/>
                      <w:lang w:val="en-US" w:eastAsia="zh-CN"/>
                    </w:rPr>
                  </w:pPr>
                  <w:r>
                    <w:rPr>
                      <w:rFonts w:hint="eastAsia"/>
                      <w:lang w:val="en-US" w:eastAsia="zh-CN"/>
                    </w:rPr>
                    <w:t>50.9</w:t>
                  </w:r>
                </w:p>
              </w:tc>
              <w:tc>
                <w:tcPr>
                  <w:tcW w:w="713" w:type="pct"/>
                  <w:vAlign w:val="center"/>
                </w:tcPr>
                <w:p w14:paraId="331E30CD">
                  <w:pPr>
                    <w:jc w:val="center"/>
                    <w:rPr>
                      <w:rFonts w:hint="default" w:cs="Times New Roman"/>
                      <w:sz w:val="21"/>
                      <w:szCs w:val="21"/>
                      <w:lang w:val="en-US" w:eastAsia="zh-CN"/>
                    </w:rPr>
                  </w:pPr>
                  <w:r>
                    <w:rPr>
                      <w:rFonts w:hint="eastAsia" w:cs="Times New Roman"/>
                      <w:sz w:val="21"/>
                      <w:szCs w:val="21"/>
                      <w:lang w:val="en-US" w:eastAsia="zh-CN"/>
                    </w:rPr>
                    <w:t>51.7</w:t>
                  </w:r>
                </w:p>
              </w:tc>
              <w:tc>
                <w:tcPr>
                  <w:tcW w:w="1123" w:type="dxa"/>
                  <w:vAlign w:val="center"/>
                </w:tcPr>
                <w:p w14:paraId="544C9541">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368E6351">
                  <w:pPr>
                    <w:jc w:val="center"/>
                    <w:rPr>
                      <w:rFonts w:hint="eastAsia" w:cs="Times New Roman"/>
                      <w:sz w:val="21"/>
                      <w:szCs w:val="21"/>
                      <w:lang w:val="en-US" w:eastAsia="zh-CN"/>
                    </w:rPr>
                  </w:pPr>
                  <w:r>
                    <w:rPr>
                      <w:rFonts w:hint="eastAsia" w:cs="Times New Roman"/>
                      <w:sz w:val="21"/>
                      <w:szCs w:val="21"/>
                      <w:lang w:val="en-US" w:eastAsia="zh-CN"/>
                    </w:rPr>
                    <w:t>达标</w:t>
                  </w:r>
                </w:p>
              </w:tc>
            </w:tr>
            <w:tr w14:paraId="470B8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0CC293A0">
                  <w:pPr>
                    <w:jc w:val="center"/>
                    <w:rPr>
                      <w:rFonts w:hint="default" w:cs="Times New Roman"/>
                      <w:sz w:val="21"/>
                      <w:szCs w:val="21"/>
                      <w:lang w:val="en-US" w:eastAsia="zh-CN"/>
                    </w:rPr>
                  </w:pPr>
                  <w:r>
                    <w:rPr>
                      <w:rFonts w:hint="eastAsia" w:cs="Times New Roman"/>
                      <w:sz w:val="21"/>
                      <w:szCs w:val="21"/>
                      <w:lang w:val="en-US" w:eastAsia="zh-CN"/>
                    </w:rPr>
                    <w:t>11</w:t>
                  </w:r>
                </w:p>
              </w:tc>
              <w:tc>
                <w:tcPr>
                  <w:tcW w:w="705" w:type="pct"/>
                  <w:vAlign w:val="center"/>
                </w:tcPr>
                <w:p w14:paraId="18F7E7E1">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金寨县南溪镇小里湾</w:t>
                  </w:r>
                </w:p>
              </w:tc>
              <w:tc>
                <w:tcPr>
                  <w:tcW w:w="781" w:type="pct"/>
                  <w:vAlign w:val="center"/>
                </w:tcPr>
                <w:p w14:paraId="3DBA708F">
                  <w:pPr>
                    <w:jc w:val="center"/>
                    <w:rPr>
                      <w:rFonts w:hint="default" w:cs="Times New Roman"/>
                      <w:sz w:val="21"/>
                      <w:szCs w:val="21"/>
                      <w:lang w:val="en-US" w:eastAsia="zh-CN"/>
                    </w:rPr>
                  </w:pPr>
                  <w:r>
                    <w:rPr>
                      <w:rFonts w:hint="eastAsia" w:cs="Times New Roman"/>
                      <w:sz w:val="21"/>
                      <w:szCs w:val="21"/>
                      <w:lang w:val="en-US" w:eastAsia="zh-CN"/>
                    </w:rPr>
                    <w:t>183</w:t>
                  </w:r>
                </w:p>
              </w:tc>
              <w:tc>
                <w:tcPr>
                  <w:tcW w:w="485" w:type="pct"/>
                  <w:vAlign w:val="center"/>
                </w:tcPr>
                <w:p w14:paraId="666F857E">
                  <w:pPr>
                    <w:jc w:val="center"/>
                    <w:rPr>
                      <w:rFonts w:hint="default" w:cs="Times New Roman"/>
                      <w:sz w:val="21"/>
                      <w:szCs w:val="21"/>
                      <w:lang w:val="en-US" w:eastAsia="zh-CN"/>
                    </w:rPr>
                  </w:pPr>
                  <w:r>
                    <w:rPr>
                      <w:rFonts w:hint="eastAsia" w:cs="Times New Roman"/>
                      <w:sz w:val="21"/>
                      <w:szCs w:val="21"/>
                      <w:lang w:val="en-US" w:eastAsia="zh-CN"/>
                    </w:rPr>
                    <w:t>36.5</w:t>
                  </w:r>
                </w:p>
              </w:tc>
              <w:tc>
                <w:tcPr>
                  <w:tcW w:w="842" w:type="pct"/>
                  <w:vAlign w:val="center"/>
                </w:tcPr>
                <w:p w14:paraId="0D5AA8C7">
                  <w:pPr>
                    <w:jc w:val="center"/>
                    <w:rPr>
                      <w:rFonts w:hint="default"/>
                      <w:lang w:val="en-US" w:eastAsia="zh-CN"/>
                    </w:rPr>
                  </w:pPr>
                  <w:r>
                    <w:rPr>
                      <w:rFonts w:hint="eastAsia"/>
                      <w:lang w:val="en-US" w:eastAsia="zh-CN"/>
                    </w:rPr>
                    <w:t>50.9</w:t>
                  </w:r>
                </w:p>
              </w:tc>
              <w:tc>
                <w:tcPr>
                  <w:tcW w:w="713" w:type="pct"/>
                  <w:vAlign w:val="center"/>
                </w:tcPr>
                <w:p w14:paraId="59D7F1F9">
                  <w:pPr>
                    <w:jc w:val="center"/>
                    <w:rPr>
                      <w:rFonts w:hint="default" w:cs="Times New Roman"/>
                      <w:sz w:val="21"/>
                      <w:szCs w:val="21"/>
                      <w:lang w:val="en-US" w:eastAsia="zh-CN"/>
                    </w:rPr>
                  </w:pPr>
                  <w:r>
                    <w:rPr>
                      <w:rFonts w:hint="eastAsia" w:cs="Times New Roman"/>
                      <w:sz w:val="21"/>
                      <w:szCs w:val="21"/>
                      <w:lang w:val="en-US" w:eastAsia="zh-CN"/>
                    </w:rPr>
                    <w:t>50.9</w:t>
                  </w:r>
                </w:p>
              </w:tc>
              <w:tc>
                <w:tcPr>
                  <w:tcW w:w="1123" w:type="dxa"/>
                  <w:vAlign w:val="center"/>
                </w:tcPr>
                <w:p w14:paraId="0DE3CEBF">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2A2BC988">
                  <w:pPr>
                    <w:jc w:val="center"/>
                    <w:rPr>
                      <w:rFonts w:hint="eastAsia" w:cs="Times New Roman"/>
                      <w:sz w:val="21"/>
                      <w:szCs w:val="21"/>
                      <w:lang w:val="en-US" w:eastAsia="zh-CN"/>
                    </w:rPr>
                  </w:pPr>
                  <w:r>
                    <w:rPr>
                      <w:rFonts w:hint="eastAsia" w:cs="Times New Roman"/>
                      <w:sz w:val="21"/>
                      <w:szCs w:val="21"/>
                      <w:lang w:val="en-US" w:eastAsia="zh-CN"/>
                    </w:rPr>
                    <w:t>达标</w:t>
                  </w:r>
                </w:p>
              </w:tc>
            </w:tr>
            <w:tr w14:paraId="26763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5F32AD58">
                  <w:pPr>
                    <w:jc w:val="center"/>
                    <w:rPr>
                      <w:rFonts w:hint="default" w:cs="Times New Roman"/>
                      <w:sz w:val="21"/>
                      <w:szCs w:val="21"/>
                      <w:lang w:val="en-US" w:eastAsia="zh-CN"/>
                    </w:rPr>
                  </w:pPr>
                  <w:r>
                    <w:rPr>
                      <w:rFonts w:hint="eastAsia" w:cs="Times New Roman"/>
                      <w:sz w:val="21"/>
                      <w:szCs w:val="21"/>
                      <w:lang w:val="en-US" w:eastAsia="zh-CN"/>
                    </w:rPr>
                    <w:t>12</w:t>
                  </w:r>
                </w:p>
              </w:tc>
              <w:tc>
                <w:tcPr>
                  <w:tcW w:w="705" w:type="pct"/>
                  <w:vAlign w:val="center"/>
                </w:tcPr>
                <w:p w14:paraId="731AB83E">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金寨县南溪镇麦岭</w:t>
                  </w:r>
                </w:p>
              </w:tc>
              <w:tc>
                <w:tcPr>
                  <w:tcW w:w="781" w:type="pct"/>
                  <w:vAlign w:val="center"/>
                </w:tcPr>
                <w:p w14:paraId="79A84794">
                  <w:pPr>
                    <w:jc w:val="center"/>
                    <w:rPr>
                      <w:rFonts w:hint="default" w:cs="Times New Roman"/>
                      <w:sz w:val="21"/>
                      <w:szCs w:val="21"/>
                      <w:lang w:val="en-US" w:eastAsia="zh-CN"/>
                    </w:rPr>
                  </w:pPr>
                  <w:r>
                    <w:rPr>
                      <w:rFonts w:hint="eastAsia" w:cs="Times New Roman"/>
                      <w:sz w:val="21"/>
                      <w:szCs w:val="21"/>
                      <w:lang w:val="en-US" w:eastAsia="zh-CN"/>
                    </w:rPr>
                    <w:t>43</w:t>
                  </w:r>
                </w:p>
              </w:tc>
              <w:tc>
                <w:tcPr>
                  <w:tcW w:w="485" w:type="pct"/>
                  <w:vAlign w:val="center"/>
                </w:tcPr>
                <w:p w14:paraId="67F60E50">
                  <w:pPr>
                    <w:jc w:val="center"/>
                    <w:rPr>
                      <w:rFonts w:hint="default" w:cs="Times New Roman"/>
                      <w:sz w:val="21"/>
                      <w:szCs w:val="21"/>
                      <w:lang w:val="en-US" w:eastAsia="zh-CN"/>
                    </w:rPr>
                  </w:pPr>
                  <w:r>
                    <w:rPr>
                      <w:rFonts w:hint="eastAsia" w:cs="Times New Roman"/>
                      <w:sz w:val="21"/>
                      <w:szCs w:val="21"/>
                      <w:lang w:val="en-US" w:eastAsia="zh-CN"/>
                    </w:rPr>
                    <w:t>44.0</w:t>
                  </w:r>
                </w:p>
              </w:tc>
              <w:tc>
                <w:tcPr>
                  <w:tcW w:w="842" w:type="pct"/>
                  <w:vAlign w:val="center"/>
                </w:tcPr>
                <w:p w14:paraId="21395DBE">
                  <w:pPr>
                    <w:jc w:val="center"/>
                    <w:rPr>
                      <w:rFonts w:hint="default"/>
                      <w:lang w:val="en-US" w:eastAsia="zh-CN"/>
                    </w:rPr>
                  </w:pPr>
                  <w:r>
                    <w:rPr>
                      <w:rFonts w:hint="eastAsia"/>
                      <w:lang w:val="en-US" w:eastAsia="zh-CN"/>
                    </w:rPr>
                    <w:t>49.7</w:t>
                  </w:r>
                </w:p>
              </w:tc>
              <w:tc>
                <w:tcPr>
                  <w:tcW w:w="713" w:type="pct"/>
                  <w:vAlign w:val="center"/>
                </w:tcPr>
                <w:p w14:paraId="630A2841">
                  <w:pPr>
                    <w:jc w:val="center"/>
                    <w:rPr>
                      <w:rFonts w:hint="default" w:cs="Times New Roman"/>
                      <w:sz w:val="21"/>
                      <w:szCs w:val="21"/>
                      <w:lang w:val="en-US" w:eastAsia="zh-CN"/>
                    </w:rPr>
                  </w:pPr>
                  <w:r>
                    <w:rPr>
                      <w:rFonts w:hint="eastAsia" w:cs="Times New Roman"/>
                      <w:sz w:val="21"/>
                      <w:szCs w:val="21"/>
                      <w:lang w:val="en-US" w:eastAsia="zh-CN"/>
                    </w:rPr>
                    <w:t>50.6</w:t>
                  </w:r>
                </w:p>
              </w:tc>
              <w:tc>
                <w:tcPr>
                  <w:tcW w:w="1123" w:type="dxa"/>
                  <w:vAlign w:val="center"/>
                </w:tcPr>
                <w:p w14:paraId="4AF8FBB8">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23214CCE">
                  <w:pPr>
                    <w:jc w:val="center"/>
                    <w:rPr>
                      <w:rFonts w:hint="eastAsia" w:cs="Times New Roman"/>
                      <w:sz w:val="21"/>
                      <w:szCs w:val="21"/>
                      <w:lang w:val="en-US" w:eastAsia="zh-CN"/>
                    </w:rPr>
                  </w:pPr>
                  <w:r>
                    <w:rPr>
                      <w:rFonts w:hint="eastAsia" w:cs="Times New Roman"/>
                      <w:sz w:val="21"/>
                      <w:szCs w:val="21"/>
                      <w:lang w:val="en-US" w:eastAsia="zh-CN"/>
                    </w:rPr>
                    <w:t>达标</w:t>
                  </w:r>
                </w:p>
              </w:tc>
            </w:tr>
            <w:tr w14:paraId="61C20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692202B1">
                  <w:pPr>
                    <w:jc w:val="center"/>
                    <w:rPr>
                      <w:rFonts w:hint="default" w:cs="Times New Roman"/>
                      <w:sz w:val="21"/>
                      <w:szCs w:val="21"/>
                      <w:lang w:val="en-US" w:eastAsia="zh-CN"/>
                    </w:rPr>
                  </w:pPr>
                  <w:r>
                    <w:rPr>
                      <w:rFonts w:hint="eastAsia" w:cs="Times New Roman"/>
                      <w:sz w:val="21"/>
                      <w:szCs w:val="21"/>
                      <w:lang w:val="en-US" w:eastAsia="zh-CN"/>
                    </w:rPr>
                    <w:t>13</w:t>
                  </w:r>
                </w:p>
              </w:tc>
              <w:tc>
                <w:tcPr>
                  <w:tcW w:w="705" w:type="pct"/>
                  <w:vAlign w:val="center"/>
                </w:tcPr>
                <w:p w14:paraId="7321AD06">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金寨县南溪镇凉水井</w:t>
                  </w:r>
                </w:p>
              </w:tc>
              <w:tc>
                <w:tcPr>
                  <w:tcW w:w="781" w:type="pct"/>
                  <w:vAlign w:val="center"/>
                </w:tcPr>
                <w:p w14:paraId="2766F783">
                  <w:pPr>
                    <w:jc w:val="center"/>
                    <w:rPr>
                      <w:rFonts w:hint="default" w:cs="Times New Roman"/>
                      <w:sz w:val="21"/>
                      <w:szCs w:val="21"/>
                      <w:lang w:val="en-US" w:eastAsia="zh-CN"/>
                    </w:rPr>
                  </w:pPr>
                  <w:r>
                    <w:rPr>
                      <w:rFonts w:hint="eastAsia" w:cs="Times New Roman"/>
                      <w:sz w:val="21"/>
                      <w:szCs w:val="21"/>
                      <w:lang w:val="en-US" w:eastAsia="zh-CN"/>
                    </w:rPr>
                    <w:t>164</w:t>
                  </w:r>
                </w:p>
              </w:tc>
              <w:tc>
                <w:tcPr>
                  <w:tcW w:w="485" w:type="pct"/>
                  <w:vAlign w:val="center"/>
                </w:tcPr>
                <w:p w14:paraId="2B443E6F">
                  <w:pPr>
                    <w:jc w:val="center"/>
                    <w:rPr>
                      <w:rFonts w:hint="default" w:cs="Times New Roman"/>
                      <w:sz w:val="21"/>
                      <w:szCs w:val="21"/>
                      <w:lang w:val="en-US" w:eastAsia="zh-CN"/>
                    </w:rPr>
                  </w:pPr>
                  <w:r>
                    <w:rPr>
                      <w:rFonts w:hint="eastAsia" w:cs="Times New Roman"/>
                      <w:sz w:val="21"/>
                      <w:szCs w:val="21"/>
                      <w:lang w:val="en-US" w:eastAsia="zh-CN"/>
                    </w:rPr>
                    <w:t>38.5</w:t>
                  </w:r>
                </w:p>
              </w:tc>
              <w:tc>
                <w:tcPr>
                  <w:tcW w:w="842" w:type="pct"/>
                  <w:vAlign w:val="center"/>
                </w:tcPr>
                <w:p w14:paraId="2FE69EBB">
                  <w:pPr>
                    <w:jc w:val="center"/>
                    <w:rPr>
                      <w:rFonts w:hint="default"/>
                      <w:lang w:val="en-US" w:eastAsia="zh-CN"/>
                    </w:rPr>
                  </w:pPr>
                  <w:r>
                    <w:rPr>
                      <w:rFonts w:hint="eastAsia"/>
                      <w:lang w:val="en-US" w:eastAsia="zh-CN"/>
                    </w:rPr>
                    <w:t>49.7</w:t>
                  </w:r>
                </w:p>
              </w:tc>
              <w:tc>
                <w:tcPr>
                  <w:tcW w:w="713" w:type="pct"/>
                  <w:vAlign w:val="center"/>
                </w:tcPr>
                <w:p w14:paraId="1CB26690">
                  <w:pPr>
                    <w:jc w:val="center"/>
                    <w:rPr>
                      <w:rFonts w:hint="default" w:cs="Times New Roman"/>
                      <w:sz w:val="21"/>
                      <w:szCs w:val="21"/>
                      <w:lang w:val="en-US" w:eastAsia="zh-CN"/>
                    </w:rPr>
                  </w:pPr>
                  <w:r>
                    <w:rPr>
                      <w:rFonts w:hint="eastAsia" w:cs="Times New Roman"/>
                      <w:sz w:val="21"/>
                      <w:szCs w:val="21"/>
                      <w:lang w:val="en-US" w:eastAsia="zh-CN"/>
                    </w:rPr>
                    <w:t>49.7</w:t>
                  </w:r>
                </w:p>
              </w:tc>
              <w:tc>
                <w:tcPr>
                  <w:tcW w:w="1123" w:type="dxa"/>
                  <w:vAlign w:val="center"/>
                </w:tcPr>
                <w:p w14:paraId="63EA29D4">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4125C688">
                  <w:pPr>
                    <w:jc w:val="center"/>
                    <w:rPr>
                      <w:rFonts w:hint="eastAsia" w:cs="Times New Roman"/>
                      <w:sz w:val="21"/>
                      <w:szCs w:val="21"/>
                      <w:lang w:val="en-US" w:eastAsia="zh-CN"/>
                    </w:rPr>
                  </w:pPr>
                  <w:r>
                    <w:rPr>
                      <w:rFonts w:hint="eastAsia" w:cs="Times New Roman"/>
                      <w:sz w:val="21"/>
                      <w:szCs w:val="21"/>
                      <w:lang w:val="en-US" w:eastAsia="zh-CN"/>
                    </w:rPr>
                    <w:t>达标</w:t>
                  </w:r>
                </w:p>
              </w:tc>
            </w:tr>
            <w:tr w14:paraId="76FD7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53CC81C3">
                  <w:pPr>
                    <w:jc w:val="center"/>
                    <w:rPr>
                      <w:rFonts w:hint="default" w:cs="Times New Roman"/>
                      <w:sz w:val="21"/>
                      <w:szCs w:val="21"/>
                      <w:lang w:val="en-US" w:eastAsia="zh-CN"/>
                    </w:rPr>
                  </w:pPr>
                  <w:r>
                    <w:rPr>
                      <w:rFonts w:hint="eastAsia" w:cs="Times New Roman"/>
                      <w:sz w:val="21"/>
                      <w:szCs w:val="21"/>
                      <w:lang w:val="en-US" w:eastAsia="zh-CN"/>
                    </w:rPr>
                    <w:t>14</w:t>
                  </w:r>
                </w:p>
              </w:tc>
              <w:tc>
                <w:tcPr>
                  <w:tcW w:w="705" w:type="pct"/>
                  <w:vAlign w:val="center"/>
                </w:tcPr>
                <w:p w14:paraId="2878CFF7">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金寨县南溪镇大竹园</w:t>
                  </w:r>
                </w:p>
              </w:tc>
              <w:tc>
                <w:tcPr>
                  <w:tcW w:w="781" w:type="pct"/>
                  <w:vAlign w:val="center"/>
                </w:tcPr>
                <w:p w14:paraId="6BA0324D">
                  <w:pPr>
                    <w:jc w:val="center"/>
                    <w:rPr>
                      <w:rFonts w:hint="default" w:cs="Times New Roman"/>
                      <w:sz w:val="21"/>
                      <w:szCs w:val="21"/>
                      <w:lang w:val="en-US" w:eastAsia="zh-CN"/>
                    </w:rPr>
                  </w:pPr>
                  <w:r>
                    <w:rPr>
                      <w:rFonts w:hint="eastAsia" w:cs="Times New Roman"/>
                      <w:sz w:val="21"/>
                      <w:szCs w:val="21"/>
                      <w:lang w:val="en-US" w:eastAsia="zh-CN"/>
                    </w:rPr>
                    <w:t>52</w:t>
                  </w:r>
                </w:p>
              </w:tc>
              <w:tc>
                <w:tcPr>
                  <w:tcW w:w="485" w:type="pct"/>
                  <w:vAlign w:val="center"/>
                </w:tcPr>
                <w:p w14:paraId="37061A37">
                  <w:pPr>
                    <w:jc w:val="center"/>
                    <w:rPr>
                      <w:rFonts w:hint="default" w:cs="Times New Roman"/>
                      <w:sz w:val="21"/>
                      <w:szCs w:val="21"/>
                      <w:lang w:val="en-US" w:eastAsia="zh-CN"/>
                    </w:rPr>
                  </w:pPr>
                  <w:r>
                    <w:rPr>
                      <w:rFonts w:hint="eastAsia" w:cs="Times New Roman"/>
                      <w:sz w:val="21"/>
                      <w:szCs w:val="21"/>
                      <w:lang w:val="en-US" w:eastAsia="zh-CN"/>
                    </w:rPr>
                    <w:t>42.5</w:t>
                  </w:r>
                </w:p>
              </w:tc>
              <w:tc>
                <w:tcPr>
                  <w:tcW w:w="842" w:type="pct"/>
                  <w:vAlign w:val="center"/>
                </w:tcPr>
                <w:p w14:paraId="5FAB87A6">
                  <w:pPr>
                    <w:jc w:val="center"/>
                    <w:rPr>
                      <w:rFonts w:hint="default"/>
                      <w:lang w:val="en-US" w:eastAsia="zh-CN"/>
                    </w:rPr>
                  </w:pPr>
                  <w:r>
                    <w:rPr>
                      <w:rFonts w:hint="eastAsia"/>
                      <w:lang w:val="en-US" w:eastAsia="zh-CN"/>
                    </w:rPr>
                    <w:t>41.9</w:t>
                  </w:r>
                </w:p>
              </w:tc>
              <w:tc>
                <w:tcPr>
                  <w:tcW w:w="713" w:type="pct"/>
                  <w:vAlign w:val="center"/>
                </w:tcPr>
                <w:p w14:paraId="78234526">
                  <w:pPr>
                    <w:jc w:val="center"/>
                    <w:rPr>
                      <w:rFonts w:hint="default" w:cs="Times New Roman"/>
                      <w:sz w:val="21"/>
                      <w:szCs w:val="21"/>
                      <w:lang w:val="en-US" w:eastAsia="zh-CN"/>
                    </w:rPr>
                  </w:pPr>
                  <w:r>
                    <w:rPr>
                      <w:rFonts w:hint="eastAsia" w:cs="Times New Roman"/>
                      <w:sz w:val="21"/>
                      <w:szCs w:val="21"/>
                      <w:lang w:val="en-US" w:eastAsia="zh-CN"/>
                    </w:rPr>
                    <w:t>45.4</w:t>
                  </w:r>
                </w:p>
              </w:tc>
              <w:tc>
                <w:tcPr>
                  <w:tcW w:w="1123" w:type="dxa"/>
                  <w:vAlign w:val="center"/>
                </w:tcPr>
                <w:p w14:paraId="4C242F6F">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44EE6799">
                  <w:pPr>
                    <w:jc w:val="center"/>
                    <w:rPr>
                      <w:rFonts w:hint="eastAsia" w:cs="Times New Roman"/>
                      <w:sz w:val="21"/>
                      <w:szCs w:val="21"/>
                      <w:lang w:val="en-US" w:eastAsia="zh-CN"/>
                    </w:rPr>
                  </w:pPr>
                  <w:r>
                    <w:rPr>
                      <w:rFonts w:hint="eastAsia" w:cs="Times New Roman"/>
                      <w:sz w:val="21"/>
                      <w:szCs w:val="21"/>
                      <w:lang w:val="en-US" w:eastAsia="zh-CN"/>
                    </w:rPr>
                    <w:t>达标</w:t>
                  </w:r>
                </w:p>
              </w:tc>
            </w:tr>
            <w:tr w14:paraId="59CB0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4BA26FB6">
                  <w:pPr>
                    <w:jc w:val="center"/>
                    <w:rPr>
                      <w:rFonts w:hint="default" w:cs="Times New Roman"/>
                      <w:sz w:val="21"/>
                      <w:szCs w:val="21"/>
                      <w:lang w:val="en-US" w:eastAsia="zh-CN"/>
                    </w:rPr>
                  </w:pPr>
                  <w:r>
                    <w:rPr>
                      <w:rFonts w:hint="eastAsia" w:cs="Times New Roman"/>
                      <w:sz w:val="21"/>
                      <w:szCs w:val="21"/>
                      <w:lang w:val="en-US" w:eastAsia="zh-CN"/>
                    </w:rPr>
                    <w:t>15</w:t>
                  </w:r>
                </w:p>
              </w:tc>
              <w:tc>
                <w:tcPr>
                  <w:tcW w:w="705" w:type="pct"/>
                  <w:vAlign w:val="center"/>
                </w:tcPr>
                <w:p w14:paraId="50F6ACEE">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金寨县双河镇吕大</w:t>
                  </w:r>
                  <w:r>
                    <w:rPr>
                      <w:rFonts w:ascii="Helvetica" w:hAnsi="Helvetica" w:eastAsia="Helvetica" w:cs="Helvetica"/>
                      <w:i w:val="0"/>
                      <w:iCs w:val="0"/>
                      <w:caps w:val="0"/>
                      <w:color w:val="333333"/>
                      <w:spacing w:val="0"/>
                      <w:kern w:val="0"/>
                      <w:sz w:val="20"/>
                      <w:szCs w:val="20"/>
                      <w:shd w:val="clear" w:fill="FFFFFF"/>
                    </w:rPr>
                    <w:t>塆</w:t>
                  </w:r>
                </w:p>
              </w:tc>
              <w:tc>
                <w:tcPr>
                  <w:tcW w:w="781" w:type="pct"/>
                  <w:vAlign w:val="center"/>
                </w:tcPr>
                <w:p w14:paraId="7B3478EC">
                  <w:pPr>
                    <w:jc w:val="center"/>
                    <w:rPr>
                      <w:rFonts w:hint="default" w:cs="Times New Roman"/>
                      <w:sz w:val="21"/>
                      <w:szCs w:val="21"/>
                      <w:lang w:val="en-US" w:eastAsia="zh-CN"/>
                    </w:rPr>
                  </w:pPr>
                  <w:r>
                    <w:rPr>
                      <w:rFonts w:hint="eastAsia" w:cs="Times New Roman"/>
                      <w:sz w:val="21"/>
                      <w:szCs w:val="21"/>
                      <w:lang w:val="en-US" w:eastAsia="zh-CN"/>
                    </w:rPr>
                    <w:t>16</w:t>
                  </w:r>
                </w:p>
              </w:tc>
              <w:tc>
                <w:tcPr>
                  <w:tcW w:w="485" w:type="pct"/>
                  <w:vAlign w:val="center"/>
                </w:tcPr>
                <w:p w14:paraId="4BE96735">
                  <w:pPr>
                    <w:jc w:val="center"/>
                    <w:rPr>
                      <w:rFonts w:hint="default" w:cs="Times New Roman"/>
                      <w:sz w:val="21"/>
                      <w:szCs w:val="21"/>
                      <w:lang w:val="en-US" w:eastAsia="zh-CN"/>
                    </w:rPr>
                  </w:pPr>
                  <w:r>
                    <w:rPr>
                      <w:rFonts w:hint="eastAsia" w:cs="Times New Roman"/>
                      <w:sz w:val="21"/>
                      <w:szCs w:val="21"/>
                      <w:lang w:val="en-US" w:eastAsia="zh-CN"/>
                    </w:rPr>
                    <w:t>43.8</w:t>
                  </w:r>
                </w:p>
              </w:tc>
              <w:tc>
                <w:tcPr>
                  <w:tcW w:w="842" w:type="pct"/>
                  <w:vAlign w:val="center"/>
                </w:tcPr>
                <w:p w14:paraId="6BC037DE">
                  <w:pPr>
                    <w:jc w:val="center"/>
                    <w:rPr>
                      <w:rFonts w:hint="default"/>
                      <w:lang w:val="en-US" w:eastAsia="zh-CN"/>
                    </w:rPr>
                  </w:pPr>
                  <w:r>
                    <w:rPr>
                      <w:rFonts w:hint="eastAsia"/>
                      <w:lang w:val="en-US" w:eastAsia="zh-CN"/>
                    </w:rPr>
                    <w:t>39.2</w:t>
                  </w:r>
                </w:p>
              </w:tc>
              <w:tc>
                <w:tcPr>
                  <w:tcW w:w="713" w:type="pct"/>
                  <w:vAlign w:val="center"/>
                </w:tcPr>
                <w:p w14:paraId="7B2A7192">
                  <w:pPr>
                    <w:jc w:val="center"/>
                    <w:rPr>
                      <w:rFonts w:hint="default" w:cs="Times New Roman"/>
                      <w:sz w:val="21"/>
                      <w:szCs w:val="21"/>
                      <w:lang w:val="en-US" w:eastAsia="zh-CN"/>
                    </w:rPr>
                  </w:pPr>
                  <w:r>
                    <w:rPr>
                      <w:rFonts w:hint="eastAsia" w:cs="Times New Roman"/>
                      <w:sz w:val="21"/>
                      <w:szCs w:val="21"/>
                      <w:lang w:val="en-US" w:eastAsia="zh-CN"/>
                    </w:rPr>
                    <w:t>44.9</w:t>
                  </w:r>
                </w:p>
              </w:tc>
              <w:tc>
                <w:tcPr>
                  <w:tcW w:w="1123" w:type="dxa"/>
                  <w:vAlign w:val="center"/>
                </w:tcPr>
                <w:p w14:paraId="63FCD153">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0EDE1096">
                  <w:pPr>
                    <w:jc w:val="center"/>
                    <w:rPr>
                      <w:rFonts w:hint="eastAsia" w:cs="Times New Roman"/>
                      <w:sz w:val="21"/>
                      <w:szCs w:val="21"/>
                      <w:lang w:val="en-US" w:eastAsia="zh-CN"/>
                    </w:rPr>
                  </w:pPr>
                  <w:r>
                    <w:rPr>
                      <w:rFonts w:hint="eastAsia" w:cs="Times New Roman"/>
                      <w:sz w:val="21"/>
                      <w:szCs w:val="21"/>
                      <w:lang w:val="en-US" w:eastAsia="zh-CN"/>
                    </w:rPr>
                    <w:t>达标</w:t>
                  </w:r>
                </w:p>
              </w:tc>
            </w:tr>
            <w:tr w14:paraId="63AA2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45BFA334">
                  <w:pPr>
                    <w:jc w:val="center"/>
                    <w:rPr>
                      <w:rFonts w:hint="eastAsia" w:cs="Times New Roman"/>
                      <w:sz w:val="21"/>
                      <w:szCs w:val="21"/>
                      <w:lang w:val="en-US" w:eastAsia="zh-CN"/>
                    </w:rPr>
                  </w:pPr>
                  <w:r>
                    <w:rPr>
                      <w:rFonts w:hint="eastAsia" w:cs="Times New Roman"/>
                      <w:sz w:val="21"/>
                      <w:szCs w:val="21"/>
                      <w:lang w:val="en-US" w:eastAsia="zh-CN"/>
                    </w:rPr>
                    <w:t>16</w:t>
                  </w:r>
                </w:p>
              </w:tc>
              <w:tc>
                <w:tcPr>
                  <w:tcW w:w="705" w:type="pct"/>
                  <w:vAlign w:val="center"/>
                </w:tcPr>
                <w:p w14:paraId="4E977ED1">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金寨县双河镇下胡边</w:t>
                  </w:r>
                </w:p>
              </w:tc>
              <w:tc>
                <w:tcPr>
                  <w:tcW w:w="781" w:type="pct"/>
                  <w:vAlign w:val="center"/>
                </w:tcPr>
                <w:p w14:paraId="212CD87D">
                  <w:pPr>
                    <w:jc w:val="center"/>
                    <w:rPr>
                      <w:rFonts w:hint="default" w:cs="Times New Roman"/>
                      <w:sz w:val="21"/>
                      <w:szCs w:val="21"/>
                      <w:lang w:val="en-US" w:eastAsia="zh-CN"/>
                    </w:rPr>
                  </w:pPr>
                  <w:r>
                    <w:rPr>
                      <w:rFonts w:hint="eastAsia" w:cs="Times New Roman"/>
                      <w:sz w:val="21"/>
                      <w:szCs w:val="21"/>
                      <w:lang w:val="en-US" w:eastAsia="zh-CN"/>
                    </w:rPr>
                    <w:t>33</w:t>
                  </w:r>
                </w:p>
              </w:tc>
              <w:tc>
                <w:tcPr>
                  <w:tcW w:w="485" w:type="pct"/>
                  <w:vAlign w:val="center"/>
                </w:tcPr>
                <w:p w14:paraId="4906167B">
                  <w:pPr>
                    <w:jc w:val="center"/>
                    <w:rPr>
                      <w:rFonts w:hint="default" w:cs="Times New Roman"/>
                      <w:sz w:val="21"/>
                      <w:szCs w:val="21"/>
                      <w:lang w:val="en-US" w:eastAsia="zh-CN"/>
                    </w:rPr>
                  </w:pPr>
                  <w:r>
                    <w:rPr>
                      <w:rFonts w:hint="eastAsia" w:cs="Times New Roman"/>
                      <w:sz w:val="21"/>
                      <w:szCs w:val="21"/>
                      <w:lang w:val="en-US" w:eastAsia="zh-CN"/>
                    </w:rPr>
                    <w:t>43.1</w:t>
                  </w:r>
                </w:p>
              </w:tc>
              <w:tc>
                <w:tcPr>
                  <w:tcW w:w="842" w:type="pct"/>
                  <w:vAlign w:val="center"/>
                </w:tcPr>
                <w:p w14:paraId="257BBC67">
                  <w:pPr>
                    <w:jc w:val="center"/>
                    <w:rPr>
                      <w:rFonts w:hint="default"/>
                      <w:lang w:val="en-US" w:eastAsia="zh-CN"/>
                    </w:rPr>
                  </w:pPr>
                  <w:r>
                    <w:rPr>
                      <w:rFonts w:hint="eastAsia"/>
                      <w:lang w:val="en-US" w:eastAsia="zh-CN"/>
                    </w:rPr>
                    <w:t>39.2</w:t>
                  </w:r>
                </w:p>
              </w:tc>
              <w:tc>
                <w:tcPr>
                  <w:tcW w:w="713" w:type="pct"/>
                  <w:vAlign w:val="center"/>
                </w:tcPr>
                <w:p w14:paraId="265F68E5">
                  <w:pPr>
                    <w:jc w:val="center"/>
                    <w:rPr>
                      <w:rFonts w:hint="default" w:cs="Times New Roman"/>
                      <w:sz w:val="21"/>
                      <w:szCs w:val="21"/>
                      <w:lang w:val="en-US" w:eastAsia="zh-CN"/>
                    </w:rPr>
                  </w:pPr>
                  <w:r>
                    <w:rPr>
                      <w:rFonts w:hint="eastAsia" w:cs="Times New Roman"/>
                      <w:sz w:val="21"/>
                      <w:szCs w:val="21"/>
                      <w:lang w:val="en-US" w:eastAsia="zh-CN"/>
                    </w:rPr>
                    <w:t>44.2</w:t>
                  </w:r>
                </w:p>
              </w:tc>
              <w:tc>
                <w:tcPr>
                  <w:tcW w:w="1123" w:type="dxa"/>
                  <w:vAlign w:val="center"/>
                </w:tcPr>
                <w:p w14:paraId="337D0508">
                  <w:pPr>
                    <w:jc w:val="center"/>
                    <w:rPr>
                      <w:rFonts w:hint="default" w:cs="Times New Roman"/>
                      <w:sz w:val="21"/>
                      <w:szCs w:val="21"/>
                      <w:lang w:val="en-US" w:eastAsia="zh-CN"/>
                    </w:rPr>
                  </w:pPr>
                  <w:r>
                    <w:rPr>
                      <w:rFonts w:hint="eastAsia" w:cs="Times New Roman"/>
                      <w:sz w:val="21"/>
                      <w:szCs w:val="21"/>
                      <w:lang w:val="en-US" w:eastAsia="zh-CN"/>
                    </w:rPr>
                    <w:t>55</w:t>
                  </w:r>
                </w:p>
              </w:tc>
              <w:tc>
                <w:tcPr>
                  <w:tcW w:w="1125" w:type="dxa"/>
                  <w:vAlign w:val="center"/>
                </w:tcPr>
                <w:p w14:paraId="6BA2A1A9">
                  <w:pPr>
                    <w:jc w:val="center"/>
                    <w:rPr>
                      <w:rFonts w:hint="eastAsia" w:cs="Times New Roman"/>
                      <w:sz w:val="21"/>
                      <w:szCs w:val="21"/>
                      <w:lang w:val="en-US" w:eastAsia="zh-CN"/>
                    </w:rPr>
                  </w:pPr>
                  <w:r>
                    <w:rPr>
                      <w:rFonts w:hint="eastAsia" w:cs="Times New Roman"/>
                      <w:sz w:val="21"/>
                      <w:szCs w:val="21"/>
                      <w:lang w:val="en-US" w:eastAsia="zh-CN"/>
                    </w:rPr>
                    <w:t>达标</w:t>
                  </w:r>
                </w:p>
              </w:tc>
            </w:tr>
            <w:tr w14:paraId="3E595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1129892C">
                  <w:pPr>
                    <w:jc w:val="center"/>
                    <w:rPr>
                      <w:rFonts w:hint="default" w:cs="Times New Roman"/>
                      <w:sz w:val="21"/>
                      <w:szCs w:val="21"/>
                      <w:lang w:val="en-US" w:eastAsia="zh-CN"/>
                    </w:rPr>
                  </w:pPr>
                  <w:r>
                    <w:rPr>
                      <w:rFonts w:hint="eastAsia" w:cs="Times New Roman"/>
                      <w:sz w:val="21"/>
                      <w:szCs w:val="21"/>
                      <w:lang w:val="en-US" w:eastAsia="zh-CN"/>
                    </w:rPr>
                    <w:t>17</w:t>
                  </w:r>
                </w:p>
              </w:tc>
              <w:tc>
                <w:tcPr>
                  <w:tcW w:w="705" w:type="pct"/>
                  <w:vAlign w:val="center"/>
                </w:tcPr>
                <w:p w14:paraId="0BB44CCC">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金寨县双河镇北栗树塆</w:t>
                  </w:r>
                </w:p>
              </w:tc>
              <w:tc>
                <w:tcPr>
                  <w:tcW w:w="781" w:type="pct"/>
                  <w:vAlign w:val="center"/>
                </w:tcPr>
                <w:p w14:paraId="78578A32">
                  <w:pPr>
                    <w:jc w:val="center"/>
                    <w:rPr>
                      <w:rFonts w:hint="default" w:cs="Times New Roman"/>
                      <w:sz w:val="21"/>
                      <w:szCs w:val="21"/>
                      <w:lang w:val="en-US" w:eastAsia="zh-CN"/>
                    </w:rPr>
                  </w:pPr>
                  <w:r>
                    <w:rPr>
                      <w:rFonts w:hint="eastAsia" w:cs="Times New Roman"/>
                      <w:sz w:val="21"/>
                      <w:szCs w:val="21"/>
                      <w:lang w:val="en-US" w:eastAsia="zh-CN"/>
                    </w:rPr>
                    <w:t>9</w:t>
                  </w:r>
                </w:p>
              </w:tc>
              <w:tc>
                <w:tcPr>
                  <w:tcW w:w="485" w:type="pct"/>
                  <w:vAlign w:val="center"/>
                </w:tcPr>
                <w:p w14:paraId="77A6E91D">
                  <w:pPr>
                    <w:jc w:val="center"/>
                    <w:rPr>
                      <w:rFonts w:hint="default" w:cs="Times New Roman"/>
                      <w:sz w:val="21"/>
                      <w:szCs w:val="21"/>
                      <w:lang w:val="en-US" w:eastAsia="zh-CN"/>
                    </w:rPr>
                  </w:pPr>
                  <w:r>
                    <w:rPr>
                      <w:rFonts w:hint="eastAsia" w:cs="Times New Roman"/>
                      <w:sz w:val="21"/>
                      <w:szCs w:val="21"/>
                      <w:lang w:val="en-US" w:eastAsia="zh-CN"/>
                    </w:rPr>
                    <w:t>44.4</w:t>
                  </w:r>
                </w:p>
              </w:tc>
              <w:tc>
                <w:tcPr>
                  <w:tcW w:w="842" w:type="pct"/>
                  <w:vAlign w:val="center"/>
                </w:tcPr>
                <w:p w14:paraId="7B80B4EF">
                  <w:pPr>
                    <w:jc w:val="center"/>
                    <w:rPr>
                      <w:rFonts w:hint="default"/>
                      <w:lang w:val="en-US" w:eastAsia="zh-CN"/>
                    </w:rPr>
                  </w:pPr>
                  <w:r>
                    <w:rPr>
                      <w:rFonts w:hint="eastAsia"/>
                      <w:lang w:val="en-US" w:eastAsia="zh-CN"/>
                    </w:rPr>
                    <w:t>39.2</w:t>
                  </w:r>
                </w:p>
              </w:tc>
              <w:tc>
                <w:tcPr>
                  <w:tcW w:w="713" w:type="pct"/>
                  <w:vAlign w:val="center"/>
                </w:tcPr>
                <w:p w14:paraId="1BD572DB">
                  <w:pPr>
                    <w:jc w:val="center"/>
                    <w:rPr>
                      <w:rFonts w:hint="default" w:cs="Times New Roman"/>
                      <w:sz w:val="21"/>
                      <w:szCs w:val="21"/>
                      <w:lang w:val="en-US" w:eastAsia="zh-CN"/>
                    </w:rPr>
                  </w:pPr>
                  <w:r>
                    <w:rPr>
                      <w:rFonts w:hint="eastAsia" w:cs="Times New Roman"/>
                      <w:sz w:val="21"/>
                      <w:szCs w:val="21"/>
                      <w:lang w:val="en-US" w:eastAsia="zh-CN"/>
                    </w:rPr>
                    <w:t>45.4</w:t>
                  </w:r>
                </w:p>
              </w:tc>
              <w:tc>
                <w:tcPr>
                  <w:tcW w:w="1123" w:type="dxa"/>
                  <w:vAlign w:val="center"/>
                </w:tcPr>
                <w:p w14:paraId="68A12FD2">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0982ADBC">
                  <w:pPr>
                    <w:jc w:val="center"/>
                    <w:rPr>
                      <w:rFonts w:hint="eastAsia" w:cs="Times New Roman"/>
                      <w:sz w:val="21"/>
                      <w:szCs w:val="21"/>
                      <w:lang w:val="en-US" w:eastAsia="zh-CN"/>
                    </w:rPr>
                  </w:pPr>
                  <w:r>
                    <w:rPr>
                      <w:rFonts w:hint="eastAsia" w:cs="Times New Roman"/>
                      <w:sz w:val="21"/>
                      <w:szCs w:val="21"/>
                      <w:lang w:val="en-US" w:eastAsia="zh-CN"/>
                    </w:rPr>
                    <w:t>达标</w:t>
                  </w:r>
                </w:p>
              </w:tc>
            </w:tr>
            <w:tr w14:paraId="1D2D5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03515D73">
                  <w:pPr>
                    <w:jc w:val="center"/>
                    <w:rPr>
                      <w:rFonts w:hint="default" w:cs="Times New Roman"/>
                      <w:sz w:val="21"/>
                      <w:szCs w:val="21"/>
                      <w:lang w:val="en-US" w:eastAsia="zh-CN"/>
                    </w:rPr>
                  </w:pPr>
                  <w:r>
                    <w:rPr>
                      <w:rFonts w:hint="eastAsia" w:cs="Times New Roman"/>
                      <w:sz w:val="21"/>
                      <w:szCs w:val="21"/>
                      <w:lang w:val="en-US" w:eastAsia="zh-CN"/>
                    </w:rPr>
                    <w:t>18</w:t>
                  </w:r>
                </w:p>
              </w:tc>
              <w:tc>
                <w:tcPr>
                  <w:tcW w:w="705" w:type="pct"/>
                  <w:vAlign w:val="center"/>
                </w:tcPr>
                <w:p w14:paraId="5264CDC4">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金寨县南溪镇坳口</w:t>
                  </w:r>
                </w:p>
              </w:tc>
              <w:tc>
                <w:tcPr>
                  <w:tcW w:w="781" w:type="pct"/>
                  <w:vAlign w:val="center"/>
                </w:tcPr>
                <w:p w14:paraId="77D77D80">
                  <w:pPr>
                    <w:jc w:val="center"/>
                    <w:rPr>
                      <w:rFonts w:hint="default" w:cs="Times New Roman"/>
                      <w:sz w:val="21"/>
                      <w:szCs w:val="21"/>
                      <w:lang w:val="en-US" w:eastAsia="zh-CN"/>
                    </w:rPr>
                  </w:pPr>
                  <w:r>
                    <w:rPr>
                      <w:rFonts w:hint="eastAsia" w:cs="Times New Roman"/>
                      <w:sz w:val="21"/>
                      <w:szCs w:val="21"/>
                      <w:lang w:val="en-US" w:eastAsia="zh-CN"/>
                    </w:rPr>
                    <w:t>35</w:t>
                  </w:r>
                </w:p>
              </w:tc>
              <w:tc>
                <w:tcPr>
                  <w:tcW w:w="485" w:type="pct"/>
                  <w:vAlign w:val="center"/>
                </w:tcPr>
                <w:p w14:paraId="101F8A76">
                  <w:pPr>
                    <w:jc w:val="center"/>
                    <w:rPr>
                      <w:rFonts w:hint="default" w:cs="Times New Roman"/>
                      <w:sz w:val="21"/>
                      <w:szCs w:val="21"/>
                      <w:lang w:val="en-US" w:eastAsia="zh-CN"/>
                    </w:rPr>
                  </w:pPr>
                  <w:r>
                    <w:rPr>
                      <w:rFonts w:hint="eastAsia" w:cs="Times New Roman"/>
                      <w:sz w:val="21"/>
                      <w:szCs w:val="21"/>
                      <w:lang w:val="en-US" w:eastAsia="zh-CN"/>
                    </w:rPr>
                    <w:t>42.2</w:t>
                  </w:r>
                </w:p>
              </w:tc>
              <w:tc>
                <w:tcPr>
                  <w:tcW w:w="842" w:type="pct"/>
                  <w:vAlign w:val="center"/>
                </w:tcPr>
                <w:p w14:paraId="2BE32280">
                  <w:pPr>
                    <w:jc w:val="center"/>
                    <w:rPr>
                      <w:rFonts w:hint="default"/>
                      <w:lang w:val="en-US" w:eastAsia="zh-CN"/>
                    </w:rPr>
                  </w:pPr>
                  <w:r>
                    <w:rPr>
                      <w:rFonts w:hint="eastAsia"/>
                      <w:lang w:val="en-US" w:eastAsia="zh-CN"/>
                    </w:rPr>
                    <w:t>47.0</w:t>
                  </w:r>
                </w:p>
              </w:tc>
              <w:tc>
                <w:tcPr>
                  <w:tcW w:w="713" w:type="pct"/>
                  <w:vAlign w:val="center"/>
                </w:tcPr>
                <w:p w14:paraId="4B54BBB0">
                  <w:pPr>
                    <w:jc w:val="center"/>
                    <w:rPr>
                      <w:rFonts w:hint="default" w:cs="Times New Roman"/>
                      <w:sz w:val="21"/>
                      <w:szCs w:val="21"/>
                      <w:lang w:val="en-US" w:eastAsia="zh-CN"/>
                    </w:rPr>
                  </w:pPr>
                  <w:r>
                    <w:rPr>
                      <w:rFonts w:hint="eastAsia" w:cs="Times New Roman"/>
                      <w:sz w:val="21"/>
                      <w:szCs w:val="21"/>
                      <w:lang w:val="en-US" w:eastAsia="zh-CN"/>
                    </w:rPr>
                    <w:t>48.1</w:t>
                  </w:r>
                </w:p>
              </w:tc>
              <w:tc>
                <w:tcPr>
                  <w:tcW w:w="1123" w:type="dxa"/>
                  <w:vAlign w:val="center"/>
                </w:tcPr>
                <w:p w14:paraId="30E5FF2A">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7FFEF8AC">
                  <w:pPr>
                    <w:jc w:val="center"/>
                    <w:rPr>
                      <w:rFonts w:hint="eastAsia" w:cs="Times New Roman"/>
                      <w:sz w:val="21"/>
                      <w:szCs w:val="21"/>
                      <w:lang w:val="en-US" w:eastAsia="zh-CN"/>
                    </w:rPr>
                  </w:pPr>
                  <w:r>
                    <w:rPr>
                      <w:rFonts w:hint="eastAsia" w:cs="Times New Roman"/>
                      <w:sz w:val="21"/>
                      <w:szCs w:val="21"/>
                      <w:lang w:val="en-US" w:eastAsia="zh-CN"/>
                    </w:rPr>
                    <w:t>达标</w:t>
                  </w:r>
                </w:p>
              </w:tc>
            </w:tr>
            <w:tr w14:paraId="042CF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142A432A">
                  <w:pPr>
                    <w:jc w:val="center"/>
                    <w:rPr>
                      <w:rFonts w:hint="default" w:cs="Times New Roman"/>
                      <w:sz w:val="21"/>
                      <w:szCs w:val="21"/>
                      <w:lang w:val="en-US" w:eastAsia="zh-CN"/>
                    </w:rPr>
                  </w:pPr>
                  <w:r>
                    <w:rPr>
                      <w:rFonts w:hint="eastAsia" w:cs="Times New Roman"/>
                      <w:sz w:val="21"/>
                      <w:szCs w:val="21"/>
                      <w:lang w:val="en-US" w:eastAsia="zh-CN"/>
                    </w:rPr>
                    <w:t>19</w:t>
                  </w:r>
                </w:p>
              </w:tc>
              <w:tc>
                <w:tcPr>
                  <w:tcW w:w="705" w:type="pct"/>
                  <w:vAlign w:val="center"/>
                </w:tcPr>
                <w:p w14:paraId="72E31334">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金寨县南溪镇岭头上</w:t>
                  </w:r>
                </w:p>
              </w:tc>
              <w:tc>
                <w:tcPr>
                  <w:tcW w:w="781" w:type="pct"/>
                  <w:vAlign w:val="center"/>
                </w:tcPr>
                <w:p w14:paraId="58395946">
                  <w:pPr>
                    <w:jc w:val="center"/>
                    <w:rPr>
                      <w:rFonts w:hint="default" w:cs="Times New Roman"/>
                      <w:sz w:val="21"/>
                      <w:szCs w:val="21"/>
                      <w:lang w:val="en-US" w:eastAsia="zh-CN"/>
                    </w:rPr>
                  </w:pPr>
                  <w:r>
                    <w:rPr>
                      <w:rFonts w:hint="eastAsia" w:cs="Times New Roman"/>
                      <w:sz w:val="21"/>
                      <w:szCs w:val="21"/>
                      <w:lang w:val="en-US" w:eastAsia="zh-CN"/>
                    </w:rPr>
                    <w:t>62</w:t>
                  </w:r>
                </w:p>
              </w:tc>
              <w:tc>
                <w:tcPr>
                  <w:tcW w:w="485" w:type="pct"/>
                  <w:vAlign w:val="center"/>
                </w:tcPr>
                <w:p w14:paraId="3D2515A0">
                  <w:pPr>
                    <w:jc w:val="center"/>
                    <w:rPr>
                      <w:rFonts w:hint="default" w:cs="Times New Roman"/>
                      <w:sz w:val="21"/>
                      <w:szCs w:val="21"/>
                      <w:lang w:val="en-US" w:eastAsia="zh-CN"/>
                    </w:rPr>
                  </w:pPr>
                  <w:r>
                    <w:rPr>
                      <w:rFonts w:hint="eastAsia" w:cs="Times New Roman"/>
                      <w:sz w:val="21"/>
                      <w:szCs w:val="21"/>
                      <w:lang w:val="en-US" w:eastAsia="zh-CN"/>
                    </w:rPr>
                    <w:t>41.9</w:t>
                  </w:r>
                </w:p>
              </w:tc>
              <w:tc>
                <w:tcPr>
                  <w:tcW w:w="842" w:type="pct"/>
                  <w:vAlign w:val="center"/>
                </w:tcPr>
                <w:p w14:paraId="17EF22AA">
                  <w:pPr>
                    <w:jc w:val="center"/>
                    <w:rPr>
                      <w:rFonts w:hint="default"/>
                      <w:lang w:val="en-US" w:eastAsia="zh-CN"/>
                    </w:rPr>
                  </w:pPr>
                  <w:r>
                    <w:rPr>
                      <w:rFonts w:hint="eastAsia"/>
                      <w:lang w:val="en-US" w:eastAsia="zh-CN"/>
                    </w:rPr>
                    <w:t>47.0</w:t>
                  </w:r>
                </w:p>
              </w:tc>
              <w:tc>
                <w:tcPr>
                  <w:tcW w:w="713" w:type="pct"/>
                  <w:vAlign w:val="center"/>
                </w:tcPr>
                <w:p w14:paraId="3E54A21B">
                  <w:pPr>
                    <w:jc w:val="center"/>
                    <w:rPr>
                      <w:rFonts w:hint="default" w:cs="Times New Roman"/>
                      <w:sz w:val="21"/>
                      <w:szCs w:val="21"/>
                      <w:lang w:val="en-US" w:eastAsia="zh-CN"/>
                    </w:rPr>
                  </w:pPr>
                  <w:r>
                    <w:rPr>
                      <w:rFonts w:hint="eastAsia" w:cs="Times New Roman"/>
                      <w:sz w:val="21"/>
                      <w:szCs w:val="21"/>
                      <w:lang w:val="en-US" w:eastAsia="zh-CN"/>
                    </w:rPr>
                    <w:t>48.0</w:t>
                  </w:r>
                </w:p>
              </w:tc>
              <w:tc>
                <w:tcPr>
                  <w:tcW w:w="1123" w:type="dxa"/>
                  <w:vAlign w:val="center"/>
                </w:tcPr>
                <w:p w14:paraId="7790CF67">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52759FF5">
                  <w:pPr>
                    <w:jc w:val="center"/>
                    <w:rPr>
                      <w:rFonts w:hint="eastAsia" w:cs="Times New Roman"/>
                      <w:sz w:val="21"/>
                      <w:szCs w:val="21"/>
                      <w:lang w:val="en-US" w:eastAsia="zh-CN"/>
                    </w:rPr>
                  </w:pPr>
                  <w:r>
                    <w:rPr>
                      <w:rFonts w:hint="eastAsia" w:cs="Times New Roman"/>
                      <w:sz w:val="21"/>
                      <w:szCs w:val="21"/>
                      <w:lang w:val="en-US" w:eastAsia="zh-CN"/>
                    </w:rPr>
                    <w:t>达标</w:t>
                  </w:r>
                </w:p>
              </w:tc>
            </w:tr>
            <w:tr w14:paraId="1984E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1F506DAB">
                  <w:pPr>
                    <w:jc w:val="center"/>
                    <w:rPr>
                      <w:rFonts w:hint="default" w:cs="Times New Roman"/>
                      <w:sz w:val="21"/>
                      <w:szCs w:val="21"/>
                      <w:lang w:val="en-US" w:eastAsia="zh-CN"/>
                    </w:rPr>
                  </w:pPr>
                  <w:r>
                    <w:rPr>
                      <w:rFonts w:hint="eastAsia" w:cs="Times New Roman"/>
                      <w:sz w:val="21"/>
                      <w:szCs w:val="21"/>
                      <w:lang w:val="en-US" w:eastAsia="zh-CN"/>
                    </w:rPr>
                    <w:t>20</w:t>
                  </w:r>
                </w:p>
              </w:tc>
              <w:tc>
                <w:tcPr>
                  <w:tcW w:w="705" w:type="pct"/>
                  <w:vAlign w:val="center"/>
                </w:tcPr>
                <w:p w14:paraId="027445B6">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金寨县南溪镇蔡家畈</w:t>
                  </w:r>
                </w:p>
              </w:tc>
              <w:tc>
                <w:tcPr>
                  <w:tcW w:w="781" w:type="pct"/>
                  <w:vAlign w:val="center"/>
                </w:tcPr>
                <w:p w14:paraId="37833B67">
                  <w:pPr>
                    <w:jc w:val="center"/>
                    <w:rPr>
                      <w:rFonts w:hint="default" w:cs="Times New Roman"/>
                      <w:sz w:val="21"/>
                      <w:szCs w:val="21"/>
                      <w:lang w:val="en-US" w:eastAsia="zh-CN"/>
                    </w:rPr>
                  </w:pPr>
                  <w:r>
                    <w:rPr>
                      <w:rFonts w:hint="eastAsia" w:cs="Times New Roman"/>
                      <w:sz w:val="21"/>
                      <w:szCs w:val="21"/>
                      <w:lang w:val="en-US" w:eastAsia="zh-CN"/>
                    </w:rPr>
                    <w:t>34</w:t>
                  </w:r>
                </w:p>
              </w:tc>
              <w:tc>
                <w:tcPr>
                  <w:tcW w:w="485" w:type="pct"/>
                  <w:vAlign w:val="center"/>
                </w:tcPr>
                <w:p w14:paraId="4EA4AD4A">
                  <w:pPr>
                    <w:jc w:val="center"/>
                    <w:rPr>
                      <w:rFonts w:hint="default" w:cs="Times New Roman"/>
                      <w:sz w:val="21"/>
                      <w:szCs w:val="21"/>
                      <w:lang w:val="en-US" w:eastAsia="zh-CN"/>
                    </w:rPr>
                  </w:pPr>
                  <w:r>
                    <w:rPr>
                      <w:rFonts w:hint="eastAsia" w:cs="Times New Roman"/>
                      <w:sz w:val="21"/>
                      <w:szCs w:val="21"/>
                      <w:lang w:val="en-US" w:eastAsia="zh-CN"/>
                    </w:rPr>
                    <w:t>43.3</w:t>
                  </w:r>
                </w:p>
              </w:tc>
              <w:tc>
                <w:tcPr>
                  <w:tcW w:w="842" w:type="pct"/>
                  <w:vAlign w:val="center"/>
                </w:tcPr>
                <w:p w14:paraId="39F58BCB">
                  <w:pPr>
                    <w:jc w:val="center"/>
                    <w:rPr>
                      <w:rFonts w:hint="default"/>
                      <w:lang w:val="en-US" w:eastAsia="zh-CN"/>
                    </w:rPr>
                  </w:pPr>
                  <w:r>
                    <w:rPr>
                      <w:rFonts w:hint="eastAsia"/>
                      <w:lang w:val="en-US" w:eastAsia="zh-CN"/>
                    </w:rPr>
                    <w:t>47.0</w:t>
                  </w:r>
                </w:p>
              </w:tc>
              <w:tc>
                <w:tcPr>
                  <w:tcW w:w="713" w:type="pct"/>
                  <w:vAlign w:val="center"/>
                </w:tcPr>
                <w:p w14:paraId="512DCFE9">
                  <w:pPr>
                    <w:jc w:val="center"/>
                    <w:rPr>
                      <w:rFonts w:hint="default" w:cs="Times New Roman"/>
                      <w:sz w:val="21"/>
                      <w:szCs w:val="21"/>
                      <w:lang w:val="en-US" w:eastAsia="zh-CN"/>
                    </w:rPr>
                  </w:pPr>
                  <w:r>
                    <w:rPr>
                      <w:rFonts w:hint="eastAsia" w:cs="Times New Roman"/>
                      <w:sz w:val="21"/>
                      <w:szCs w:val="21"/>
                      <w:lang w:val="en-US" w:eastAsia="zh-CN"/>
                    </w:rPr>
                    <w:t>48.5</w:t>
                  </w:r>
                </w:p>
              </w:tc>
              <w:tc>
                <w:tcPr>
                  <w:tcW w:w="1123" w:type="dxa"/>
                  <w:vAlign w:val="center"/>
                </w:tcPr>
                <w:p w14:paraId="2EA9B379">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4C985583">
                  <w:pPr>
                    <w:jc w:val="center"/>
                    <w:rPr>
                      <w:rFonts w:hint="eastAsia" w:cs="Times New Roman"/>
                      <w:sz w:val="21"/>
                      <w:szCs w:val="21"/>
                      <w:lang w:val="en-US" w:eastAsia="zh-CN"/>
                    </w:rPr>
                  </w:pPr>
                  <w:r>
                    <w:rPr>
                      <w:rFonts w:hint="eastAsia" w:cs="Times New Roman"/>
                      <w:sz w:val="21"/>
                      <w:szCs w:val="21"/>
                      <w:lang w:val="en-US" w:eastAsia="zh-CN"/>
                    </w:rPr>
                    <w:t>达标</w:t>
                  </w:r>
                </w:p>
              </w:tc>
            </w:tr>
            <w:tr w14:paraId="761D9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20E94A4E">
                  <w:pPr>
                    <w:jc w:val="center"/>
                    <w:rPr>
                      <w:rFonts w:hint="default" w:cs="Times New Roman"/>
                      <w:sz w:val="21"/>
                      <w:szCs w:val="21"/>
                      <w:lang w:val="en-US" w:eastAsia="zh-CN"/>
                    </w:rPr>
                  </w:pPr>
                  <w:r>
                    <w:rPr>
                      <w:rFonts w:hint="eastAsia" w:cs="Times New Roman"/>
                      <w:sz w:val="21"/>
                      <w:szCs w:val="21"/>
                      <w:lang w:val="en-US" w:eastAsia="zh-CN"/>
                    </w:rPr>
                    <w:t>21</w:t>
                  </w:r>
                </w:p>
              </w:tc>
              <w:tc>
                <w:tcPr>
                  <w:tcW w:w="705" w:type="pct"/>
                  <w:vAlign w:val="center"/>
                </w:tcPr>
                <w:p w14:paraId="05840B8A">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金寨县南溪镇店房</w:t>
                  </w:r>
                </w:p>
              </w:tc>
              <w:tc>
                <w:tcPr>
                  <w:tcW w:w="781" w:type="pct"/>
                  <w:vAlign w:val="center"/>
                </w:tcPr>
                <w:p w14:paraId="740C00CD">
                  <w:pPr>
                    <w:jc w:val="center"/>
                    <w:rPr>
                      <w:rFonts w:hint="default" w:cs="Times New Roman"/>
                      <w:sz w:val="21"/>
                      <w:szCs w:val="21"/>
                      <w:lang w:val="en-US" w:eastAsia="zh-CN"/>
                    </w:rPr>
                  </w:pPr>
                  <w:r>
                    <w:rPr>
                      <w:rFonts w:hint="eastAsia" w:cs="Times New Roman"/>
                      <w:sz w:val="21"/>
                      <w:szCs w:val="21"/>
                      <w:lang w:val="en-US" w:eastAsia="zh-CN"/>
                    </w:rPr>
                    <w:t>23</w:t>
                  </w:r>
                </w:p>
              </w:tc>
              <w:tc>
                <w:tcPr>
                  <w:tcW w:w="485" w:type="pct"/>
                  <w:vAlign w:val="center"/>
                </w:tcPr>
                <w:p w14:paraId="24F9165E">
                  <w:pPr>
                    <w:jc w:val="center"/>
                    <w:rPr>
                      <w:rFonts w:hint="default" w:cs="Times New Roman"/>
                      <w:sz w:val="21"/>
                      <w:szCs w:val="21"/>
                      <w:lang w:val="en-US" w:eastAsia="zh-CN"/>
                    </w:rPr>
                  </w:pPr>
                  <w:r>
                    <w:rPr>
                      <w:rFonts w:hint="eastAsia" w:cs="Times New Roman"/>
                      <w:sz w:val="21"/>
                      <w:szCs w:val="21"/>
                      <w:lang w:val="en-US" w:eastAsia="zh-CN"/>
                    </w:rPr>
                    <w:t>43.5</w:t>
                  </w:r>
                </w:p>
              </w:tc>
              <w:tc>
                <w:tcPr>
                  <w:tcW w:w="842" w:type="pct"/>
                  <w:vAlign w:val="center"/>
                </w:tcPr>
                <w:p w14:paraId="38A087E9">
                  <w:pPr>
                    <w:jc w:val="center"/>
                    <w:rPr>
                      <w:rFonts w:hint="eastAsia"/>
                      <w:lang w:val="en-US" w:eastAsia="zh-CN"/>
                    </w:rPr>
                  </w:pPr>
                  <w:r>
                    <w:rPr>
                      <w:rFonts w:hint="eastAsia"/>
                      <w:lang w:val="en-US" w:eastAsia="zh-CN"/>
                    </w:rPr>
                    <w:t>46.3</w:t>
                  </w:r>
                </w:p>
              </w:tc>
              <w:tc>
                <w:tcPr>
                  <w:tcW w:w="713" w:type="pct"/>
                  <w:vAlign w:val="center"/>
                </w:tcPr>
                <w:p w14:paraId="666AD7A1">
                  <w:pPr>
                    <w:jc w:val="center"/>
                    <w:rPr>
                      <w:rFonts w:hint="default" w:cs="Times New Roman"/>
                      <w:sz w:val="21"/>
                      <w:szCs w:val="21"/>
                      <w:lang w:val="en-US" w:eastAsia="zh-CN"/>
                    </w:rPr>
                  </w:pPr>
                  <w:r>
                    <w:rPr>
                      <w:rFonts w:hint="eastAsia" w:cs="Times New Roman"/>
                      <w:sz w:val="21"/>
                      <w:szCs w:val="21"/>
                      <w:lang w:val="en-US" w:eastAsia="zh-CN"/>
                    </w:rPr>
                    <w:t>48.0</w:t>
                  </w:r>
                </w:p>
              </w:tc>
              <w:tc>
                <w:tcPr>
                  <w:tcW w:w="1123" w:type="dxa"/>
                  <w:vAlign w:val="center"/>
                </w:tcPr>
                <w:p w14:paraId="4EADA7A4">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45274082">
                  <w:pPr>
                    <w:jc w:val="center"/>
                    <w:rPr>
                      <w:rFonts w:hint="eastAsia" w:cs="Times New Roman"/>
                      <w:sz w:val="21"/>
                      <w:szCs w:val="21"/>
                      <w:lang w:val="en-US" w:eastAsia="zh-CN"/>
                    </w:rPr>
                  </w:pPr>
                  <w:r>
                    <w:rPr>
                      <w:rFonts w:hint="eastAsia" w:cs="Times New Roman"/>
                      <w:sz w:val="21"/>
                      <w:szCs w:val="21"/>
                      <w:lang w:val="en-US" w:eastAsia="zh-CN"/>
                    </w:rPr>
                    <w:t>达标</w:t>
                  </w:r>
                </w:p>
              </w:tc>
            </w:tr>
            <w:tr w14:paraId="7735B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449C6FA1">
                  <w:pPr>
                    <w:jc w:val="center"/>
                    <w:rPr>
                      <w:rFonts w:hint="default" w:cs="Times New Roman"/>
                      <w:sz w:val="21"/>
                      <w:szCs w:val="21"/>
                      <w:lang w:val="en-US" w:eastAsia="zh-CN"/>
                    </w:rPr>
                  </w:pPr>
                  <w:r>
                    <w:rPr>
                      <w:rFonts w:hint="eastAsia" w:cs="Times New Roman"/>
                      <w:sz w:val="21"/>
                      <w:szCs w:val="21"/>
                      <w:lang w:val="en-US" w:eastAsia="zh-CN"/>
                    </w:rPr>
                    <w:t>22</w:t>
                  </w:r>
                </w:p>
              </w:tc>
              <w:tc>
                <w:tcPr>
                  <w:tcW w:w="705" w:type="pct"/>
                  <w:vAlign w:val="center"/>
                </w:tcPr>
                <w:p w14:paraId="61FEB1BC">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金寨县南溪镇新家塆</w:t>
                  </w:r>
                </w:p>
              </w:tc>
              <w:tc>
                <w:tcPr>
                  <w:tcW w:w="781" w:type="pct"/>
                  <w:vAlign w:val="center"/>
                </w:tcPr>
                <w:p w14:paraId="1A7EA16D">
                  <w:pPr>
                    <w:jc w:val="center"/>
                    <w:rPr>
                      <w:rFonts w:hint="default" w:cs="Times New Roman"/>
                      <w:sz w:val="21"/>
                      <w:szCs w:val="21"/>
                      <w:lang w:val="en-US" w:eastAsia="zh-CN"/>
                    </w:rPr>
                  </w:pPr>
                  <w:r>
                    <w:rPr>
                      <w:rFonts w:hint="eastAsia" w:cs="Times New Roman"/>
                      <w:sz w:val="21"/>
                      <w:szCs w:val="21"/>
                      <w:lang w:val="en-US" w:eastAsia="zh-CN"/>
                    </w:rPr>
                    <w:t>43</w:t>
                  </w:r>
                </w:p>
              </w:tc>
              <w:tc>
                <w:tcPr>
                  <w:tcW w:w="485" w:type="pct"/>
                  <w:vAlign w:val="center"/>
                </w:tcPr>
                <w:p w14:paraId="43201777">
                  <w:pPr>
                    <w:jc w:val="center"/>
                    <w:rPr>
                      <w:rFonts w:hint="default" w:cs="Times New Roman"/>
                      <w:sz w:val="21"/>
                      <w:szCs w:val="21"/>
                      <w:lang w:val="en-US" w:eastAsia="zh-CN"/>
                    </w:rPr>
                  </w:pPr>
                  <w:r>
                    <w:rPr>
                      <w:rFonts w:hint="eastAsia" w:cs="Times New Roman"/>
                      <w:sz w:val="21"/>
                      <w:szCs w:val="21"/>
                      <w:lang w:val="en-US" w:eastAsia="zh-CN"/>
                    </w:rPr>
                    <w:t>42.2</w:t>
                  </w:r>
                </w:p>
              </w:tc>
              <w:tc>
                <w:tcPr>
                  <w:tcW w:w="842" w:type="pct"/>
                  <w:vAlign w:val="center"/>
                </w:tcPr>
                <w:p w14:paraId="2BA12987">
                  <w:pPr>
                    <w:jc w:val="center"/>
                    <w:rPr>
                      <w:rFonts w:hint="default"/>
                      <w:lang w:val="en-US" w:eastAsia="zh-CN"/>
                    </w:rPr>
                  </w:pPr>
                  <w:r>
                    <w:rPr>
                      <w:rFonts w:hint="eastAsia"/>
                      <w:lang w:val="en-US" w:eastAsia="zh-CN"/>
                    </w:rPr>
                    <w:t>43.6</w:t>
                  </w:r>
                </w:p>
              </w:tc>
              <w:tc>
                <w:tcPr>
                  <w:tcW w:w="713" w:type="pct"/>
                  <w:vAlign w:val="center"/>
                </w:tcPr>
                <w:p w14:paraId="3164F00D">
                  <w:pPr>
                    <w:jc w:val="center"/>
                    <w:rPr>
                      <w:rFonts w:hint="default" w:cs="Times New Roman"/>
                      <w:sz w:val="21"/>
                      <w:szCs w:val="21"/>
                      <w:lang w:val="en-US" w:eastAsia="zh-CN"/>
                    </w:rPr>
                  </w:pPr>
                  <w:r>
                    <w:rPr>
                      <w:rFonts w:hint="eastAsia" w:cs="Times New Roman"/>
                      <w:sz w:val="21"/>
                      <w:szCs w:val="21"/>
                      <w:lang w:val="en-US" w:eastAsia="zh-CN"/>
                    </w:rPr>
                    <w:t>45.6</w:t>
                  </w:r>
                </w:p>
              </w:tc>
              <w:tc>
                <w:tcPr>
                  <w:tcW w:w="1123" w:type="dxa"/>
                  <w:vAlign w:val="center"/>
                </w:tcPr>
                <w:p w14:paraId="13C76056">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07C08220">
                  <w:pPr>
                    <w:jc w:val="center"/>
                    <w:rPr>
                      <w:rFonts w:hint="eastAsia" w:cs="Times New Roman"/>
                      <w:sz w:val="21"/>
                      <w:szCs w:val="21"/>
                      <w:lang w:val="en-US" w:eastAsia="zh-CN"/>
                    </w:rPr>
                  </w:pPr>
                  <w:r>
                    <w:rPr>
                      <w:rFonts w:hint="eastAsia" w:cs="Times New Roman"/>
                      <w:sz w:val="21"/>
                      <w:szCs w:val="21"/>
                      <w:lang w:val="en-US" w:eastAsia="zh-CN"/>
                    </w:rPr>
                    <w:t>达标</w:t>
                  </w:r>
                </w:p>
              </w:tc>
            </w:tr>
            <w:tr w14:paraId="499FE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97" w:type="dxa"/>
                  <w:vAlign w:val="center"/>
                </w:tcPr>
                <w:p w14:paraId="317C9A1D">
                  <w:pPr>
                    <w:jc w:val="center"/>
                    <w:rPr>
                      <w:rFonts w:hint="default" w:cs="Times New Roman"/>
                      <w:sz w:val="21"/>
                      <w:szCs w:val="21"/>
                      <w:lang w:val="en-US" w:eastAsia="zh-CN"/>
                    </w:rPr>
                  </w:pPr>
                  <w:r>
                    <w:rPr>
                      <w:rFonts w:hint="eastAsia" w:cs="Times New Roman"/>
                      <w:sz w:val="21"/>
                      <w:szCs w:val="21"/>
                      <w:lang w:val="en-US" w:eastAsia="zh-CN"/>
                    </w:rPr>
                    <w:t>23</w:t>
                  </w:r>
                </w:p>
              </w:tc>
              <w:tc>
                <w:tcPr>
                  <w:tcW w:w="705" w:type="pct"/>
                  <w:vAlign w:val="center"/>
                </w:tcPr>
                <w:p w14:paraId="3C2F269E">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金寨县南溪镇火炮岭</w:t>
                  </w:r>
                </w:p>
              </w:tc>
              <w:tc>
                <w:tcPr>
                  <w:tcW w:w="781" w:type="pct"/>
                  <w:vAlign w:val="center"/>
                </w:tcPr>
                <w:p w14:paraId="73A709A5">
                  <w:pPr>
                    <w:jc w:val="center"/>
                    <w:rPr>
                      <w:rFonts w:hint="default" w:cs="Times New Roman"/>
                      <w:sz w:val="21"/>
                      <w:szCs w:val="21"/>
                      <w:lang w:val="en-US" w:eastAsia="zh-CN"/>
                    </w:rPr>
                  </w:pPr>
                  <w:r>
                    <w:rPr>
                      <w:rFonts w:hint="eastAsia" w:cs="Times New Roman"/>
                      <w:sz w:val="21"/>
                      <w:szCs w:val="21"/>
                      <w:lang w:val="en-US" w:eastAsia="zh-CN"/>
                    </w:rPr>
                    <w:t>68</w:t>
                  </w:r>
                </w:p>
              </w:tc>
              <w:tc>
                <w:tcPr>
                  <w:tcW w:w="485" w:type="pct"/>
                  <w:vAlign w:val="center"/>
                </w:tcPr>
                <w:p w14:paraId="4B303CE6">
                  <w:pPr>
                    <w:jc w:val="center"/>
                    <w:rPr>
                      <w:rFonts w:hint="default" w:cs="Times New Roman"/>
                      <w:sz w:val="21"/>
                      <w:szCs w:val="21"/>
                      <w:lang w:val="en-US" w:eastAsia="zh-CN"/>
                    </w:rPr>
                  </w:pPr>
                  <w:r>
                    <w:rPr>
                      <w:rFonts w:hint="eastAsia" w:cs="Times New Roman"/>
                      <w:sz w:val="21"/>
                      <w:szCs w:val="21"/>
                      <w:lang w:val="en-US" w:eastAsia="zh-CN"/>
                    </w:rPr>
                    <w:t>41.6</w:t>
                  </w:r>
                </w:p>
              </w:tc>
              <w:tc>
                <w:tcPr>
                  <w:tcW w:w="842" w:type="pct"/>
                  <w:vAlign w:val="center"/>
                </w:tcPr>
                <w:p w14:paraId="05477AA8">
                  <w:pPr>
                    <w:jc w:val="center"/>
                    <w:rPr>
                      <w:rFonts w:hint="default"/>
                      <w:lang w:val="en-US" w:eastAsia="zh-CN"/>
                    </w:rPr>
                  </w:pPr>
                  <w:r>
                    <w:rPr>
                      <w:rFonts w:hint="eastAsia"/>
                      <w:lang w:val="en-US" w:eastAsia="zh-CN"/>
                    </w:rPr>
                    <w:t>43.6</w:t>
                  </w:r>
                </w:p>
              </w:tc>
              <w:tc>
                <w:tcPr>
                  <w:tcW w:w="713" w:type="pct"/>
                  <w:vAlign w:val="center"/>
                </w:tcPr>
                <w:p w14:paraId="23190AD1">
                  <w:pPr>
                    <w:jc w:val="center"/>
                    <w:rPr>
                      <w:rFonts w:hint="default" w:cs="Times New Roman"/>
                      <w:sz w:val="21"/>
                      <w:szCs w:val="21"/>
                      <w:lang w:val="en-US" w:eastAsia="zh-CN"/>
                    </w:rPr>
                  </w:pPr>
                  <w:r>
                    <w:rPr>
                      <w:rFonts w:hint="eastAsia" w:cs="Times New Roman"/>
                      <w:sz w:val="21"/>
                      <w:szCs w:val="21"/>
                      <w:lang w:val="en-US" w:eastAsia="zh-CN"/>
                    </w:rPr>
                    <w:t>45.5</w:t>
                  </w:r>
                </w:p>
              </w:tc>
              <w:tc>
                <w:tcPr>
                  <w:tcW w:w="1123" w:type="dxa"/>
                  <w:vAlign w:val="center"/>
                </w:tcPr>
                <w:p w14:paraId="68F141CD">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73EBA951">
                  <w:pPr>
                    <w:jc w:val="center"/>
                    <w:rPr>
                      <w:rFonts w:hint="eastAsia" w:cs="Times New Roman"/>
                      <w:sz w:val="21"/>
                      <w:szCs w:val="21"/>
                      <w:lang w:val="en-US" w:eastAsia="zh-CN"/>
                    </w:rPr>
                  </w:pPr>
                  <w:r>
                    <w:rPr>
                      <w:rFonts w:hint="eastAsia" w:cs="Times New Roman"/>
                      <w:sz w:val="21"/>
                      <w:szCs w:val="21"/>
                      <w:lang w:val="en-US" w:eastAsia="zh-CN"/>
                    </w:rPr>
                    <w:t>达标</w:t>
                  </w:r>
                </w:p>
              </w:tc>
            </w:tr>
            <w:tr w14:paraId="5E60F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20" w:type="pct"/>
                  <w:vAlign w:val="center"/>
                </w:tcPr>
                <w:p w14:paraId="5D0EA2B7">
                  <w:pPr>
                    <w:jc w:val="center"/>
                    <w:rPr>
                      <w:rFonts w:hint="default" w:cs="Times New Roman"/>
                      <w:sz w:val="21"/>
                      <w:szCs w:val="21"/>
                      <w:lang w:val="en-US" w:eastAsia="zh-CN"/>
                    </w:rPr>
                  </w:pPr>
                  <w:r>
                    <w:rPr>
                      <w:rFonts w:hint="eastAsia" w:cs="Times New Roman"/>
                      <w:sz w:val="21"/>
                      <w:szCs w:val="21"/>
                      <w:lang w:val="en-US" w:eastAsia="zh-CN"/>
                    </w:rPr>
                    <w:t>24</w:t>
                  </w:r>
                </w:p>
              </w:tc>
              <w:tc>
                <w:tcPr>
                  <w:tcW w:w="705" w:type="pct"/>
                  <w:vAlign w:val="center"/>
                </w:tcPr>
                <w:p w14:paraId="15172995">
                  <w:pPr>
                    <w:jc w:val="center"/>
                    <w:rPr>
                      <w:rFonts w:hint="eastAsia" w:cs="Times New Roman"/>
                      <w:color w:val="auto"/>
                      <w:sz w:val="21"/>
                      <w:szCs w:val="21"/>
                      <w:lang w:val="en-US" w:eastAsia="zh-CN"/>
                    </w:rPr>
                  </w:pPr>
                  <w:r>
                    <w:rPr>
                      <w:rFonts w:hint="eastAsia" w:cs="Times New Roman"/>
                      <w:color w:val="auto"/>
                      <w:sz w:val="21"/>
                      <w:szCs w:val="21"/>
                      <w:lang w:val="en-US" w:eastAsia="zh-CN"/>
                    </w:rPr>
                    <w:t>金寨县汤家汇镇金菩坑</w:t>
                  </w:r>
                </w:p>
              </w:tc>
              <w:tc>
                <w:tcPr>
                  <w:tcW w:w="781" w:type="pct"/>
                  <w:vAlign w:val="center"/>
                </w:tcPr>
                <w:p w14:paraId="7FE56701">
                  <w:pPr>
                    <w:jc w:val="center"/>
                    <w:rPr>
                      <w:rFonts w:hint="default" w:cs="Times New Roman"/>
                      <w:sz w:val="21"/>
                      <w:szCs w:val="21"/>
                      <w:lang w:val="en-US" w:eastAsia="zh-CN"/>
                    </w:rPr>
                  </w:pPr>
                  <w:r>
                    <w:rPr>
                      <w:rFonts w:hint="eastAsia" w:cs="Times New Roman"/>
                      <w:sz w:val="21"/>
                      <w:szCs w:val="21"/>
                      <w:lang w:val="en-US" w:eastAsia="zh-CN"/>
                    </w:rPr>
                    <w:t>85</w:t>
                  </w:r>
                </w:p>
              </w:tc>
              <w:tc>
                <w:tcPr>
                  <w:tcW w:w="485" w:type="pct"/>
                  <w:vAlign w:val="center"/>
                </w:tcPr>
                <w:p w14:paraId="3F7D2D9C">
                  <w:pPr>
                    <w:jc w:val="center"/>
                    <w:rPr>
                      <w:rFonts w:hint="default" w:cs="Times New Roman"/>
                      <w:sz w:val="21"/>
                      <w:szCs w:val="21"/>
                      <w:lang w:val="en-US" w:eastAsia="zh-CN"/>
                    </w:rPr>
                  </w:pPr>
                  <w:r>
                    <w:rPr>
                      <w:rFonts w:hint="eastAsia" w:cs="Times New Roman"/>
                      <w:sz w:val="21"/>
                      <w:szCs w:val="21"/>
                      <w:lang w:val="en-US" w:eastAsia="zh-CN"/>
                    </w:rPr>
                    <w:t>40.9</w:t>
                  </w:r>
                </w:p>
              </w:tc>
              <w:tc>
                <w:tcPr>
                  <w:tcW w:w="842" w:type="pct"/>
                  <w:vAlign w:val="center"/>
                </w:tcPr>
                <w:p w14:paraId="4D88D405">
                  <w:pPr>
                    <w:jc w:val="center"/>
                    <w:rPr>
                      <w:rFonts w:hint="default"/>
                      <w:lang w:val="en-US" w:eastAsia="zh-CN"/>
                    </w:rPr>
                  </w:pPr>
                  <w:r>
                    <w:rPr>
                      <w:rFonts w:hint="eastAsia"/>
                      <w:lang w:val="en-US" w:eastAsia="zh-CN"/>
                    </w:rPr>
                    <w:t>43.6</w:t>
                  </w:r>
                </w:p>
              </w:tc>
              <w:tc>
                <w:tcPr>
                  <w:tcW w:w="713" w:type="pct"/>
                  <w:vAlign w:val="center"/>
                </w:tcPr>
                <w:p w14:paraId="751E0A76">
                  <w:pPr>
                    <w:jc w:val="center"/>
                    <w:rPr>
                      <w:rFonts w:hint="default" w:cs="Times New Roman"/>
                      <w:sz w:val="21"/>
                      <w:szCs w:val="21"/>
                      <w:lang w:val="en-US" w:eastAsia="zh-CN"/>
                    </w:rPr>
                  </w:pPr>
                  <w:r>
                    <w:rPr>
                      <w:rFonts w:hint="eastAsia" w:cs="Times New Roman"/>
                      <w:sz w:val="21"/>
                      <w:szCs w:val="21"/>
                      <w:lang w:val="en-US" w:eastAsia="zh-CN"/>
                    </w:rPr>
                    <w:t>45.4</w:t>
                  </w:r>
                </w:p>
              </w:tc>
              <w:tc>
                <w:tcPr>
                  <w:tcW w:w="1123" w:type="dxa"/>
                  <w:vAlign w:val="center"/>
                </w:tcPr>
                <w:p w14:paraId="71393E9E">
                  <w:pPr>
                    <w:jc w:val="center"/>
                    <w:rPr>
                      <w:rFonts w:hint="eastAsia" w:cs="Times New Roman"/>
                      <w:sz w:val="21"/>
                      <w:szCs w:val="21"/>
                      <w:lang w:val="en-US" w:eastAsia="zh-CN"/>
                    </w:rPr>
                  </w:pPr>
                  <w:r>
                    <w:rPr>
                      <w:rFonts w:hint="eastAsia" w:cs="Times New Roman"/>
                      <w:sz w:val="21"/>
                      <w:szCs w:val="21"/>
                      <w:lang w:val="en-US" w:eastAsia="zh-CN"/>
                    </w:rPr>
                    <w:t>55</w:t>
                  </w:r>
                </w:p>
              </w:tc>
              <w:tc>
                <w:tcPr>
                  <w:tcW w:w="1125" w:type="dxa"/>
                  <w:vAlign w:val="center"/>
                </w:tcPr>
                <w:p w14:paraId="0166FA91">
                  <w:pPr>
                    <w:jc w:val="center"/>
                    <w:rPr>
                      <w:rFonts w:hint="eastAsia" w:cs="Times New Roman"/>
                      <w:sz w:val="21"/>
                      <w:szCs w:val="21"/>
                      <w:lang w:val="en-US" w:eastAsia="zh-CN"/>
                    </w:rPr>
                  </w:pPr>
                  <w:r>
                    <w:rPr>
                      <w:rFonts w:hint="eastAsia" w:cs="Times New Roman"/>
                      <w:sz w:val="21"/>
                      <w:szCs w:val="21"/>
                      <w:lang w:val="en-US" w:eastAsia="zh-CN"/>
                    </w:rPr>
                    <w:t>达标</w:t>
                  </w:r>
                </w:p>
              </w:tc>
            </w:tr>
            <w:tr w14:paraId="0E1E5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5000" w:type="pct"/>
                  <w:gridSpan w:val="8"/>
                  <w:vAlign w:val="center"/>
                </w:tcPr>
                <w:p w14:paraId="1E97615F">
                  <w:pPr>
                    <w:jc w:val="both"/>
                    <w:rPr>
                      <w:rFonts w:hint="default" w:cs="Times New Roman"/>
                      <w:sz w:val="21"/>
                      <w:szCs w:val="21"/>
                      <w:lang w:val="en-US" w:eastAsia="zh-CN"/>
                    </w:rPr>
                  </w:pPr>
                  <w:r>
                    <w:rPr>
                      <w:rFonts w:hint="eastAsia" w:cs="Times New Roman"/>
                      <w:sz w:val="21"/>
                      <w:szCs w:val="21"/>
                      <w:lang w:val="en-US" w:eastAsia="zh-CN"/>
                    </w:rPr>
                    <w:t>注：未监测敏感点噪声现状监测值引用</w:t>
                  </w:r>
                  <w:r>
                    <w:rPr>
                      <w:rFonts w:hint="eastAsia" w:cs="Times New Roman"/>
                      <w:color w:val="auto"/>
                      <w:sz w:val="21"/>
                      <w:szCs w:val="21"/>
                      <w:lang w:val="en-US" w:eastAsia="zh-CN"/>
                    </w:rPr>
                    <w:t>临近</w:t>
                  </w:r>
                  <w:r>
                    <w:rPr>
                      <w:rFonts w:hint="eastAsia" w:cs="Times New Roman"/>
                      <w:sz w:val="21"/>
                      <w:szCs w:val="21"/>
                      <w:lang w:val="en-US" w:eastAsia="zh-CN"/>
                    </w:rPr>
                    <w:t>敏感点的监测值。</w:t>
                  </w:r>
                </w:p>
              </w:tc>
            </w:tr>
          </w:tbl>
          <w:p w14:paraId="4625642D">
            <w:pPr>
              <w:pStyle w:val="15"/>
              <w:spacing w:after="0" w:line="360" w:lineRule="auto"/>
              <w:ind w:firstLine="480" w:firstLineChars="200"/>
              <w:rPr>
                <w:rFonts w:hint="default" w:ascii="Times New Roman" w:hAnsi="Times New Roman" w:eastAsia="宋体" w:cs="Times New Roman"/>
                <w:snapToGrid/>
                <w:spacing w:val="0"/>
                <w:kern w:val="0"/>
                <w:sz w:val="24"/>
                <w:szCs w:val="24"/>
                <w:lang w:val="en-US" w:eastAsia="zh-CN"/>
              </w:rPr>
            </w:pPr>
            <w:r>
              <w:rPr>
                <w:rFonts w:hint="default" w:ascii="Times New Roman" w:hAnsi="Times New Roman" w:eastAsia="宋体" w:cs="Times New Roman"/>
                <w:snapToGrid/>
                <w:spacing w:val="0"/>
                <w:kern w:val="0"/>
                <w:sz w:val="24"/>
                <w:szCs w:val="24"/>
                <w:lang w:val="en-US" w:eastAsia="zh-CN"/>
              </w:rPr>
              <w:t>根据预测结果，在塔基施工场界处采取综合降噪措施情况下，施工期</w:t>
            </w:r>
            <w:r>
              <w:rPr>
                <w:rFonts w:hint="eastAsia" w:cs="Times New Roman"/>
                <w:snapToGrid/>
                <w:spacing w:val="0"/>
                <w:kern w:val="0"/>
                <w:sz w:val="24"/>
                <w:szCs w:val="24"/>
                <w:lang w:val="en-US" w:eastAsia="zh-CN"/>
              </w:rPr>
              <w:t>输电线路沿线</w:t>
            </w:r>
            <w:r>
              <w:rPr>
                <w:rFonts w:hint="default" w:ascii="Times New Roman" w:hAnsi="Times New Roman" w:eastAsia="宋体" w:cs="Times New Roman"/>
                <w:snapToGrid/>
                <w:spacing w:val="0"/>
                <w:kern w:val="0"/>
                <w:sz w:val="24"/>
                <w:szCs w:val="24"/>
                <w:lang w:val="en-US" w:eastAsia="zh-CN"/>
              </w:rPr>
              <w:t>敏感目标处的噪声值能够满足《声环境质量标准》（GB3096-2008）1类标准要求；由于</w:t>
            </w:r>
            <w:r>
              <w:rPr>
                <w:rFonts w:hint="eastAsia" w:cs="Times New Roman"/>
                <w:snapToGrid/>
                <w:spacing w:val="0"/>
                <w:kern w:val="0"/>
                <w:sz w:val="24"/>
                <w:szCs w:val="24"/>
                <w:lang w:val="en-US" w:eastAsia="zh-CN"/>
              </w:rPr>
              <w:t>声环境敏感目标</w:t>
            </w:r>
            <w:r>
              <w:rPr>
                <w:rFonts w:hint="default" w:ascii="Times New Roman" w:hAnsi="Times New Roman" w:eastAsia="宋体" w:cs="Times New Roman"/>
                <w:snapToGrid/>
                <w:spacing w:val="0"/>
                <w:kern w:val="0"/>
                <w:sz w:val="24"/>
                <w:szCs w:val="24"/>
                <w:lang w:val="en-US" w:eastAsia="zh-CN"/>
              </w:rPr>
              <w:t>距塔基较近，施工期除了在塔基施工场界处采取综合降噪措施情况下，还应该在敏感目标处进一步采用综合降噪措施，（综合降噪量按照6dB(A)考虑）的情况下，可确保声环境保护目标达标。由上述分析结果，线路施工期塔基施工时，需进一步优化施工工艺，在距离较近的民房处施工时，优先采取人力或小型机械施工的方式，减少施工噪声影响，确保声环境保护目标处噪声达标。并及时与周边居民沟通，通过避开居民休息时间等方式减少居民投诉的可能。同时施工单位应合理安排施工机械的施工时间，闲置不用的设备应立即关闭，避免高噪声设备同时施工。输电线路单塔施工时间一般较短，约为6~8天，因此，噪声影响是短暂的，施工结束后可立即得到恢复。</w:t>
            </w:r>
          </w:p>
          <w:p w14:paraId="236711F3">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cs="Times New Roman"/>
                <w:b/>
                <w:bCs/>
                <w:sz w:val="24"/>
                <w:szCs w:val="24"/>
                <w:lang w:eastAsia="zh-CN"/>
              </w:rPr>
            </w:pPr>
            <w:r>
              <w:rPr>
                <w:rFonts w:hint="eastAsia" w:cs="Times New Roman"/>
                <w:b/>
                <w:bCs/>
                <w:sz w:val="24"/>
                <w:szCs w:val="24"/>
                <w:lang w:val="en-US" w:eastAsia="zh-CN"/>
              </w:rPr>
              <w:t>4.4</w:t>
            </w:r>
            <w:r>
              <w:rPr>
                <w:rFonts w:hint="default" w:ascii="Times New Roman" w:hAnsi="Times New Roman" w:eastAsia="宋体" w:cs="Times New Roman"/>
                <w:b/>
                <w:bCs/>
                <w:sz w:val="24"/>
                <w:szCs w:val="24"/>
                <w:lang w:eastAsia="zh-CN"/>
              </w:rPr>
              <w:t>、施工</w:t>
            </w:r>
            <w:r>
              <w:rPr>
                <w:rFonts w:hint="eastAsia" w:cs="Times New Roman"/>
                <w:b/>
                <w:bCs/>
                <w:sz w:val="24"/>
                <w:szCs w:val="24"/>
                <w:lang w:val="en-US" w:eastAsia="zh-CN"/>
              </w:rPr>
              <w:t>期</w:t>
            </w:r>
            <w:r>
              <w:rPr>
                <w:rFonts w:hint="default" w:ascii="Times New Roman" w:hAnsi="Times New Roman" w:eastAsia="宋体" w:cs="Times New Roman"/>
                <w:b/>
                <w:bCs/>
                <w:sz w:val="24"/>
                <w:szCs w:val="24"/>
                <w:lang w:eastAsia="zh-CN"/>
              </w:rPr>
              <w:t>扬尘环境影响分析</w:t>
            </w:r>
          </w:p>
          <w:p w14:paraId="1EC1C3C0">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本工程施工期</w:t>
            </w:r>
            <w:r>
              <w:rPr>
                <w:rFonts w:hint="default" w:ascii="Times New Roman" w:hAnsi="Times New Roman" w:eastAsia="宋体" w:cs="Times New Roman"/>
                <w:sz w:val="24"/>
                <w:szCs w:val="24"/>
                <w:lang w:val="en-US" w:eastAsia="zh-CN"/>
              </w:rPr>
              <w:t>扬尘</w:t>
            </w:r>
            <w:r>
              <w:rPr>
                <w:rFonts w:hint="default" w:ascii="Times New Roman" w:hAnsi="Times New Roman" w:eastAsia="宋体" w:cs="Times New Roman"/>
                <w:sz w:val="24"/>
                <w:szCs w:val="24"/>
                <w:lang w:eastAsia="zh-CN"/>
              </w:rPr>
              <w:t>主要来自</w:t>
            </w:r>
            <w:r>
              <w:rPr>
                <w:rFonts w:hint="default" w:ascii="Times New Roman" w:hAnsi="Times New Roman" w:eastAsia="宋体" w:cs="Times New Roman"/>
                <w:sz w:val="24"/>
                <w:szCs w:val="24"/>
                <w:lang w:val="en-US" w:eastAsia="zh-CN"/>
              </w:rPr>
              <w:t>土石方开挖</w:t>
            </w:r>
            <w:r>
              <w:rPr>
                <w:rFonts w:hint="default" w:ascii="Times New Roman" w:hAnsi="Times New Roman" w:eastAsia="宋体" w:cs="Times New Roman"/>
                <w:sz w:val="24"/>
                <w:szCs w:val="24"/>
                <w:lang w:eastAsia="zh-CN"/>
              </w:rPr>
              <w:t>和</w:t>
            </w:r>
            <w:r>
              <w:rPr>
                <w:rFonts w:hint="default" w:ascii="Times New Roman" w:hAnsi="Times New Roman" w:eastAsia="宋体" w:cs="Times New Roman"/>
                <w:sz w:val="24"/>
                <w:szCs w:val="24"/>
                <w:lang w:val="en-US" w:eastAsia="zh-CN"/>
              </w:rPr>
              <w:t>施工</w:t>
            </w:r>
            <w:r>
              <w:rPr>
                <w:rFonts w:hint="default" w:ascii="Times New Roman" w:hAnsi="Times New Roman" w:eastAsia="宋体" w:cs="Times New Roman"/>
                <w:sz w:val="24"/>
                <w:szCs w:val="24"/>
                <w:lang w:eastAsia="zh-CN"/>
              </w:rPr>
              <w:t>车辆行驶产生的扬尘。</w:t>
            </w:r>
          </w:p>
          <w:p w14:paraId="5BED422D">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输变电工程施工过程中，车辆行驶产生</w:t>
            </w:r>
            <w:r>
              <w:rPr>
                <w:rFonts w:hint="default" w:ascii="Times New Roman" w:hAnsi="Times New Roman" w:eastAsia="宋体" w:cs="Times New Roman"/>
                <w:sz w:val="24"/>
                <w:szCs w:val="24"/>
                <w:lang w:val="en-US" w:eastAsia="zh-CN"/>
              </w:rPr>
              <w:t>一定</w:t>
            </w:r>
            <w:r>
              <w:rPr>
                <w:rFonts w:hint="default" w:ascii="Times New Roman" w:hAnsi="Times New Roman" w:eastAsia="宋体" w:cs="Times New Roman"/>
                <w:sz w:val="24"/>
                <w:szCs w:val="24"/>
                <w:lang w:eastAsia="zh-CN"/>
              </w:rPr>
              <w:t>的扬尘。在同样的路面条件下，车速越快，扬尘量越大；在同样的车速情况下，路面越脏，扬尘量越大。因此，限制车辆行驶速度以及保持路面的清洁是减少汽车扬尘的有效手段。</w:t>
            </w:r>
            <w:r>
              <w:rPr>
                <w:rFonts w:hint="eastAsia" w:cs="Times New Roman"/>
                <w:sz w:val="24"/>
                <w:szCs w:val="24"/>
                <w:lang w:val="en-US" w:eastAsia="zh-CN"/>
              </w:rPr>
              <w:t>变电站及线路工程</w:t>
            </w:r>
            <w:r>
              <w:rPr>
                <w:rFonts w:hint="default" w:ascii="Times New Roman" w:hAnsi="Times New Roman" w:eastAsia="宋体" w:cs="Times New Roman"/>
                <w:sz w:val="24"/>
                <w:szCs w:val="24"/>
                <w:lang w:eastAsia="zh-CN"/>
              </w:rPr>
              <w:t>施工主要采取限制车速、车身洒水、车体加盖及站址附近行驶路面洒水相结合的措施控制扬尘。采取上述措施后，限制了工程施工</w:t>
            </w:r>
            <w:r>
              <w:rPr>
                <w:rFonts w:hint="eastAsia" w:cs="Times New Roman"/>
                <w:sz w:val="24"/>
                <w:szCs w:val="24"/>
                <w:lang w:eastAsia="zh-CN"/>
              </w:rPr>
              <w:t>期间</w:t>
            </w:r>
            <w:r>
              <w:rPr>
                <w:rFonts w:hint="default" w:ascii="Times New Roman" w:hAnsi="Times New Roman" w:eastAsia="宋体" w:cs="Times New Roman"/>
                <w:sz w:val="24"/>
                <w:szCs w:val="24"/>
                <w:lang w:eastAsia="zh-CN"/>
              </w:rPr>
              <w:t>车辆运输产生的扬尘量及影响距离，对附近居民影响较小。</w:t>
            </w:r>
          </w:p>
          <w:p w14:paraId="151F7B41">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本工程</w:t>
            </w:r>
            <w:r>
              <w:rPr>
                <w:rFonts w:hint="eastAsia" w:cs="Times New Roman"/>
                <w:sz w:val="24"/>
                <w:szCs w:val="24"/>
                <w:lang w:val="en-US" w:eastAsia="zh-CN"/>
              </w:rPr>
              <w:t>变电站及线路工程</w:t>
            </w:r>
            <w:r>
              <w:rPr>
                <w:rFonts w:hint="default" w:ascii="Times New Roman" w:hAnsi="Times New Roman" w:eastAsia="宋体" w:cs="Times New Roman"/>
                <w:sz w:val="24"/>
                <w:szCs w:val="24"/>
                <w:lang w:eastAsia="zh-CN"/>
              </w:rPr>
              <w:t>区开挖主要在露天进行，临时堆土及建筑材料需要露天堆放，在气候干燥且有风的情况下，可能会产生扬尘。起尘风速与粒径和含水量有关，因此减少露天堆放和保证一定的含水量及减少裸露地面是减少风力起尘的有效手段。因此，本工程施工过程中</w:t>
            </w:r>
            <w:r>
              <w:rPr>
                <w:rFonts w:hint="eastAsia" w:cs="Times New Roman"/>
                <w:sz w:val="24"/>
                <w:szCs w:val="24"/>
                <w:lang w:eastAsia="zh-CN"/>
              </w:rPr>
              <w:t>需</w:t>
            </w:r>
            <w:r>
              <w:rPr>
                <w:rFonts w:hint="default" w:ascii="Times New Roman" w:hAnsi="Times New Roman" w:eastAsia="宋体" w:cs="Times New Roman"/>
                <w:sz w:val="24"/>
                <w:szCs w:val="24"/>
                <w:lang w:eastAsia="zh-CN"/>
              </w:rPr>
              <w:t>对临时堆土及建筑材料进行遮盖，尤其是在干燥有风的天气情况下，并配合进行适当的洒水，能有效</w:t>
            </w:r>
            <w:r>
              <w:rPr>
                <w:rFonts w:hint="eastAsia" w:cs="Times New Roman"/>
                <w:sz w:val="24"/>
                <w:szCs w:val="24"/>
                <w:lang w:eastAsia="zh-CN"/>
              </w:rPr>
              <w:t>减少</w:t>
            </w:r>
            <w:r>
              <w:rPr>
                <w:rFonts w:hint="default" w:ascii="Times New Roman" w:hAnsi="Times New Roman" w:eastAsia="宋体" w:cs="Times New Roman"/>
                <w:sz w:val="24"/>
                <w:szCs w:val="24"/>
                <w:lang w:eastAsia="zh-CN"/>
              </w:rPr>
              <w:t>起尘量，增大尘粒的含水量，对附近环境空气的影响较小，基本不会对附近居民产生影响。</w:t>
            </w:r>
          </w:p>
          <w:p w14:paraId="1039BC34">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为了落实《安徽省大气污染防治条例》的相关规定，结合《输变电建设项目环境保护技术要求》（HJ1113-2020）中施工阶段大气环境保护的相关要求，本次环评提出施工过程严格执行6个100%的规定，具体要求如下：</w:t>
            </w:r>
          </w:p>
          <w:p w14:paraId="3C0019C4">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（1）施工现场100%围挡</w:t>
            </w:r>
          </w:p>
          <w:p w14:paraId="5596280F">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项目开工前，施工现场必须沿四周连续设置封闭围墙（围挡），做到坚固、平稳、整洁、美观，整个施工过程必须控制在围墙范围内。</w:t>
            </w:r>
          </w:p>
          <w:p w14:paraId="7DA5D994">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（2）裸露路面100%覆盖</w:t>
            </w:r>
          </w:p>
          <w:p w14:paraId="222B39E9">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施工中采取边开挖边覆盖，对开挖面、土方、砂石料等裸露部分采用抑尘网100%覆盖，并采用抑尘车、喷淋系统随时洒水抑尘，保持湿润无扬尘。</w:t>
            </w:r>
          </w:p>
          <w:p w14:paraId="5F687E93">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（3）工地路面100%硬化</w:t>
            </w:r>
          </w:p>
          <w:p w14:paraId="0C3A9E7A">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主要通道、进出道路等地面进行硬化处理。当无法</w:t>
            </w:r>
            <w:r>
              <w:rPr>
                <w:rFonts w:hint="eastAsia" w:cs="Times New Roman"/>
                <w:sz w:val="24"/>
                <w:szCs w:val="24"/>
                <w:lang w:val="en-US" w:eastAsia="zh-CN"/>
              </w:rPr>
              <w:t>采取</w:t>
            </w:r>
            <w:r>
              <w:rPr>
                <w:rFonts w:hint="default" w:ascii="Times New Roman" w:hAnsi="Times New Roman" w:eastAsia="宋体" w:cs="Times New Roman"/>
                <w:sz w:val="24"/>
                <w:szCs w:val="24"/>
                <w:lang w:val="en-US" w:eastAsia="zh-CN"/>
              </w:rPr>
              <w:t>硬化措施时，施工作业持续时间在15日</w:t>
            </w:r>
            <w:r>
              <w:rPr>
                <w:rFonts w:hint="eastAsia" w:cs="Times New Roman"/>
                <w:sz w:val="24"/>
                <w:szCs w:val="24"/>
                <w:lang w:val="en-US" w:eastAsia="zh-CN"/>
              </w:rPr>
              <w:t>内</w:t>
            </w:r>
            <w:r>
              <w:rPr>
                <w:rFonts w:hint="default" w:ascii="Times New Roman" w:hAnsi="Times New Roman" w:eastAsia="宋体" w:cs="Times New Roman"/>
                <w:sz w:val="24"/>
                <w:szCs w:val="24"/>
                <w:lang w:val="en-US" w:eastAsia="zh-CN"/>
              </w:rPr>
              <w:t>采取洒水防尘措施。</w:t>
            </w:r>
          </w:p>
          <w:p w14:paraId="0F963FB9">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（4）出入工地车辆100%冲洗</w:t>
            </w:r>
          </w:p>
          <w:p w14:paraId="3841418C">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工地出入口应当安排专人进行车辆清洗和登记，进出工地的运输车辆的轮胎和车身外表应当完全冲洗干净后，方可进出工地。</w:t>
            </w:r>
          </w:p>
          <w:p w14:paraId="6C60EB6C">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（5）施工现场100%洒水降尘</w:t>
            </w:r>
          </w:p>
          <w:p w14:paraId="561BA8A2">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施工现场设专人负责卫生保洁，每天上午、下午各进行</w:t>
            </w:r>
            <w:r>
              <w:rPr>
                <w:rFonts w:hint="eastAsia" w:cs="Times New Roman"/>
                <w:sz w:val="24"/>
                <w:szCs w:val="24"/>
                <w:lang w:val="en-US" w:eastAsia="zh-CN"/>
              </w:rPr>
              <w:t>两次</w:t>
            </w:r>
            <w:r>
              <w:rPr>
                <w:rFonts w:hint="default" w:ascii="Times New Roman" w:hAnsi="Times New Roman" w:eastAsia="宋体" w:cs="Times New Roman"/>
                <w:sz w:val="24"/>
                <w:szCs w:val="24"/>
                <w:lang w:val="en-US" w:eastAsia="zh-CN"/>
              </w:rPr>
              <w:t>洒水降尘，遇到干旱和大风天气时，应增加洒水降尘次数，确保无浮土扬尘。开挖、回填等土方作业时，要辅以洒水压尘等措施。工程竣工后，施工现场的临设、围挡、垃圾等必须及时清理完毕，清理时必须采取有效的降尘措施。</w:t>
            </w:r>
          </w:p>
          <w:p w14:paraId="0719502F">
            <w:pPr>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（6）渣土车辆100%密闭运输</w:t>
            </w:r>
          </w:p>
          <w:p w14:paraId="50E0D5EE">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易产生扬尘的建筑材料、渣土应采取密闭搬运、存储或采用防尘布苫盖等防尘措施。严禁熔融沥青、焚烧垃圾等有毒有害物质，禁止无牌无证车辆进入施工现场。</w:t>
            </w:r>
          </w:p>
          <w:p w14:paraId="4A6C1864">
            <w:pPr>
              <w:spacing w:line="360" w:lineRule="auto"/>
              <w:ind w:firstLine="480" w:firstLineChars="200"/>
              <w:rPr>
                <w:rFonts w:hint="default" w:ascii="Times New Roman" w:hAnsi="Times New Roman" w:eastAsia="宋体" w:cs="Times New Roman"/>
                <w:sz w:val="24"/>
                <w:szCs w:val="24"/>
                <w:lang w:eastAsia="zh-CN"/>
              </w:rPr>
            </w:pPr>
            <w:r>
              <w:rPr>
                <w:rFonts w:hint="eastAsia" w:cs="Times New Roman"/>
                <w:sz w:val="24"/>
                <w:szCs w:val="24"/>
                <w:lang w:val="en-US" w:eastAsia="zh-CN"/>
              </w:rPr>
              <w:t>变电站</w:t>
            </w:r>
            <w:r>
              <w:rPr>
                <w:rFonts w:hint="default" w:ascii="Times New Roman" w:hAnsi="Times New Roman" w:eastAsia="宋体" w:cs="Times New Roman"/>
                <w:sz w:val="24"/>
                <w:szCs w:val="24"/>
                <w:lang w:eastAsia="zh-CN"/>
              </w:rPr>
              <w:t>施工扬尘影响主要集中在站址区域内，</w:t>
            </w:r>
            <w:r>
              <w:rPr>
                <w:rFonts w:hint="default" w:ascii="Times New Roman" w:hAnsi="Times New Roman" w:eastAsia="宋体" w:cs="Times New Roman"/>
                <w:sz w:val="24"/>
                <w:szCs w:val="24"/>
                <w:lang w:val="en-US" w:eastAsia="zh-CN"/>
              </w:rPr>
              <w:t>具有影响</w:t>
            </w:r>
            <w:r>
              <w:rPr>
                <w:rFonts w:hint="default" w:ascii="Times New Roman" w:hAnsi="Times New Roman" w:eastAsia="宋体" w:cs="Times New Roman"/>
                <w:sz w:val="24"/>
                <w:szCs w:val="24"/>
                <w:lang w:eastAsia="zh-CN"/>
              </w:rPr>
              <w:t>时间短、扬尘量</w:t>
            </w:r>
            <w:r>
              <w:rPr>
                <w:rFonts w:hint="default" w:ascii="Times New Roman" w:hAnsi="Times New Roman" w:eastAsia="宋体" w:cs="Times New Roman"/>
                <w:sz w:val="24"/>
                <w:szCs w:val="24"/>
                <w:lang w:val="en-US" w:eastAsia="zh-CN"/>
              </w:rPr>
              <w:t>少</w:t>
            </w:r>
            <w:r>
              <w:rPr>
                <w:rFonts w:hint="default" w:ascii="Times New Roman" w:hAnsi="Times New Roman" w:eastAsia="宋体" w:cs="Times New Roman"/>
                <w:sz w:val="24"/>
                <w:szCs w:val="24"/>
                <w:lang w:eastAsia="zh-CN"/>
              </w:rPr>
              <w:t>及扬尘范围小的特点。本工程施工过程中贯彻文明施工的原则，并采取有效的扬尘防治措施，施工扬尘对环境空气的影响可以得到有效控制，施工扬尘对周围村庄等环境敏感目标影响很小，且能够很快恢复，</w:t>
            </w:r>
            <w:r>
              <w:rPr>
                <w:rFonts w:hint="default" w:ascii="Times New Roman" w:hAnsi="Times New Roman" w:eastAsia="宋体" w:cs="Times New Roman"/>
                <w:sz w:val="24"/>
                <w:szCs w:val="24"/>
                <w:lang w:val="en-US" w:eastAsia="zh-CN"/>
              </w:rPr>
              <w:t>施工场地颗粒物排放能够满足《施工场地颗粒物排放标准》（DB34/4811-2024）。</w:t>
            </w:r>
          </w:p>
          <w:p w14:paraId="6F3B3B75">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5、施工</w:t>
            </w:r>
            <w:r>
              <w:rPr>
                <w:rFonts w:hint="eastAsia" w:cs="Times New Roman"/>
                <w:b/>
                <w:bCs/>
                <w:color w:val="000000" w:themeColor="text1"/>
                <w:sz w:val="24"/>
                <w:szCs w:val="24"/>
                <w:lang w:val="en-US" w:eastAsia="zh-CN"/>
                <w14:textFill>
                  <w14:solidFill>
                    <w14:schemeClr w14:val="tx1"/>
                  </w14:solidFill>
                </w14:textFill>
              </w:rPr>
              <w:t>期</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废水环境影响分析</w:t>
            </w:r>
          </w:p>
          <w:p w14:paraId="2F192E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sz w:val="24"/>
                <w:szCs w:val="24"/>
                <w:lang w:val="en-US" w:eastAsia="zh-CN"/>
              </w:rPr>
            </w:pPr>
            <w:r>
              <w:rPr>
                <w:rFonts w:hint="eastAsia" w:cs="Times New Roman"/>
                <w:sz w:val="24"/>
                <w:szCs w:val="24"/>
                <w:lang w:val="en-US" w:eastAsia="zh-CN"/>
              </w:rPr>
              <w:t>（1）生活污水和施工废水</w:t>
            </w:r>
          </w:p>
          <w:p w14:paraId="74CFBC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CN"/>
              </w:rPr>
            </w:pPr>
            <w:r>
              <w:rPr>
                <w:rFonts w:hint="eastAsia" w:cs="Times New Roman"/>
                <w:sz w:val="24"/>
                <w:szCs w:val="24"/>
                <w:lang w:val="en-US" w:eastAsia="zh-CN"/>
              </w:rPr>
              <w:t>变电站及线路工程</w:t>
            </w:r>
            <w:r>
              <w:rPr>
                <w:rFonts w:hint="default" w:ascii="Times New Roman" w:hAnsi="Times New Roman" w:eastAsia="宋体" w:cs="Times New Roman"/>
                <w:sz w:val="24"/>
                <w:szCs w:val="24"/>
                <w:lang w:val="en-US" w:eastAsia="zh-CN"/>
              </w:rPr>
              <w:t>施工期水污染源主要为施工人员生活污水、泥浆水等施工废水及施工机械清洗油污水。</w:t>
            </w:r>
          </w:p>
          <w:p w14:paraId="418D9D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施工</w:t>
            </w:r>
            <w:r>
              <w:rPr>
                <w:rFonts w:hint="eastAsia" w:cs="Times New Roman"/>
                <w:sz w:val="24"/>
                <w:szCs w:val="24"/>
                <w:lang w:val="en-US" w:eastAsia="zh-CN"/>
              </w:rPr>
              <w:t>生产</w:t>
            </w:r>
            <w:r>
              <w:rPr>
                <w:rFonts w:hint="default" w:ascii="Times New Roman" w:hAnsi="Times New Roman" w:eastAsia="宋体" w:cs="Times New Roman"/>
                <w:sz w:val="24"/>
                <w:szCs w:val="24"/>
                <w:lang w:val="en-US" w:eastAsia="zh-CN"/>
              </w:rPr>
              <w:t>生活区设置临时旱厕，施工人员生活污水</w:t>
            </w:r>
            <w:r>
              <w:rPr>
                <w:rFonts w:hint="eastAsia" w:cs="Times New Roman"/>
                <w:sz w:val="24"/>
                <w:szCs w:val="24"/>
                <w:lang w:val="en-US" w:eastAsia="zh-CN"/>
              </w:rPr>
              <w:t>经临时旱厕收集，</w:t>
            </w:r>
            <w:r>
              <w:rPr>
                <w:rFonts w:hint="default" w:ascii="Times New Roman" w:hAnsi="Times New Roman" w:eastAsia="宋体" w:cs="Times New Roman"/>
                <w:sz w:val="24"/>
                <w:szCs w:val="24"/>
                <w:lang w:val="en-US" w:eastAsia="zh-CN"/>
              </w:rPr>
              <w:t>定期清理，不外排；</w:t>
            </w:r>
            <w:r>
              <w:rPr>
                <w:rFonts w:hint="eastAsia" w:cs="Times New Roman"/>
                <w:sz w:val="24"/>
                <w:szCs w:val="24"/>
                <w:lang w:val="en-US" w:eastAsia="zh-CN"/>
              </w:rPr>
              <w:t>塔基</w:t>
            </w:r>
            <w:r>
              <w:rPr>
                <w:rFonts w:hint="default" w:ascii="Times New Roman" w:hAnsi="Times New Roman" w:eastAsia="宋体" w:cs="Times New Roman"/>
                <w:sz w:val="24"/>
                <w:szCs w:val="24"/>
                <w:lang w:val="en-US" w:eastAsia="zh-CN"/>
              </w:rPr>
              <w:t>施工人员产生的少量生活污水利用当地居民区已有的化粪池进行处理</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项目施工期泥浆水等施工废水经</w:t>
            </w:r>
            <w:r>
              <w:rPr>
                <w:rFonts w:hint="eastAsia" w:cs="Times New Roman"/>
                <w:sz w:val="24"/>
                <w:szCs w:val="24"/>
                <w:lang w:val="en-US" w:eastAsia="zh-CN"/>
              </w:rPr>
              <w:t>临时</w:t>
            </w:r>
            <w:r>
              <w:rPr>
                <w:rFonts w:hint="default" w:ascii="Times New Roman" w:hAnsi="Times New Roman" w:eastAsia="宋体" w:cs="Times New Roman"/>
                <w:sz w:val="24"/>
                <w:szCs w:val="24"/>
                <w:lang w:val="en-US" w:eastAsia="zh-CN"/>
              </w:rPr>
              <w:t>沉淀池沉淀后清水回用</w:t>
            </w:r>
            <w:r>
              <w:rPr>
                <w:rFonts w:hint="eastAsia" w:cs="Times New Roman"/>
                <w:sz w:val="24"/>
                <w:szCs w:val="24"/>
                <w:lang w:val="en-US" w:eastAsia="zh-CN"/>
              </w:rPr>
              <w:t>于施工场地，</w:t>
            </w:r>
            <w:r>
              <w:rPr>
                <w:rFonts w:hint="default" w:ascii="Times New Roman" w:hAnsi="Times New Roman" w:eastAsia="宋体" w:cs="Times New Roman"/>
                <w:sz w:val="24"/>
                <w:szCs w:val="24"/>
                <w:lang w:val="en-US" w:eastAsia="zh-CN"/>
              </w:rPr>
              <w:t>不随意排放；施工单位应设置移动式油处理装置，施工机械清洗油污水经处理后浮油回收使用，不排入附近水体。</w:t>
            </w:r>
          </w:p>
          <w:p w14:paraId="27E804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（2）线路工程跨越梅山水库、白水河等水体以及饮用水水源准保护区的环境影响分析</w:t>
            </w:r>
          </w:p>
          <w:p w14:paraId="3AE381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根据现场踏勘，本工程输电线路主要跨越地表水体为</w:t>
            </w:r>
            <w:r>
              <w:rPr>
                <w:rFonts w:hint="eastAsia" w:cs="Times New Roman"/>
                <w:sz w:val="24"/>
                <w:szCs w:val="24"/>
                <w:lang w:val="en-US" w:eastAsia="zh-CN"/>
              </w:rPr>
              <w:t>梅山水库、白水河、双河、麻河</w:t>
            </w:r>
            <w:r>
              <w:rPr>
                <w:rFonts w:hint="default" w:ascii="Times New Roman" w:hAnsi="Times New Roman" w:eastAsia="宋体" w:cs="Times New Roman"/>
                <w:sz w:val="24"/>
                <w:szCs w:val="24"/>
                <w:lang w:val="en-US" w:eastAsia="zh-CN"/>
              </w:rPr>
              <w:t>。由于跨越处的</w:t>
            </w:r>
            <w:r>
              <w:rPr>
                <w:rFonts w:hint="eastAsia" w:cs="Times New Roman"/>
                <w:sz w:val="24"/>
                <w:szCs w:val="24"/>
                <w:lang w:val="en-US" w:eastAsia="zh-CN"/>
              </w:rPr>
              <w:t>水体</w:t>
            </w:r>
            <w:r>
              <w:rPr>
                <w:rFonts w:hint="default" w:ascii="Times New Roman" w:hAnsi="Times New Roman" w:eastAsia="宋体" w:cs="Times New Roman"/>
                <w:sz w:val="24"/>
                <w:szCs w:val="24"/>
                <w:lang w:val="en-US" w:eastAsia="zh-CN"/>
              </w:rPr>
              <w:t>两岸</w:t>
            </w:r>
            <w:r>
              <w:rPr>
                <w:rFonts w:hint="eastAsia" w:cs="Times New Roman"/>
                <w:sz w:val="24"/>
                <w:szCs w:val="24"/>
                <w:lang w:val="en-US" w:eastAsia="zh-CN"/>
              </w:rPr>
              <w:t>均</w:t>
            </w:r>
            <w:r>
              <w:rPr>
                <w:rFonts w:hint="default" w:ascii="Times New Roman" w:hAnsi="Times New Roman" w:eastAsia="宋体" w:cs="Times New Roman"/>
                <w:sz w:val="24"/>
                <w:szCs w:val="24"/>
                <w:lang w:val="en-US" w:eastAsia="zh-CN"/>
              </w:rPr>
              <w:t>没有相应的堤防工程，塔基基础采用</w:t>
            </w:r>
            <w:r>
              <w:rPr>
                <w:rFonts w:hint="eastAsia" w:cs="Times New Roman"/>
                <w:sz w:val="24"/>
                <w:szCs w:val="24"/>
                <w:lang w:val="en-US" w:eastAsia="zh-CN"/>
              </w:rPr>
              <w:t>挖孔</w:t>
            </w:r>
            <w:r>
              <w:rPr>
                <w:rFonts w:hint="default" w:ascii="Times New Roman" w:hAnsi="Times New Roman" w:eastAsia="宋体" w:cs="Times New Roman"/>
                <w:sz w:val="24"/>
                <w:szCs w:val="24"/>
                <w:lang w:val="en-US" w:eastAsia="zh-CN"/>
              </w:rPr>
              <w:t>桩基础时，产生的泥浆废水极易排入</w:t>
            </w:r>
            <w:r>
              <w:rPr>
                <w:rFonts w:hint="eastAsia" w:cs="Times New Roman"/>
                <w:sz w:val="24"/>
                <w:szCs w:val="24"/>
                <w:lang w:val="en-US" w:eastAsia="zh-CN"/>
              </w:rPr>
              <w:t>梅山水库、白水河等</w:t>
            </w:r>
            <w:r>
              <w:rPr>
                <w:rFonts w:hint="default" w:ascii="Times New Roman" w:hAnsi="Times New Roman" w:eastAsia="宋体" w:cs="Times New Roman"/>
                <w:sz w:val="24"/>
                <w:szCs w:val="24"/>
                <w:lang w:val="en-US" w:eastAsia="zh-CN"/>
              </w:rPr>
              <w:t>水体，对</w:t>
            </w:r>
            <w:r>
              <w:rPr>
                <w:rFonts w:hint="eastAsia" w:cs="Times New Roman"/>
                <w:sz w:val="24"/>
                <w:szCs w:val="24"/>
                <w:lang w:val="en-US" w:eastAsia="zh-CN"/>
              </w:rPr>
              <w:t>梅山水库、白水河等</w:t>
            </w:r>
            <w:r>
              <w:rPr>
                <w:rFonts w:hint="default" w:ascii="Times New Roman" w:hAnsi="Times New Roman" w:eastAsia="宋体" w:cs="Times New Roman"/>
                <w:sz w:val="24"/>
                <w:szCs w:val="24"/>
                <w:lang w:val="en-US" w:eastAsia="zh-CN"/>
              </w:rPr>
              <w:t>水体产生影响。因此，塔基施工场地应尽量远离河道一侧，同时在施工场地周边设置排水沟，排水沟与施工场地内设置的沉淀池连接，施工期间产生的泥浆废水经沉淀池沉清后，清水回</w:t>
            </w:r>
            <w:r>
              <w:rPr>
                <w:rFonts w:hint="eastAsia" w:cs="Times New Roman"/>
                <w:sz w:val="24"/>
                <w:szCs w:val="24"/>
                <w:lang w:val="en-US" w:eastAsia="zh-CN"/>
              </w:rPr>
              <w:t>用于</w:t>
            </w:r>
            <w:r>
              <w:rPr>
                <w:rFonts w:hint="default" w:ascii="Times New Roman" w:hAnsi="Times New Roman" w:eastAsia="宋体" w:cs="Times New Roman"/>
                <w:sz w:val="24"/>
                <w:szCs w:val="24"/>
                <w:lang w:val="en-US" w:eastAsia="zh-CN"/>
              </w:rPr>
              <w:t>塔基基础养护及施工场地洒水，严禁施工废水随意排放。塔基基础浇筑采用商品混凝土，无施工废水排放。塔基基础施工产生的土方，施工完成后在塔基周边进行平整回填，并采取植被恢复等水土保持措施。</w:t>
            </w:r>
          </w:p>
          <w:p w14:paraId="07E69D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eastAsia="zh-CN"/>
              </w:rPr>
            </w:pPr>
            <w:r>
              <w:rPr>
                <w:rFonts w:hint="eastAsia" w:cs="Times New Roman"/>
                <w:sz w:val="24"/>
                <w:szCs w:val="24"/>
                <w:lang w:val="en-US" w:eastAsia="zh-CN"/>
              </w:rPr>
              <w:t>综上所述</w:t>
            </w:r>
            <w:r>
              <w:rPr>
                <w:rFonts w:hint="default" w:ascii="Times New Roman" w:hAnsi="Times New Roman" w:eastAsia="宋体" w:cs="Times New Roman"/>
                <w:sz w:val="24"/>
                <w:szCs w:val="24"/>
                <w:lang w:val="en-US" w:eastAsia="zh-CN"/>
              </w:rPr>
              <w:t>，</w:t>
            </w:r>
            <w:r>
              <w:rPr>
                <w:rFonts w:hint="eastAsia" w:cs="Times New Roman"/>
                <w:sz w:val="24"/>
                <w:szCs w:val="24"/>
                <w:lang w:val="en-US" w:eastAsia="zh-CN"/>
              </w:rPr>
              <w:t>本工程变电站和线路工程</w:t>
            </w:r>
            <w:r>
              <w:rPr>
                <w:rFonts w:hint="default" w:ascii="Times New Roman" w:hAnsi="Times New Roman" w:eastAsia="宋体" w:cs="Times New Roman"/>
                <w:sz w:val="24"/>
                <w:szCs w:val="24"/>
                <w:lang w:val="en-US" w:eastAsia="zh-CN"/>
              </w:rPr>
              <w:t>施工期产生的污水不会对附近水环境产生不利影响。</w:t>
            </w:r>
          </w:p>
          <w:p w14:paraId="50FC91F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sz w:val="24"/>
                <w:szCs w:val="24"/>
                <w:lang w:eastAsia="zh-CN"/>
              </w:rPr>
            </w:pPr>
            <w:r>
              <w:rPr>
                <w:rFonts w:hint="eastAsia" w:cs="Times New Roman"/>
                <w:b/>
                <w:bCs/>
                <w:sz w:val="24"/>
                <w:szCs w:val="24"/>
                <w:lang w:val="en-US" w:eastAsia="zh-CN"/>
              </w:rPr>
              <w:t>4.</w:t>
            </w:r>
            <w:r>
              <w:rPr>
                <w:rFonts w:hint="eastAsia" w:ascii="Times New Roman" w:hAnsi="Times New Roman" w:eastAsia="宋体" w:cs="Times New Roman"/>
                <w:b/>
                <w:bCs/>
                <w:sz w:val="24"/>
                <w:szCs w:val="24"/>
                <w:lang w:val="en-US" w:eastAsia="zh-CN"/>
              </w:rPr>
              <w:t>6、</w:t>
            </w:r>
            <w:r>
              <w:rPr>
                <w:rFonts w:hint="default" w:ascii="Times New Roman" w:hAnsi="Times New Roman" w:eastAsia="宋体" w:cs="Times New Roman"/>
                <w:b/>
                <w:bCs/>
                <w:sz w:val="24"/>
                <w:szCs w:val="24"/>
                <w:lang w:eastAsia="zh-CN"/>
              </w:rPr>
              <w:t>施工</w:t>
            </w:r>
            <w:r>
              <w:rPr>
                <w:rFonts w:hint="eastAsia" w:cs="Times New Roman"/>
                <w:b/>
                <w:bCs/>
                <w:sz w:val="24"/>
                <w:szCs w:val="24"/>
                <w:lang w:val="en-US" w:eastAsia="zh-CN"/>
              </w:rPr>
              <w:t>期</w:t>
            </w:r>
            <w:r>
              <w:rPr>
                <w:rFonts w:hint="default" w:ascii="Times New Roman" w:hAnsi="Times New Roman" w:eastAsia="宋体" w:cs="Times New Roman"/>
                <w:b/>
                <w:bCs/>
                <w:sz w:val="24"/>
                <w:szCs w:val="24"/>
                <w:lang w:eastAsia="zh-CN"/>
              </w:rPr>
              <w:t>固体废物环境影响分析</w:t>
            </w:r>
          </w:p>
          <w:p w14:paraId="11EEEA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施工期间所产生的固体废物主要有施工人员产生的生活垃圾，变电站场地施工产生的</w:t>
            </w:r>
            <w:r>
              <w:rPr>
                <w:rFonts w:hint="eastAsia" w:cs="Times New Roman"/>
                <w:color w:val="auto"/>
                <w:sz w:val="24"/>
                <w:szCs w:val="24"/>
                <w:lang w:val="en-US" w:eastAsia="zh-CN"/>
              </w:rPr>
              <w:t>废弃建筑材料</w:t>
            </w:r>
            <w:r>
              <w:rPr>
                <w:rFonts w:hint="default" w:ascii="Times New Roman" w:hAnsi="Times New Roman" w:eastAsia="宋体" w:cs="Times New Roman"/>
                <w:color w:val="auto"/>
                <w:sz w:val="24"/>
                <w:szCs w:val="24"/>
                <w:lang w:val="en-US" w:eastAsia="zh-CN"/>
              </w:rPr>
              <w:t>、线路架设和塔基浇筑过程中产生的废弃建筑材料、线路导线材料等。</w:t>
            </w:r>
          </w:p>
          <w:p w14:paraId="6166DE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（1）变电站工程施工过程中产生的施工废物料应分类集中收集，集中堆放，尽可能回收利用，不可利用的与施工人员的生活垃圾集中定点收集后交由有关部门进行统一清运处理。</w:t>
            </w:r>
          </w:p>
          <w:p w14:paraId="5AC2A3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（2）新建变电站站址需</w:t>
            </w:r>
            <w:r>
              <w:rPr>
                <w:rFonts w:hint="eastAsia" w:cs="Times New Roman"/>
                <w:color w:val="auto"/>
                <w:sz w:val="24"/>
                <w:szCs w:val="24"/>
                <w:lang w:val="en-US" w:eastAsia="zh-CN"/>
              </w:rPr>
              <w:t>将多余土方外运</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外运</w:t>
            </w:r>
            <w:r>
              <w:rPr>
                <w:rFonts w:hint="default" w:ascii="Times New Roman" w:hAnsi="Times New Roman" w:eastAsia="宋体" w:cs="Times New Roman"/>
                <w:color w:val="auto"/>
                <w:sz w:val="24"/>
                <w:szCs w:val="24"/>
                <w:lang w:val="en-US" w:eastAsia="zh-CN"/>
              </w:rPr>
              <w:t>土方需严格按照水土保持方案中的土方</w:t>
            </w:r>
            <w:r>
              <w:rPr>
                <w:rFonts w:hint="eastAsia" w:cs="Times New Roman"/>
                <w:color w:val="auto"/>
                <w:sz w:val="24"/>
                <w:szCs w:val="24"/>
                <w:lang w:val="en-US" w:eastAsia="zh-CN"/>
              </w:rPr>
              <w:t>去向</w:t>
            </w:r>
            <w:r>
              <w:rPr>
                <w:rFonts w:hint="default" w:ascii="Times New Roman" w:hAnsi="Times New Roman" w:eastAsia="宋体" w:cs="Times New Roman"/>
                <w:color w:val="auto"/>
                <w:sz w:val="24"/>
                <w:szCs w:val="24"/>
                <w:lang w:val="en-US" w:eastAsia="zh-CN"/>
              </w:rPr>
              <w:t>并签订</w:t>
            </w:r>
            <w:r>
              <w:rPr>
                <w:rFonts w:hint="eastAsia" w:cs="Times New Roman"/>
                <w:color w:val="auto"/>
                <w:sz w:val="24"/>
                <w:szCs w:val="24"/>
                <w:lang w:val="en-US" w:eastAsia="zh-CN"/>
              </w:rPr>
              <w:t>土石方综合利用</w:t>
            </w:r>
            <w:r>
              <w:rPr>
                <w:rFonts w:hint="default" w:ascii="Times New Roman" w:hAnsi="Times New Roman" w:eastAsia="宋体" w:cs="Times New Roman"/>
                <w:color w:val="auto"/>
                <w:sz w:val="24"/>
                <w:szCs w:val="24"/>
                <w:lang w:val="en-US" w:eastAsia="zh-CN"/>
              </w:rPr>
              <w:t>协议。土方运输过程中，需采取密闭运输，防止沿途遗</w:t>
            </w:r>
            <w:r>
              <w:rPr>
                <w:rFonts w:hint="eastAsia" w:cs="Times New Roman"/>
                <w:color w:val="auto"/>
                <w:sz w:val="24"/>
                <w:szCs w:val="24"/>
                <w:lang w:val="en-US" w:eastAsia="zh-CN"/>
              </w:rPr>
              <w:t>撒</w:t>
            </w:r>
            <w:r>
              <w:rPr>
                <w:rFonts w:hint="default" w:ascii="Times New Roman" w:hAnsi="Times New Roman" w:eastAsia="宋体" w:cs="Times New Roman"/>
                <w:color w:val="auto"/>
                <w:sz w:val="24"/>
                <w:szCs w:val="24"/>
                <w:lang w:val="en-US" w:eastAsia="zh-CN"/>
              </w:rPr>
              <w:t>。</w:t>
            </w:r>
          </w:p>
          <w:p w14:paraId="5CC34A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变电站</w:t>
            </w:r>
            <w:r>
              <w:rPr>
                <w:rFonts w:hint="default" w:ascii="Times New Roman" w:hAnsi="Times New Roman" w:eastAsia="宋体" w:cs="Times New Roman"/>
                <w:color w:val="auto"/>
                <w:sz w:val="24"/>
                <w:szCs w:val="24"/>
                <w:lang w:val="en-US" w:eastAsia="zh-CN"/>
              </w:rPr>
              <w:t>及塔基施工中剥离的表土全部用于占地复耕或绿化，输电线路开挖的余土在塔基临时占地范围内就地平整并就近回填在塔基周边的坑凹或就地掩埋。</w:t>
            </w:r>
          </w:p>
          <w:p w14:paraId="5F2A76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b/>
                <w:bCs/>
                <w:szCs w:val="24"/>
              </w:rPr>
            </w:pPr>
            <w:r>
              <w:rPr>
                <w:rFonts w:hint="default" w:ascii="Times New Roman" w:hAnsi="Times New Roman" w:eastAsia="宋体" w:cs="Times New Roman"/>
                <w:color w:val="auto"/>
                <w:sz w:val="24"/>
                <w:szCs w:val="24"/>
                <w:lang w:eastAsia="zh-CN"/>
              </w:rPr>
              <w:t>综上所述，通过采取上述施工期污染防治措施，并加强施工管理，</w:t>
            </w:r>
            <w:r>
              <w:rPr>
                <w:rFonts w:hint="eastAsia" w:cs="Times New Roman"/>
                <w:color w:val="auto"/>
                <w:sz w:val="24"/>
                <w:szCs w:val="24"/>
                <w:lang w:eastAsia="zh-CN"/>
              </w:rPr>
              <w:t>本工程</w:t>
            </w:r>
            <w:r>
              <w:rPr>
                <w:rFonts w:hint="default" w:ascii="Times New Roman" w:hAnsi="Times New Roman" w:eastAsia="宋体" w:cs="Times New Roman"/>
                <w:color w:val="auto"/>
                <w:sz w:val="24"/>
                <w:szCs w:val="24"/>
                <w:lang w:eastAsia="zh-CN"/>
              </w:rPr>
              <w:t>在施工期的环境影响是短暂的，对周围环境影响较小</w:t>
            </w:r>
            <w:r>
              <w:rPr>
                <w:rFonts w:hint="default" w:ascii="Times New Roman" w:hAnsi="Times New Roman" w:eastAsia="宋体" w:cs="Times New Roman"/>
                <w:sz w:val="24"/>
                <w:szCs w:val="24"/>
                <w:lang w:eastAsia="zh-CN"/>
              </w:rPr>
              <w:t>。</w:t>
            </w:r>
          </w:p>
        </w:tc>
      </w:tr>
      <w:tr w14:paraId="4ECEDD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236" w:type="pct"/>
            <w:vAlign w:val="center"/>
          </w:tcPr>
          <w:p w14:paraId="1459EA00">
            <w:pPr>
              <w:rPr>
                <w:rFonts w:hint="eastAsia" w:eastAsia="宋体"/>
                <w:b/>
                <w:bCs/>
                <w:sz w:val="28"/>
                <w:szCs w:val="28"/>
                <w:lang w:eastAsia="zh-CN"/>
              </w:rPr>
            </w:pPr>
            <w:r>
              <w:rPr>
                <w:b/>
                <w:bCs/>
                <w:sz w:val="24"/>
                <w:szCs w:val="24"/>
              </w:rPr>
              <w:t>运营期生态环境影响</w:t>
            </w:r>
            <w:r>
              <w:rPr>
                <w:rFonts w:hint="eastAsia"/>
                <w:b/>
                <w:bCs/>
                <w:sz w:val="24"/>
                <w:szCs w:val="24"/>
                <w:lang w:val="en-US" w:eastAsia="zh-CN"/>
              </w:rPr>
              <w:t>分析</w:t>
            </w:r>
          </w:p>
        </w:tc>
        <w:tc>
          <w:tcPr>
            <w:tcW w:w="4763" w:type="pct"/>
          </w:tcPr>
          <w:p w14:paraId="66093A20">
            <w:pPr>
              <w:pStyle w:val="21"/>
              <w:spacing w:before="0" w:line="360" w:lineRule="auto"/>
              <w:ind w:left="0" w:leftChars="0" w:firstLine="0" w:firstLineChars="0"/>
              <w:rPr>
                <w:rFonts w:ascii="Times New Roman" w:hAnsi="Times New Roman"/>
                <w:b/>
                <w:bCs w:val="0"/>
                <w:szCs w:val="24"/>
              </w:rPr>
            </w:pPr>
            <w:r>
              <w:rPr>
                <w:rFonts w:hint="eastAsia" w:ascii="Times New Roman" w:hAnsi="Times New Roman"/>
                <w:b/>
                <w:bCs w:val="0"/>
                <w:szCs w:val="24"/>
                <w:lang w:val="en-US" w:eastAsia="zh-CN"/>
              </w:rPr>
              <w:t>4.7</w:t>
            </w:r>
            <w:r>
              <w:rPr>
                <w:rFonts w:ascii="Times New Roman" w:hAnsi="Times New Roman"/>
                <w:b/>
                <w:bCs w:val="0"/>
                <w:szCs w:val="24"/>
              </w:rPr>
              <w:t>、运营期产污环节分析</w:t>
            </w:r>
          </w:p>
          <w:p w14:paraId="73F6A9ED">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（1）工频电场、工频磁场</w:t>
            </w:r>
          </w:p>
          <w:p w14:paraId="2FE75E63">
            <w:pPr>
              <w:pStyle w:val="21"/>
              <w:spacing w:before="0" w:line="360" w:lineRule="auto"/>
              <w:ind w:left="0" w:leftChars="0" w:firstLine="496" w:firstLineChars="200"/>
              <w:rPr>
                <w:rFonts w:hint="eastAsia" w:ascii="Times New Roman" w:hAnsi="Times New Roman"/>
                <w:bCs/>
                <w:szCs w:val="24"/>
                <w:lang w:val="en-US" w:eastAsia="zh-CN"/>
              </w:rPr>
            </w:pPr>
            <w:r>
              <w:rPr>
                <w:rFonts w:hint="eastAsia" w:ascii="Times New Roman" w:hAnsi="Times New Roman"/>
                <w:bCs/>
                <w:szCs w:val="24"/>
                <w:lang w:val="en-US" w:eastAsia="zh-CN"/>
              </w:rPr>
              <w:t>变电站运行时，主变、配电装置等带高压的部件，通过电容耦合，在其附近的导电物体上感应出电压和电流而产生静电感应现象。由于导体内部带有负荷而在周围产生电场，导体上有电流通过而产生磁场。</w:t>
            </w:r>
          </w:p>
          <w:p w14:paraId="4F5B5AD0">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输电线路运行时，在线路导线周围空间形成了工频电场、工频磁场，对周围环境产生一定的影响。</w:t>
            </w:r>
          </w:p>
          <w:p w14:paraId="18D93097">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（2）噪声</w:t>
            </w:r>
          </w:p>
          <w:p w14:paraId="46B4409D">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变电站运行期间的可听噪声主要来自主变压器、轴流风机等电气设备所产生的电磁噪声、机械噪声。本工程变电站采用室外布置，可以有效降低主变噪声对周边的影响。</w:t>
            </w:r>
          </w:p>
          <w:p w14:paraId="395CB379">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输电线路噪声主要是由导线、金具及绝缘子的电晕放电产生。在晴朗干燥天气条件下，导线通常在起晕水平以下运行，很少有电晕放电现象，因而产生的噪声不大。</w:t>
            </w:r>
          </w:p>
          <w:p w14:paraId="2245A662">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（3）生态环境</w:t>
            </w:r>
          </w:p>
          <w:p w14:paraId="0E7D9A77">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变电站及输电线路运行产生的工频电场强度、工频磁感应强度和噪声等均符合标准限值要求，对线下的动、植物基本无影响。因此，本工程运行期不会影响项目周边的自然植被和生态系统，仅线路巡查期间工作人员会对线路沿线植被、动物造成局部扰动，但扰动较轻微很快能自然恢复。</w:t>
            </w:r>
          </w:p>
          <w:p w14:paraId="703959BE">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（4）废水</w:t>
            </w:r>
          </w:p>
          <w:p w14:paraId="34914C7F">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金沙钼矿110kV变电站站内建设1座化粪池，运行期巡检人员的少量生活污水经化粪池收集后排入厂区生活排水管道，最终排入矿区内地埋式生活污水处理装置（生物接触氧化+砂滤+消毒工艺）收集处理后泵至选矿生产。</w:t>
            </w:r>
          </w:p>
          <w:p w14:paraId="3321E0A4">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输电线路运营期无污水产生。</w:t>
            </w:r>
          </w:p>
          <w:p w14:paraId="357B8C5F">
            <w:pPr>
              <w:pStyle w:val="21"/>
              <w:spacing w:before="0" w:line="360" w:lineRule="auto"/>
              <w:ind w:left="0" w:leftChars="0" w:firstLine="496" w:firstLineChars="200"/>
              <w:rPr>
                <w:rFonts w:hint="default" w:ascii="Times New Roman" w:hAnsi="Times New Roman"/>
                <w:bCs/>
                <w:szCs w:val="24"/>
                <w:lang w:val="en-US" w:eastAsia="zh-CN"/>
              </w:rPr>
            </w:pPr>
            <w:r>
              <w:rPr>
                <w:rFonts w:hint="eastAsia" w:ascii="Times New Roman" w:hAnsi="Times New Roman"/>
                <w:bCs/>
                <w:szCs w:val="24"/>
                <w:lang w:val="en-US" w:eastAsia="zh-CN"/>
              </w:rPr>
              <w:t>（5）废气</w:t>
            </w:r>
          </w:p>
          <w:p w14:paraId="255F3675">
            <w:pPr>
              <w:pStyle w:val="21"/>
              <w:spacing w:before="0" w:line="360" w:lineRule="auto"/>
              <w:ind w:left="0" w:leftChars="0" w:firstLine="496" w:firstLineChars="200"/>
              <w:rPr>
                <w:rFonts w:hint="default" w:ascii="Times New Roman" w:hAnsi="Times New Roman"/>
                <w:bCs/>
                <w:szCs w:val="24"/>
                <w:lang w:val="en-US" w:eastAsia="zh-CN"/>
              </w:rPr>
            </w:pPr>
            <w:r>
              <w:rPr>
                <w:rFonts w:hint="eastAsia" w:ascii="Times New Roman" w:hAnsi="Times New Roman"/>
                <w:bCs/>
                <w:szCs w:val="24"/>
                <w:lang w:val="en-US" w:eastAsia="zh-CN"/>
              </w:rPr>
              <w:t>本工程运营期变电站和输电线路均无废气产生。</w:t>
            </w:r>
          </w:p>
          <w:p w14:paraId="601EBA91">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（6）固体废物</w:t>
            </w:r>
          </w:p>
          <w:p w14:paraId="2BE22281">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本工程变电站运行期间，变电站产生的固体废物主要为巡检人员产生少量的生活垃圾、临时直流供电系统退出运行的废旧铅酸蓄电池以及主变等含油设备检修或故障时产生废油，废旧铅酸蓄电池、变压器废油均属于危险废物。</w:t>
            </w:r>
          </w:p>
          <w:p w14:paraId="10173918">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输电线路运营期无固体废物产生。</w:t>
            </w:r>
          </w:p>
          <w:p w14:paraId="55C0379F">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（7）环境风险</w:t>
            </w:r>
          </w:p>
          <w:p w14:paraId="554FE0D2">
            <w:pPr>
              <w:pStyle w:val="21"/>
              <w:spacing w:before="0" w:line="360" w:lineRule="auto"/>
              <w:ind w:left="0" w:leftChars="0" w:firstLine="496" w:firstLineChars="200"/>
              <w:rPr>
                <w:rFonts w:hint="eastAsia" w:ascii="Times New Roman" w:hAnsi="Times New Roman"/>
                <w:bCs/>
                <w:szCs w:val="24"/>
                <w:lang w:eastAsia="zh-CN"/>
              </w:rPr>
            </w:pPr>
            <w:r>
              <w:rPr>
                <w:rFonts w:hint="eastAsia" w:ascii="Times New Roman" w:hAnsi="Times New Roman"/>
                <w:bCs/>
                <w:szCs w:val="24"/>
                <w:lang w:val="en-US" w:eastAsia="zh-CN"/>
              </w:rPr>
              <w:t>金沙钼矿110kV变电站的环境风险主要为变电站主变运行过程中变压器发生事故时引起的事故油外泄；变压器油是电气绝缘用油的一种，有绝缘、冷却、散热等作用。主变压器出现事故时会产生漏油现象，事故油由总事故油池收集，应得到及时、合适的处理。对于变压器漏油事故产生的变压器油，应由具有经营此类危险废物回收、处置资质的单位回收、处置。</w:t>
            </w:r>
          </w:p>
          <w:p w14:paraId="6AD3C4DB">
            <w:pPr>
              <w:pStyle w:val="57"/>
              <w:keepNext w:val="0"/>
              <w:keepLines w:val="0"/>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default"/>
                <w:b/>
                <w:bCs/>
                <w:sz w:val="24"/>
                <w:szCs w:val="24"/>
              </w:rPr>
            </w:pPr>
            <w:r>
              <w:rPr>
                <w:rFonts w:hint="eastAsia"/>
                <w:b/>
                <w:bCs/>
                <w:sz w:val="24"/>
                <w:szCs w:val="24"/>
                <w:lang w:val="en-US" w:eastAsia="zh-CN"/>
              </w:rPr>
              <w:t>4.8</w:t>
            </w:r>
            <w:r>
              <w:rPr>
                <w:rFonts w:hint="default"/>
                <w:b/>
                <w:bCs/>
                <w:sz w:val="24"/>
                <w:szCs w:val="24"/>
              </w:rPr>
              <w:t>、运营期环境影响分析</w:t>
            </w:r>
          </w:p>
          <w:p w14:paraId="05069F06">
            <w:pPr>
              <w:pStyle w:val="57"/>
              <w:ind w:left="0" w:leftChars="0" w:firstLine="482" w:firstLineChars="200"/>
              <w:rPr>
                <w:rFonts w:hint="eastAsia" w:eastAsia="宋体"/>
                <w:b/>
                <w:bCs/>
                <w:sz w:val="24"/>
                <w:szCs w:val="24"/>
                <w:lang w:val="en-US" w:eastAsia="zh-CN"/>
              </w:rPr>
            </w:pPr>
            <w:r>
              <w:rPr>
                <w:rFonts w:hint="eastAsia"/>
                <w:b/>
                <w:bCs/>
                <w:sz w:val="24"/>
                <w:szCs w:val="24"/>
                <w:lang w:val="en-US" w:eastAsia="zh-CN"/>
              </w:rPr>
              <w:t>4.8.1</w:t>
            </w:r>
            <w:r>
              <w:rPr>
                <w:rFonts w:hint="default"/>
                <w:b/>
                <w:bCs/>
                <w:sz w:val="24"/>
                <w:szCs w:val="24"/>
              </w:rPr>
              <w:t>声环境影响</w:t>
            </w:r>
            <w:r>
              <w:rPr>
                <w:rFonts w:hint="eastAsia"/>
                <w:b/>
                <w:bCs/>
                <w:sz w:val="24"/>
                <w:szCs w:val="24"/>
                <w:lang w:val="en-US" w:eastAsia="zh-CN"/>
              </w:rPr>
              <w:t>分析</w:t>
            </w:r>
          </w:p>
          <w:p w14:paraId="494813F3">
            <w:pPr>
              <w:pStyle w:val="57"/>
              <w:ind w:left="0" w:leftChars="0" w:firstLine="482" w:firstLineChars="200"/>
              <w:rPr>
                <w:rFonts w:hint="default" w:eastAsia="宋体"/>
                <w:b/>
                <w:bCs/>
                <w:sz w:val="24"/>
                <w:szCs w:val="24"/>
                <w:lang w:val="en-US" w:eastAsia="zh-CN"/>
              </w:rPr>
            </w:pPr>
            <w:r>
              <w:rPr>
                <w:rFonts w:hint="eastAsia"/>
                <w:b/>
                <w:bCs/>
                <w:sz w:val="24"/>
                <w:szCs w:val="24"/>
                <w:lang w:val="en-US" w:eastAsia="zh-CN"/>
              </w:rPr>
              <w:t>4.8.1.1变电站声环境影响分析</w:t>
            </w:r>
          </w:p>
          <w:p w14:paraId="795ED44B">
            <w:pPr>
              <w:pStyle w:val="57"/>
              <w:ind w:left="0" w:leftChars="0" w:firstLine="480" w:firstLineChars="200"/>
              <w:rPr>
                <w:rFonts w:hint="default"/>
                <w:sz w:val="24"/>
                <w:szCs w:val="24"/>
              </w:rPr>
            </w:pPr>
            <w:r>
              <w:rPr>
                <w:rFonts w:hint="eastAsia"/>
                <w:sz w:val="24"/>
                <w:szCs w:val="24"/>
                <w:lang w:val="en-US" w:eastAsia="zh-CN"/>
              </w:rPr>
              <w:t>变电站</w:t>
            </w:r>
            <w:r>
              <w:rPr>
                <w:rFonts w:hint="default"/>
                <w:sz w:val="24"/>
                <w:szCs w:val="24"/>
              </w:rPr>
              <w:t>运行期声环境影响采用</w:t>
            </w:r>
            <w:r>
              <w:rPr>
                <w:rFonts w:hint="eastAsia"/>
                <w:sz w:val="24"/>
                <w:szCs w:val="24"/>
                <w:lang w:eastAsia="zh-CN"/>
              </w:rPr>
              <w:t>《</w:t>
            </w:r>
            <w:r>
              <w:rPr>
                <w:rFonts w:hint="default"/>
                <w:sz w:val="24"/>
                <w:szCs w:val="24"/>
              </w:rPr>
              <w:t>环境影响评价技术导则 声环境</w:t>
            </w:r>
            <w:r>
              <w:rPr>
                <w:rFonts w:hint="eastAsia"/>
                <w:sz w:val="24"/>
                <w:szCs w:val="24"/>
                <w:lang w:eastAsia="zh-CN"/>
              </w:rPr>
              <w:t>》</w:t>
            </w:r>
            <w:r>
              <w:rPr>
                <w:rFonts w:hint="default"/>
                <w:sz w:val="24"/>
                <w:szCs w:val="24"/>
              </w:rPr>
              <w:t>（HJ2.4</w:t>
            </w:r>
            <w:r>
              <w:rPr>
                <w:rFonts w:hint="eastAsia"/>
                <w:sz w:val="24"/>
                <w:szCs w:val="24"/>
                <w:lang w:val="en-US" w:eastAsia="zh-CN"/>
              </w:rPr>
              <w:t>-</w:t>
            </w:r>
            <w:r>
              <w:rPr>
                <w:rFonts w:hint="default"/>
                <w:sz w:val="24"/>
                <w:szCs w:val="24"/>
              </w:rPr>
              <w:t>2021）</w:t>
            </w:r>
            <w:r>
              <w:rPr>
                <w:rFonts w:hint="eastAsia"/>
                <w:sz w:val="24"/>
                <w:szCs w:val="24"/>
                <w:lang w:eastAsia="zh-CN"/>
              </w:rPr>
              <w:t>推荐的</w:t>
            </w:r>
            <w:r>
              <w:rPr>
                <w:rFonts w:hint="default"/>
                <w:sz w:val="24"/>
                <w:szCs w:val="24"/>
              </w:rPr>
              <w:t>模型预测法进行分析：本</w:t>
            </w:r>
            <w:r>
              <w:rPr>
                <w:rFonts w:hint="eastAsia"/>
                <w:sz w:val="24"/>
                <w:szCs w:val="24"/>
                <w:lang w:val="en-US" w:eastAsia="zh-CN"/>
              </w:rPr>
              <w:t>次评价</w:t>
            </w:r>
            <w:r>
              <w:rPr>
                <w:rFonts w:hint="default"/>
                <w:sz w:val="24"/>
                <w:szCs w:val="24"/>
              </w:rPr>
              <w:t>采用设计规范所要求的噪声源源强，对</w:t>
            </w:r>
            <w:r>
              <w:rPr>
                <w:rFonts w:hint="eastAsia"/>
                <w:sz w:val="24"/>
                <w:szCs w:val="24"/>
                <w:lang w:val="en-US" w:eastAsia="zh-CN"/>
              </w:rPr>
              <w:t>变电站</w:t>
            </w:r>
            <w:r>
              <w:rPr>
                <w:rFonts w:hint="default"/>
                <w:sz w:val="24"/>
                <w:szCs w:val="24"/>
              </w:rPr>
              <w:t>运行期的厂界环境噪声排放值进行理论计算。</w:t>
            </w:r>
          </w:p>
          <w:p w14:paraId="670054EE">
            <w:pPr>
              <w:adjustRightInd w:val="0"/>
              <w:snapToGrid w:val="0"/>
              <w:spacing w:line="360" w:lineRule="auto"/>
              <w:ind w:firstLine="480" w:firstLineChars="200"/>
              <w:rPr>
                <w:rFonts w:hint="default" w:ascii="Times New Roman" w:hAnsi="Times New Roman" w:cs="Times New Roman"/>
                <w:color w:val="auto"/>
                <w:sz w:val="24"/>
              </w:rPr>
            </w:pPr>
            <w:bookmarkStart w:id="52" w:name="_Toc344398115"/>
            <w:bookmarkStart w:id="53" w:name="_Toc344399851"/>
            <w:r>
              <w:rPr>
                <w:rFonts w:hint="default" w:ascii="Times New Roman" w:hAnsi="Times New Roman" w:cs="Times New Roman"/>
                <w:color w:val="auto"/>
                <w:sz w:val="24"/>
              </w:rPr>
              <w:t>变电站噪声预测采用《环境影响评价技术导则-声环境》（HJ2.4-20</w:t>
            </w:r>
            <w:r>
              <w:rPr>
                <w:rFonts w:hint="eastAsia" w:ascii="Times New Roman" w:hAnsi="Times New Roman" w:cs="Times New Roman"/>
                <w:color w:val="auto"/>
                <w:sz w:val="24"/>
                <w:lang w:val="en-US" w:eastAsia="zh-CN"/>
              </w:rPr>
              <w:t>21</w:t>
            </w:r>
            <w:r>
              <w:rPr>
                <w:rFonts w:hint="default" w:ascii="Times New Roman" w:hAnsi="Times New Roman" w:cs="Times New Roman"/>
                <w:color w:val="auto"/>
                <w:sz w:val="24"/>
              </w:rPr>
              <w:t>）中工业噪声预测计算模式中单个室外的点声源在预测点产生的声级计算基本公式进行</w:t>
            </w:r>
            <w:r>
              <w:rPr>
                <w:rFonts w:hint="eastAsia" w:cs="Times New Roman"/>
                <w:color w:val="auto"/>
                <w:sz w:val="24"/>
                <w:lang w:val="en-US" w:eastAsia="zh-CN"/>
              </w:rPr>
              <w:t>预测</w:t>
            </w:r>
            <w:r>
              <w:rPr>
                <w:rFonts w:hint="default" w:ascii="Times New Roman" w:hAnsi="Times New Roman" w:cs="Times New Roman"/>
                <w:color w:val="auto"/>
                <w:sz w:val="24"/>
              </w:rPr>
              <w:t>。</w:t>
            </w:r>
          </w:p>
          <w:p w14:paraId="2B2669C6">
            <w:pPr>
              <w:pStyle w:val="212"/>
              <w:rPr>
                <w:rFonts w:hint="default" w:ascii="Times New Roman" w:hAnsi="Times New Roman" w:cs="Times New Roman"/>
                <w:color w:val="auto"/>
                <w:highlight w:val="none"/>
              </w:rPr>
            </w:pPr>
            <w:bookmarkStart w:id="54" w:name="_Toc344399852"/>
            <w:bookmarkStart w:id="55" w:name="_Toc344398116"/>
            <w:r>
              <w:rPr>
                <w:rFonts w:hint="default" w:ascii="Times New Roman" w:hAnsi="Times New Roman" w:cs="Times New Roman"/>
                <w:color w:val="auto"/>
                <w:highlight w:val="none"/>
              </w:rPr>
              <w:t>（1）</w:t>
            </w:r>
            <w:bookmarkEnd w:id="54"/>
            <w:bookmarkEnd w:id="55"/>
            <w:r>
              <w:rPr>
                <w:rFonts w:hint="default" w:ascii="Times New Roman" w:hAnsi="Times New Roman" w:cs="Times New Roman"/>
                <w:color w:val="auto"/>
                <w:highlight w:val="none"/>
              </w:rPr>
              <w:t>在环境影响评价中，应根据声源声功率级或参考位置处的声压级、户外声传播衰减，计算预测点的声级，分别按式（</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1）或式（</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2）计算</w:t>
            </w:r>
          </w:p>
          <w:p w14:paraId="2E319A89">
            <w:pPr>
              <w:pStyle w:val="212"/>
              <w:rPr>
                <w:rFonts w:hint="default" w:ascii="Times New Roman" w:hAnsi="Times New Roman" w:eastAsia="宋体" w:cs="Times New Roman"/>
                <w:color w:val="auto"/>
                <w:highlight w:val="none"/>
                <w:lang w:val="en-US" w:eastAsia="zh-CN"/>
              </w:rPr>
            </w:pPr>
            <w:bookmarkStart w:id="56" w:name="_Toc344398117"/>
            <w:bookmarkEnd w:id="56"/>
            <w:bookmarkStart w:id="57" w:name="_Toc344399853"/>
            <w:bookmarkEnd w:id="57"/>
            <w:r>
              <w:rPr>
                <w:rFonts w:hint="default" w:ascii="Times New Roman" w:hAnsi="Times New Roman" w:cs="Times New Roman"/>
                <w:color w:val="auto"/>
                <w:position w:val="-12"/>
                <w:highlight w:val="none"/>
              </w:rPr>
              <w:object>
                <v:shape id="_x0000_i1025" o:spt="75" type="#_x0000_t75" style="height:24.5pt;width:321.5pt;" o:ole="t" filled="f" o:preferrelative="t" stroked="f" coordsize="21600,21600">
                  <v:path/>
                  <v:fill on="f" focussize="0,0"/>
                  <v:stroke on="f"/>
                  <v:imagedata r:id="rId39" o:title=""/>
                  <o:lock v:ext="edit" aspectratio="t"/>
                  <w10:wrap type="none"/>
                  <w10:anchorlock/>
                </v:shape>
                <o:OLEObject Type="Embed" ProgID="Equation.3" ShapeID="_x0000_i1025" DrawAspect="Content" ObjectID="_1468075725" r:id="rId38">
                  <o:LockedField>false</o:LockedField>
                </o:OLEObject>
              </w:object>
            </w:r>
            <w:bookmarkStart w:id="58" w:name="_Toc344399854"/>
            <w:bookmarkEnd w:id="58"/>
            <w:bookmarkStart w:id="59" w:name="_Toc344398118"/>
            <w:bookmarkEnd w:id="59"/>
            <w:r>
              <w:rPr>
                <w:rFonts w:hint="eastAsia" w:ascii="Times New Roman" w:hAnsi="Times New Roman" w:cs="Times New Roman"/>
                <w:color w:val="auto"/>
                <w:position w:val="-14"/>
                <w:highlight w:val="none"/>
                <w:lang w:val="en-US" w:eastAsia="zh-CN"/>
              </w:rPr>
              <w:t xml:space="preserve">               （4-1）</w:t>
            </w:r>
          </w:p>
          <w:p w14:paraId="4DCFE487">
            <w:pPr>
              <w:pStyle w:val="212"/>
              <w:rPr>
                <w:rFonts w:hint="default" w:ascii="Times New Roman" w:hAnsi="Times New Roman" w:cs="Times New Roman"/>
                <w:color w:val="auto"/>
                <w:highlight w:val="none"/>
              </w:rPr>
            </w:pPr>
            <w:bookmarkStart w:id="60" w:name="_Toc344398119"/>
            <w:bookmarkStart w:id="61" w:name="_Toc344399855"/>
            <w:r>
              <w:rPr>
                <w:rFonts w:hint="default" w:ascii="Times New Roman" w:hAnsi="Times New Roman" w:cs="Times New Roman"/>
                <w:color w:val="auto"/>
                <w:highlight w:val="none"/>
              </w:rPr>
              <w:t>式中：</w:t>
            </w:r>
            <w:bookmarkEnd w:id="60"/>
            <w:bookmarkEnd w:id="61"/>
          </w:p>
          <w:p w14:paraId="7A1B5390">
            <w:pPr>
              <w:pStyle w:val="212"/>
              <w:rPr>
                <w:rFonts w:hint="default" w:ascii="Times New Roman" w:hAnsi="Times New Roman" w:cs="Times New Roman"/>
                <w:color w:val="auto"/>
                <w:highlight w:val="none"/>
              </w:rPr>
            </w:pPr>
            <w:bookmarkStart w:id="62" w:name="_Toc344399856"/>
            <w:bookmarkStart w:id="63" w:name="_Toc344398120"/>
            <w:r>
              <w:rPr>
                <w:rFonts w:hint="default" w:ascii="Times New Roman" w:hAnsi="Times New Roman" w:cs="Times New Roman"/>
                <w:color w:val="auto"/>
                <w:position w:val="-12"/>
                <w:highlight w:val="none"/>
              </w:rPr>
              <w:object>
                <v:shape id="_x0000_i1026" o:spt="75" type="#_x0000_t75" style="height:19.2pt;width:30.25pt;" o:ole="t" filled="f" o:preferrelative="t" stroked="f" coordsize="21600,21600">
                  <v:path/>
                  <v:fill on="f" focussize="0,0"/>
                  <v:stroke on="f"/>
                  <v:imagedata r:id="rId41" o:title=""/>
                  <o:lock v:ext="edit" aspectratio="t"/>
                  <w10:wrap type="none"/>
                  <w10:anchorlock/>
                </v:shape>
                <o:OLEObject Type="Embed" ProgID="Equation.3" ShapeID="_x0000_i1026" DrawAspect="Content" ObjectID="_1468075726" r:id="rId40">
                  <o:LockedField>false</o:LockedField>
                </o:OLEObject>
              </w:object>
            </w:r>
            <w:r>
              <w:rPr>
                <w:rFonts w:hint="default" w:ascii="Times New Roman" w:hAnsi="Times New Roman" w:cs="Times New Roman"/>
                <w:color w:val="auto"/>
                <w:highlight w:val="none"/>
              </w:rPr>
              <w:t>——预测点处声压级，dB；</w:t>
            </w:r>
          </w:p>
          <w:p w14:paraId="0AFDC537">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27" o:spt="75" type="#_x0000_t75" style="height:18.75pt;width:17.25pt;" o:ole="t" filled="f" o:preferrelative="t" stroked="f" coordsize="21600,21600">
                  <v:path/>
                  <v:fill on="f" focussize="0,0"/>
                  <v:stroke on="f"/>
                  <v:imagedata r:id="rId43" o:title=""/>
                  <o:lock v:ext="edit" aspectratio="t"/>
                  <w10:wrap type="none"/>
                  <w10:anchorlock/>
                </v:shape>
                <o:OLEObject Type="Embed" ProgID="Equation.3" ShapeID="_x0000_i1027" DrawAspect="Content" ObjectID="_1468075727" r:id="rId42">
                  <o:LockedField>false</o:LockedField>
                </o:OLEObject>
              </w:object>
            </w:r>
            <w:r>
              <w:rPr>
                <w:rFonts w:hint="default" w:ascii="Times New Roman" w:hAnsi="Times New Roman" w:cs="Times New Roman"/>
                <w:color w:val="auto"/>
                <w:highlight w:val="none"/>
              </w:rPr>
              <w:t>——由点声源产生的声功率级（A计权或倍频带），dB；</w:t>
            </w:r>
            <w:bookmarkEnd w:id="62"/>
            <w:bookmarkEnd w:id="63"/>
          </w:p>
          <w:p w14:paraId="2EB72BD8">
            <w:pPr>
              <w:pStyle w:val="212"/>
              <w:rPr>
                <w:rFonts w:hint="default" w:ascii="Times New Roman" w:hAnsi="Times New Roman" w:cs="Times New Roman"/>
                <w:color w:val="auto"/>
                <w:highlight w:val="none"/>
              </w:rPr>
            </w:pPr>
            <w:bookmarkStart w:id="64" w:name="_Toc344398121"/>
            <w:bookmarkStart w:id="65" w:name="_Toc344399857"/>
            <w:r>
              <w:rPr>
                <w:rFonts w:hint="default" w:ascii="Times New Roman" w:hAnsi="Times New Roman" w:cs="Times New Roman"/>
                <w:color w:val="auto"/>
                <w:position w:val="-12"/>
                <w:highlight w:val="none"/>
              </w:rPr>
              <w:object>
                <v:shape id="_x0000_i1028" o:spt="75" type="#_x0000_t75" style="height:18.75pt;width:17.25pt;" o:ole="t" filled="f" o:preferrelative="t" stroked="f" coordsize="21600,21600">
                  <v:path/>
                  <v:fill on="f" focussize="0,0"/>
                  <v:stroke on="f"/>
                  <v:imagedata r:id="rId45" o:title=""/>
                  <o:lock v:ext="edit" aspectratio="t"/>
                  <w10:wrap type="none"/>
                  <w10:anchorlock/>
                </v:shape>
                <o:OLEObject Type="Embed" ProgID="Equation.3" ShapeID="_x0000_i1028" DrawAspect="Content" ObjectID="_1468075728" r:id="rId44">
                  <o:LockedField>false</o:LockedField>
                </o:OLEObject>
              </w:object>
            </w:r>
            <w:r>
              <w:rPr>
                <w:rFonts w:hint="default" w:ascii="Times New Roman" w:hAnsi="Times New Roman" w:cs="Times New Roman"/>
                <w:color w:val="auto"/>
                <w:highlight w:val="none"/>
              </w:rPr>
              <w:t>——指向性校正，它描述点声源的等效连续声压级与产生声功率级</w:t>
            </w:r>
            <w:r>
              <w:rPr>
                <w:rFonts w:hint="default" w:ascii="Times New Roman" w:hAnsi="Times New Roman" w:cs="Times New Roman"/>
                <w:color w:val="auto"/>
                <w:position w:val="-12"/>
                <w:highlight w:val="none"/>
              </w:rPr>
              <w:object>
                <v:shape id="_x0000_i1029" o:spt="75" type="#_x0000_t75" style="height:18.75pt;width:17.25pt;" o:ole="t" filled="f" o:preferrelative="t" stroked="f" coordsize="21600,21600">
                  <v:path/>
                  <v:fill on="f" focussize="0,0"/>
                  <v:stroke on="f"/>
                  <v:imagedata r:id="rId43" o:title=""/>
                  <o:lock v:ext="edit" aspectratio="t"/>
                  <w10:wrap type="none"/>
                  <w10:anchorlock/>
                </v:shape>
                <o:OLEObject Type="Embed" ProgID="Equation.3" ShapeID="_x0000_i1029" DrawAspect="Content" ObjectID="_1468075729" r:id="rId46">
                  <o:LockedField>false</o:LockedField>
                </o:OLEObject>
              </w:object>
            </w:r>
            <w:r>
              <w:rPr>
                <w:rFonts w:hint="default" w:ascii="Times New Roman" w:hAnsi="Times New Roman" w:cs="Times New Roman"/>
                <w:color w:val="auto"/>
                <w:highlight w:val="none"/>
              </w:rPr>
              <w:t>的全向点声源在规定方向的</w:t>
            </w:r>
            <w:r>
              <w:rPr>
                <w:rFonts w:hint="eastAsia" w:ascii="Times New Roman" w:hAnsi="Times New Roman" w:cs="Times New Roman"/>
                <w:color w:val="auto"/>
                <w:highlight w:val="none"/>
                <w:lang w:eastAsia="zh-CN"/>
              </w:rPr>
              <w:t>声</w:t>
            </w:r>
            <w:r>
              <w:rPr>
                <w:rFonts w:hint="default" w:ascii="Times New Roman" w:hAnsi="Times New Roman" w:cs="Times New Roman"/>
                <w:color w:val="auto"/>
                <w:highlight w:val="none"/>
              </w:rPr>
              <w:t>级的偏差程度，dB。</w:t>
            </w:r>
            <w:bookmarkEnd w:id="64"/>
            <w:bookmarkEnd w:id="65"/>
            <w:bookmarkStart w:id="66" w:name="_Toc344398122"/>
            <w:bookmarkStart w:id="67" w:name="_Toc344399858"/>
          </w:p>
          <w:bookmarkEnd w:id="66"/>
          <w:bookmarkEnd w:id="67"/>
          <w:p w14:paraId="1A597909">
            <w:pPr>
              <w:pStyle w:val="212"/>
              <w:rPr>
                <w:rFonts w:hint="default" w:ascii="Times New Roman" w:hAnsi="Times New Roman" w:cs="Times New Roman"/>
                <w:color w:val="auto"/>
                <w:highlight w:val="none"/>
              </w:rPr>
            </w:pPr>
            <w:bookmarkStart w:id="68" w:name="_Toc344399859"/>
            <w:bookmarkStart w:id="69" w:name="_Toc344398123"/>
            <w:r>
              <w:rPr>
                <w:rFonts w:hint="default" w:ascii="Times New Roman" w:hAnsi="Times New Roman" w:cs="Times New Roman"/>
                <w:color w:val="auto"/>
                <w:position w:val="-12"/>
                <w:highlight w:val="none"/>
              </w:rPr>
              <w:object>
                <v:shape id="_x0000_i1030" o:spt="75" type="#_x0000_t75" style="height:18.2pt;width:23.25pt;" o:ole="t" filled="f" o:preferrelative="t" stroked="f" coordsize="21600,21600">
                  <v:path/>
                  <v:fill on="f" focussize="0,0"/>
                  <v:stroke on="f"/>
                  <v:imagedata r:id="rId48" o:title=""/>
                  <o:lock v:ext="edit" aspectratio="t"/>
                  <w10:wrap type="none"/>
                  <w10:anchorlock/>
                </v:shape>
                <o:OLEObject Type="Embed" ProgID="Equation.3" ShapeID="_x0000_i1030" DrawAspect="Content" ObjectID="_1468075730" r:id="rId47">
                  <o:LockedField>false</o:LockedField>
                </o:OLEObject>
              </w:object>
            </w:r>
            <w:r>
              <w:rPr>
                <w:rFonts w:hint="default" w:ascii="Times New Roman" w:hAnsi="Times New Roman" w:cs="Times New Roman"/>
                <w:color w:val="auto"/>
                <w:highlight w:val="none"/>
              </w:rPr>
              <w:t>——几何发散引起的衰减，dB；</w:t>
            </w:r>
            <w:bookmarkEnd w:id="68"/>
            <w:bookmarkEnd w:id="69"/>
          </w:p>
          <w:p w14:paraId="09898BD7">
            <w:pPr>
              <w:pStyle w:val="212"/>
              <w:rPr>
                <w:rFonts w:hint="default" w:ascii="Times New Roman" w:hAnsi="Times New Roman" w:cs="Times New Roman"/>
                <w:color w:val="auto"/>
                <w:highlight w:val="none"/>
              </w:rPr>
            </w:pPr>
            <w:bookmarkStart w:id="70" w:name="_Toc344399860"/>
            <w:bookmarkStart w:id="71" w:name="_Toc344398124"/>
            <w:r>
              <w:rPr>
                <w:rFonts w:hint="default" w:ascii="Times New Roman" w:hAnsi="Times New Roman" w:cs="Times New Roman"/>
                <w:color w:val="auto"/>
                <w:position w:val="-12"/>
                <w:highlight w:val="none"/>
              </w:rPr>
              <w:object>
                <v:shape id="_x0000_i1031" o:spt="75" type="#_x0000_t75" style="height:17.55pt;width:22.4pt;" o:ole="t" filled="f" o:preferrelative="t" stroked="f" coordsize="21600,21600">
                  <v:path/>
                  <v:fill on="f" focussize="0,0"/>
                  <v:stroke on="f"/>
                  <v:imagedata r:id="rId50" o:title=""/>
                  <o:lock v:ext="edit" aspectratio="t"/>
                  <w10:wrap type="none"/>
                  <w10:anchorlock/>
                </v:shape>
                <o:OLEObject Type="Embed" ProgID="Equation.3" ShapeID="_x0000_i1031" DrawAspect="Content" ObjectID="_1468075731" r:id="rId49">
                  <o:LockedField>false</o:LockedField>
                </o:OLEObject>
              </w:object>
            </w:r>
            <w:r>
              <w:rPr>
                <w:rFonts w:hint="default" w:ascii="Times New Roman" w:hAnsi="Times New Roman" w:cs="Times New Roman"/>
                <w:color w:val="auto"/>
                <w:highlight w:val="none"/>
              </w:rPr>
              <w:t>——大气吸收引起的衰减，dB；</w:t>
            </w:r>
            <w:bookmarkEnd w:id="70"/>
            <w:bookmarkEnd w:id="71"/>
          </w:p>
          <w:p w14:paraId="2FC559C9">
            <w:pPr>
              <w:pStyle w:val="212"/>
              <w:rPr>
                <w:rFonts w:hint="default" w:ascii="Times New Roman" w:hAnsi="Times New Roman" w:cs="Times New Roman"/>
                <w:color w:val="auto"/>
                <w:highlight w:val="none"/>
              </w:rPr>
            </w:pPr>
            <w:bookmarkStart w:id="72" w:name="_Toc344399861"/>
            <w:bookmarkStart w:id="73" w:name="_Toc344398125"/>
            <w:r>
              <w:rPr>
                <w:rFonts w:hint="default" w:ascii="Times New Roman" w:hAnsi="Times New Roman" w:cs="Times New Roman"/>
                <w:color w:val="auto"/>
                <w:position w:val="-14"/>
                <w:highlight w:val="none"/>
              </w:rPr>
              <w:object>
                <v:shape id="_x0000_i1032" o:spt="75" type="#_x0000_t75" style="height:21.95pt;width:21.95pt;" o:ole="t" filled="f" o:preferrelative="t" stroked="f" coordsize="21600,21600">
                  <v:path/>
                  <v:fill on="f" focussize="0,0"/>
                  <v:stroke on="f"/>
                  <v:imagedata r:id="rId52" o:title=""/>
                  <o:lock v:ext="edit" aspectratio="t"/>
                  <w10:wrap type="none"/>
                  <w10:anchorlock/>
                </v:shape>
                <o:OLEObject Type="Embed" ProgID="Equation.3" ShapeID="_x0000_i1032" DrawAspect="Content" ObjectID="_1468075732" r:id="rId51">
                  <o:LockedField>false</o:LockedField>
                </o:OLEObject>
              </w:object>
            </w:r>
            <w:r>
              <w:rPr>
                <w:rFonts w:hint="default" w:ascii="Times New Roman" w:hAnsi="Times New Roman" w:cs="Times New Roman"/>
                <w:color w:val="auto"/>
                <w:highlight w:val="none"/>
              </w:rPr>
              <w:t>——地面效应引起的衰减，dB；</w:t>
            </w:r>
            <w:bookmarkEnd w:id="72"/>
            <w:bookmarkEnd w:id="73"/>
          </w:p>
          <w:p w14:paraId="0032D6BA">
            <w:pPr>
              <w:pStyle w:val="212"/>
              <w:rPr>
                <w:rFonts w:hint="default" w:ascii="Times New Roman" w:hAnsi="Times New Roman" w:cs="Times New Roman"/>
                <w:color w:val="auto"/>
                <w:highlight w:val="none"/>
              </w:rPr>
            </w:pPr>
            <w:bookmarkStart w:id="74" w:name="_Toc344398126"/>
            <w:bookmarkStart w:id="75" w:name="_Toc344399862"/>
            <w:r>
              <w:rPr>
                <w:rFonts w:hint="default" w:ascii="Times New Roman" w:hAnsi="Times New Roman" w:cs="Times New Roman"/>
                <w:color w:val="auto"/>
                <w:position w:val="-12"/>
                <w:highlight w:val="none"/>
              </w:rPr>
              <w:object>
                <v:shape id="_x0000_i1033" o:spt="75" type="#_x0000_t75" style="height:18.2pt;width:23.2pt;" o:ole="t" filled="f" o:preferrelative="t" stroked="f" coordsize="21600,21600">
                  <v:path/>
                  <v:fill on="f" focussize="0,0"/>
                  <v:stroke on="f"/>
                  <v:imagedata r:id="rId54" o:title=""/>
                  <o:lock v:ext="edit" aspectratio="t"/>
                  <w10:wrap type="none"/>
                  <w10:anchorlock/>
                </v:shape>
                <o:OLEObject Type="Embed" ProgID="Equation.3" ShapeID="_x0000_i1033" DrawAspect="Content" ObjectID="_1468075733" r:id="rId53">
                  <o:LockedField>false</o:LockedField>
                </o:OLEObject>
              </w:object>
            </w:r>
            <w:r>
              <w:rPr>
                <w:rFonts w:hint="default" w:ascii="Times New Roman" w:hAnsi="Times New Roman" w:cs="Times New Roman"/>
                <w:color w:val="auto"/>
                <w:highlight w:val="none"/>
              </w:rPr>
              <w:t>——声屏障引起的衰减，dB；</w:t>
            </w:r>
            <w:bookmarkEnd w:id="74"/>
            <w:bookmarkEnd w:id="75"/>
          </w:p>
          <w:p w14:paraId="6CFCB5F8">
            <w:pPr>
              <w:pStyle w:val="212"/>
              <w:rPr>
                <w:rFonts w:hint="default" w:ascii="Times New Roman" w:hAnsi="Times New Roman" w:cs="Times New Roman"/>
                <w:color w:val="auto"/>
                <w:highlight w:val="none"/>
              </w:rPr>
            </w:pPr>
            <w:bookmarkStart w:id="76" w:name="_Toc344399863"/>
            <w:bookmarkStart w:id="77" w:name="_Toc344398127"/>
            <w:r>
              <w:rPr>
                <w:rFonts w:hint="default" w:ascii="Times New Roman" w:hAnsi="Times New Roman" w:cs="Times New Roman"/>
                <w:color w:val="auto"/>
                <w:position w:val="-12"/>
                <w:highlight w:val="none"/>
              </w:rPr>
              <w:object>
                <v:shape id="_x0000_i1034" o:spt="75" type="#_x0000_t75" style="height:17.55pt;width:24.35pt;" o:ole="t" filled="f" o:preferrelative="t" stroked="f" coordsize="21600,21600">
                  <v:path/>
                  <v:fill on="f" focussize="0,0"/>
                  <v:stroke on="f"/>
                  <v:imagedata r:id="rId56" o:title=""/>
                  <o:lock v:ext="edit" aspectratio="t"/>
                  <w10:wrap type="none"/>
                  <w10:anchorlock/>
                </v:shape>
                <o:OLEObject Type="Embed" ProgID="Equation.3" ShapeID="_x0000_i1034" DrawAspect="Content" ObjectID="_1468075734" r:id="rId55">
                  <o:LockedField>false</o:LockedField>
                </o:OLEObject>
              </w:objec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其他</w:t>
            </w:r>
            <w:r>
              <w:rPr>
                <w:rFonts w:hint="default" w:ascii="Times New Roman" w:hAnsi="Times New Roman" w:cs="Times New Roman"/>
                <w:color w:val="auto"/>
                <w:highlight w:val="none"/>
              </w:rPr>
              <w:t>多方面效应引起的衰减，dB；</w:t>
            </w:r>
            <w:bookmarkEnd w:id="76"/>
            <w:bookmarkEnd w:id="77"/>
          </w:p>
          <w:p w14:paraId="6ED1C76A">
            <w:pPr>
              <w:pStyle w:val="212"/>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highlight w:val="none"/>
                <w:lang w:val="en-US" w:eastAsia="zh-CN"/>
              </w:rPr>
            </w:pPr>
            <w:bookmarkStart w:id="78" w:name="_Toc344398129"/>
            <w:bookmarkEnd w:id="78"/>
            <w:bookmarkStart w:id="79" w:name="_Toc344399865"/>
            <w:bookmarkEnd w:id="79"/>
            <w:r>
              <w:rPr>
                <w:rFonts w:hint="default" w:ascii="Times New Roman" w:hAnsi="Times New Roman" w:cs="Times New Roman"/>
                <w:color w:val="auto"/>
                <w:position w:val="-12"/>
                <w:highlight w:val="none"/>
              </w:rPr>
              <w:object>
                <v:shape id="_x0000_i1035" o:spt="75" type="#_x0000_t75" style="height:22.7pt;width:317.05pt;" o:ole="t" filled="f" o:preferrelative="t" stroked="f" coordsize="21600,21600">
                  <v:path/>
                  <v:fill on="f" focussize="0,0"/>
                  <v:stroke on="f"/>
                  <v:imagedata r:id="rId58" o:title=""/>
                  <o:lock v:ext="edit" aspectratio="t"/>
                  <w10:wrap type="none"/>
                  <w10:anchorlock/>
                </v:shape>
                <o:OLEObject Type="Embed" ProgID="Equation.3" ShapeID="_x0000_i1035" DrawAspect="Content" ObjectID="_1468075735" r:id="rId57">
                  <o:LockedField>false</o:LockedField>
                </o:OLEObject>
              </w:object>
            </w:r>
            <w:r>
              <w:rPr>
                <w:rFonts w:hint="eastAsia" w:ascii="Times New Roman" w:hAnsi="Times New Roman" w:cs="Times New Roman"/>
                <w:color w:val="auto"/>
                <w:position w:val="-14"/>
                <w:highlight w:val="none"/>
                <w:lang w:val="en-US" w:eastAsia="zh-CN"/>
              </w:rPr>
              <w:t xml:space="preserve">                  （4-2）</w:t>
            </w:r>
          </w:p>
          <w:p w14:paraId="69E72F97">
            <w:pPr>
              <w:pStyle w:val="212"/>
              <w:rPr>
                <w:rFonts w:hint="default" w:ascii="Times New Roman" w:hAnsi="Times New Roman" w:cs="Times New Roman"/>
                <w:color w:val="auto"/>
                <w:highlight w:val="none"/>
              </w:rPr>
            </w:pPr>
            <w:bookmarkStart w:id="80" w:name="_Toc344399864"/>
            <w:bookmarkStart w:id="81" w:name="_Toc344398128"/>
            <w:bookmarkStart w:id="82" w:name="_Toc344398130"/>
            <w:bookmarkStart w:id="83" w:name="_Toc344399866"/>
            <w:r>
              <w:rPr>
                <w:rFonts w:hint="default" w:ascii="Times New Roman" w:hAnsi="Times New Roman" w:cs="Times New Roman"/>
                <w:color w:val="auto"/>
                <w:position w:val="-12"/>
                <w:highlight w:val="none"/>
              </w:rPr>
              <w:object>
                <v:shape id="_x0000_i1036" o:spt="75" type="#_x0000_t75" style="height:19.2pt;width:30.25pt;" o:ole="t" filled="f" o:preferrelative="t" stroked="f" coordsize="21600,21600">
                  <v:path/>
                  <v:fill on="f" focussize="0,0"/>
                  <v:stroke on="f"/>
                  <v:imagedata r:id="rId41" o:title=""/>
                  <o:lock v:ext="edit" aspectratio="t"/>
                  <w10:wrap type="none"/>
                  <w10:anchorlock/>
                </v:shape>
                <o:OLEObject Type="Embed" ProgID="Equation.3" ShapeID="_x0000_i1036" DrawAspect="Content" ObjectID="_1468075736" r:id="rId59">
                  <o:LockedField>false</o:LockedField>
                </o:OLEObject>
              </w:object>
            </w:r>
            <w:r>
              <w:rPr>
                <w:rFonts w:hint="default" w:ascii="Times New Roman" w:hAnsi="Times New Roman" w:cs="Times New Roman"/>
                <w:color w:val="auto"/>
                <w:highlight w:val="none"/>
              </w:rPr>
              <w:t>——预测点处声压级，dB；</w:t>
            </w:r>
          </w:p>
          <w:p w14:paraId="6A816D8B">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37" o:spt="75" type="#_x0000_t75" style="height:19.2pt;width:34.45pt;" o:ole="t" filled="f" o:preferrelative="t" stroked="f" coordsize="21600,21600">
                  <v:path/>
                  <v:fill on="f" focussize="0,0"/>
                  <v:stroke on="f"/>
                  <v:imagedata r:id="rId61" o:title=""/>
                  <o:lock v:ext="edit" aspectratio="t"/>
                  <w10:wrap type="none"/>
                  <w10:anchorlock/>
                </v:shape>
                <o:OLEObject Type="Embed" ProgID="Equation.3" ShapeID="_x0000_i1037" DrawAspect="Content" ObjectID="_1468075737" r:id="rId60">
                  <o:LockedField>false</o:LockedField>
                </o:OLEObject>
              </w:object>
            </w:r>
            <w:r>
              <w:rPr>
                <w:rFonts w:hint="default" w:ascii="Times New Roman" w:hAnsi="Times New Roman" w:cs="Times New Roman"/>
                <w:color w:val="auto"/>
                <w:highlight w:val="none"/>
              </w:rPr>
              <w:t>——参考位置r</w:t>
            </w:r>
            <w:r>
              <w:rPr>
                <w:rFonts w:hint="default" w:ascii="Times New Roman" w:hAnsi="Times New Roman" w:cs="Times New Roman"/>
                <w:color w:val="auto"/>
                <w:highlight w:val="none"/>
                <w:vertAlign w:val="subscript"/>
              </w:rPr>
              <w:t>0</w:t>
            </w:r>
            <w:r>
              <w:rPr>
                <w:rFonts w:hint="default" w:ascii="Times New Roman" w:hAnsi="Times New Roman" w:cs="Times New Roman"/>
                <w:color w:val="auto"/>
                <w:highlight w:val="none"/>
              </w:rPr>
              <w:t>处的声压级，dB；</w:t>
            </w:r>
          </w:p>
          <w:p w14:paraId="7885315A">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38" o:spt="75" type="#_x0000_t75" style="height:18.75pt;width:17.25pt;" o:ole="t" filled="f" o:preferrelative="t" stroked="f" coordsize="21600,21600">
                  <v:path/>
                  <v:fill on="f" focussize="0,0"/>
                  <v:stroke on="f"/>
                  <v:imagedata r:id="rId45" o:title=""/>
                  <o:lock v:ext="edit" aspectratio="t"/>
                  <w10:wrap type="none"/>
                  <w10:anchorlock/>
                </v:shape>
                <o:OLEObject Type="Embed" ProgID="Equation.3" ShapeID="_x0000_i1038" DrawAspect="Content" ObjectID="_1468075738" r:id="rId62">
                  <o:LockedField>false</o:LockedField>
                </o:OLEObject>
              </w:object>
            </w:r>
            <w:r>
              <w:rPr>
                <w:rFonts w:hint="default" w:ascii="Times New Roman" w:hAnsi="Times New Roman" w:cs="Times New Roman"/>
                <w:color w:val="auto"/>
                <w:highlight w:val="none"/>
              </w:rPr>
              <w:t>——指向性校正，它描述点声源的等效连续声压级与产生声功率级</w:t>
            </w:r>
            <w:r>
              <w:rPr>
                <w:rFonts w:hint="default" w:ascii="Times New Roman" w:hAnsi="Times New Roman" w:cs="Times New Roman"/>
                <w:color w:val="auto"/>
                <w:position w:val="-12"/>
                <w:highlight w:val="none"/>
              </w:rPr>
              <w:object>
                <v:shape id="_x0000_i1039" o:spt="75" type="#_x0000_t75" style="height:18.75pt;width:17.25pt;" o:ole="t" filled="f" o:preferrelative="t" stroked="f" coordsize="21600,21600">
                  <v:path/>
                  <v:fill on="f" focussize="0,0"/>
                  <v:stroke on="f"/>
                  <v:imagedata r:id="rId43" o:title=""/>
                  <o:lock v:ext="edit" aspectratio="t"/>
                  <w10:wrap type="none"/>
                  <w10:anchorlock/>
                </v:shape>
                <o:OLEObject Type="Embed" ProgID="Equation.3" ShapeID="_x0000_i1039" DrawAspect="Content" ObjectID="_1468075739" r:id="rId63">
                  <o:LockedField>false</o:LockedField>
                </o:OLEObject>
              </w:object>
            </w:r>
            <w:r>
              <w:rPr>
                <w:rFonts w:hint="default" w:ascii="Times New Roman" w:hAnsi="Times New Roman" w:cs="Times New Roman"/>
                <w:color w:val="auto"/>
                <w:highlight w:val="none"/>
              </w:rPr>
              <w:t>的全向点声源在规定方向的</w:t>
            </w:r>
            <w:r>
              <w:rPr>
                <w:rFonts w:hint="eastAsia" w:ascii="Times New Roman" w:hAnsi="Times New Roman" w:cs="Times New Roman"/>
                <w:color w:val="auto"/>
                <w:highlight w:val="none"/>
                <w:lang w:eastAsia="zh-CN"/>
              </w:rPr>
              <w:t>声</w:t>
            </w:r>
            <w:r>
              <w:rPr>
                <w:rFonts w:hint="default" w:ascii="Times New Roman" w:hAnsi="Times New Roman" w:cs="Times New Roman"/>
                <w:color w:val="auto"/>
                <w:highlight w:val="none"/>
              </w:rPr>
              <w:t>级的偏差程度，dB。</w:t>
            </w:r>
          </w:p>
          <w:p w14:paraId="76D18096">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0"/>
                <w:highlight w:val="none"/>
              </w:rPr>
              <w:object>
                <v:shape id="_x0000_i1040" o:spt="75" type="#_x0000_t75" style="height:18.4pt;width:23.55pt;" o:ole="t" filled="f" o:preferrelative="t" stroked="f" coordsize="21600,21600">
                  <v:path/>
                  <v:fill on="f" focussize="0,0"/>
                  <v:stroke on="f"/>
                  <v:imagedata r:id="rId65" o:title=""/>
                  <o:lock v:ext="edit" aspectratio="t"/>
                  <w10:wrap type="none"/>
                  <w10:anchorlock/>
                </v:shape>
                <o:OLEObject Type="Embed" ProgID="Equation.3" ShapeID="_x0000_i1040" DrawAspect="Content" ObjectID="_1468075740" r:id="rId64">
                  <o:LockedField>false</o:LockedField>
                </o:OLEObject>
              </w:object>
            </w:r>
            <w:r>
              <w:rPr>
                <w:rFonts w:hint="default" w:ascii="Times New Roman" w:hAnsi="Times New Roman" w:cs="Times New Roman"/>
                <w:color w:val="auto"/>
                <w:highlight w:val="none"/>
              </w:rPr>
              <w:t>——几何发散引起的衰减，dB；</w:t>
            </w:r>
          </w:p>
          <w:p w14:paraId="3377D76B">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41" o:spt="75" type="#_x0000_t75" style="height:17.75pt;width:22.65pt;" o:ole="t" filled="f" o:preferrelative="t" stroked="f" coordsize="21600,21600">
                  <v:path/>
                  <v:fill on="f" focussize="0,0"/>
                  <v:stroke on="f"/>
                  <v:imagedata r:id="rId50" o:title=""/>
                  <o:lock v:ext="edit" aspectratio="t"/>
                  <w10:wrap type="none"/>
                  <w10:anchorlock/>
                </v:shape>
                <o:OLEObject Type="Embed" ProgID="Equation.3" ShapeID="_x0000_i1041" DrawAspect="Content" ObjectID="_1468075741" r:id="rId66">
                  <o:LockedField>false</o:LockedField>
                </o:OLEObject>
              </w:object>
            </w:r>
            <w:r>
              <w:rPr>
                <w:rFonts w:hint="default" w:ascii="Times New Roman" w:hAnsi="Times New Roman" w:cs="Times New Roman"/>
                <w:color w:val="auto"/>
                <w:highlight w:val="none"/>
              </w:rPr>
              <w:t>——大气吸收引起的衰减，dB；</w:t>
            </w:r>
          </w:p>
          <w:p w14:paraId="640D682A">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4"/>
                <w:highlight w:val="none"/>
              </w:rPr>
              <w:object>
                <v:shape id="_x0000_i1042" o:spt="75" type="#_x0000_t75" style="height:21.95pt;width:21.95pt;" o:ole="t" filled="f" o:preferrelative="t" stroked="f" coordsize="21600,21600">
                  <v:path/>
                  <v:fill on="f" focussize="0,0"/>
                  <v:stroke on="f"/>
                  <v:imagedata r:id="rId52" o:title=""/>
                  <o:lock v:ext="edit" aspectratio="t"/>
                  <w10:wrap type="none"/>
                  <w10:anchorlock/>
                </v:shape>
                <o:OLEObject Type="Embed" ProgID="Equation.3" ShapeID="_x0000_i1042" DrawAspect="Content" ObjectID="_1468075742" r:id="rId67">
                  <o:LockedField>false</o:LockedField>
                </o:OLEObject>
              </w:object>
            </w:r>
            <w:r>
              <w:rPr>
                <w:rFonts w:hint="default" w:ascii="Times New Roman" w:hAnsi="Times New Roman" w:cs="Times New Roman"/>
                <w:color w:val="auto"/>
                <w:highlight w:val="none"/>
              </w:rPr>
              <w:t>——地面效应引起的衰减，dB；</w:t>
            </w:r>
          </w:p>
          <w:p w14:paraId="1FA43EA6">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43" o:spt="75" type="#_x0000_t75" style="height:18.25pt;width:23.3pt;" o:ole="t" filled="f" o:preferrelative="t" stroked="f" coordsize="21600,21600">
                  <v:path/>
                  <v:fill on="f" focussize="0,0"/>
                  <v:stroke on="f"/>
                  <v:imagedata r:id="rId54" o:title=""/>
                  <o:lock v:ext="edit" aspectratio="t"/>
                  <w10:wrap type="none"/>
                  <w10:anchorlock/>
                </v:shape>
                <o:OLEObject Type="Embed" ProgID="Equation.3" ShapeID="_x0000_i1043" DrawAspect="Content" ObjectID="_1468075743" r:id="rId68">
                  <o:LockedField>false</o:LockedField>
                </o:OLEObject>
              </w:object>
            </w:r>
            <w:r>
              <w:rPr>
                <w:rFonts w:hint="default" w:ascii="Times New Roman" w:hAnsi="Times New Roman" w:cs="Times New Roman"/>
                <w:color w:val="auto"/>
                <w:highlight w:val="none"/>
              </w:rPr>
              <w:t>——声屏障引起的衰减，dB；</w:t>
            </w:r>
          </w:p>
          <w:p w14:paraId="10992257">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2"/>
                <w:highlight w:val="none"/>
              </w:rPr>
              <w:object>
                <v:shape id="_x0000_i1044" o:spt="75" type="#_x0000_t75" style="height:17.4pt;width:24.2pt;" o:ole="t" filled="f" o:preferrelative="t" stroked="f" coordsize="21600,21600">
                  <v:path/>
                  <v:fill on="f" focussize="0,0"/>
                  <v:stroke on="f"/>
                  <v:imagedata r:id="rId56" o:title=""/>
                  <o:lock v:ext="edit" aspectratio="t"/>
                  <w10:wrap type="none"/>
                  <w10:anchorlock/>
                </v:shape>
                <o:OLEObject Type="Embed" ProgID="Equation.3" ShapeID="_x0000_i1044" DrawAspect="Content" ObjectID="_1468075744" r:id="rId69">
                  <o:LockedField>false</o:LockedField>
                </o:OLEObject>
              </w:objec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其他</w:t>
            </w:r>
            <w:r>
              <w:rPr>
                <w:rFonts w:hint="default" w:ascii="Times New Roman" w:hAnsi="Times New Roman" w:cs="Times New Roman"/>
                <w:color w:val="auto"/>
                <w:highlight w:val="none"/>
              </w:rPr>
              <w:t>多方面效应引起的衰减，dB；</w:t>
            </w:r>
          </w:p>
          <w:p w14:paraId="526B9C35">
            <w:pPr>
              <w:pStyle w:val="212"/>
              <w:rPr>
                <w:rFonts w:hint="default" w:ascii="Times New Roman" w:hAnsi="Times New Roman" w:cs="Times New Roman"/>
                <w:color w:val="auto"/>
                <w:highlight w:val="none"/>
              </w:rPr>
            </w:pPr>
            <w:r>
              <w:rPr>
                <w:rFonts w:hint="default" w:ascii="Times New Roman" w:hAnsi="Times New Roman" w:cs="Times New Roman"/>
                <w:color w:val="auto"/>
                <w:highlight w:val="none"/>
              </w:rPr>
              <w:t>（2）</w:t>
            </w:r>
            <w:bookmarkEnd w:id="80"/>
            <w:bookmarkEnd w:id="81"/>
            <w:r>
              <w:rPr>
                <w:rFonts w:hint="default" w:ascii="Times New Roman" w:hAnsi="Times New Roman" w:cs="Times New Roman"/>
                <w:color w:val="auto"/>
                <w:highlight w:val="none"/>
              </w:rPr>
              <w:t>预测点的A声级</w:t>
            </w:r>
            <w:r>
              <w:rPr>
                <w:rFonts w:hint="default" w:ascii="Times New Roman" w:hAnsi="Times New Roman" w:cs="Times New Roman"/>
                <w:color w:val="auto"/>
                <w:position w:val="-10"/>
                <w:highlight w:val="none"/>
              </w:rPr>
              <w:object>
                <v:shape id="_x0000_i1045" o:spt="75" type="#_x0000_t75" style="height:19.5pt;width:34.5pt;" o:ole="t" filled="f" o:preferrelative="t" stroked="f" coordsize="21600,21600">
                  <v:path/>
                  <v:fill on="f" focussize="0,0"/>
                  <v:stroke on="f"/>
                  <v:imagedata r:id="rId71" o:title=""/>
                  <o:lock v:ext="edit" aspectratio="t"/>
                  <w10:wrap type="none"/>
                  <w10:anchorlock/>
                </v:shape>
                <o:OLEObject Type="Embed" ProgID="Equation.3" ShapeID="_x0000_i1045" DrawAspect="Content" ObjectID="_1468075745" r:id="rId70">
                  <o:LockedField>false</o:LockedField>
                </o:OLEObject>
              </w:object>
            </w:r>
            <w:r>
              <w:rPr>
                <w:rFonts w:hint="eastAsia" w:ascii="Times New Roman" w:hAnsi="Times New Roman" w:cs="Times New Roman"/>
                <w:color w:val="auto"/>
                <w:position w:val="-10"/>
                <w:highlight w:val="none"/>
                <w:lang w:eastAsia="zh-CN"/>
              </w:rPr>
              <w:t>，</w:t>
            </w:r>
            <w:r>
              <w:rPr>
                <w:rFonts w:hint="default" w:ascii="Times New Roman" w:hAnsi="Times New Roman" w:cs="Times New Roman"/>
                <w:color w:val="auto"/>
                <w:highlight w:val="none"/>
              </w:rPr>
              <w:t>即将 8 个倍频带声压级合成</w:t>
            </w:r>
            <w:r>
              <w:rPr>
                <w:rFonts w:hint="eastAsia" w:ascii="Times New Roman" w:hAnsi="Times New Roman" w:cs="Times New Roman"/>
                <w:color w:val="auto"/>
                <w:highlight w:val="none"/>
                <w:lang w:eastAsia="zh-CN"/>
              </w:rPr>
              <w:t>，计算出</w:t>
            </w:r>
            <w:r>
              <w:rPr>
                <w:rFonts w:hint="default" w:ascii="Times New Roman" w:hAnsi="Times New Roman" w:cs="Times New Roman"/>
                <w:color w:val="auto"/>
                <w:highlight w:val="none"/>
              </w:rPr>
              <w:t>预测点的A声级</w:t>
            </w:r>
            <w:r>
              <w:rPr>
                <w:rFonts w:hint="default" w:ascii="Times New Roman" w:hAnsi="Times New Roman" w:cs="Times New Roman"/>
                <w:color w:val="auto"/>
                <w:position w:val="-10"/>
                <w:highlight w:val="none"/>
              </w:rPr>
              <w:object>
                <v:shape id="_x0000_i1046" o:spt="75" type="#_x0000_t75" style="height:19.5pt;width:34.5pt;" o:ole="t" filled="f" o:preferrelative="t" stroked="f" coordsize="21600,21600">
                  <v:path/>
                  <v:fill on="f" focussize="0,0"/>
                  <v:stroke on="f"/>
                  <v:imagedata r:id="rId71" o:title=""/>
                  <o:lock v:ext="edit" aspectratio="t"/>
                  <w10:wrap type="none"/>
                  <w10:anchorlock/>
                </v:shape>
                <o:OLEObject Type="Embed" ProgID="Equation.3" ShapeID="_x0000_i1046" DrawAspect="Content" ObjectID="_1468075746" r:id="rId72">
                  <o:LockedField>false</o:LockedField>
                </o:OLEObject>
              </w:objec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按如下计算：</w:t>
            </w:r>
            <w:bookmarkEnd w:id="82"/>
            <w:bookmarkEnd w:id="83"/>
          </w:p>
          <w:p w14:paraId="205044D7">
            <w:pPr>
              <w:pStyle w:val="212"/>
              <w:ind w:firstLine="2640" w:firstLineChars="1100"/>
              <w:rPr>
                <w:rFonts w:hint="default" w:ascii="Times New Roman" w:hAnsi="Times New Roman" w:cs="Times New Roman"/>
                <w:color w:val="auto"/>
                <w:highlight w:val="none"/>
              </w:rPr>
            </w:pPr>
            <w:bookmarkStart w:id="84" w:name="_Toc344399867"/>
            <w:bookmarkEnd w:id="84"/>
            <w:bookmarkStart w:id="85" w:name="_Toc344398131"/>
            <w:bookmarkEnd w:id="85"/>
            <w:r>
              <w:rPr>
                <w:rFonts w:hint="default" w:ascii="Times New Roman" w:hAnsi="Times New Roman" w:cs="Times New Roman"/>
                <w:color w:val="auto"/>
                <w:position w:val="-32"/>
                <w:highlight w:val="none"/>
              </w:rPr>
              <w:object>
                <v:shape id="_x0000_i1047" o:spt="75" type="#_x0000_t75" style="height:47.9pt;width:181.1pt;" o:ole="t" filled="f" o:preferrelative="t" stroked="f" coordsize="21600,21600">
                  <v:path/>
                  <v:fill on="f" focussize="0,0"/>
                  <v:stroke on="f"/>
                  <v:imagedata r:id="rId74" o:title=""/>
                  <o:lock v:ext="edit" aspectratio="t"/>
                  <w10:wrap type="none"/>
                  <w10:anchorlock/>
                </v:shape>
                <o:OLEObject Type="Embed" ProgID="Equation.3" ShapeID="_x0000_i1047" DrawAspect="Content" ObjectID="_1468075747" r:id="rId73">
                  <o:LockedField>false</o:LockedField>
                </o:OLEObject>
              </w:object>
            </w:r>
          </w:p>
          <w:p w14:paraId="1C59E973">
            <w:pPr>
              <w:pStyle w:val="212"/>
              <w:rPr>
                <w:rFonts w:hint="default" w:ascii="Times New Roman" w:hAnsi="Times New Roman" w:cs="Times New Roman"/>
                <w:color w:val="auto"/>
                <w:highlight w:val="none"/>
              </w:rPr>
            </w:pPr>
            <w:bookmarkStart w:id="86" w:name="_Toc344398132"/>
            <w:bookmarkStart w:id="87" w:name="_Toc344399868"/>
            <w:r>
              <w:rPr>
                <w:rFonts w:hint="default" w:ascii="Times New Roman" w:hAnsi="Times New Roman" w:cs="Times New Roman"/>
                <w:color w:val="auto"/>
                <w:highlight w:val="none"/>
              </w:rPr>
              <w:t>式中：</w:t>
            </w:r>
            <w:bookmarkEnd w:id="86"/>
            <w:bookmarkEnd w:id="87"/>
          </w:p>
          <w:p w14:paraId="6EDD5741">
            <w:pPr>
              <w:pStyle w:val="212"/>
              <w:rPr>
                <w:rFonts w:hint="default" w:ascii="Times New Roman" w:hAnsi="Times New Roman" w:cs="Times New Roman"/>
                <w:color w:val="auto"/>
                <w:highlight w:val="none"/>
              </w:rPr>
            </w:pPr>
            <w:bookmarkStart w:id="88" w:name="_Toc344398133"/>
            <w:bookmarkStart w:id="89" w:name="_Toc344399869"/>
            <w:r>
              <w:rPr>
                <w:rFonts w:hint="default" w:ascii="Times New Roman" w:hAnsi="Times New Roman" w:cs="Times New Roman"/>
                <w:color w:val="auto"/>
                <w:position w:val="-10"/>
                <w:highlight w:val="none"/>
              </w:rPr>
              <w:object>
                <v:shape id="_x0000_i1048" o:spt="75" type="#_x0000_t75" style="height:20.65pt;width:34.2pt;" o:ole="t" filled="f" o:preferrelative="t" stroked="f" coordsize="21600,21600">
                  <v:path/>
                  <v:fill on="f" focussize="0,0"/>
                  <v:stroke on="f"/>
                  <v:imagedata r:id="rId76" o:title=""/>
                  <o:lock v:ext="edit" aspectratio="t"/>
                  <w10:wrap type="none"/>
                  <w10:anchorlock/>
                </v:shape>
                <o:OLEObject Type="Embed" ProgID="Equation.3" ShapeID="_x0000_i1048" DrawAspect="Content" ObjectID="_1468075748" r:id="rId75">
                  <o:LockedField>false</o:LockedField>
                </o:OLEObject>
              </w:object>
            </w:r>
            <w:r>
              <w:rPr>
                <w:rFonts w:hint="default" w:ascii="Times New Roman" w:hAnsi="Times New Roman" w:cs="Times New Roman"/>
                <w:color w:val="auto"/>
                <w:highlight w:val="none"/>
              </w:rPr>
              <w:t>——距声源 r 处的 A 声级，dB</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1AF5B4BC">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6"/>
                <w:highlight w:val="none"/>
              </w:rPr>
              <w:object>
                <v:shape id="_x0000_i1049" o:spt="75" type="#_x0000_t75" style="height:20.7pt;width:35.05pt;" o:ole="t" filled="f" o:preferrelative="t" stroked="f" coordsize="21600,21600">
                  <v:path/>
                  <v:fill on="f" focussize="0,0"/>
                  <v:stroke on="f"/>
                  <v:imagedata r:id="rId78" o:title=""/>
                  <o:lock v:ext="edit" aspectratio="t"/>
                  <w10:wrap type="none"/>
                  <w10:anchorlock/>
                </v:shape>
                <o:OLEObject Type="Embed" ProgID="Equation.3" ShapeID="_x0000_i1049" DrawAspect="Content" ObjectID="_1468075749" r:id="rId77">
                  <o:LockedField>false</o:LockedField>
                </o:OLEObject>
              </w:object>
            </w:r>
            <w:r>
              <w:rPr>
                <w:rFonts w:hint="default" w:ascii="Times New Roman" w:hAnsi="Times New Roman" w:cs="Times New Roman"/>
                <w:color w:val="auto"/>
                <w:highlight w:val="none"/>
              </w:rPr>
              <w:t>——预测点（r）处，第i倍频带声压级，dB；</w:t>
            </w:r>
            <w:bookmarkEnd w:id="88"/>
            <w:bookmarkEnd w:id="89"/>
          </w:p>
          <w:p w14:paraId="0AC8FDB1">
            <w:pPr>
              <w:pStyle w:val="212"/>
              <w:rPr>
                <w:rFonts w:hint="default" w:ascii="Times New Roman" w:hAnsi="Times New Roman" w:cs="Times New Roman"/>
                <w:color w:val="auto"/>
                <w:highlight w:val="none"/>
              </w:rPr>
            </w:pPr>
            <w:bookmarkStart w:id="90" w:name="_Toc344399870"/>
            <w:bookmarkStart w:id="91" w:name="_Toc344398134"/>
            <w:r>
              <w:rPr>
                <w:rFonts w:hint="default" w:ascii="Times New Roman" w:hAnsi="Times New Roman" w:cs="Times New Roman"/>
                <w:color w:val="auto"/>
                <w:position w:val="-12"/>
                <w:highlight w:val="none"/>
              </w:rPr>
              <w:object>
                <v:shape id="_x0000_i1050" o:spt="75" type="#_x0000_t75" style="height:20.7pt;width:21.7pt;" o:ole="t" filled="f" o:preferrelative="t" stroked="f" coordsize="21600,21600">
                  <v:path/>
                  <v:fill on="f" focussize="0,0"/>
                  <v:stroke on="f"/>
                  <v:imagedata r:id="rId80" o:title=""/>
                  <o:lock v:ext="edit" aspectratio="t"/>
                  <w10:wrap type="none"/>
                  <w10:anchorlock/>
                </v:shape>
                <o:OLEObject Type="Embed" ProgID="Equation.3" ShapeID="_x0000_i1050" DrawAspect="Content" ObjectID="_1468075750" r:id="rId79">
                  <o:LockedField>false</o:LockedField>
                </o:OLEObject>
              </w:object>
            </w:r>
            <w:r>
              <w:rPr>
                <w:rFonts w:hint="default" w:ascii="Times New Roman" w:hAnsi="Times New Roman" w:cs="Times New Roman"/>
                <w:color w:val="auto"/>
                <w:highlight w:val="none"/>
              </w:rPr>
              <w:t>——i倍频带A计权网络修正值，dB。</w:t>
            </w:r>
            <w:bookmarkEnd w:id="90"/>
            <w:bookmarkEnd w:id="91"/>
          </w:p>
          <w:p w14:paraId="4FF69EBD">
            <w:pPr>
              <w:pStyle w:val="212"/>
              <w:rPr>
                <w:rFonts w:hint="eastAsia" w:ascii="Times New Roman" w:hAnsi="Times New Roman" w:eastAsia="宋体" w:cs="Times New Roman"/>
                <w:color w:val="auto"/>
                <w:highlight w:val="none"/>
                <w:lang w:val="en-US" w:eastAsia="zh-CN"/>
              </w:rPr>
            </w:pPr>
            <w:bookmarkStart w:id="92" w:name="_Toc344399874"/>
            <w:bookmarkStart w:id="93" w:name="_Toc344398138"/>
            <w:r>
              <w:rPr>
                <w:rFonts w:hint="default" w:ascii="Times New Roman" w:hAnsi="Times New Roman" w:cs="Times New Roman"/>
                <w:color w:val="auto"/>
                <w:highlight w:val="none"/>
              </w:rPr>
              <w:t>（3）</w:t>
            </w:r>
            <w:bookmarkEnd w:id="92"/>
            <w:bookmarkEnd w:id="93"/>
            <w:r>
              <w:rPr>
                <w:rFonts w:hint="default" w:ascii="Times New Roman" w:hAnsi="Times New Roman" w:cs="Times New Roman"/>
                <w:color w:val="auto"/>
                <w:highlight w:val="none"/>
              </w:rPr>
              <w:t>在只考虑几何发散衰减时</w:t>
            </w:r>
            <w:r>
              <w:rPr>
                <w:rFonts w:hint="eastAsia" w:ascii="Times New Roman" w:hAnsi="Times New Roman" w:cs="Times New Roman"/>
                <w:color w:val="auto"/>
                <w:highlight w:val="none"/>
                <w:lang w:eastAsia="zh-CN"/>
              </w:rPr>
              <w:t>，按如下</w:t>
            </w:r>
            <w:r>
              <w:rPr>
                <w:rFonts w:hint="default" w:ascii="Times New Roman" w:hAnsi="Times New Roman" w:cs="Times New Roman"/>
                <w:color w:val="auto"/>
                <w:highlight w:val="none"/>
              </w:rPr>
              <w:t>公式</w:t>
            </w:r>
            <w:r>
              <w:rPr>
                <w:rFonts w:hint="eastAsia" w:ascii="Times New Roman" w:hAnsi="Times New Roman" w:cs="Times New Roman"/>
                <w:color w:val="auto"/>
                <w:highlight w:val="none"/>
                <w:lang w:eastAsia="zh-CN"/>
              </w:rPr>
              <w:t>计算：</w:t>
            </w:r>
          </w:p>
          <w:p w14:paraId="6EFE9CBD">
            <w:pPr>
              <w:pStyle w:val="212"/>
              <w:ind w:firstLine="1560" w:firstLineChars="650"/>
              <w:rPr>
                <w:rFonts w:hint="default" w:ascii="Times New Roman" w:hAnsi="Times New Roman" w:cs="Times New Roman"/>
                <w:color w:val="auto"/>
                <w:highlight w:val="none"/>
              </w:rPr>
            </w:pPr>
            <w:bookmarkStart w:id="94" w:name="_Toc344398136"/>
            <w:bookmarkStart w:id="95" w:name="_Toc344399872"/>
            <w:bookmarkStart w:id="96" w:name="_Toc344398139"/>
            <w:bookmarkStart w:id="97" w:name="_Toc344399875"/>
            <w:r>
              <w:rPr>
                <w:rFonts w:hint="default" w:ascii="Times New Roman" w:hAnsi="Times New Roman" w:cs="Times New Roman"/>
                <w:color w:val="auto"/>
                <w:highlight w:val="none"/>
              </w:rPr>
              <w:t xml:space="preserve">     </w:t>
            </w:r>
            <w:bookmarkEnd w:id="94"/>
            <w:bookmarkEnd w:id="95"/>
            <w:r>
              <w:rPr>
                <w:rFonts w:hint="default" w:ascii="Times New Roman" w:hAnsi="Times New Roman" w:cs="Times New Roman"/>
                <w:color w:val="auto"/>
                <w:position w:val="-10"/>
                <w:highlight w:val="none"/>
              </w:rPr>
              <w:object>
                <v:shape id="_x0000_i1051" o:spt="75" type="#_x0000_t75" style="height:21.6pt;width:124.5pt;" o:ole="t" filled="f" o:preferrelative="t" stroked="f" coordsize="21600,21600">
                  <v:path/>
                  <v:fill on="f" focussize="0,0"/>
                  <v:stroke on="f"/>
                  <v:imagedata r:id="rId82" o:title=""/>
                  <o:lock v:ext="edit" aspectratio="t"/>
                  <w10:wrap type="none"/>
                  <w10:anchorlock/>
                </v:shape>
                <o:OLEObject Type="Embed" ProgID="Equation.3" ShapeID="_x0000_i1051" DrawAspect="Content" ObjectID="_1468075751" r:id="rId81">
                  <o:LockedField>false</o:LockedField>
                </o:OLEObject>
              </w:object>
            </w:r>
          </w:p>
          <w:p w14:paraId="5B30C684">
            <w:pPr>
              <w:pStyle w:val="212"/>
              <w:rPr>
                <w:rFonts w:hint="default" w:ascii="Times New Roman" w:hAnsi="Times New Roman" w:cs="Times New Roman"/>
                <w:color w:val="auto"/>
                <w:highlight w:val="none"/>
              </w:rPr>
            </w:pPr>
            <w:bookmarkStart w:id="98" w:name="_Toc344399873"/>
            <w:bookmarkStart w:id="99" w:name="_Toc344398137"/>
            <w:r>
              <w:rPr>
                <w:rFonts w:hint="default" w:ascii="Times New Roman" w:hAnsi="Times New Roman" w:cs="Times New Roman"/>
                <w:color w:val="auto"/>
                <w:highlight w:val="none"/>
              </w:rPr>
              <w:t>式中：</w:t>
            </w:r>
          </w:p>
          <w:p w14:paraId="789D2554">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0"/>
                <w:highlight w:val="none"/>
              </w:rPr>
              <w:object>
                <v:shape id="_x0000_i1052" o:spt="75" type="#_x0000_t75" style="height:19.95pt;width:33.05pt;" o:ole="t" filled="f" o:preferrelative="t" stroked="f" coordsize="21600,21600">
                  <v:path/>
                  <v:fill on="f" focussize="0,0"/>
                  <v:stroke on="f"/>
                  <v:imagedata r:id="rId76" o:title=""/>
                  <o:lock v:ext="edit" aspectratio="t"/>
                  <w10:wrap type="none"/>
                  <w10:anchorlock/>
                </v:shape>
                <o:OLEObject Type="Embed" ProgID="Equation.3" ShapeID="_x0000_i1052" DrawAspect="Content" ObjectID="_1468075752" r:id="rId83">
                  <o:LockedField>false</o:LockedField>
                </o:OLEObject>
              </w:object>
            </w:r>
            <w:r>
              <w:rPr>
                <w:rFonts w:hint="default" w:ascii="Times New Roman" w:hAnsi="Times New Roman" w:cs="Times New Roman"/>
                <w:color w:val="auto"/>
                <w:highlight w:val="none"/>
              </w:rPr>
              <w:t>——距声源 r 处的 A 声级，dB</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26C7763A">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0"/>
                <w:highlight w:val="none"/>
              </w:rPr>
              <w:object>
                <v:shape id="_x0000_i1053" o:spt="75" type="#_x0000_t75" style="height:19.3pt;width:35.15pt;" o:ole="t" filled="f" o:preferrelative="t" stroked="f" coordsize="21600,21600">
                  <v:path/>
                  <v:fill on="f" focussize="0,0"/>
                  <v:stroke on="f"/>
                  <v:imagedata r:id="rId85" o:title=""/>
                  <o:lock v:ext="edit" aspectratio="t"/>
                  <w10:wrap type="none"/>
                  <w10:anchorlock/>
                </v:shape>
                <o:OLEObject Type="Embed" ProgID="Equation.3" ShapeID="_x0000_i1053" DrawAspect="Content" ObjectID="_1468075753" r:id="rId84">
                  <o:LockedField>false</o:LockedField>
                </o:OLEObject>
              </w:object>
            </w:r>
            <w:r>
              <w:rPr>
                <w:rFonts w:hint="default" w:ascii="Times New Roman" w:hAnsi="Times New Roman" w:cs="Times New Roman"/>
                <w:color w:val="auto"/>
                <w:highlight w:val="none"/>
              </w:rPr>
              <w:t>——参考位置 r0处的 A 声级，dB</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A</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3CC4459D">
            <w:pPr>
              <w:pStyle w:val="212"/>
              <w:rPr>
                <w:rFonts w:hint="default" w:ascii="Times New Roman" w:hAnsi="Times New Roman" w:cs="Times New Roman"/>
                <w:color w:val="auto"/>
                <w:highlight w:val="none"/>
              </w:rPr>
            </w:pPr>
            <w:r>
              <w:rPr>
                <w:rFonts w:hint="default" w:ascii="Times New Roman" w:hAnsi="Times New Roman" w:cs="Times New Roman"/>
                <w:color w:val="auto"/>
                <w:position w:val="-10"/>
                <w:highlight w:val="none"/>
              </w:rPr>
              <w:object>
                <v:shape id="_x0000_i1054" o:spt="75" type="#_x0000_t75" style="height:21.6pt;width:23.8pt;" o:ole="t" filled="f" o:preferrelative="t" stroked="f" coordsize="21600,21600">
                  <v:path/>
                  <v:fill on="f" focussize="0,0"/>
                  <v:stroke on="f"/>
                  <v:imagedata r:id="rId87" o:title=""/>
                  <o:lock v:ext="edit" aspectratio="t"/>
                  <w10:wrap type="none"/>
                  <w10:anchorlock/>
                </v:shape>
                <o:OLEObject Type="Embed" ProgID="Equation.3" ShapeID="_x0000_i1054" DrawAspect="Content" ObjectID="_1468075754" r:id="rId86">
                  <o:LockedField>false</o:LockedField>
                </o:OLEObject>
              </w:object>
            </w:r>
            <w:r>
              <w:rPr>
                <w:rFonts w:hint="default" w:ascii="Times New Roman" w:hAnsi="Times New Roman" w:cs="Times New Roman"/>
                <w:color w:val="auto"/>
                <w:highlight w:val="none"/>
              </w:rPr>
              <w:t>——几何发散引起的衰减，dB。</w:t>
            </w:r>
            <w:bookmarkEnd w:id="98"/>
            <w:bookmarkEnd w:id="99"/>
          </w:p>
          <w:p w14:paraId="4BBED30D">
            <w:pPr>
              <w:pStyle w:val="212"/>
              <w:rPr>
                <w:rFonts w:hint="default" w:ascii="Times New Roman" w:hAnsi="Times New Roman" w:cs="Times New Roman"/>
                <w:color w:val="auto"/>
                <w:highlight w:val="none"/>
              </w:rPr>
            </w:pPr>
            <w:r>
              <w:rPr>
                <w:rFonts w:hint="default" w:ascii="Times New Roman" w:hAnsi="Times New Roman" w:cs="Times New Roman"/>
                <w:color w:val="auto"/>
                <w:highlight w:val="none"/>
              </w:rPr>
              <w:t>点声源的几何发散衰减</w:t>
            </w:r>
            <w:bookmarkEnd w:id="96"/>
            <w:bookmarkEnd w:id="97"/>
          </w:p>
          <w:p w14:paraId="4432C758">
            <w:pPr>
              <w:pStyle w:val="212"/>
              <w:ind w:firstLine="3000" w:firstLineChars="1250"/>
              <w:rPr>
                <w:rFonts w:hint="default" w:ascii="Times New Roman" w:hAnsi="Times New Roman" w:cs="Times New Roman"/>
                <w:color w:val="auto"/>
                <w:sz w:val="24"/>
                <w:szCs w:val="24"/>
                <w:highlight w:val="none"/>
              </w:rPr>
            </w:pPr>
            <w:bookmarkStart w:id="100" w:name="_Toc344399876"/>
            <w:bookmarkEnd w:id="100"/>
            <w:bookmarkStart w:id="101" w:name="_Toc344398140"/>
            <w:bookmarkEnd w:id="101"/>
            <w:r>
              <w:rPr>
                <w:rFonts w:hint="default" w:ascii="Times New Roman" w:hAnsi="Times New Roman" w:cs="Times New Roman"/>
                <w:color w:val="auto"/>
                <w:position w:val="-12"/>
                <w:sz w:val="24"/>
                <w:szCs w:val="24"/>
                <w:highlight w:val="none"/>
              </w:rPr>
              <w:object>
                <v:shape id="_x0000_i1055" o:spt="75" type="#_x0000_t75" style="height:21.8pt;width:113.55pt;" o:ole="t" filled="f" o:preferrelative="t" stroked="f" coordsize="21600,21600">
                  <v:path/>
                  <v:fill on="f" focussize="0,0"/>
                  <v:stroke on="f"/>
                  <v:imagedata r:id="rId89" o:title=""/>
                  <o:lock v:ext="edit" aspectratio="t"/>
                  <w10:wrap type="none"/>
                  <w10:anchorlock/>
                </v:shape>
                <o:OLEObject Type="Embed" ProgID="Equation.3" ShapeID="_x0000_i1055" DrawAspect="Content" ObjectID="_1468075755" r:id="rId88">
                  <o:LockedField>false</o:LockedField>
                </o:OLEObject>
              </w:object>
            </w:r>
          </w:p>
          <w:bookmarkEnd w:id="52"/>
          <w:bookmarkEnd w:id="53"/>
          <w:p w14:paraId="791BA29A">
            <w:pPr>
              <w:widowControl/>
              <w:snapToGrid w:val="0"/>
              <w:spacing w:line="360" w:lineRule="auto"/>
              <w:ind w:firstLine="480" w:firstLineChars="200"/>
              <w:rPr>
                <w:rFonts w:hint="eastAsia"/>
                <w:sz w:val="24"/>
                <w:szCs w:val="24"/>
                <w:highlight w:val="none"/>
              </w:rPr>
            </w:pPr>
            <w:r>
              <w:rPr>
                <w:rFonts w:hint="eastAsia"/>
                <w:sz w:val="24"/>
                <w:szCs w:val="24"/>
                <w:highlight w:val="none"/>
                <w:lang w:eastAsia="zh-CN"/>
              </w:rPr>
              <w:t>（</w:t>
            </w:r>
            <w:r>
              <w:rPr>
                <w:rFonts w:hint="eastAsia"/>
                <w:sz w:val="24"/>
                <w:szCs w:val="24"/>
                <w:highlight w:val="none"/>
                <w:lang w:val="en-US" w:eastAsia="zh-CN"/>
              </w:rPr>
              <w:t>4</w:t>
            </w:r>
            <w:r>
              <w:rPr>
                <w:rFonts w:hint="eastAsia"/>
                <w:sz w:val="24"/>
                <w:szCs w:val="24"/>
                <w:highlight w:val="none"/>
                <w:lang w:eastAsia="zh-CN"/>
              </w:rPr>
              <w:t>）</w:t>
            </w:r>
            <w:r>
              <w:rPr>
                <w:rFonts w:hint="eastAsia"/>
                <w:sz w:val="24"/>
                <w:szCs w:val="24"/>
                <w:highlight w:val="none"/>
              </w:rPr>
              <w:t>根据已获得的声源源强的数据和各声源到预测点的声波传播等条件资料，计算出噪声从各声源传播到预测点的声衰减量，由此计算各声源单独作用在预测点时产生的A声级（L</w:t>
            </w:r>
            <w:r>
              <w:rPr>
                <w:rFonts w:hint="eastAsia"/>
                <w:sz w:val="24"/>
                <w:szCs w:val="24"/>
                <w:highlight w:val="none"/>
                <w:vertAlign w:val="subscript"/>
              </w:rPr>
              <w:t>Ai</w:t>
            </w:r>
            <w:r>
              <w:rPr>
                <w:rFonts w:hint="eastAsia"/>
                <w:sz w:val="24"/>
                <w:szCs w:val="24"/>
                <w:highlight w:val="none"/>
              </w:rPr>
              <w:t>）。</w:t>
            </w:r>
          </w:p>
          <w:p w14:paraId="77E8870B">
            <w:pPr>
              <w:widowControl/>
              <w:snapToGrid w:val="0"/>
              <w:spacing w:line="360" w:lineRule="auto"/>
              <w:ind w:firstLine="480" w:firstLineChars="200"/>
              <w:rPr>
                <w:rFonts w:hint="eastAsia"/>
                <w:sz w:val="24"/>
                <w:szCs w:val="24"/>
                <w:highlight w:val="none"/>
              </w:rPr>
            </w:pPr>
            <w:r>
              <w:rPr>
                <w:rFonts w:hint="eastAsia"/>
                <w:sz w:val="24"/>
                <w:szCs w:val="24"/>
                <w:highlight w:val="none"/>
                <w:lang w:eastAsia="zh-CN"/>
              </w:rPr>
              <w:t>（</w:t>
            </w:r>
            <w:r>
              <w:rPr>
                <w:rFonts w:hint="eastAsia"/>
                <w:sz w:val="24"/>
                <w:szCs w:val="24"/>
                <w:highlight w:val="none"/>
                <w:lang w:val="en-US" w:eastAsia="zh-CN"/>
              </w:rPr>
              <w:t>5</w:t>
            </w:r>
            <w:r>
              <w:rPr>
                <w:rFonts w:hint="eastAsia"/>
                <w:sz w:val="24"/>
                <w:szCs w:val="24"/>
                <w:highlight w:val="none"/>
                <w:lang w:eastAsia="zh-CN"/>
              </w:rPr>
              <w:t>）</w:t>
            </w:r>
            <w:r>
              <w:rPr>
                <w:rFonts w:hint="eastAsia"/>
                <w:sz w:val="24"/>
                <w:szCs w:val="24"/>
                <w:highlight w:val="none"/>
              </w:rPr>
              <w:t>声级的计算</w:t>
            </w:r>
          </w:p>
          <w:p w14:paraId="191AD403">
            <w:pPr>
              <w:widowControl/>
              <w:snapToGrid w:val="0"/>
              <w:spacing w:line="360" w:lineRule="auto"/>
              <w:ind w:firstLine="480" w:firstLineChars="200"/>
              <w:rPr>
                <w:rFonts w:hint="eastAsia"/>
                <w:sz w:val="24"/>
                <w:szCs w:val="24"/>
                <w:highlight w:val="none"/>
              </w:rPr>
            </w:pPr>
            <w:r>
              <w:rPr>
                <w:rFonts w:hint="eastAsia"/>
                <w:sz w:val="24"/>
                <w:szCs w:val="24"/>
                <w:highlight w:val="none"/>
              </w:rPr>
              <w:t>a）建设项目声源在预测点产生的等效声级贡献值</w:t>
            </w:r>
            <w:r>
              <w:rPr>
                <w:rFonts w:hint="eastAsia"/>
                <w:sz w:val="24"/>
                <w:szCs w:val="24"/>
                <w:highlight w:val="none"/>
                <w:lang w:eastAsia="zh-CN"/>
              </w:rPr>
              <w:t>（</w:t>
            </w:r>
            <w:r>
              <w:rPr>
                <w:rFonts w:hint="eastAsia"/>
                <w:sz w:val="24"/>
                <w:szCs w:val="24"/>
                <w:highlight w:val="none"/>
              </w:rPr>
              <w:t>Leqg</w:t>
            </w:r>
            <w:r>
              <w:rPr>
                <w:rFonts w:hint="eastAsia"/>
                <w:sz w:val="24"/>
                <w:szCs w:val="24"/>
                <w:highlight w:val="none"/>
                <w:lang w:eastAsia="zh-CN"/>
              </w:rPr>
              <w:t>）</w:t>
            </w:r>
            <w:r>
              <w:rPr>
                <w:rFonts w:hint="eastAsia"/>
                <w:sz w:val="24"/>
                <w:szCs w:val="24"/>
                <w:highlight w:val="none"/>
              </w:rPr>
              <w:t>计算公式：</w:t>
            </w:r>
          </w:p>
          <w:p w14:paraId="4A32EC33">
            <w:pPr>
              <w:widowControl/>
              <w:jc w:val="center"/>
              <w:rPr>
                <w:sz w:val="24"/>
                <w:szCs w:val="24"/>
                <w:highlight w:val="none"/>
              </w:rPr>
            </w:pPr>
            <w:r>
              <w:rPr>
                <w:rFonts w:ascii="宋体" w:hAnsi="宋体" w:cs="宋体"/>
                <w:kern w:val="0"/>
                <w:sz w:val="24"/>
                <w:szCs w:val="24"/>
                <w:highlight w:val="none"/>
                <w:lang w:bidi="ar"/>
              </w:rPr>
              <w:fldChar w:fldCharType="begin"/>
            </w:r>
            <w:r>
              <w:rPr>
                <w:rFonts w:ascii="宋体" w:hAnsi="宋体" w:cs="宋体"/>
                <w:kern w:val="0"/>
                <w:sz w:val="24"/>
                <w:szCs w:val="24"/>
                <w:highlight w:val="none"/>
                <w:lang w:bidi="ar"/>
              </w:rPr>
              <w:instrText xml:space="preserve">INCLUDEPICTURE \d "C:\\Users\\Administrator.SPBNRUFKGAQ8OWE\\AppData\\Roaming\\Tencent\\Users\\354082356\\QQ\\WinTemp\\RichOle\\7$JUBRDG1G7YXA7Z(8]IX(I.png" \* MERGEFORMATINET </w:instrText>
            </w:r>
            <w:r>
              <w:rPr>
                <w:rFonts w:ascii="宋体" w:hAnsi="宋体" w:cs="宋体"/>
                <w:kern w:val="0"/>
                <w:sz w:val="24"/>
                <w:szCs w:val="24"/>
                <w:highlight w:val="none"/>
                <w:lang w:bidi="ar"/>
              </w:rPr>
              <w:fldChar w:fldCharType="separate"/>
            </w:r>
            <w:r>
              <w:rPr>
                <w:rFonts w:ascii="宋体" w:hAnsi="宋体" w:cs="宋体"/>
                <w:kern w:val="0"/>
                <w:sz w:val="24"/>
                <w:szCs w:val="24"/>
                <w:highlight w:val="none"/>
                <w:lang w:bidi="ar"/>
              </w:rPr>
              <w:drawing>
                <wp:inline distT="0" distB="0" distL="114300" distR="114300">
                  <wp:extent cx="1835785" cy="561340"/>
                  <wp:effectExtent l="0" t="0" r="12065" b="10160"/>
                  <wp:docPr id="17" name="图片 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1" descr="IMG_256"/>
                          <pic:cNvPicPr>
                            <a:picLocks noChangeAspect="1"/>
                          </pic:cNvPicPr>
                        </pic:nvPicPr>
                        <pic:blipFill>
                          <a:blip r:embed="rId90"/>
                          <a:stretch>
                            <a:fillRect/>
                          </a:stretch>
                        </pic:blipFill>
                        <pic:spPr>
                          <a:xfrm>
                            <a:off x="0" y="0"/>
                            <a:ext cx="1835785" cy="561340"/>
                          </a:xfrm>
                          <a:prstGeom prst="rect">
                            <a:avLst/>
                          </a:prstGeom>
                          <a:noFill/>
                          <a:ln>
                            <a:noFill/>
                          </a:ln>
                        </pic:spPr>
                      </pic:pic>
                    </a:graphicData>
                  </a:graphic>
                </wp:inline>
              </w:drawing>
            </w:r>
            <w:r>
              <w:rPr>
                <w:rFonts w:ascii="宋体" w:hAnsi="宋体" w:cs="宋体"/>
                <w:kern w:val="0"/>
                <w:sz w:val="24"/>
                <w:szCs w:val="24"/>
                <w:highlight w:val="none"/>
                <w:lang w:bidi="ar"/>
              </w:rPr>
              <w:fldChar w:fldCharType="end"/>
            </w:r>
          </w:p>
          <w:p w14:paraId="1F361906">
            <w:pPr>
              <w:widowControl/>
              <w:snapToGrid w:val="0"/>
              <w:spacing w:line="360" w:lineRule="auto"/>
              <w:ind w:firstLine="480" w:firstLineChars="200"/>
              <w:rPr>
                <w:rFonts w:hint="eastAsia"/>
                <w:sz w:val="24"/>
                <w:szCs w:val="24"/>
                <w:highlight w:val="none"/>
              </w:rPr>
            </w:pPr>
            <w:r>
              <w:rPr>
                <w:rFonts w:hint="eastAsia"/>
                <w:sz w:val="24"/>
                <w:szCs w:val="24"/>
                <w:highlight w:val="none"/>
              </w:rPr>
              <w:t>式中：</w:t>
            </w:r>
          </w:p>
          <w:p w14:paraId="23DAFBEF">
            <w:pPr>
              <w:widowControl/>
              <w:snapToGrid w:val="0"/>
              <w:spacing w:line="360" w:lineRule="auto"/>
              <w:ind w:firstLine="480" w:firstLineChars="200"/>
              <w:rPr>
                <w:rFonts w:hint="eastAsia"/>
                <w:sz w:val="24"/>
                <w:szCs w:val="24"/>
                <w:highlight w:val="none"/>
              </w:rPr>
            </w:pPr>
            <w:r>
              <w:rPr>
                <w:rFonts w:hint="eastAsia"/>
                <w:sz w:val="24"/>
                <w:szCs w:val="24"/>
                <w:highlight w:val="none"/>
              </w:rPr>
              <w:t>Leqg —噪声贡献值，dB；</w:t>
            </w:r>
          </w:p>
          <w:p w14:paraId="6D1749CF">
            <w:pPr>
              <w:widowControl/>
              <w:snapToGrid w:val="0"/>
              <w:spacing w:line="360" w:lineRule="auto"/>
              <w:ind w:firstLine="480" w:firstLineChars="200"/>
              <w:rPr>
                <w:rFonts w:hint="eastAsia"/>
                <w:sz w:val="24"/>
                <w:szCs w:val="24"/>
                <w:highlight w:val="none"/>
              </w:rPr>
            </w:pPr>
            <w:r>
              <w:rPr>
                <w:rFonts w:hint="eastAsia"/>
                <w:sz w:val="24"/>
                <w:szCs w:val="24"/>
                <w:highlight w:val="none"/>
              </w:rPr>
              <w:t>T—预测计算的时间段，s；</w:t>
            </w:r>
          </w:p>
          <w:p w14:paraId="19D6074A">
            <w:pPr>
              <w:widowControl/>
              <w:snapToGrid w:val="0"/>
              <w:spacing w:line="360" w:lineRule="auto"/>
              <w:ind w:firstLine="480" w:firstLineChars="200"/>
              <w:rPr>
                <w:rFonts w:hint="eastAsia"/>
                <w:sz w:val="24"/>
                <w:szCs w:val="24"/>
                <w:highlight w:val="none"/>
              </w:rPr>
            </w:pPr>
            <w:r>
              <w:rPr>
                <w:rFonts w:hint="eastAsia"/>
                <w:sz w:val="24"/>
                <w:szCs w:val="24"/>
                <w:highlight w:val="none"/>
              </w:rPr>
              <w:t>t</w:t>
            </w:r>
            <w:r>
              <w:rPr>
                <w:rFonts w:hint="eastAsia"/>
                <w:sz w:val="24"/>
                <w:szCs w:val="24"/>
                <w:highlight w:val="none"/>
                <w:vertAlign w:val="subscript"/>
              </w:rPr>
              <w:t>i</w:t>
            </w:r>
            <w:r>
              <w:rPr>
                <w:rFonts w:hint="eastAsia"/>
                <w:sz w:val="24"/>
                <w:szCs w:val="24"/>
                <w:highlight w:val="none"/>
              </w:rPr>
              <w:t>—i声源在T时段内的运行时间，s。</w:t>
            </w:r>
          </w:p>
          <w:p w14:paraId="0BF79994">
            <w:pPr>
              <w:widowControl/>
              <w:snapToGrid w:val="0"/>
              <w:spacing w:line="360" w:lineRule="auto"/>
              <w:ind w:firstLine="480" w:firstLineChars="200"/>
              <w:rPr>
                <w:rFonts w:hint="eastAsia"/>
                <w:sz w:val="24"/>
                <w:szCs w:val="24"/>
                <w:highlight w:val="none"/>
              </w:rPr>
            </w:pPr>
            <w:r>
              <w:rPr>
                <w:rFonts w:hint="eastAsia"/>
                <w:sz w:val="24"/>
                <w:szCs w:val="24"/>
                <w:highlight w:val="none"/>
              </w:rPr>
              <w:t>L</w:t>
            </w:r>
            <w:r>
              <w:rPr>
                <w:rFonts w:hint="eastAsia"/>
                <w:sz w:val="24"/>
                <w:szCs w:val="24"/>
                <w:highlight w:val="none"/>
                <w:vertAlign w:val="subscript"/>
              </w:rPr>
              <w:t>Ai</w:t>
            </w:r>
            <w:r>
              <w:rPr>
                <w:rFonts w:hint="eastAsia"/>
                <w:sz w:val="24"/>
                <w:szCs w:val="24"/>
                <w:highlight w:val="none"/>
              </w:rPr>
              <w:t>—i 声源在预测点产生的等效连续 A 声级，dB；</w:t>
            </w:r>
          </w:p>
          <w:p w14:paraId="2FABF44A">
            <w:pPr>
              <w:widowControl/>
              <w:snapToGrid w:val="0"/>
              <w:spacing w:line="360" w:lineRule="auto"/>
              <w:ind w:firstLine="480" w:firstLineChars="200"/>
              <w:rPr>
                <w:snapToGrid w:val="0"/>
                <w:sz w:val="24"/>
                <w:szCs w:val="24"/>
                <w:highlight w:val="none"/>
              </w:rPr>
            </w:pPr>
            <w:r>
              <w:rPr>
                <w:rFonts w:hint="eastAsia"/>
                <w:sz w:val="24"/>
                <w:szCs w:val="24"/>
                <w:highlight w:val="none"/>
              </w:rPr>
              <w:t>b）噪声预测值（L</w:t>
            </w:r>
            <w:r>
              <w:rPr>
                <w:rFonts w:hint="eastAsia"/>
                <w:sz w:val="24"/>
                <w:szCs w:val="24"/>
                <w:highlight w:val="none"/>
                <w:vertAlign w:val="subscript"/>
              </w:rPr>
              <w:t>eq</w:t>
            </w:r>
            <w:r>
              <w:rPr>
                <w:rFonts w:hint="eastAsia"/>
                <w:sz w:val="24"/>
                <w:szCs w:val="24"/>
                <w:highlight w:val="none"/>
              </w:rPr>
              <w:t>）计算公式：</w:t>
            </w:r>
          </w:p>
          <w:p w14:paraId="3316CD37">
            <w:pPr>
              <w:widowControl/>
              <w:snapToGrid w:val="0"/>
              <w:spacing w:line="360" w:lineRule="auto"/>
              <w:ind w:firstLine="480" w:firstLineChars="200"/>
              <w:rPr>
                <w:i/>
                <w:snapToGrid w:val="0"/>
                <w:sz w:val="24"/>
                <w:szCs w:val="24"/>
                <w:highlight w:val="none"/>
              </w:rPr>
            </w:pPr>
            <w:r>
              <w:rPr>
                <w:i/>
                <w:snapToGrid w:val="0"/>
                <w:sz w:val="24"/>
                <w:szCs w:val="24"/>
                <w:highlight w:val="none"/>
              </w:rPr>
              <w:t>L</w:t>
            </w:r>
            <w:r>
              <w:rPr>
                <w:i/>
                <w:snapToGrid w:val="0"/>
                <w:sz w:val="24"/>
                <w:szCs w:val="24"/>
                <w:highlight w:val="none"/>
                <w:vertAlign w:val="subscript"/>
              </w:rPr>
              <w:t>eq</w:t>
            </w:r>
            <w:r>
              <w:rPr>
                <w:i/>
                <w:snapToGrid w:val="0"/>
                <w:sz w:val="24"/>
                <w:szCs w:val="24"/>
                <w:highlight w:val="none"/>
              </w:rPr>
              <w:t>=10lg</w:t>
            </w:r>
            <w:r>
              <w:rPr>
                <w:rFonts w:hint="eastAsia"/>
                <w:i/>
                <w:snapToGrid w:val="0"/>
                <w:sz w:val="24"/>
                <w:szCs w:val="24"/>
                <w:highlight w:val="none"/>
              </w:rPr>
              <w:t>（</w:t>
            </w:r>
            <w:r>
              <w:rPr>
                <w:i/>
                <w:snapToGrid w:val="0"/>
                <w:sz w:val="24"/>
                <w:szCs w:val="24"/>
                <w:highlight w:val="none"/>
              </w:rPr>
              <w:t>10</w:t>
            </w:r>
            <w:r>
              <w:rPr>
                <w:i/>
                <w:snapToGrid w:val="0"/>
                <w:sz w:val="24"/>
                <w:szCs w:val="24"/>
                <w:highlight w:val="none"/>
                <w:vertAlign w:val="superscript"/>
              </w:rPr>
              <w:t>0.1Leqg</w:t>
            </w:r>
            <w:r>
              <w:rPr>
                <w:i/>
                <w:snapToGrid w:val="0"/>
                <w:sz w:val="24"/>
                <w:szCs w:val="24"/>
                <w:highlight w:val="none"/>
              </w:rPr>
              <w:t>+10</w:t>
            </w:r>
            <w:r>
              <w:rPr>
                <w:i/>
                <w:snapToGrid w:val="0"/>
                <w:sz w:val="24"/>
                <w:szCs w:val="24"/>
                <w:highlight w:val="none"/>
                <w:vertAlign w:val="superscript"/>
              </w:rPr>
              <w:t>0.1Leqb</w:t>
            </w:r>
            <w:r>
              <w:rPr>
                <w:i/>
                <w:snapToGrid w:val="0"/>
                <w:sz w:val="24"/>
                <w:szCs w:val="24"/>
                <w:highlight w:val="none"/>
              </w:rPr>
              <w:t>）</w:t>
            </w:r>
          </w:p>
          <w:p w14:paraId="5EFB6E59">
            <w:pPr>
              <w:widowControl/>
              <w:snapToGrid w:val="0"/>
              <w:spacing w:line="360" w:lineRule="auto"/>
              <w:ind w:firstLine="480" w:firstLineChars="200"/>
              <w:rPr>
                <w:snapToGrid w:val="0"/>
                <w:sz w:val="24"/>
                <w:szCs w:val="24"/>
                <w:highlight w:val="none"/>
              </w:rPr>
            </w:pPr>
            <w:r>
              <w:rPr>
                <w:snapToGrid w:val="0"/>
                <w:sz w:val="24"/>
                <w:szCs w:val="24"/>
                <w:highlight w:val="none"/>
              </w:rPr>
              <w:t>式中：</w:t>
            </w:r>
          </w:p>
          <w:p w14:paraId="03E6CBF9">
            <w:pPr>
              <w:widowControl/>
              <w:snapToGrid w:val="0"/>
              <w:spacing w:line="360" w:lineRule="auto"/>
              <w:ind w:firstLine="480" w:firstLineChars="200"/>
              <w:rPr>
                <w:snapToGrid w:val="0"/>
                <w:sz w:val="24"/>
                <w:szCs w:val="24"/>
                <w:highlight w:val="none"/>
              </w:rPr>
            </w:pPr>
            <w:r>
              <w:rPr>
                <w:i/>
                <w:snapToGrid w:val="0"/>
                <w:sz w:val="24"/>
                <w:szCs w:val="24"/>
                <w:highlight w:val="none"/>
              </w:rPr>
              <w:t>L</w:t>
            </w:r>
            <w:r>
              <w:rPr>
                <w:i/>
                <w:snapToGrid w:val="0"/>
                <w:sz w:val="24"/>
                <w:szCs w:val="24"/>
                <w:highlight w:val="none"/>
                <w:vertAlign w:val="subscript"/>
              </w:rPr>
              <w:t>eqg</w:t>
            </w:r>
            <w:r>
              <w:rPr>
                <w:snapToGrid w:val="0"/>
                <w:sz w:val="24"/>
                <w:szCs w:val="24"/>
                <w:highlight w:val="none"/>
              </w:rPr>
              <w:t>—</w:t>
            </w:r>
            <w:r>
              <w:rPr>
                <w:rFonts w:hint="eastAsia"/>
                <w:snapToGrid w:val="0"/>
                <w:sz w:val="24"/>
                <w:szCs w:val="24"/>
                <w:highlight w:val="none"/>
              </w:rPr>
              <w:t>建设项目声源在预测点产生的噪声贡献值，dB</w:t>
            </w:r>
            <w:r>
              <w:rPr>
                <w:snapToGrid w:val="0"/>
                <w:sz w:val="24"/>
                <w:szCs w:val="24"/>
                <w:highlight w:val="none"/>
              </w:rPr>
              <w:t>；</w:t>
            </w:r>
          </w:p>
          <w:p w14:paraId="6CADE8B2">
            <w:pPr>
              <w:widowControl/>
              <w:snapToGrid w:val="0"/>
              <w:spacing w:line="360" w:lineRule="auto"/>
              <w:ind w:firstLine="480" w:firstLineChars="200"/>
              <w:rPr>
                <w:snapToGrid w:val="0"/>
                <w:sz w:val="24"/>
                <w:szCs w:val="24"/>
                <w:highlight w:val="none"/>
              </w:rPr>
            </w:pPr>
            <w:r>
              <w:rPr>
                <w:i/>
                <w:snapToGrid w:val="0"/>
                <w:sz w:val="24"/>
                <w:szCs w:val="24"/>
                <w:highlight w:val="none"/>
              </w:rPr>
              <w:t>L</w:t>
            </w:r>
            <w:r>
              <w:rPr>
                <w:i/>
                <w:snapToGrid w:val="0"/>
                <w:sz w:val="24"/>
                <w:szCs w:val="24"/>
                <w:highlight w:val="none"/>
                <w:vertAlign w:val="subscript"/>
              </w:rPr>
              <w:t>eqb</w:t>
            </w:r>
            <w:r>
              <w:rPr>
                <w:snapToGrid w:val="0"/>
                <w:sz w:val="24"/>
                <w:szCs w:val="24"/>
                <w:highlight w:val="none"/>
              </w:rPr>
              <w:t>—</w:t>
            </w:r>
            <w:r>
              <w:rPr>
                <w:rFonts w:hint="eastAsia"/>
                <w:snapToGrid w:val="0"/>
                <w:sz w:val="24"/>
                <w:szCs w:val="24"/>
                <w:highlight w:val="none"/>
              </w:rPr>
              <w:t>预测点的背景噪声值，dB</w:t>
            </w:r>
            <w:r>
              <w:rPr>
                <w:snapToGrid w:val="0"/>
                <w:sz w:val="24"/>
                <w:szCs w:val="24"/>
                <w:highlight w:val="none"/>
              </w:rPr>
              <w:t>。</w:t>
            </w:r>
          </w:p>
          <w:p w14:paraId="2AED4E28">
            <w:pPr>
              <w:pStyle w:val="57"/>
              <w:ind w:left="0" w:leftChars="0" w:firstLine="480" w:firstLineChars="200"/>
              <w:rPr>
                <w:rFonts w:hint="default"/>
                <w:sz w:val="24"/>
                <w:szCs w:val="24"/>
              </w:rPr>
            </w:pPr>
            <w:r>
              <w:rPr>
                <w:rFonts w:hint="eastAsia"/>
                <w:sz w:val="24"/>
                <w:szCs w:val="24"/>
                <w:lang w:val="en-US" w:eastAsia="zh-CN"/>
              </w:rPr>
              <w:t>（6）</w:t>
            </w:r>
            <w:r>
              <w:rPr>
                <w:rFonts w:hint="default"/>
                <w:sz w:val="24"/>
                <w:szCs w:val="24"/>
              </w:rPr>
              <w:t>声源分析</w:t>
            </w:r>
          </w:p>
          <w:p w14:paraId="2FB34EB1">
            <w:pPr>
              <w:pStyle w:val="57"/>
              <w:ind w:left="0" w:leftChars="0" w:firstLine="480" w:firstLineChars="200"/>
              <w:rPr>
                <w:rFonts w:hint="default"/>
                <w:sz w:val="24"/>
                <w:szCs w:val="24"/>
              </w:rPr>
            </w:pPr>
            <w:r>
              <w:rPr>
                <w:rFonts w:hint="default"/>
                <w:sz w:val="24"/>
                <w:szCs w:val="24"/>
                <w:lang w:val="en-US" w:eastAsia="zh-CN"/>
              </w:rPr>
              <w:t>根据设计资料，</w:t>
            </w:r>
            <w:r>
              <w:rPr>
                <w:rFonts w:hint="eastAsia"/>
                <w:sz w:val="24"/>
                <w:szCs w:val="24"/>
                <w:lang w:val="en-US" w:eastAsia="zh-CN"/>
              </w:rPr>
              <w:t>金沙钼矿</w:t>
            </w:r>
            <w:r>
              <w:rPr>
                <w:rFonts w:hint="default"/>
                <w:sz w:val="24"/>
                <w:szCs w:val="24"/>
                <w:lang w:val="en-US" w:eastAsia="zh-CN"/>
              </w:rPr>
              <w:t>110kV变电站主变压器室</w:t>
            </w:r>
            <w:r>
              <w:rPr>
                <w:rFonts w:hint="eastAsia"/>
                <w:sz w:val="24"/>
                <w:szCs w:val="24"/>
                <w:lang w:val="en-US" w:eastAsia="zh-CN"/>
              </w:rPr>
              <w:t>为半敞开式户外布置，</w:t>
            </w:r>
            <w:r>
              <w:rPr>
                <w:rFonts w:hint="default"/>
                <w:sz w:val="24"/>
                <w:szCs w:val="24"/>
                <w:lang w:val="en-US" w:eastAsia="zh-CN"/>
              </w:rPr>
              <w:t>GIS室、</w:t>
            </w:r>
            <w:r>
              <w:rPr>
                <w:rFonts w:hint="eastAsia"/>
                <w:sz w:val="24"/>
                <w:szCs w:val="24"/>
                <w:lang w:val="en-US" w:eastAsia="zh-CN"/>
              </w:rPr>
              <w:t>无功补偿</w:t>
            </w:r>
            <w:r>
              <w:rPr>
                <w:rFonts w:hint="default"/>
                <w:sz w:val="24"/>
                <w:szCs w:val="24"/>
                <w:lang w:val="en-US" w:eastAsia="zh-CN"/>
              </w:rPr>
              <w:t>室等</w:t>
            </w:r>
            <w:r>
              <w:rPr>
                <w:rFonts w:hint="eastAsia"/>
                <w:sz w:val="24"/>
                <w:szCs w:val="24"/>
                <w:lang w:val="en-US" w:eastAsia="zh-CN"/>
              </w:rPr>
              <w:t>为户内布置，</w:t>
            </w:r>
            <w:r>
              <w:rPr>
                <w:rFonts w:hint="default"/>
                <w:sz w:val="24"/>
                <w:szCs w:val="24"/>
                <w:lang w:val="en-US" w:eastAsia="zh-CN"/>
              </w:rPr>
              <w:t>需采用风机散热。因此，变电站产生的噪声主要来自变电站内的主变压器、外墙风机运行时所产生。变电站的电气噪声主要是变电站</w:t>
            </w:r>
            <w:r>
              <w:rPr>
                <w:rFonts w:hint="eastAsia"/>
                <w:sz w:val="24"/>
                <w:szCs w:val="24"/>
                <w:lang w:val="en-US" w:eastAsia="zh-CN"/>
              </w:rPr>
              <w:t>电气设备</w:t>
            </w:r>
            <w:r>
              <w:rPr>
                <w:rFonts w:hint="default"/>
                <w:sz w:val="24"/>
                <w:szCs w:val="24"/>
                <w:lang w:val="en-US" w:eastAsia="zh-CN"/>
              </w:rPr>
              <w:t>（如变压器）和辅助机械设备运行产生的电气及机械噪声。根据《变电站噪声控制技术导则》（DLT 1518-2016），110kV变电站在距离主变压器1m处的声压级为63.7dB（A），单台风机噪声源强按最大值50dB(A</w:t>
            </w:r>
            <w:r>
              <w:rPr>
                <w:rFonts w:hint="eastAsia"/>
                <w:sz w:val="24"/>
                <w:szCs w:val="24"/>
                <w:lang w:val="en-US" w:eastAsia="zh-CN"/>
              </w:rPr>
              <w:t>）</w:t>
            </w:r>
            <w:r>
              <w:rPr>
                <w:rFonts w:hint="default"/>
                <w:sz w:val="24"/>
                <w:szCs w:val="24"/>
                <w:lang w:val="en-US" w:eastAsia="zh-CN"/>
              </w:rPr>
              <w:t>取值。</w:t>
            </w:r>
          </w:p>
          <w:p w14:paraId="1F41A133">
            <w:pPr>
              <w:pStyle w:val="57"/>
              <w:ind w:left="0" w:leftChars="0" w:firstLine="480" w:firstLineChars="200"/>
              <w:rPr>
                <w:rFonts w:hint="default"/>
                <w:sz w:val="24"/>
                <w:szCs w:val="24"/>
                <w:lang w:val="en-US"/>
              </w:rPr>
            </w:pPr>
            <w:r>
              <w:rPr>
                <w:rFonts w:hint="default"/>
                <w:sz w:val="24"/>
                <w:szCs w:val="24"/>
                <w:lang w:val="en-US" w:eastAsia="zh-CN"/>
              </w:rPr>
              <w:t>根据设计单位提供的资料，变电站本期共安装</w:t>
            </w:r>
            <w:r>
              <w:rPr>
                <w:rFonts w:hint="eastAsia"/>
                <w:sz w:val="24"/>
                <w:szCs w:val="24"/>
                <w:lang w:val="en-US" w:eastAsia="zh-CN"/>
              </w:rPr>
              <w:t>3</w:t>
            </w:r>
            <w:r>
              <w:rPr>
                <w:rFonts w:hint="default"/>
                <w:sz w:val="24"/>
                <w:szCs w:val="24"/>
                <w:lang w:val="en-US" w:eastAsia="zh-CN"/>
              </w:rPr>
              <w:t>台主变，共安装风机</w:t>
            </w:r>
            <w:r>
              <w:rPr>
                <w:rFonts w:hint="eastAsia"/>
                <w:sz w:val="24"/>
                <w:szCs w:val="24"/>
                <w:lang w:val="en-US" w:eastAsia="zh-CN"/>
              </w:rPr>
              <w:t>8</w:t>
            </w:r>
            <w:r>
              <w:rPr>
                <w:rFonts w:hint="default"/>
                <w:sz w:val="24"/>
                <w:szCs w:val="24"/>
                <w:lang w:val="en-US" w:eastAsia="zh-CN"/>
              </w:rPr>
              <w:t>台，其中</w:t>
            </w:r>
            <w:r>
              <w:rPr>
                <w:rFonts w:hint="eastAsia"/>
                <w:sz w:val="24"/>
                <w:szCs w:val="24"/>
                <w:lang w:val="en-US" w:eastAsia="zh-CN"/>
              </w:rPr>
              <w:t>无功补偿</w:t>
            </w:r>
            <w:r>
              <w:rPr>
                <w:rFonts w:hint="default"/>
                <w:sz w:val="24"/>
                <w:szCs w:val="24"/>
                <w:lang w:val="en-US" w:eastAsia="zh-CN"/>
              </w:rPr>
              <w:t>室</w:t>
            </w:r>
            <w:r>
              <w:rPr>
                <w:rFonts w:hint="eastAsia"/>
                <w:sz w:val="24"/>
                <w:szCs w:val="24"/>
                <w:lang w:val="en-US" w:eastAsia="zh-CN"/>
              </w:rPr>
              <w:t>外</w:t>
            </w:r>
            <w:r>
              <w:rPr>
                <w:rFonts w:hint="default"/>
                <w:sz w:val="24"/>
                <w:szCs w:val="24"/>
                <w:lang w:val="en-US" w:eastAsia="zh-CN"/>
              </w:rPr>
              <w:t>共安装</w:t>
            </w:r>
            <w:r>
              <w:rPr>
                <w:rFonts w:hint="eastAsia"/>
                <w:sz w:val="24"/>
                <w:szCs w:val="24"/>
                <w:lang w:val="en-US" w:eastAsia="zh-CN"/>
              </w:rPr>
              <w:t>4</w:t>
            </w:r>
            <w:r>
              <w:rPr>
                <w:rFonts w:hint="default"/>
                <w:sz w:val="24"/>
                <w:szCs w:val="24"/>
                <w:lang w:val="en-US" w:eastAsia="zh-CN"/>
              </w:rPr>
              <w:t>台，GIS室</w:t>
            </w:r>
            <w:r>
              <w:rPr>
                <w:rFonts w:hint="eastAsia"/>
                <w:sz w:val="24"/>
                <w:szCs w:val="24"/>
                <w:lang w:val="en-US" w:eastAsia="zh-CN"/>
              </w:rPr>
              <w:t>外</w:t>
            </w:r>
            <w:r>
              <w:rPr>
                <w:rFonts w:hint="default"/>
                <w:sz w:val="24"/>
                <w:szCs w:val="24"/>
                <w:lang w:val="en-US" w:eastAsia="zh-CN"/>
              </w:rPr>
              <w:t>安装</w:t>
            </w:r>
            <w:r>
              <w:rPr>
                <w:rFonts w:hint="eastAsia"/>
                <w:sz w:val="24"/>
                <w:szCs w:val="24"/>
                <w:lang w:val="en-US" w:eastAsia="zh-CN"/>
              </w:rPr>
              <w:t>4</w:t>
            </w:r>
            <w:r>
              <w:rPr>
                <w:rFonts w:hint="default"/>
                <w:sz w:val="24"/>
                <w:szCs w:val="24"/>
                <w:lang w:val="en-US" w:eastAsia="zh-CN"/>
              </w:rPr>
              <w:t>台。</w:t>
            </w: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项目主要风机设置情况详见下表。</w:t>
            </w:r>
          </w:p>
          <w:p w14:paraId="7A355A88">
            <w:pPr>
              <w:keepNext w:val="0"/>
              <w:keepLines w:val="0"/>
              <w:widowControl/>
              <w:suppressLineNumbers w:val="0"/>
              <w:spacing w:line="240" w:lineRule="auto"/>
              <w:ind w:left="0" w:leftChars="0" w:firstLine="0" w:firstLineChars="0"/>
              <w:jc w:val="center"/>
              <w:rPr>
                <w:rFonts w:hint="default"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pPr>
            <w:r>
              <w:rPr>
                <w:rFonts w:hint="eastAsia" w:cs="Times New Roman"/>
                <w:b/>
                <w:bCs/>
                <w:color w:val="0D0D0D" w:themeColor="text1" w:themeTint="F2"/>
                <w:kern w:val="0"/>
                <w:sz w:val="21"/>
                <w:szCs w:val="21"/>
                <w:lang w:val="en-US" w:eastAsia="zh-CN" w:bidi="ar"/>
                <w14:textFill>
                  <w14:solidFill>
                    <w14:schemeClr w14:val="tx1">
                      <w14:lumMod w14:val="95000"/>
                      <w14:lumOff w14:val="5000"/>
                    </w14:schemeClr>
                  </w14:solidFill>
                </w14:textFill>
              </w:rPr>
              <w:t>表4-10  项目主要风机设置情况一览表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3"/>
              <w:gridCol w:w="2149"/>
              <w:gridCol w:w="1764"/>
              <w:gridCol w:w="2382"/>
              <w:gridCol w:w="8"/>
            </w:tblGrid>
            <w:tr w14:paraId="79C4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83" w:type="dxa"/>
                  <w:vMerge w:val="restart"/>
                  <w:noWrap w:val="0"/>
                  <w:vAlign w:val="center"/>
                </w:tcPr>
                <w:p w14:paraId="07EDD3B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建筑物</w:t>
                  </w:r>
                </w:p>
              </w:tc>
              <w:tc>
                <w:tcPr>
                  <w:tcW w:w="2149" w:type="dxa"/>
                  <w:vMerge w:val="restart"/>
                  <w:noWrap w:val="0"/>
                  <w:vAlign w:val="center"/>
                </w:tcPr>
                <w:p w14:paraId="54F24B4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风机数量（台）</w:t>
                  </w:r>
                </w:p>
              </w:tc>
              <w:tc>
                <w:tcPr>
                  <w:tcW w:w="1764" w:type="dxa"/>
                  <w:vMerge w:val="restart"/>
                  <w:noWrap w:val="0"/>
                  <w:vAlign w:val="center"/>
                </w:tcPr>
                <w:p w14:paraId="0835667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离地高度/m</w:t>
                  </w:r>
                </w:p>
              </w:tc>
              <w:tc>
                <w:tcPr>
                  <w:tcW w:w="2390" w:type="dxa"/>
                  <w:gridSpan w:val="2"/>
                  <w:noWrap w:val="0"/>
                  <w:vAlign w:val="center"/>
                </w:tcPr>
                <w:p w14:paraId="3A51A3A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噪声源强</w:t>
                  </w:r>
                </w:p>
              </w:tc>
            </w:tr>
            <w:tr w14:paraId="37BA0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454" w:hRule="atLeast"/>
                <w:jc w:val="center"/>
              </w:trPr>
              <w:tc>
                <w:tcPr>
                  <w:tcW w:w="2683" w:type="dxa"/>
                  <w:vMerge w:val="continue"/>
                  <w:noWrap w:val="0"/>
                  <w:vAlign w:val="center"/>
                </w:tcPr>
                <w:p w14:paraId="3F821F9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2149" w:type="dxa"/>
                  <w:vMerge w:val="continue"/>
                  <w:noWrap w:val="0"/>
                  <w:vAlign w:val="center"/>
                </w:tcPr>
                <w:p w14:paraId="1F934C9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764" w:type="dxa"/>
                  <w:vMerge w:val="continue"/>
                  <w:noWrap w:val="0"/>
                  <w:vAlign w:val="center"/>
                </w:tcPr>
                <w:p w14:paraId="65A08D8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2382" w:type="dxa"/>
                  <w:noWrap w:val="0"/>
                  <w:vAlign w:val="center"/>
                </w:tcPr>
                <w:p w14:paraId="64F109C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声压级dB（A）</w:t>
                  </w:r>
                </w:p>
              </w:tc>
            </w:tr>
            <w:tr w14:paraId="6722E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454" w:hRule="atLeast"/>
                <w:jc w:val="center"/>
              </w:trPr>
              <w:tc>
                <w:tcPr>
                  <w:tcW w:w="2683" w:type="dxa"/>
                  <w:noWrap w:val="0"/>
                  <w:vAlign w:val="center"/>
                </w:tcPr>
                <w:p w14:paraId="24F3E18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GIS室</w:t>
                  </w:r>
                </w:p>
              </w:tc>
              <w:tc>
                <w:tcPr>
                  <w:tcW w:w="2149" w:type="dxa"/>
                  <w:noWrap w:val="0"/>
                  <w:vAlign w:val="center"/>
                </w:tcPr>
                <w:p w14:paraId="19B0173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w:t>
                  </w:r>
                </w:p>
              </w:tc>
              <w:tc>
                <w:tcPr>
                  <w:tcW w:w="1764" w:type="dxa"/>
                  <w:noWrap w:val="0"/>
                  <w:vAlign w:val="center"/>
                </w:tcPr>
                <w:p w14:paraId="2C09B17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1.5</w:t>
                  </w:r>
                </w:p>
              </w:tc>
              <w:tc>
                <w:tcPr>
                  <w:tcW w:w="2382" w:type="dxa"/>
                  <w:noWrap w:val="0"/>
                  <w:vAlign w:val="center"/>
                </w:tcPr>
                <w:p w14:paraId="40AABD4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r>
            <w:tr w14:paraId="4798E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454" w:hRule="atLeast"/>
                <w:jc w:val="center"/>
              </w:trPr>
              <w:tc>
                <w:tcPr>
                  <w:tcW w:w="2683" w:type="dxa"/>
                  <w:noWrap w:val="0"/>
                  <w:vAlign w:val="center"/>
                </w:tcPr>
                <w:p w14:paraId="1519CC5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无功补偿室</w:t>
                  </w:r>
                </w:p>
              </w:tc>
              <w:tc>
                <w:tcPr>
                  <w:tcW w:w="2149" w:type="dxa"/>
                  <w:noWrap w:val="0"/>
                  <w:vAlign w:val="center"/>
                </w:tcPr>
                <w:p w14:paraId="053E2F1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w:t>
                  </w:r>
                </w:p>
              </w:tc>
              <w:tc>
                <w:tcPr>
                  <w:tcW w:w="1764" w:type="dxa"/>
                  <w:noWrap w:val="0"/>
                  <w:vAlign w:val="center"/>
                </w:tcPr>
                <w:p w14:paraId="0B6F059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1.5</w:t>
                  </w:r>
                </w:p>
              </w:tc>
              <w:tc>
                <w:tcPr>
                  <w:tcW w:w="2382" w:type="dxa"/>
                  <w:noWrap w:val="0"/>
                  <w:vAlign w:val="center"/>
                </w:tcPr>
                <w:p w14:paraId="3199911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r>
          </w:tbl>
          <w:p w14:paraId="60ECD043">
            <w:pPr>
              <w:keepNext w:val="0"/>
              <w:keepLines w:val="0"/>
              <w:widowControl/>
              <w:suppressLineNumbers w:val="0"/>
              <w:spacing w:line="360" w:lineRule="auto"/>
              <w:ind w:firstLine="480" w:firstLineChars="200"/>
              <w:jc w:val="left"/>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pPr>
            <w:r>
              <w:rPr>
                <w:rFonts w:hint="eastAsia" w:cs="Times New Roman"/>
                <w:color w:val="0D0D0D" w:themeColor="text1" w:themeTint="F2"/>
                <w:kern w:val="0"/>
                <w:sz w:val="24"/>
                <w:szCs w:val="24"/>
                <w:lang w:val="en-US" w:eastAsia="zh-CN" w:bidi="ar"/>
                <w14:textFill>
                  <w14:solidFill>
                    <w14:schemeClr w14:val="tx1">
                      <w14:lumMod w14:val="95000"/>
                      <w14:lumOff w14:val="5000"/>
                    </w14:schemeClr>
                  </w14:solidFill>
                </w14:textFill>
              </w:rPr>
              <w:t>项目噪声源调查清单见表4-11，主要噪声源与各侧厂界相对位置关系见表4-12。</w:t>
            </w:r>
          </w:p>
          <w:p w14:paraId="1A36D83F">
            <w:pPr>
              <w:spacing w:line="240" w:lineRule="auto"/>
              <w:ind w:left="0" w:leftChars="0" w:firstLine="0" w:firstLineChars="0"/>
              <w:jc w:val="center"/>
              <w:rPr>
                <w:rFonts w:hint="default" w:eastAsia="宋体"/>
                <w:b/>
                <w:bCs/>
                <w:color w:val="0D0D0D" w:themeColor="text1" w:themeTint="F2"/>
                <w:lang w:val="en-US" w:eastAsia="zh-CN"/>
                <w14:textFill>
                  <w14:solidFill>
                    <w14:schemeClr w14:val="tx1">
                      <w14:lumMod w14:val="95000"/>
                      <w14:lumOff w14:val="5000"/>
                    </w14:schemeClr>
                  </w14:solidFill>
                </w14:textFill>
              </w:rPr>
            </w:pPr>
            <w:r>
              <w:rPr>
                <w:rFonts w:hint="eastAsia"/>
                <w:b/>
                <w:bCs/>
                <w:color w:val="0D0D0D" w:themeColor="text1" w:themeTint="F2"/>
                <w:lang w:val="en-US" w:eastAsia="zh-CN"/>
                <w14:textFill>
                  <w14:solidFill>
                    <w14:schemeClr w14:val="tx1">
                      <w14:lumMod w14:val="95000"/>
                      <w14:lumOff w14:val="5000"/>
                    </w14:schemeClr>
                  </w14:solidFill>
                </w14:textFill>
              </w:rPr>
              <w:t>4-11  本工程噪声源强调查清单（室外声源）</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1258"/>
              <w:gridCol w:w="1183"/>
              <w:gridCol w:w="829"/>
              <w:gridCol w:w="917"/>
              <w:gridCol w:w="764"/>
              <w:gridCol w:w="1486"/>
              <w:gridCol w:w="1008"/>
              <w:gridCol w:w="820"/>
            </w:tblGrid>
            <w:tr w14:paraId="5FDF5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Merge w:val="restart"/>
                  <w:vAlign w:val="center"/>
                </w:tcPr>
                <w:p w14:paraId="2F608C4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序号</w:t>
                  </w:r>
                </w:p>
              </w:tc>
              <w:tc>
                <w:tcPr>
                  <w:tcW w:w="2179" w:type="dxa"/>
                  <w:gridSpan w:val="2"/>
                  <w:vMerge w:val="restart"/>
                  <w:vAlign w:val="center"/>
                </w:tcPr>
                <w:p w14:paraId="5EE0672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声源名称</w:t>
                  </w:r>
                </w:p>
              </w:tc>
              <w:tc>
                <w:tcPr>
                  <w:tcW w:w="2241" w:type="dxa"/>
                  <w:gridSpan w:val="3"/>
                  <w:vAlign w:val="center"/>
                </w:tcPr>
                <w:p w14:paraId="5A0F076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噪声源中心/m</w:t>
                  </w:r>
                </w:p>
              </w:tc>
              <w:tc>
                <w:tcPr>
                  <w:tcW w:w="1327" w:type="dxa"/>
                  <w:vAlign w:val="center"/>
                </w:tcPr>
                <w:p w14:paraId="36B40AA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声源源强</w:t>
                  </w:r>
                </w:p>
              </w:tc>
              <w:tc>
                <w:tcPr>
                  <w:tcW w:w="900" w:type="dxa"/>
                  <w:vMerge w:val="restart"/>
                  <w:vAlign w:val="center"/>
                </w:tcPr>
                <w:p w14:paraId="483C8D6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声源控制措施</w:t>
                  </w:r>
                </w:p>
              </w:tc>
              <w:tc>
                <w:tcPr>
                  <w:tcW w:w="731" w:type="dxa"/>
                  <w:vMerge w:val="restart"/>
                  <w:vAlign w:val="center"/>
                </w:tcPr>
                <w:p w14:paraId="0CF4575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运行时段</w:t>
                  </w:r>
                </w:p>
              </w:tc>
            </w:tr>
            <w:tr w14:paraId="5E6DB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Merge w:val="continue"/>
                  <w:vAlign w:val="center"/>
                </w:tcPr>
                <w:p w14:paraId="70B2E54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2179" w:type="dxa"/>
                  <w:gridSpan w:val="2"/>
                  <w:vMerge w:val="continue"/>
                  <w:vAlign w:val="center"/>
                </w:tcPr>
                <w:p w14:paraId="3B6B432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740" w:type="dxa"/>
                  <w:vAlign w:val="center"/>
                </w:tcPr>
                <w:p w14:paraId="2B8BF33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X</w:t>
                  </w:r>
                </w:p>
              </w:tc>
              <w:tc>
                <w:tcPr>
                  <w:tcW w:w="819" w:type="dxa"/>
                  <w:vAlign w:val="center"/>
                </w:tcPr>
                <w:p w14:paraId="3665DCD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Y</w:t>
                  </w:r>
                </w:p>
              </w:tc>
              <w:tc>
                <w:tcPr>
                  <w:tcW w:w="682" w:type="dxa"/>
                  <w:vAlign w:val="center"/>
                </w:tcPr>
                <w:p w14:paraId="064DD74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Z</w:t>
                  </w:r>
                </w:p>
              </w:tc>
              <w:tc>
                <w:tcPr>
                  <w:tcW w:w="1327" w:type="dxa"/>
                  <w:vAlign w:val="center"/>
                </w:tcPr>
                <w:p w14:paraId="6D13628E">
                  <w:pPr>
                    <w:keepNext w:val="0"/>
                    <w:keepLines w:val="0"/>
                    <w:pageBreakBefore w:val="0"/>
                    <w:widowControl/>
                    <w:suppressLineNumbers w:val="0"/>
                    <w:kinsoku/>
                    <w:wordWrap/>
                    <w:overflowPunct/>
                    <w:topLinePunct w:val="0"/>
                    <w:autoSpaceDE/>
                    <w:autoSpaceDN/>
                    <w:bidi w:val="0"/>
                    <w:adjustRightInd w:val="0"/>
                    <w:snapToGrid/>
                    <w:spacing w:line="240" w:lineRule="auto"/>
                    <w:ind w:firstLine="0" w:firstLineChars="0"/>
                    <w:jc w:val="left"/>
                    <w:textAlignment w:val="center"/>
                    <w:rPr>
                      <w:rFonts w:hint="eastAsia" w:ascii="宋体" w:hAnsi="宋体" w:eastAsia="宋体" w:cs="宋体"/>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pPr>
                  <w:r>
                    <w:rPr>
                      <w:rFonts w:hint="eastAsia" w:ascii="宋体" w:hAnsi="宋体" w:eastAsia="宋体" w:cs="宋体"/>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（声压级</w:t>
                  </w:r>
                  <w:r>
                    <w:rPr>
                      <w:rFonts w:hint="default" w:ascii="Times New Roman" w:hAnsi="Times New Roman" w:eastAsia="宋体" w:cs="Times New Roman"/>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w:t>
                  </w:r>
                  <w:r>
                    <w:rPr>
                      <w:rFonts w:hint="eastAsia" w:ascii="宋体" w:hAnsi="宋体" w:eastAsia="宋体" w:cs="宋体"/>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距声源距离）</w:t>
                  </w:r>
                  <w:r>
                    <w:rPr>
                      <w:rFonts w:hint="default" w:ascii="Times New Roman" w:hAnsi="Times New Roman" w:eastAsia="宋体" w:cs="Times New Roman"/>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w:t>
                  </w:r>
                  <w:r>
                    <w:rPr>
                      <w:rFonts w:hint="eastAsia" w:ascii="宋体" w:hAnsi="宋体" w:eastAsia="宋体" w:cs="宋体"/>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w:t>
                  </w:r>
                  <w:r>
                    <w:rPr>
                      <w:rFonts w:hint="default" w:ascii="Times New Roman" w:hAnsi="Times New Roman" w:eastAsia="宋体" w:cs="Times New Roman"/>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dB(A)/m</w:t>
                  </w:r>
                  <w:r>
                    <w:rPr>
                      <w:rFonts w:hint="eastAsia" w:ascii="宋体" w:hAnsi="宋体" w:eastAsia="宋体" w:cs="宋体"/>
                      <w:b/>
                      <w:bCs/>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t>）</w:t>
                  </w:r>
                </w:p>
              </w:tc>
              <w:tc>
                <w:tcPr>
                  <w:tcW w:w="900" w:type="dxa"/>
                  <w:vMerge w:val="continue"/>
                  <w:vAlign w:val="center"/>
                </w:tcPr>
                <w:p w14:paraId="2D83782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5DDB039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14:textFill>
                        <w14:solidFill>
                          <w14:schemeClr w14:val="tx1">
                            <w14:lumMod w14:val="95000"/>
                            <w14:lumOff w14:val="5000"/>
                          </w14:schemeClr>
                        </w14:solidFill>
                      </w14:textFill>
                    </w:rPr>
                  </w:pPr>
                </w:p>
              </w:tc>
            </w:tr>
            <w:tr w14:paraId="1F958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208FE49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w:t>
                  </w:r>
                </w:p>
              </w:tc>
              <w:tc>
                <w:tcPr>
                  <w:tcW w:w="2179" w:type="dxa"/>
                  <w:gridSpan w:val="2"/>
                  <w:vAlign w:val="center"/>
                </w:tcPr>
                <w:p w14:paraId="52EB9A7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110kV主变压器1#</w:t>
                  </w:r>
                </w:p>
              </w:tc>
              <w:tc>
                <w:tcPr>
                  <w:tcW w:w="740" w:type="dxa"/>
                  <w:vAlign w:val="center"/>
                </w:tcPr>
                <w:p w14:paraId="499B32F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50</w:t>
                  </w:r>
                </w:p>
              </w:tc>
              <w:tc>
                <w:tcPr>
                  <w:tcW w:w="819" w:type="dxa"/>
                  <w:vAlign w:val="center"/>
                </w:tcPr>
                <w:p w14:paraId="51CFC1C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682" w:type="dxa"/>
                  <w:vAlign w:val="center"/>
                </w:tcPr>
                <w:p w14:paraId="03AE55C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1327" w:type="dxa"/>
                  <w:vAlign w:val="center"/>
                </w:tcPr>
                <w:p w14:paraId="132744A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63.7（1m）</w:t>
                  </w:r>
                </w:p>
              </w:tc>
              <w:tc>
                <w:tcPr>
                  <w:tcW w:w="900" w:type="dxa"/>
                  <w:vMerge w:val="restart"/>
                  <w:vAlign w:val="center"/>
                </w:tcPr>
                <w:p w14:paraId="0CE8086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基础减振、距离衰减</w:t>
                  </w:r>
                </w:p>
              </w:tc>
              <w:tc>
                <w:tcPr>
                  <w:tcW w:w="731" w:type="dxa"/>
                  <w:vMerge w:val="restart"/>
                  <w:vAlign w:val="center"/>
                </w:tcPr>
                <w:p w14:paraId="2373D99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24h</w:t>
                  </w:r>
                </w:p>
              </w:tc>
            </w:tr>
            <w:tr w14:paraId="53B49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2D8B07A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2179" w:type="dxa"/>
                  <w:gridSpan w:val="2"/>
                  <w:vAlign w:val="center"/>
                </w:tcPr>
                <w:p w14:paraId="37BCA01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110kV主变压器2#</w:t>
                  </w:r>
                </w:p>
              </w:tc>
              <w:tc>
                <w:tcPr>
                  <w:tcW w:w="740" w:type="dxa"/>
                  <w:vAlign w:val="center"/>
                </w:tcPr>
                <w:p w14:paraId="6B919A8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38</w:t>
                  </w:r>
                </w:p>
              </w:tc>
              <w:tc>
                <w:tcPr>
                  <w:tcW w:w="819" w:type="dxa"/>
                  <w:vAlign w:val="center"/>
                </w:tcPr>
                <w:p w14:paraId="2A4DF0C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682" w:type="dxa"/>
                  <w:vAlign w:val="center"/>
                </w:tcPr>
                <w:p w14:paraId="03B4058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1327" w:type="dxa"/>
                  <w:vAlign w:val="center"/>
                </w:tcPr>
                <w:p w14:paraId="6254CDF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63.7（1m）</w:t>
                  </w:r>
                </w:p>
              </w:tc>
              <w:tc>
                <w:tcPr>
                  <w:tcW w:w="900" w:type="dxa"/>
                  <w:vMerge w:val="continue"/>
                  <w:vAlign w:val="center"/>
                </w:tcPr>
                <w:p w14:paraId="12F2258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731" w:type="dxa"/>
                  <w:vMerge w:val="continue"/>
                  <w:vAlign w:val="center"/>
                </w:tcPr>
                <w:p w14:paraId="0661C1E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r>
            <w:tr w14:paraId="659AE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2895B30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w:t>
                  </w:r>
                </w:p>
              </w:tc>
              <w:tc>
                <w:tcPr>
                  <w:tcW w:w="2179" w:type="dxa"/>
                  <w:gridSpan w:val="2"/>
                  <w:vAlign w:val="center"/>
                </w:tcPr>
                <w:p w14:paraId="752A42E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110kV主变压器3#</w:t>
                  </w:r>
                </w:p>
              </w:tc>
              <w:tc>
                <w:tcPr>
                  <w:tcW w:w="740" w:type="dxa"/>
                  <w:vAlign w:val="center"/>
                </w:tcPr>
                <w:p w14:paraId="1A4E7A1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26</w:t>
                  </w:r>
                </w:p>
              </w:tc>
              <w:tc>
                <w:tcPr>
                  <w:tcW w:w="819" w:type="dxa"/>
                  <w:vAlign w:val="center"/>
                </w:tcPr>
                <w:p w14:paraId="2368162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682" w:type="dxa"/>
                  <w:vAlign w:val="center"/>
                </w:tcPr>
                <w:p w14:paraId="2316DD7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1327" w:type="dxa"/>
                  <w:vAlign w:val="center"/>
                </w:tcPr>
                <w:p w14:paraId="3758913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63.7（1m）</w:t>
                  </w:r>
                </w:p>
              </w:tc>
              <w:tc>
                <w:tcPr>
                  <w:tcW w:w="900" w:type="dxa"/>
                  <w:vMerge w:val="continue"/>
                  <w:vAlign w:val="center"/>
                </w:tcPr>
                <w:p w14:paraId="2C4E609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731" w:type="dxa"/>
                  <w:vMerge w:val="continue"/>
                  <w:vAlign w:val="center"/>
                </w:tcPr>
                <w:p w14:paraId="577451D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r>
            <w:tr w14:paraId="44426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0500FC6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w:t>
                  </w:r>
                </w:p>
              </w:tc>
              <w:tc>
                <w:tcPr>
                  <w:tcW w:w="1123" w:type="dxa"/>
                  <w:vMerge w:val="restart"/>
                  <w:vAlign w:val="center"/>
                </w:tcPr>
                <w:p w14:paraId="05419FA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GIS室</w:t>
                  </w:r>
                </w:p>
              </w:tc>
              <w:tc>
                <w:tcPr>
                  <w:tcW w:w="1056" w:type="dxa"/>
                  <w:vAlign w:val="center"/>
                </w:tcPr>
                <w:p w14:paraId="401B06B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1#风机</w:t>
                  </w:r>
                </w:p>
              </w:tc>
              <w:tc>
                <w:tcPr>
                  <w:tcW w:w="740" w:type="dxa"/>
                  <w:vAlign w:val="center"/>
                </w:tcPr>
                <w:p w14:paraId="2FCEC04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26</w:t>
                  </w:r>
                </w:p>
              </w:tc>
              <w:tc>
                <w:tcPr>
                  <w:tcW w:w="819" w:type="dxa"/>
                  <w:vAlign w:val="center"/>
                </w:tcPr>
                <w:p w14:paraId="73678DD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682" w:type="dxa"/>
                  <w:vAlign w:val="center"/>
                </w:tcPr>
                <w:p w14:paraId="1ADF7CA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7A31C9D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1D4E06C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025F7BD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77C8F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16D7CDA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w:t>
                  </w:r>
                </w:p>
              </w:tc>
              <w:tc>
                <w:tcPr>
                  <w:tcW w:w="1123" w:type="dxa"/>
                  <w:vMerge w:val="continue"/>
                  <w:vAlign w:val="center"/>
                </w:tcPr>
                <w:p w14:paraId="61A8E71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22F497A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2#风机</w:t>
                  </w:r>
                </w:p>
              </w:tc>
              <w:tc>
                <w:tcPr>
                  <w:tcW w:w="740" w:type="dxa"/>
                  <w:vAlign w:val="center"/>
                </w:tcPr>
                <w:p w14:paraId="00CFC39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35</w:t>
                  </w:r>
                </w:p>
              </w:tc>
              <w:tc>
                <w:tcPr>
                  <w:tcW w:w="819" w:type="dxa"/>
                  <w:vAlign w:val="center"/>
                </w:tcPr>
                <w:p w14:paraId="361378F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682" w:type="dxa"/>
                  <w:vAlign w:val="center"/>
                </w:tcPr>
                <w:p w14:paraId="646A807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653AE1D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48295EF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6C3FF03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69B7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0CC3C0C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w:t>
                  </w:r>
                </w:p>
              </w:tc>
              <w:tc>
                <w:tcPr>
                  <w:tcW w:w="1123" w:type="dxa"/>
                  <w:vMerge w:val="continue"/>
                  <w:vAlign w:val="center"/>
                </w:tcPr>
                <w:p w14:paraId="69CB234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543676F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3#风机</w:t>
                  </w:r>
                </w:p>
              </w:tc>
              <w:tc>
                <w:tcPr>
                  <w:tcW w:w="740" w:type="dxa"/>
                  <w:vAlign w:val="center"/>
                </w:tcPr>
                <w:p w14:paraId="272C9D6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44</w:t>
                  </w:r>
                </w:p>
              </w:tc>
              <w:tc>
                <w:tcPr>
                  <w:tcW w:w="819" w:type="dxa"/>
                  <w:vAlign w:val="center"/>
                </w:tcPr>
                <w:p w14:paraId="76EA025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682" w:type="dxa"/>
                  <w:vAlign w:val="center"/>
                </w:tcPr>
                <w:p w14:paraId="20D48CD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01AFB53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729C033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0753C5E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10674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413A57C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7</w:t>
                  </w:r>
                </w:p>
              </w:tc>
              <w:tc>
                <w:tcPr>
                  <w:tcW w:w="1123" w:type="dxa"/>
                  <w:vMerge w:val="continue"/>
                  <w:vAlign w:val="center"/>
                </w:tcPr>
                <w:p w14:paraId="6ACFCF0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601FF37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4#风机</w:t>
                  </w:r>
                </w:p>
              </w:tc>
              <w:tc>
                <w:tcPr>
                  <w:tcW w:w="740" w:type="dxa"/>
                  <w:vAlign w:val="center"/>
                </w:tcPr>
                <w:p w14:paraId="34EF193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53</w:t>
                  </w:r>
                </w:p>
              </w:tc>
              <w:tc>
                <w:tcPr>
                  <w:tcW w:w="819" w:type="dxa"/>
                  <w:vAlign w:val="center"/>
                </w:tcPr>
                <w:p w14:paraId="004CCB7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682" w:type="dxa"/>
                  <w:vAlign w:val="center"/>
                </w:tcPr>
                <w:p w14:paraId="6564355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638C122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09AFE66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11D6174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3833D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00A5514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w:t>
                  </w:r>
                </w:p>
              </w:tc>
              <w:tc>
                <w:tcPr>
                  <w:tcW w:w="1123" w:type="dxa"/>
                  <w:vMerge w:val="restart"/>
                  <w:vAlign w:val="center"/>
                </w:tcPr>
                <w:p w14:paraId="08843AF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无功补偿室</w:t>
                  </w:r>
                </w:p>
              </w:tc>
              <w:tc>
                <w:tcPr>
                  <w:tcW w:w="1056" w:type="dxa"/>
                  <w:vAlign w:val="center"/>
                </w:tcPr>
                <w:p w14:paraId="5D55794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5#风机</w:t>
                  </w:r>
                </w:p>
              </w:tc>
              <w:tc>
                <w:tcPr>
                  <w:tcW w:w="740" w:type="dxa"/>
                  <w:vAlign w:val="center"/>
                </w:tcPr>
                <w:p w14:paraId="0F71BE7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60</w:t>
                  </w:r>
                </w:p>
              </w:tc>
              <w:tc>
                <w:tcPr>
                  <w:tcW w:w="819" w:type="dxa"/>
                  <w:vAlign w:val="center"/>
                </w:tcPr>
                <w:p w14:paraId="27DF2AF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12</w:t>
                  </w:r>
                </w:p>
              </w:tc>
              <w:tc>
                <w:tcPr>
                  <w:tcW w:w="682" w:type="dxa"/>
                  <w:vAlign w:val="center"/>
                </w:tcPr>
                <w:p w14:paraId="230200D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3F4E819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3033940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662CC78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601B3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1BA8062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9</w:t>
                  </w:r>
                </w:p>
              </w:tc>
              <w:tc>
                <w:tcPr>
                  <w:tcW w:w="1123" w:type="dxa"/>
                  <w:vMerge w:val="continue"/>
                  <w:vAlign w:val="center"/>
                </w:tcPr>
                <w:p w14:paraId="7F19EEB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0C36D78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6#风机</w:t>
                  </w:r>
                </w:p>
              </w:tc>
              <w:tc>
                <w:tcPr>
                  <w:tcW w:w="740" w:type="dxa"/>
                  <w:vAlign w:val="center"/>
                </w:tcPr>
                <w:p w14:paraId="55842B3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w:t>
                  </w:r>
                </w:p>
              </w:tc>
              <w:tc>
                <w:tcPr>
                  <w:tcW w:w="819" w:type="dxa"/>
                  <w:vAlign w:val="center"/>
                </w:tcPr>
                <w:p w14:paraId="2120A21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12</w:t>
                  </w:r>
                </w:p>
              </w:tc>
              <w:tc>
                <w:tcPr>
                  <w:tcW w:w="682" w:type="dxa"/>
                  <w:vAlign w:val="center"/>
                </w:tcPr>
                <w:p w14:paraId="76ACF38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677720A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04635A6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7C64371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309FB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05E00EE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10</w:t>
                  </w:r>
                </w:p>
              </w:tc>
              <w:tc>
                <w:tcPr>
                  <w:tcW w:w="1123" w:type="dxa"/>
                  <w:vMerge w:val="continue"/>
                  <w:vAlign w:val="center"/>
                </w:tcPr>
                <w:p w14:paraId="001DC21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4737AA5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7#风机</w:t>
                  </w:r>
                </w:p>
              </w:tc>
              <w:tc>
                <w:tcPr>
                  <w:tcW w:w="740" w:type="dxa"/>
                  <w:vAlign w:val="center"/>
                </w:tcPr>
                <w:p w14:paraId="245EA00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60</w:t>
                  </w:r>
                </w:p>
              </w:tc>
              <w:tc>
                <w:tcPr>
                  <w:tcW w:w="819" w:type="dxa"/>
                  <w:vAlign w:val="center"/>
                </w:tcPr>
                <w:p w14:paraId="1EFAD09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24</w:t>
                  </w:r>
                </w:p>
              </w:tc>
              <w:tc>
                <w:tcPr>
                  <w:tcW w:w="682" w:type="dxa"/>
                  <w:vAlign w:val="center"/>
                </w:tcPr>
                <w:p w14:paraId="4BB7A12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766B9CE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684DD6A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793D81D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r w14:paraId="116DD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dxa"/>
                  <w:vAlign w:val="center"/>
                </w:tcPr>
                <w:p w14:paraId="572428F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w:t>
                  </w:r>
                </w:p>
              </w:tc>
              <w:tc>
                <w:tcPr>
                  <w:tcW w:w="1123" w:type="dxa"/>
                  <w:vMerge w:val="continue"/>
                  <w:vAlign w:val="center"/>
                </w:tcPr>
                <w:p w14:paraId="73BF33D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056" w:type="dxa"/>
                  <w:vAlign w:val="center"/>
                </w:tcPr>
                <w:p w14:paraId="7130DBF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8#风机</w:t>
                  </w:r>
                </w:p>
              </w:tc>
              <w:tc>
                <w:tcPr>
                  <w:tcW w:w="740" w:type="dxa"/>
                  <w:vAlign w:val="center"/>
                </w:tcPr>
                <w:p w14:paraId="28476B0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w:t>
                  </w:r>
                </w:p>
              </w:tc>
              <w:tc>
                <w:tcPr>
                  <w:tcW w:w="819" w:type="dxa"/>
                  <w:vAlign w:val="center"/>
                </w:tcPr>
                <w:p w14:paraId="36A8161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24</w:t>
                  </w:r>
                </w:p>
              </w:tc>
              <w:tc>
                <w:tcPr>
                  <w:tcW w:w="682" w:type="dxa"/>
                  <w:vAlign w:val="center"/>
                </w:tcPr>
                <w:p w14:paraId="7581A19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0.4</w:t>
                  </w:r>
                </w:p>
              </w:tc>
              <w:tc>
                <w:tcPr>
                  <w:tcW w:w="1327" w:type="dxa"/>
                  <w:vAlign w:val="center"/>
                </w:tcPr>
                <w:p w14:paraId="46F24B7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68</w:t>
                  </w:r>
                </w:p>
              </w:tc>
              <w:tc>
                <w:tcPr>
                  <w:tcW w:w="900" w:type="dxa"/>
                  <w:vMerge w:val="continue"/>
                  <w:vAlign w:val="center"/>
                </w:tcPr>
                <w:p w14:paraId="04C7D90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c>
                <w:tcPr>
                  <w:tcW w:w="731" w:type="dxa"/>
                  <w:vMerge w:val="continue"/>
                  <w:vAlign w:val="center"/>
                </w:tcPr>
                <w:p w14:paraId="017D2D1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14:textFill>
                        <w14:solidFill>
                          <w14:schemeClr w14:val="tx1">
                            <w14:lumMod w14:val="95000"/>
                            <w14:lumOff w14:val="5000"/>
                          </w14:schemeClr>
                        </w14:solidFill>
                      </w14:textFill>
                    </w:rPr>
                  </w:pPr>
                </w:p>
              </w:tc>
            </w:tr>
          </w:tbl>
          <w:p w14:paraId="31DC3E25">
            <w:pPr>
              <w:spacing w:line="240" w:lineRule="auto"/>
              <w:ind w:firstLine="0"/>
              <w:jc w:val="both"/>
              <w:rPr>
                <w:rFonts w:hint="eastAsia"/>
                <w:b w:val="0"/>
                <w:bCs w:val="0"/>
                <w:color w:val="0D0D0D" w:themeColor="text1" w:themeTint="F2"/>
                <w:sz w:val="18"/>
                <w:szCs w:val="18"/>
                <w:lang w:val="en-US" w:eastAsia="zh-CN"/>
                <w14:textFill>
                  <w14:solidFill>
                    <w14:schemeClr w14:val="tx1">
                      <w14:lumMod w14:val="95000"/>
                      <w14:lumOff w14:val="5000"/>
                    </w14:schemeClr>
                  </w14:solidFill>
                </w14:textFill>
              </w:rPr>
            </w:pPr>
            <w:r>
              <w:rPr>
                <w:rFonts w:hint="eastAsia"/>
                <w:b w:val="0"/>
                <w:bCs w:val="0"/>
                <w:color w:val="0D0D0D" w:themeColor="text1" w:themeTint="F2"/>
                <w:sz w:val="18"/>
                <w:szCs w:val="18"/>
                <w:lang w:val="en-US" w:eastAsia="zh-CN"/>
                <w14:textFill>
                  <w14:solidFill>
                    <w14:schemeClr w14:val="tx1">
                      <w14:lumMod w14:val="95000"/>
                      <w14:lumOff w14:val="5000"/>
                    </w14:schemeClr>
                  </w14:solidFill>
                </w14:textFill>
              </w:rPr>
              <w:t>注：1、空间相对位置坐标为设备中心坐标；</w:t>
            </w:r>
          </w:p>
          <w:p w14:paraId="012879BA">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firstLine="0" w:firstLineChars="0"/>
              <w:jc w:val="both"/>
              <w:textAlignment w:val="baseline"/>
              <w:rPr>
                <w:rFonts w:hint="eastAsia"/>
                <w:b w:val="0"/>
                <w:bCs w:val="0"/>
                <w:color w:val="0D0D0D" w:themeColor="text1" w:themeTint="F2"/>
                <w:sz w:val="18"/>
                <w:szCs w:val="18"/>
                <w:lang w:val="en-US" w:eastAsia="zh-CN"/>
                <w14:textFill>
                  <w14:solidFill>
                    <w14:schemeClr w14:val="tx1">
                      <w14:lumMod w14:val="95000"/>
                      <w14:lumOff w14:val="5000"/>
                    </w14:schemeClr>
                  </w14:solidFill>
                </w14:textFill>
              </w:rPr>
            </w:pPr>
            <w:r>
              <w:rPr>
                <w:rFonts w:hint="eastAsia" w:ascii="Times New Roman" w:hAnsi="Times New Roman" w:eastAsia="宋体" w:cs="Times New Roman"/>
                <w:b w:val="0"/>
                <w:bCs w:val="0"/>
                <w:color w:val="0D0D0D" w:themeColor="text1" w:themeTint="F2"/>
                <w:sz w:val="18"/>
                <w:szCs w:val="18"/>
                <w:lang w:val="en-US" w:eastAsia="zh-CN" w:bidi="ar-SA"/>
                <w14:textFill>
                  <w14:solidFill>
                    <w14:schemeClr w14:val="tx1">
                      <w14:lumMod w14:val="95000"/>
                      <w14:lumOff w14:val="5000"/>
                    </w14:schemeClr>
                  </w14:solidFill>
                </w14:textFill>
              </w:rPr>
              <w:t>2、</w:t>
            </w:r>
            <w:r>
              <w:rPr>
                <w:rFonts w:hint="eastAsia"/>
                <w:b w:val="0"/>
                <w:bCs w:val="0"/>
                <w:color w:val="0D0D0D" w:themeColor="text1" w:themeTint="F2"/>
                <w:sz w:val="18"/>
                <w:szCs w:val="18"/>
                <w:lang w:val="en-US" w:eastAsia="zh-CN"/>
                <w14:textFill>
                  <w14:solidFill>
                    <w14:schemeClr w14:val="tx1">
                      <w14:lumMod w14:val="95000"/>
                      <w14:lumOff w14:val="5000"/>
                    </w14:schemeClr>
                  </w14:solidFill>
                </w14:textFill>
              </w:rPr>
              <w:t>以变电站西南角围墙坐标为（0，0，0）作为参考系，南侧围墙与X轴平行，西侧围墙与Y轴平行；</w:t>
            </w:r>
          </w:p>
          <w:p w14:paraId="540B9AC8">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baseline"/>
              <w:rPr>
                <w:rFonts w:hint="default"/>
                <w:b/>
                <w:bCs/>
                <w:color w:val="0D0D0D" w:themeColor="text1" w:themeTint="F2"/>
                <w:lang w:val="en-US" w:eastAsia="zh-CN"/>
                <w14:textFill>
                  <w14:solidFill>
                    <w14:schemeClr w14:val="tx1">
                      <w14:lumMod w14:val="95000"/>
                      <w14:lumOff w14:val="5000"/>
                    </w14:schemeClr>
                  </w14:solidFill>
                </w14:textFill>
              </w:rPr>
            </w:pPr>
            <w:r>
              <w:rPr>
                <w:rFonts w:hint="eastAsia"/>
                <w:b/>
                <w:bCs/>
                <w:color w:val="0D0D0D" w:themeColor="text1" w:themeTint="F2"/>
                <w:lang w:val="en-US" w:eastAsia="zh-CN"/>
                <w14:textFill>
                  <w14:solidFill>
                    <w14:schemeClr w14:val="tx1">
                      <w14:lumMod w14:val="95000"/>
                      <w14:lumOff w14:val="5000"/>
                    </w14:schemeClr>
                  </w14:solidFill>
                </w14:textFill>
              </w:rPr>
              <w:t>表4-12  主要噪声源与各侧厂界相对位置关系</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1"/>
              <w:gridCol w:w="1963"/>
              <w:gridCol w:w="1329"/>
              <w:gridCol w:w="1183"/>
              <w:gridCol w:w="1295"/>
              <w:gridCol w:w="1073"/>
              <w:gridCol w:w="1182"/>
            </w:tblGrid>
            <w:tr w14:paraId="3BD34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Merge w:val="restart"/>
                  <w:vAlign w:val="center"/>
                </w:tcPr>
                <w:p w14:paraId="2E8C5B0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序号</w:t>
                  </w:r>
                </w:p>
              </w:tc>
              <w:tc>
                <w:tcPr>
                  <w:tcW w:w="3292" w:type="dxa"/>
                  <w:gridSpan w:val="2"/>
                  <w:vMerge w:val="restart"/>
                  <w:vAlign w:val="center"/>
                </w:tcPr>
                <w:p w14:paraId="6D1FD76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声源名称</w:t>
                  </w:r>
                </w:p>
              </w:tc>
              <w:tc>
                <w:tcPr>
                  <w:tcW w:w="4733" w:type="dxa"/>
                  <w:gridSpan w:val="4"/>
                  <w:vAlign w:val="center"/>
                </w:tcPr>
                <w:p w14:paraId="544623E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噪声源中心与各侧厂界最近距离（m）</w:t>
                  </w:r>
                </w:p>
              </w:tc>
            </w:tr>
            <w:tr w14:paraId="0C3E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Merge w:val="continue"/>
                  <w:vAlign w:val="center"/>
                </w:tcPr>
                <w:p w14:paraId="3421BCB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3292" w:type="dxa"/>
                  <w:gridSpan w:val="2"/>
                  <w:vMerge w:val="continue"/>
                  <w:vAlign w:val="center"/>
                </w:tcPr>
                <w:p w14:paraId="604A753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183" w:type="dxa"/>
                  <w:vAlign w:val="center"/>
                </w:tcPr>
                <w:p w14:paraId="2B3F06B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东侧</w:t>
                  </w:r>
                </w:p>
              </w:tc>
              <w:tc>
                <w:tcPr>
                  <w:tcW w:w="1295" w:type="dxa"/>
                  <w:vAlign w:val="center"/>
                </w:tcPr>
                <w:p w14:paraId="4070755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南侧</w:t>
                  </w:r>
                </w:p>
              </w:tc>
              <w:tc>
                <w:tcPr>
                  <w:tcW w:w="1073" w:type="dxa"/>
                  <w:vAlign w:val="center"/>
                </w:tcPr>
                <w:p w14:paraId="136C608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西侧</w:t>
                  </w:r>
                </w:p>
              </w:tc>
              <w:tc>
                <w:tcPr>
                  <w:tcW w:w="1182" w:type="dxa"/>
                  <w:vAlign w:val="center"/>
                </w:tcPr>
                <w:p w14:paraId="7C08A82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bCs/>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bCs/>
                      <w:color w:val="0D0D0D" w:themeColor="text1" w:themeTint="F2"/>
                      <w:sz w:val="21"/>
                      <w:szCs w:val="21"/>
                      <w:vertAlign w:val="baseline"/>
                      <w:lang w:val="en-US" w:eastAsia="zh-CN"/>
                      <w14:textFill>
                        <w14:solidFill>
                          <w14:schemeClr w14:val="tx1">
                            <w14:lumMod w14:val="95000"/>
                            <w14:lumOff w14:val="5000"/>
                          </w14:schemeClr>
                        </w14:solidFill>
                      </w14:textFill>
                    </w:rPr>
                    <w:t>北侧</w:t>
                  </w:r>
                </w:p>
              </w:tc>
            </w:tr>
            <w:tr w14:paraId="55EE9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0CE32E6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w:t>
                  </w:r>
                </w:p>
              </w:tc>
              <w:tc>
                <w:tcPr>
                  <w:tcW w:w="3292" w:type="dxa"/>
                  <w:gridSpan w:val="2"/>
                  <w:vAlign w:val="center"/>
                </w:tcPr>
                <w:p w14:paraId="64E858C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eastAsia="宋体"/>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110kV主变压器1#</w:t>
                  </w:r>
                </w:p>
              </w:tc>
              <w:tc>
                <w:tcPr>
                  <w:tcW w:w="1183" w:type="dxa"/>
                  <w:vAlign w:val="center"/>
                </w:tcPr>
                <w:p w14:paraId="69E0EB2C">
                  <w:pPr>
                    <w:keepNext w:val="0"/>
                    <w:keepLines w:val="0"/>
                    <w:widowControl/>
                    <w:suppressLineNumbers w:val="0"/>
                    <w:jc w:val="center"/>
                    <w:textAlignment w:val="center"/>
                    <w:rPr>
                      <w:rFonts w:hint="default" w:ascii="Times New Roman" w:hAnsi="Times New Roman" w:eastAsia="宋体"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35</w:t>
                  </w:r>
                </w:p>
              </w:tc>
              <w:tc>
                <w:tcPr>
                  <w:tcW w:w="1295" w:type="dxa"/>
                  <w:vAlign w:val="center"/>
                </w:tcPr>
                <w:p w14:paraId="2E846BD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1073" w:type="dxa"/>
                  <w:vAlign w:val="center"/>
                </w:tcPr>
                <w:p w14:paraId="089DB42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50</w:t>
                  </w:r>
                </w:p>
              </w:tc>
              <w:tc>
                <w:tcPr>
                  <w:tcW w:w="1182" w:type="dxa"/>
                  <w:vAlign w:val="center"/>
                </w:tcPr>
                <w:p w14:paraId="73F4E7B4">
                  <w:pPr>
                    <w:keepNext w:val="0"/>
                    <w:keepLines w:val="0"/>
                    <w:widowControl/>
                    <w:suppressLineNumbers w:val="0"/>
                    <w:jc w:val="center"/>
                    <w:textAlignment w:val="center"/>
                    <w:rPr>
                      <w:rFonts w:hint="default" w:ascii="Times New Roman" w:hAnsi="Times New Roman" w:eastAsia="宋体"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30</w:t>
                  </w:r>
                </w:p>
              </w:tc>
            </w:tr>
            <w:tr w14:paraId="26CAE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3D3C8DF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w:t>
                  </w:r>
                </w:p>
              </w:tc>
              <w:tc>
                <w:tcPr>
                  <w:tcW w:w="3292" w:type="dxa"/>
                  <w:gridSpan w:val="2"/>
                  <w:vAlign w:val="center"/>
                </w:tcPr>
                <w:p w14:paraId="0250417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110kV主变压器2#</w:t>
                  </w:r>
                </w:p>
              </w:tc>
              <w:tc>
                <w:tcPr>
                  <w:tcW w:w="1183" w:type="dxa"/>
                  <w:vAlign w:val="center"/>
                </w:tcPr>
                <w:p w14:paraId="2C94E8B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cs="Times New Roman"/>
                      <w:i w:val="0"/>
                      <w:iCs w:val="0"/>
                      <w:color w:val="000000"/>
                      <w:kern w:val="0"/>
                      <w:sz w:val="22"/>
                      <w:szCs w:val="22"/>
                      <w:u w:val="none"/>
                      <w:lang w:val="en-US" w:eastAsia="zh-CN" w:bidi="ar"/>
                    </w:rPr>
                    <w:t>47</w:t>
                  </w:r>
                </w:p>
              </w:tc>
              <w:tc>
                <w:tcPr>
                  <w:tcW w:w="1295" w:type="dxa"/>
                  <w:vAlign w:val="center"/>
                </w:tcPr>
                <w:p w14:paraId="5616B75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1073" w:type="dxa"/>
                  <w:vAlign w:val="center"/>
                </w:tcPr>
                <w:p w14:paraId="45ED994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38</w:t>
                  </w:r>
                </w:p>
              </w:tc>
              <w:tc>
                <w:tcPr>
                  <w:tcW w:w="1182" w:type="dxa"/>
                  <w:vAlign w:val="center"/>
                </w:tcPr>
                <w:p w14:paraId="6C195D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cs="Times New Roman"/>
                      <w:i w:val="0"/>
                      <w:iCs w:val="0"/>
                      <w:color w:val="000000"/>
                      <w:kern w:val="0"/>
                      <w:sz w:val="22"/>
                      <w:szCs w:val="22"/>
                      <w:u w:val="none"/>
                      <w:lang w:val="en-US" w:eastAsia="zh-CN" w:bidi="ar"/>
                    </w:rPr>
                    <w:t>30</w:t>
                  </w:r>
                </w:p>
              </w:tc>
            </w:tr>
            <w:tr w14:paraId="14704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11C4CFC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w:t>
                  </w:r>
                </w:p>
              </w:tc>
              <w:tc>
                <w:tcPr>
                  <w:tcW w:w="3292" w:type="dxa"/>
                  <w:gridSpan w:val="2"/>
                  <w:vAlign w:val="center"/>
                </w:tcPr>
                <w:p w14:paraId="3453DCE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110kV主变压器3#</w:t>
                  </w:r>
                </w:p>
              </w:tc>
              <w:tc>
                <w:tcPr>
                  <w:tcW w:w="1183" w:type="dxa"/>
                  <w:vAlign w:val="center"/>
                </w:tcPr>
                <w:p w14:paraId="529DF1D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cs="Times New Roman"/>
                      <w:i w:val="0"/>
                      <w:iCs w:val="0"/>
                      <w:color w:val="000000"/>
                      <w:kern w:val="0"/>
                      <w:sz w:val="22"/>
                      <w:szCs w:val="22"/>
                      <w:u w:val="none"/>
                      <w:lang w:val="en-US" w:eastAsia="zh-CN" w:bidi="ar"/>
                    </w:rPr>
                    <w:t>59</w:t>
                  </w:r>
                </w:p>
              </w:tc>
              <w:tc>
                <w:tcPr>
                  <w:tcW w:w="1295" w:type="dxa"/>
                  <w:vAlign w:val="center"/>
                </w:tcPr>
                <w:p w14:paraId="64B5023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18</w:t>
                  </w:r>
                </w:p>
              </w:tc>
              <w:tc>
                <w:tcPr>
                  <w:tcW w:w="1073" w:type="dxa"/>
                  <w:vAlign w:val="center"/>
                </w:tcPr>
                <w:p w14:paraId="49E051D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26</w:t>
                  </w:r>
                </w:p>
              </w:tc>
              <w:tc>
                <w:tcPr>
                  <w:tcW w:w="1182" w:type="dxa"/>
                  <w:vAlign w:val="center"/>
                </w:tcPr>
                <w:p w14:paraId="4599FE4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eastAsia" w:cs="Times New Roman"/>
                      <w:i w:val="0"/>
                      <w:iCs w:val="0"/>
                      <w:color w:val="000000"/>
                      <w:kern w:val="0"/>
                      <w:sz w:val="22"/>
                      <w:szCs w:val="22"/>
                      <w:u w:val="none"/>
                      <w:lang w:val="en-US" w:eastAsia="zh-CN" w:bidi="ar"/>
                    </w:rPr>
                    <w:t>30</w:t>
                  </w:r>
                </w:p>
              </w:tc>
            </w:tr>
            <w:tr w14:paraId="40C10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61230B6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w:t>
                  </w:r>
                </w:p>
              </w:tc>
              <w:tc>
                <w:tcPr>
                  <w:tcW w:w="1963" w:type="dxa"/>
                  <w:vMerge w:val="restart"/>
                  <w:vAlign w:val="center"/>
                </w:tcPr>
                <w:p w14:paraId="4BBE357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GIS室</w:t>
                  </w:r>
                </w:p>
              </w:tc>
              <w:tc>
                <w:tcPr>
                  <w:tcW w:w="1329" w:type="dxa"/>
                  <w:vAlign w:val="center"/>
                </w:tcPr>
                <w:p w14:paraId="4440005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1#风机</w:t>
                  </w:r>
                </w:p>
              </w:tc>
              <w:tc>
                <w:tcPr>
                  <w:tcW w:w="1183" w:type="dxa"/>
                  <w:vAlign w:val="center"/>
                </w:tcPr>
                <w:p w14:paraId="42FEB716">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59</w:t>
                  </w:r>
                </w:p>
              </w:tc>
              <w:tc>
                <w:tcPr>
                  <w:tcW w:w="1295" w:type="dxa"/>
                  <w:vAlign w:val="center"/>
                </w:tcPr>
                <w:p w14:paraId="335A06A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1073" w:type="dxa"/>
                  <w:vAlign w:val="center"/>
                </w:tcPr>
                <w:p w14:paraId="2CD437B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26</w:t>
                  </w:r>
                </w:p>
              </w:tc>
              <w:tc>
                <w:tcPr>
                  <w:tcW w:w="1182" w:type="dxa"/>
                  <w:vAlign w:val="center"/>
                </w:tcPr>
                <w:p w14:paraId="78D933AC">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14</w:t>
                  </w:r>
                </w:p>
              </w:tc>
            </w:tr>
            <w:tr w14:paraId="6D5EA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1268AEA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w:t>
                  </w:r>
                </w:p>
              </w:tc>
              <w:tc>
                <w:tcPr>
                  <w:tcW w:w="1963" w:type="dxa"/>
                  <w:vMerge w:val="continue"/>
                  <w:vAlign w:val="center"/>
                </w:tcPr>
                <w:p w14:paraId="067B563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0F03388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2#风机</w:t>
                  </w:r>
                </w:p>
              </w:tc>
              <w:tc>
                <w:tcPr>
                  <w:tcW w:w="1183" w:type="dxa"/>
                  <w:vAlign w:val="center"/>
                </w:tcPr>
                <w:p w14:paraId="074A6373">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50</w:t>
                  </w:r>
                </w:p>
              </w:tc>
              <w:tc>
                <w:tcPr>
                  <w:tcW w:w="1295" w:type="dxa"/>
                  <w:vAlign w:val="center"/>
                </w:tcPr>
                <w:p w14:paraId="27BE513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1073" w:type="dxa"/>
                  <w:vAlign w:val="center"/>
                </w:tcPr>
                <w:p w14:paraId="2D778D5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35</w:t>
                  </w:r>
                </w:p>
              </w:tc>
              <w:tc>
                <w:tcPr>
                  <w:tcW w:w="1182" w:type="dxa"/>
                  <w:vAlign w:val="center"/>
                </w:tcPr>
                <w:p w14:paraId="513FD37C">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14</w:t>
                  </w:r>
                </w:p>
              </w:tc>
            </w:tr>
            <w:tr w14:paraId="62433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4D6F2AC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w:t>
                  </w:r>
                </w:p>
              </w:tc>
              <w:tc>
                <w:tcPr>
                  <w:tcW w:w="1963" w:type="dxa"/>
                  <w:vMerge w:val="continue"/>
                  <w:vAlign w:val="center"/>
                </w:tcPr>
                <w:p w14:paraId="74B3E73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349A341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3#风机</w:t>
                  </w:r>
                </w:p>
              </w:tc>
              <w:tc>
                <w:tcPr>
                  <w:tcW w:w="1183" w:type="dxa"/>
                  <w:vAlign w:val="center"/>
                </w:tcPr>
                <w:p w14:paraId="6ABB7838">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41</w:t>
                  </w:r>
                </w:p>
              </w:tc>
              <w:tc>
                <w:tcPr>
                  <w:tcW w:w="1295" w:type="dxa"/>
                  <w:vAlign w:val="center"/>
                </w:tcPr>
                <w:p w14:paraId="106DE29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1073" w:type="dxa"/>
                  <w:vAlign w:val="center"/>
                </w:tcPr>
                <w:p w14:paraId="30BA262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44</w:t>
                  </w:r>
                </w:p>
              </w:tc>
              <w:tc>
                <w:tcPr>
                  <w:tcW w:w="1182" w:type="dxa"/>
                  <w:vAlign w:val="center"/>
                </w:tcPr>
                <w:p w14:paraId="6CBEFBE7">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14</w:t>
                  </w:r>
                </w:p>
              </w:tc>
            </w:tr>
            <w:tr w14:paraId="05B95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0254A77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7</w:t>
                  </w:r>
                </w:p>
              </w:tc>
              <w:tc>
                <w:tcPr>
                  <w:tcW w:w="1963" w:type="dxa"/>
                  <w:vMerge w:val="continue"/>
                  <w:vAlign w:val="center"/>
                </w:tcPr>
                <w:p w14:paraId="11199F1E">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7CCB6BB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4#风机</w:t>
                  </w:r>
                </w:p>
              </w:tc>
              <w:tc>
                <w:tcPr>
                  <w:tcW w:w="1183" w:type="dxa"/>
                  <w:vAlign w:val="center"/>
                </w:tcPr>
                <w:p w14:paraId="6520C5EF">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32</w:t>
                  </w:r>
                </w:p>
              </w:tc>
              <w:tc>
                <w:tcPr>
                  <w:tcW w:w="1295" w:type="dxa"/>
                  <w:vAlign w:val="center"/>
                </w:tcPr>
                <w:p w14:paraId="5D0833F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34</w:t>
                  </w:r>
                </w:p>
              </w:tc>
              <w:tc>
                <w:tcPr>
                  <w:tcW w:w="1073" w:type="dxa"/>
                  <w:vAlign w:val="center"/>
                </w:tcPr>
                <w:p w14:paraId="08F7125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53</w:t>
                  </w:r>
                </w:p>
              </w:tc>
              <w:tc>
                <w:tcPr>
                  <w:tcW w:w="1182" w:type="dxa"/>
                  <w:vAlign w:val="center"/>
                </w:tcPr>
                <w:p w14:paraId="5DCCDD39">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14</w:t>
                  </w:r>
                </w:p>
              </w:tc>
            </w:tr>
            <w:tr w14:paraId="348FA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73606BD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w:t>
                  </w:r>
                </w:p>
              </w:tc>
              <w:tc>
                <w:tcPr>
                  <w:tcW w:w="1963" w:type="dxa"/>
                  <w:vMerge w:val="restart"/>
                  <w:vAlign w:val="center"/>
                </w:tcPr>
                <w:p w14:paraId="330F4ED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无功补偿室</w:t>
                  </w:r>
                </w:p>
              </w:tc>
              <w:tc>
                <w:tcPr>
                  <w:tcW w:w="1329" w:type="dxa"/>
                  <w:vAlign w:val="center"/>
                </w:tcPr>
                <w:p w14:paraId="068FB3C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5#风机</w:t>
                  </w:r>
                </w:p>
              </w:tc>
              <w:tc>
                <w:tcPr>
                  <w:tcW w:w="1183" w:type="dxa"/>
                  <w:vAlign w:val="center"/>
                </w:tcPr>
                <w:p w14:paraId="723F984A">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25</w:t>
                  </w:r>
                </w:p>
              </w:tc>
              <w:tc>
                <w:tcPr>
                  <w:tcW w:w="1295" w:type="dxa"/>
                  <w:vAlign w:val="center"/>
                </w:tcPr>
                <w:p w14:paraId="1471EE4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12</w:t>
                  </w:r>
                </w:p>
              </w:tc>
              <w:tc>
                <w:tcPr>
                  <w:tcW w:w="1073" w:type="dxa"/>
                  <w:vAlign w:val="center"/>
                </w:tcPr>
                <w:p w14:paraId="53554FCB">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60</w:t>
                  </w:r>
                </w:p>
              </w:tc>
              <w:tc>
                <w:tcPr>
                  <w:tcW w:w="1182" w:type="dxa"/>
                  <w:vAlign w:val="center"/>
                </w:tcPr>
                <w:p w14:paraId="22C9C935">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36</w:t>
                  </w:r>
                </w:p>
              </w:tc>
            </w:tr>
            <w:tr w14:paraId="4FFCE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779DEDB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9</w:t>
                  </w:r>
                </w:p>
              </w:tc>
              <w:tc>
                <w:tcPr>
                  <w:tcW w:w="1963" w:type="dxa"/>
                  <w:vMerge w:val="continue"/>
                  <w:vAlign w:val="center"/>
                </w:tcPr>
                <w:p w14:paraId="0CCBCB7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069DC840">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6#风机</w:t>
                  </w:r>
                </w:p>
              </w:tc>
              <w:tc>
                <w:tcPr>
                  <w:tcW w:w="1183" w:type="dxa"/>
                  <w:vAlign w:val="center"/>
                </w:tcPr>
                <w:p w14:paraId="7FA5FB7A">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22</w:t>
                  </w:r>
                </w:p>
              </w:tc>
              <w:tc>
                <w:tcPr>
                  <w:tcW w:w="1295" w:type="dxa"/>
                  <w:vAlign w:val="center"/>
                </w:tcPr>
                <w:p w14:paraId="10EC9C3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12</w:t>
                  </w:r>
                </w:p>
              </w:tc>
              <w:tc>
                <w:tcPr>
                  <w:tcW w:w="1073" w:type="dxa"/>
                  <w:vAlign w:val="center"/>
                </w:tcPr>
                <w:p w14:paraId="00062A51">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w:t>
                  </w:r>
                </w:p>
              </w:tc>
              <w:tc>
                <w:tcPr>
                  <w:tcW w:w="1182" w:type="dxa"/>
                  <w:vAlign w:val="center"/>
                </w:tcPr>
                <w:p w14:paraId="635568B8">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36</w:t>
                  </w:r>
                </w:p>
              </w:tc>
            </w:tr>
            <w:tr w14:paraId="20B56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34960E22">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10</w:t>
                  </w:r>
                </w:p>
              </w:tc>
              <w:tc>
                <w:tcPr>
                  <w:tcW w:w="1963" w:type="dxa"/>
                  <w:vMerge w:val="continue"/>
                  <w:vAlign w:val="center"/>
                </w:tcPr>
                <w:p w14:paraId="3DC2BE2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4C86D19F">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7#风机</w:t>
                  </w:r>
                </w:p>
              </w:tc>
              <w:tc>
                <w:tcPr>
                  <w:tcW w:w="1183" w:type="dxa"/>
                  <w:vAlign w:val="center"/>
                </w:tcPr>
                <w:p w14:paraId="74863764">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25</w:t>
                  </w:r>
                </w:p>
              </w:tc>
              <w:tc>
                <w:tcPr>
                  <w:tcW w:w="1295" w:type="dxa"/>
                  <w:vAlign w:val="center"/>
                </w:tcPr>
                <w:p w14:paraId="64FAD5C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24</w:t>
                  </w:r>
                </w:p>
              </w:tc>
              <w:tc>
                <w:tcPr>
                  <w:tcW w:w="1073" w:type="dxa"/>
                  <w:vAlign w:val="center"/>
                </w:tcPr>
                <w:p w14:paraId="43B536D5">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60</w:t>
                  </w:r>
                </w:p>
              </w:tc>
              <w:tc>
                <w:tcPr>
                  <w:tcW w:w="1182" w:type="dxa"/>
                  <w:vAlign w:val="center"/>
                </w:tcPr>
                <w:p w14:paraId="4B1529F1">
                  <w:pPr>
                    <w:keepNext w:val="0"/>
                    <w:keepLines w:val="0"/>
                    <w:widowControl/>
                    <w:suppressLineNumbers w:val="0"/>
                    <w:jc w:val="center"/>
                    <w:textAlignment w:val="center"/>
                    <w:rPr>
                      <w:rFonts w:hint="default" w:ascii="Times New Roman" w:hAnsi="Times New Roman"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24</w:t>
                  </w:r>
                </w:p>
              </w:tc>
            </w:tr>
            <w:tr w14:paraId="50B6F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1" w:type="dxa"/>
                  <w:vAlign w:val="center"/>
                </w:tcPr>
                <w:p w14:paraId="5FE3F868">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11</w:t>
                  </w:r>
                </w:p>
              </w:tc>
              <w:tc>
                <w:tcPr>
                  <w:tcW w:w="1963" w:type="dxa"/>
                  <w:vMerge w:val="continue"/>
                  <w:vAlign w:val="center"/>
                </w:tcPr>
                <w:p w14:paraId="6E41FD8A">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p>
              </w:tc>
              <w:tc>
                <w:tcPr>
                  <w:tcW w:w="1329" w:type="dxa"/>
                  <w:vAlign w:val="center"/>
                </w:tcPr>
                <w:p w14:paraId="5A041D57">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pPr>
                  <w:r>
                    <w:rPr>
                      <w:rFonts w:hint="eastAsia"/>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8#风机</w:t>
                  </w:r>
                </w:p>
              </w:tc>
              <w:tc>
                <w:tcPr>
                  <w:tcW w:w="1183" w:type="dxa"/>
                  <w:vAlign w:val="center"/>
                </w:tcPr>
                <w:p w14:paraId="415D1634">
                  <w:pPr>
                    <w:keepNext w:val="0"/>
                    <w:keepLines w:val="0"/>
                    <w:widowControl/>
                    <w:suppressLineNumbers w:val="0"/>
                    <w:jc w:val="center"/>
                    <w:textAlignment w:val="cente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22</w:t>
                  </w:r>
                </w:p>
              </w:tc>
              <w:tc>
                <w:tcPr>
                  <w:tcW w:w="1295" w:type="dxa"/>
                  <w:vAlign w:val="center"/>
                </w:tcPr>
                <w:p w14:paraId="50D193E3">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24</w:t>
                  </w:r>
                </w:p>
              </w:tc>
              <w:tc>
                <w:tcPr>
                  <w:tcW w:w="1073" w:type="dxa"/>
                  <w:vAlign w:val="center"/>
                </w:tcPr>
                <w:p w14:paraId="7FD69BC6">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pPr>
                  <w:r>
                    <w:rPr>
                      <w:rFonts w:hint="eastAsia" w:cs="Times New Roman"/>
                      <w:b w:val="0"/>
                      <w:bCs w:val="0"/>
                      <w:color w:val="0D0D0D" w:themeColor="text1" w:themeTint="F2"/>
                      <w:sz w:val="21"/>
                      <w:szCs w:val="21"/>
                      <w:vertAlign w:val="baseline"/>
                      <w:lang w:val="en-US" w:eastAsia="zh-CN"/>
                      <w14:textFill>
                        <w14:solidFill>
                          <w14:schemeClr w14:val="tx1">
                            <w14:lumMod w14:val="95000"/>
                            <w14:lumOff w14:val="5000"/>
                          </w14:schemeClr>
                        </w14:solidFill>
                      </w14:textFill>
                    </w:rPr>
                    <w:t>63</w:t>
                  </w:r>
                </w:p>
              </w:tc>
              <w:tc>
                <w:tcPr>
                  <w:tcW w:w="1182" w:type="dxa"/>
                  <w:vAlign w:val="center"/>
                </w:tcPr>
                <w:p w14:paraId="3D85D782">
                  <w:pPr>
                    <w:keepNext w:val="0"/>
                    <w:keepLines w:val="0"/>
                    <w:widowControl/>
                    <w:suppressLineNumbers w:val="0"/>
                    <w:jc w:val="center"/>
                    <w:textAlignment w:val="center"/>
                    <w:rPr>
                      <w:rFonts w:hint="default" w:ascii="Times New Roman" w:hAnsi="Times New Roman" w:eastAsia="宋体" w:cs="Times New Roman"/>
                      <w:i w:val="0"/>
                      <w:iCs w:val="0"/>
                      <w:color w:val="0D0D0D" w:themeColor="text1" w:themeTint="F2"/>
                      <w:kern w:val="0"/>
                      <w:sz w:val="21"/>
                      <w:szCs w:val="21"/>
                      <w:u w:val="none"/>
                      <w:lang w:val="en-US" w:eastAsia="zh-CN" w:bidi="ar"/>
                      <w14:textFill>
                        <w14:solidFill>
                          <w14:schemeClr w14:val="tx1">
                            <w14:lumMod w14:val="95000"/>
                            <w14:lumOff w14:val="5000"/>
                          </w14:schemeClr>
                        </w14:solidFill>
                      </w14:textFill>
                    </w:rPr>
                  </w:pPr>
                  <w:r>
                    <w:rPr>
                      <w:rFonts w:hint="eastAsia" w:cs="Times New Roman"/>
                      <w:i w:val="0"/>
                      <w:iCs w:val="0"/>
                      <w:color w:val="000000"/>
                      <w:kern w:val="0"/>
                      <w:sz w:val="22"/>
                      <w:szCs w:val="22"/>
                      <w:u w:val="none"/>
                      <w:lang w:val="en-US" w:eastAsia="zh-CN" w:bidi="ar"/>
                    </w:rPr>
                    <w:t>24</w:t>
                  </w:r>
                </w:p>
              </w:tc>
            </w:tr>
          </w:tbl>
          <w:p w14:paraId="774A2D7A">
            <w:pPr>
              <w:pStyle w:val="57"/>
              <w:ind w:left="0" w:leftChars="0" w:firstLine="0" w:firstLineChars="0"/>
              <w:jc w:val="center"/>
              <w:rPr>
                <w:rFonts w:hint="default"/>
                <w:sz w:val="24"/>
                <w:szCs w:val="24"/>
              </w:rPr>
            </w:pPr>
          </w:p>
          <w:p w14:paraId="551D205E">
            <w:pPr>
              <w:pStyle w:val="57"/>
              <w:ind w:left="0" w:leftChars="0" w:firstLine="0" w:firstLineChars="0"/>
              <w:jc w:val="center"/>
              <w:rPr>
                <w:rFonts w:hint="default"/>
                <w:sz w:val="24"/>
                <w:szCs w:val="24"/>
              </w:rPr>
            </w:pPr>
            <w:r>
              <w:rPr>
                <w:rFonts w:hint="default"/>
                <w:sz w:val="24"/>
                <w:szCs w:val="24"/>
              </w:rPr>
              <w:object>
                <v:shape id="_x0000_i1056" o:spt="75" type="#_x0000_t75" style="height:249.1pt;width:449.35pt;" o:ole="t" filled="f" o:preferrelative="t" stroked="f" coordsize="21600,21600">
                  <v:path/>
                  <v:fill on="f" focussize="0,0"/>
                  <v:stroke on="f"/>
                  <v:imagedata r:id="rId92" o:title=""/>
                  <o:lock v:ext="edit" aspectratio="f"/>
                  <w10:wrap type="none"/>
                  <w10:anchorlock/>
                </v:shape>
                <o:OLEObject Type="Embed" ProgID="Visio.Drawing.15" ShapeID="_x0000_i1056" DrawAspect="Content" ObjectID="_1468075756" r:id="rId91">
                  <o:LockedField>false</o:LockedField>
                </o:OLEObject>
              </w:object>
            </w:r>
          </w:p>
          <w:p w14:paraId="0E2DD5CC">
            <w:pPr>
              <w:pStyle w:val="57"/>
              <w:spacing w:line="240" w:lineRule="auto"/>
              <w:ind w:left="0" w:leftChars="0" w:firstLine="0" w:firstLineChars="0"/>
              <w:jc w:val="center"/>
              <w:rPr>
                <w:rFonts w:hint="default" w:eastAsia="宋体"/>
                <w:color w:val="0000FF"/>
                <w:sz w:val="21"/>
                <w:szCs w:val="21"/>
                <w:lang w:val="en-US" w:eastAsia="zh-CN"/>
              </w:rPr>
            </w:pPr>
            <w:r>
              <w:rPr>
                <w:rFonts w:hint="eastAsia" w:ascii="Times New Roman" w:hAnsi="Times New Roman" w:eastAsia="宋体" w:cs="Times New Roman"/>
                <w:b/>
                <w:bCs/>
                <w:snapToGrid w:val="0"/>
                <w:color w:val="000000"/>
                <w:spacing w:val="-2"/>
                <w:kern w:val="0"/>
                <w:sz w:val="21"/>
                <w:szCs w:val="21"/>
                <w:lang w:val="en-US" w:eastAsia="zh-CN" w:bidi="ar-SA"/>
              </w:rPr>
              <w:t>图4-1  噪声源位置</w:t>
            </w:r>
            <w:r>
              <w:rPr>
                <w:rFonts w:hint="eastAsia" w:cs="Times New Roman"/>
                <w:b/>
                <w:bCs/>
                <w:snapToGrid w:val="0"/>
                <w:color w:val="000000"/>
                <w:spacing w:val="-2"/>
                <w:kern w:val="0"/>
                <w:sz w:val="21"/>
                <w:szCs w:val="21"/>
                <w:lang w:val="en-US" w:eastAsia="zh-CN" w:bidi="ar-SA"/>
              </w:rPr>
              <w:t>及预测点位</w:t>
            </w:r>
            <w:r>
              <w:rPr>
                <w:rFonts w:hint="eastAsia" w:ascii="Times New Roman" w:hAnsi="Times New Roman" w:eastAsia="宋体" w:cs="Times New Roman"/>
                <w:b/>
                <w:bCs/>
                <w:snapToGrid w:val="0"/>
                <w:color w:val="000000"/>
                <w:spacing w:val="-2"/>
                <w:kern w:val="0"/>
                <w:sz w:val="21"/>
                <w:szCs w:val="21"/>
                <w:lang w:val="en-US" w:eastAsia="zh-CN" w:bidi="ar-SA"/>
              </w:rPr>
              <w:t>示意图</w:t>
            </w:r>
          </w:p>
          <w:p w14:paraId="499C248C">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预测结果</w:t>
            </w:r>
          </w:p>
          <w:p w14:paraId="545D800A">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w:t>
            </w:r>
            <w:r>
              <w:rPr>
                <w:rFonts w:hint="eastAsia" w:cs="Times New Roman"/>
                <w:sz w:val="24"/>
                <w:szCs w:val="24"/>
                <w:lang w:val="en-US" w:eastAsia="zh-CN"/>
              </w:rPr>
              <w:t>变电站</w:t>
            </w:r>
            <w:r>
              <w:rPr>
                <w:rFonts w:hint="default" w:ascii="Times New Roman" w:hAnsi="Times New Roman" w:eastAsia="宋体" w:cs="Times New Roman"/>
                <w:sz w:val="24"/>
                <w:szCs w:val="24"/>
              </w:rPr>
              <w:t>总平面布置图，结合上述预测模型及计算参数，预测</w:t>
            </w:r>
            <w:r>
              <w:rPr>
                <w:rFonts w:hint="eastAsia" w:ascii="Times New Roman" w:hAnsi="Times New Roman" w:eastAsia="宋体" w:cs="Times New Roman"/>
                <w:sz w:val="24"/>
                <w:szCs w:val="24"/>
                <w:lang w:eastAsia="zh-CN"/>
              </w:rPr>
              <w:t>运营期</w:t>
            </w:r>
            <w:r>
              <w:rPr>
                <w:rFonts w:hint="default" w:ascii="Times New Roman" w:hAnsi="Times New Roman" w:eastAsia="宋体" w:cs="Times New Roman"/>
                <w:sz w:val="24"/>
                <w:szCs w:val="24"/>
              </w:rPr>
              <w:t>厂界外1m处噪声</w:t>
            </w:r>
            <w:r>
              <w:rPr>
                <w:rFonts w:hint="eastAsia" w:ascii="Times New Roman" w:hAnsi="Times New Roman" w:eastAsia="宋体" w:cs="Times New Roman"/>
                <w:sz w:val="24"/>
                <w:szCs w:val="24"/>
                <w:lang w:eastAsia="zh-CN"/>
              </w:rPr>
              <w:t>贡献值</w:t>
            </w:r>
            <w:r>
              <w:rPr>
                <w:rFonts w:hint="default" w:ascii="Times New Roman" w:hAnsi="Times New Roman" w:eastAsia="宋体" w:cs="Times New Roman"/>
                <w:sz w:val="24"/>
                <w:szCs w:val="24"/>
              </w:rPr>
              <w:t>，本工程建设后厂界环境噪声预测结果详见表4-</w:t>
            </w:r>
            <w:r>
              <w:rPr>
                <w:rFonts w:hint="eastAsia" w:cs="Times New Roman"/>
                <w:sz w:val="24"/>
                <w:szCs w:val="24"/>
                <w:lang w:val="en-US" w:eastAsia="zh-CN"/>
              </w:rPr>
              <w:t>14</w:t>
            </w:r>
            <w:r>
              <w:rPr>
                <w:rFonts w:hint="default" w:ascii="Times New Roman" w:hAnsi="Times New Roman" w:eastAsia="宋体" w:cs="Times New Roman"/>
                <w:sz w:val="24"/>
                <w:szCs w:val="24"/>
              </w:rPr>
              <w:t>。</w:t>
            </w:r>
          </w:p>
          <w:p w14:paraId="5C72C7C5">
            <w:pPr>
              <w:widowControl/>
              <w:kinsoku/>
              <w:autoSpaceDE w:val="0"/>
              <w:autoSpaceDN w:val="0"/>
              <w:adjustRightInd w:val="0"/>
              <w:snapToGrid w:val="0"/>
              <w:spacing w:before="27" w:line="212" w:lineRule="auto"/>
              <w:jc w:val="center"/>
              <w:textAlignment w:val="baseline"/>
              <w:rPr>
                <w:rFonts w:hint="default" w:ascii="Times New Roman" w:hAnsi="Times New Roman" w:eastAsia="宋体" w:cs="Times New Roman"/>
                <w:b/>
                <w:bCs/>
                <w:snapToGrid w:val="0"/>
                <w:color w:val="000000"/>
                <w:kern w:val="0"/>
                <w:sz w:val="21"/>
                <w:szCs w:val="21"/>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13</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项目各预测点位坐标一览表</w:t>
            </w:r>
          </w:p>
          <w:tbl>
            <w:tblPr>
              <w:tblStyle w:val="209"/>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6"/>
              <w:gridCol w:w="1018"/>
              <w:gridCol w:w="3324"/>
              <w:gridCol w:w="3271"/>
            </w:tblGrid>
            <w:tr w14:paraId="2445C5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Align w:val="center"/>
                </w:tcPr>
                <w:p w14:paraId="4F1DF76E">
                  <w:pPr>
                    <w:widowControl/>
                    <w:kinsoku/>
                    <w:autoSpaceDE w:val="0"/>
                    <w:autoSpaceDN w:val="0"/>
                    <w:adjustRightInd w:val="0"/>
                    <w:snapToGrid w:val="0"/>
                    <w:spacing w:before="62" w:line="221" w:lineRule="auto"/>
                    <w:jc w:val="center"/>
                    <w:textAlignment w:val="baseline"/>
                    <w:rPr>
                      <w:rFonts w:hint="eastAsia" w:ascii="宋体" w:hAnsi="宋体" w:eastAsia="宋体" w:cs="宋体"/>
                      <w:b/>
                      <w:bCs/>
                      <w:snapToGrid w:val="0"/>
                      <w:color w:val="000000"/>
                      <w:spacing w:val="-2"/>
                      <w:kern w:val="0"/>
                      <w:sz w:val="21"/>
                      <w:szCs w:val="21"/>
                      <w:lang w:eastAsia="zh-CN"/>
                    </w:rPr>
                  </w:pPr>
                  <w:r>
                    <w:rPr>
                      <w:rFonts w:hint="eastAsia" w:ascii="宋体" w:hAnsi="宋体" w:eastAsia="宋体" w:cs="宋体"/>
                      <w:b/>
                      <w:bCs/>
                      <w:snapToGrid w:val="0"/>
                      <w:color w:val="000000"/>
                      <w:spacing w:val="-2"/>
                      <w:kern w:val="0"/>
                      <w:sz w:val="21"/>
                      <w:szCs w:val="21"/>
                      <w:lang w:eastAsia="zh-CN"/>
                    </w:rPr>
                    <w:t>区域名称</w:t>
                  </w:r>
                </w:p>
              </w:tc>
              <w:tc>
                <w:tcPr>
                  <w:tcW w:w="566" w:type="pct"/>
                  <w:vAlign w:val="center"/>
                </w:tcPr>
                <w:p w14:paraId="57027C5A">
                  <w:pPr>
                    <w:widowControl/>
                    <w:kinsoku/>
                    <w:autoSpaceDE w:val="0"/>
                    <w:autoSpaceDN w:val="0"/>
                    <w:adjustRightInd w:val="0"/>
                    <w:snapToGrid w:val="0"/>
                    <w:spacing w:before="62" w:line="221" w:lineRule="auto"/>
                    <w:jc w:val="center"/>
                    <w:textAlignment w:val="baseline"/>
                    <w:rPr>
                      <w:rFonts w:ascii="宋体" w:hAnsi="宋体" w:eastAsia="宋体" w:cs="宋体"/>
                      <w:b/>
                      <w:bCs/>
                      <w:snapToGrid w:val="0"/>
                      <w:color w:val="000000"/>
                      <w:kern w:val="0"/>
                      <w:sz w:val="21"/>
                      <w:szCs w:val="21"/>
                    </w:rPr>
                  </w:pPr>
                  <w:r>
                    <w:rPr>
                      <w:rFonts w:ascii="宋体" w:hAnsi="宋体" w:eastAsia="宋体" w:cs="宋体"/>
                      <w:b/>
                      <w:bCs/>
                      <w:snapToGrid w:val="0"/>
                      <w:color w:val="000000"/>
                      <w:spacing w:val="-2"/>
                      <w:kern w:val="0"/>
                      <w:sz w:val="21"/>
                      <w:szCs w:val="21"/>
                    </w:rPr>
                    <w:t>编号</w:t>
                  </w:r>
                </w:p>
              </w:tc>
              <w:tc>
                <w:tcPr>
                  <w:tcW w:w="1849" w:type="pct"/>
                  <w:vAlign w:val="center"/>
                </w:tcPr>
                <w:p w14:paraId="264031AA">
                  <w:pPr>
                    <w:widowControl/>
                    <w:kinsoku/>
                    <w:autoSpaceDE w:val="0"/>
                    <w:autoSpaceDN w:val="0"/>
                    <w:adjustRightInd w:val="0"/>
                    <w:snapToGrid w:val="0"/>
                    <w:spacing w:before="63" w:line="221" w:lineRule="auto"/>
                    <w:jc w:val="center"/>
                    <w:textAlignment w:val="baseline"/>
                    <w:rPr>
                      <w:rFonts w:hint="eastAsia" w:ascii="宋体" w:hAnsi="宋体" w:eastAsia="宋体" w:cs="宋体"/>
                      <w:b/>
                      <w:bCs/>
                      <w:snapToGrid w:val="0"/>
                      <w:color w:val="000000"/>
                      <w:kern w:val="0"/>
                      <w:sz w:val="21"/>
                      <w:szCs w:val="21"/>
                      <w:lang w:val="en-US" w:eastAsia="zh-CN"/>
                    </w:rPr>
                  </w:pPr>
                  <w:r>
                    <w:rPr>
                      <w:rFonts w:hint="eastAsia" w:ascii="宋体" w:hAnsi="宋体" w:cs="宋体"/>
                      <w:b/>
                      <w:bCs/>
                      <w:snapToGrid w:val="0"/>
                      <w:color w:val="000000"/>
                      <w:spacing w:val="-1"/>
                      <w:kern w:val="0"/>
                      <w:sz w:val="21"/>
                      <w:szCs w:val="21"/>
                      <w:lang w:val="en-US" w:eastAsia="zh-CN"/>
                    </w:rPr>
                    <w:t>位置</w:t>
                  </w:r>
                </w:p>
              </w:tc>
              <w:tc>
                <w:tcPr>
                  <w:tcW w:w="1819" w:type="pct"/>
                  <w:vAlign w:val="center"/>
                </w:tcPr>
                <w:p w14:paraId="5F913EB9">
                  <w:pPr>
                    <w:widowControl/>
                    <w:kinsoku/>
                    <w:autoSpaceDE w:val="0"/>
                    <w:autoSpaceDN w:val="0"/>
                    <w:adjustRightInd w:val="0"/>
                    <w:snapToGrid w:val="0"/>
                    <w:spacing w:before="62" w:line="221" w:lineRule="auto"/>
                    <w:jc w:val="center"/>
                    <w:textAlignment w:val="baseline"/>
                    <w:rPr>
                      <w:rFonts w:ascii="宋体" w:hAnsi="宋体" w:eastAsia="宋体" w:cs="宋体"/>
                      <w:b/>
                      <w:bCs/>
                      <w:snapToGrid w:val="0"/>
                      <w:color w:val="000000"/>
                      <w:kern w:val="0"/>
                      <w:sz w:val="21"/>
                      <w:szCs w:val="21"/>
                    </w:rPr>
                  </w:pPr>
                  <w:r>
                    <w:rPr>
                      <w:rFonts w:ascii="宋体" w:hAnsi="宋体" w:eastAsia="宋体" w:cs="宋体"/>
                      <w:b/>
                      <w:bCs/>
                      <w:snapToGrid w:val="0"/>
                      <w:color w:val="000000"/>
                      <w:spacing w:val="5"/>
                      <w:kern w:val="0"/>
                      <w:sz w:val="21"/>
                      <w:szCs w:val="21"/>
                    </w:rPr>
                    <w:t>预测点坐标</w:t>
                  </w:r>
                  <w:r>
                    <w:rPr>
                      <w:rFonts w:hint="eastAsia" w:ascii="宋体" w:hAnsi="宋体" w:cs="宋体"/>
                      <w:b/>
                      <w:bCs/>
                      <w:snapToGrid w:val="0"/>
                      <w:color w:val="000000"/>
                      <w:spacing w:val="5"/>
                      <w:kern w:val="0"/>
                      <w:sz w:val="21"/>
                      <w:szCs w:val="21"/>
                      <w:lang w:eastAsia="zh-CN"/>
                    </w:rPr>
                    <w:t>（</w:t>
                  </w:r>
                  <w:r>
                    <w:rPr>
                      <w:rFonts w:ascii="Times New Roman" w:hAnsi="Times New Roman" w:eastAsia="Times New Roman" w:cs="Times New Roman"/>
                      <w:b/>
                      <w:bCs/>
                      <w:snapToGrid w:val="0"/>
                      <w:color w:val="000000"/>
                      <w:kern w:val="0"/>
                      <w:sz w:val="21"/>
                      <w:szCs w:val="21"/>
                    </w:rPr>
                    <w:t>X</w:t>
                  </w:r>
                  <w:r>
                    <w:rPr>
                      <w:rFonts w:ascii="宋体" w:hAnsi="宋体" w:eastAsia="宋体" w:cs="宋体"/>
                      <w:b/>
                      <w:bCs/>
                      <w:snapToGrid w:val="0"/>
                      <w:color w:val="000000"/>
                      <w:spacing w:val="5"/>
                      <w:kern w:val="0"/>
                      <w:sz w:val="21"/>
                      <w:szCs w:val="21"/>
                    </w:rPr>
                    <w:t>，</w:t>
                  </w:r>
                  <w:r>
                    <w:rPr>
                      <w:rFonts w:ascii="Times New Roman" w:hAnsi="Times New Roman" w:eastAsia="Times New Roman" w:cs="Times New Roman"/>
                      <w:b/>
                      <w:bCs/>
                      <w:snapToGrid w:val="0"/>
                      <w:color w:val="000000"/>
                      <w:kern w:val="0"/>
                      <w:sz w:val="21"/>
                      <w:szCs w:val="21"/>
                    </w:rPr>
                    <w:t>Y</w:t>
                  </w:r>
                  <w:r>
                    <w:rPr>
                      <w:rFonts w:hint="eastAsia" w:eastAsia="宋体" w:cs="Times New Roman"/>
                      <w:b/>
                      <w:bCs/>
                      <w:snapToGrid w:val="0"/>
                      <w:color w:val="000000"/>
                      <w:kern w:val="0"/>
                      <w:sz w:val="21"/>
                      <w:szCs w:val="21"/>
                      <w:lang w:val="en-US" w:eastAsia="zh-CN"/>
                    </w:rPr>
                    <w:t>，Z</w:t>
                  </w:r>
                  <w:r>
                    <w:rPr>
                      <w:rFonts w:hint="eastAsia" w:cs="Times New Roman"/>
                      <w:b/>
                      <w:bCs/>
                      <w:snapToGrid w:val="0"/>
                      <w:color w:val="000000"/>
                      <w:kern w:val="0"/>
                      <w:sz w:val="21"/>
                      <w:szCs w:val="21"/>
                      <w:lang w:val="en-US" w:eastAsia="zh-CN"/>
                    </w:rPr>
                    <w:t>）</w:t>
                  </w:r>
                </w:p>
              </w:tc>
            </w:tr>
            <w:tr w14:paraId="4E2A18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restart"/>
                  <w:vAlign w:val="center"/>
                </w:tcPr>
                <w:p w14:paraId="01BA33AA">
                  <w:pPr>
                    <w:widowControl/>
                    <w:kinsoku/>
                    <w:autoSpaceDE w:val="0"/>
                    <w:autoSpaceDN w:val="0"/>
                    <w:adjustRightInd w:val="0"/>
                    <w:snapToGrid w:val="0"/>
                    <w:spacing w:before="98" w:line="187" w:lineRule="auto"/>
                    <w:jc w:val="center"/>
                    <w:textAlignment w:val="baseline"/>
                    <w:rPr>
                      <w:rFonts w:hint="eastAsia" w:ascii="Times New Roman" w:hAnsi="Times New Roman" w:eastAsia="宋体" w:cs="Times New Roman"/>
                      <w:snapToGrid w:val="0"/>
                      <w:color w:val="000000"/>
                      <w:kern w:val="0"/>
                      <w:sz w:val="21"/>
                      <w:szCs w:val="21"/>
                      <w:lang w:eastAsia="zh-CN"/>
                    </w:rPr>
                  </w:pPr>
                  <w:r>
                    <w:rPr>
                      <w:rFonts w:hint="eastAsia" w:ascii="Times New Roman" w:hAnsi="Times New Roman" w:eastAsia="宋体" w:cs="Times New Roman"/>
                      <w:snapToGrid w:val="0"/>
                      <w:color w:val="000000"/>
                      <w:kern w:val="0"/>
                      <w:sz w:val="21"/>
                      <w:szCs w:val="21"/>
                      <w:lang w:eastAsia="zh-CN"/>
                    </w:rPr>
                    <w:t>厂界</w:t>
                  </w:r>
                </w:p>
              </w:tc>
              <w:tc>
                <w:tcPr>
                  <w:tcW w:w="566" w:type="pct"/>
                  <w:vAlign w:val="center"/>
                </w:tcPr>
                <w:p w14:paraId="39BB95F0">
                  <w:pPr>
                    <w:widowControl/>
                    <w:kinsoku/>
                    <w:autoSpaceDE w:val="0"/>
                    <w:autoSpaceDN w:val="0"/>
                    <w:adjustRightInd w:val="0"/>
                    <w:snapToGrid w:val="0"/>
                    <w:spacing w:before="98" w:line="187" w:lineRule="auto"/>
                    <w:jc w:val="center"/>
                    <w:textAlignment w:val="baseline"/>
                    <w:rPr>
                      <w:rFonts w:ascii="Times New Roman" w:hAnsi="Times New Roman" w:eastAsia="Times New Roman" w:cs="Times New Roman"/>
                      <w:snapToGrid w:val="0"/>
                      <w:color w:val="000000"/>
                      <w:kern w:val="0"/>
                      <w:sz w:val="21"/>
                      <w:szCs w:val="21"/>
                    </w:rPr>
                  </w:pPr>
                  <w:r>
                    <w:rPr>
                      <w:rFonts w:ascii="Times New Roman" w:hAnsi="Times New Roman" w:eastAsia="Times New Roman" w:cs="Times New Roman"/>
                      <w:snapToGrid w:val="0"/>
                      <w:color w:val="000000"/>
                      <w:kern w:val="0"/>
                      <w:sz w:val="21"/>
                      <w:szCs w:val="21"/>
                    </w:rPr>
                    <w:t>1</w:t>
                  </w:r>
                </w:p>
              </w:tc>
              <w:tc>
                <w:tcPr>
                  <w:tcW w:w="1849" w:type="pct"/>
                  <w:vAlign w:val="center"/>
                </w:tcPr>
                <w:p w14:paraId="2A65F20C">
                  <w:pPr>
                    <w:pStyle w:val="174"/>
                    <w:spacing w:line="240" w:lineRule="auto"/>
                    <w:ind w:firstLine="0" w:firstLineChars="0"/>
                    <w:jc w:val="center"/>
                    <w:rPr>
                      <w:rFonts w:ascii="宋体" w:hAnsi="宋体" w:eastAsia="宋体" w:cs="宋体"/>
                      <w:snapToGrid w:val="0"/>
                      <w:color w:val="000000"/>
                      <w:kern w:val="0"/>
                      <w:sz w:val="21"/>
                      <w:szCs w:val="21"/>
                    </w:rPr>
                  </w:pPr>
                  <w:r>
                    <w:rPr>
                      <w:rFonts w:hint="eastAsia" w:cs="Times New Roman"/>
                      <w:sz w:val="21"/>
                      <w:szCs w:val="21"/>
                      <w:lang w:val="en-US" w:eastAsia="zh-CN"/>
                    </w:rPr>
                    <w:t>东</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1819" w:type="pct"/>
                  <w:vAlign w:val="center"/>
                </w:tcPr>
                <w:p w14:paraId="2254A7CA">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86，24，1.2</w:t>
                  </w:r>
                  <w:r>
                    <w:rPr>
                      <w:rFonts w:hint="default" w:ascii="Times New Roman" w:hAnsi="Times New Roman" w:cs="Times New Roman"/>
                      <w:snapToGrid w:val="0"/>
                      <w:color w:val="000000"/>
                      <w:kern w:val="0"/>
                      <w:sz w:val="21"/>
                      <w:szCs w:val="21"/>
                      <w:lang w:eastAsia="zh-CN"/>
                    </w:rPr>
                    <w:t>）</w:t>
                  </w:r>
                </w:p>
              </w:tc>
            </w:tr>
            <w:tr w14:paraId="2AA204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continue"/>
                  <w:vAlign w:val="center"/>
                </w:tcPr>
                <w:p w14:paraId="16D6BEB4">
                  <w:pPr>
                    <w:widowControl/>
                    <w:kinsoku/>
                    <w:autoSpaceDE w:val="0"/>
                    <w:autoSpaceDN w:val="0"/>
                    <w:adjustRightInd w:val="0"/>
                    <w:snapToGrid w:val="0"/>
                    <w:spacing w:before="100" w:line="187" w:lineRule="auto"/>
                    <w:jc w:val="center"/>
                    <w:textAlignment w:val="baseline"/>
                    <w:rPr>
                      <w:rFonts w:ascii="Times New Roman" w:hAnsi="Times New Roman" w:eastAsia="Times New Roman" w:cs="Times New Roman"/>
                      <w:snapToGrid w:val="0"/>
                      <w:color w:val="000000"/>
                      <w:kern w:val="0"/>
                      <w:sz w:val="21"/>
                      <w:szCs w:val="21"/>
                    </w:rPr>
                  </w:pPr>
                </w:p>
              </w:tc>
              <w:tc>
                <w:tcPr>
                  <w:tcW w:w="566" w:type="pct"/>
                  <w:vAlign w:val="center"/>
                </w:tcPr>
                <w:p w14:paraId="4EE1534D">
                  <w:pPr>
                    <w:widowControl/>
                    <w:kinsoku/>
                    <w:autoSpaceDE w:val="0"/>
                    <w:autoSpaceDN w:val="0"/>
                    <w:adjustRightInd w:val="0"/>
                    <w:snapToGrid w:val="0"/>
                    <w:spacing w:before="100" w:line="187" w:lineRule="auto"/>
                    <w:jc w:val="center"/>
                    <w:textAlignment w:val="baseline"/>
                    <w:rPr>
                      <w:rFonts w:ascii="Times New Roman" w:hAnsi="Times New Roman" w:eastAsia="Times New Roman" w:cs="Times New Roman"/>
                      <w:snapToGrid w:val="0"/>
                      <w:color w:val="000000"/>
                      <w:kern w:val="0"/>
                      <w:sz w:val="21"/>
                      <w:szCs w:val="21"/>
                    </w:rPr>
                  </w:pPr>
                  <w:r>
                    <w:rPr>
                      <w:rFonts w:ascii="Times New Roman" w:hAnsi="Times New Roman" w:eastAsia="Times New Roman" w:cs="Times New Roman"/>
                      <w:snapToGrid w:val="0"/>
                      <w:color w:val="000000"/>
                      <w:kern w:val="0"/>
                      <w:sz w:val="21"/>
                      <w:szCs w:val="21"/>
                    </w:rPr>
                    <w:t>2</w:t>
                  </w:r>
                </w:p>
              </w:tc>
              <w:tc>
                <w:tcPr>
                  <w:tcW w:w="1849" w:type="pct"/>
                  <w:vAlign w:val="center"/>
                </w:tcPr>
                <w:p w14:paraId="5F3EB288">
                  <w:pPr>
                    <w:pStyle w:val="174"/>
                    <w:spacing w:line="240" w:lineRule="auto"/>
                    <w:ind w:firstLine="0" w:firstLineChars="0"/>
                    <w:jc w:val="center"/>
                    <w:rPr>
                      <w:rFonts w:ascii="宋体" w:hAnsi="宋体" w:eastAsia="宋体" w:cs="宋体"/>
                      <w:snapToGrid w:val="0"/>
                      <w:color w:val="000000"/>
                      <w:kern w:val="0"/>
                      <w:sz w:val="21"/>
                      <w:szCs w:val="21"/>
                    </w:rPr>
                  </w:pPr>
                  <w:r>
                    <w:rPr>
                      <w:rFonts w:hint="eastAsia" w:cs="Times New Roman"/>
                      <w:sz w:val="21"/>
                      <w:szCs w:val="21"/>
                      <w:lang w:eastAsia="zh-CN"/>
                    </w:rPr>
                    <w:t>南</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1819" w:type="pct"/>
                  <w:vAlign w:val="center"/>
                </w:tcPr>
                <w:p w14:paraId="22EE9889">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rPr>
                  </w:pPr>
                  <w:r>
                    <w:rPr>
                      <w:rFonts w:hint="default" w:ascii="Times New Roman" w:hAnsi="Times New Roman" w:cs="Times New Roman"/>
                      <w:snapToGrid w:val="0"/>
                      <w:color w:val="000000"/>
                      <w:spacing w:val="3"/>
                      <w:kern w:val="0"/>
                      <w:sz w:val="21"/>
                      <w:szCs w:val="21"/>
                      <w:lang w:eastAsia="zh-CN"/>
                    </w:rPr>
                    <w:t>（</w:t>
                  </w:r>
                  <w:r>
                    <w:rPr>
                      <w:rFonts w:hint="eastAsia" w:cs="Times New Roman"/>
                      <w:snapToGrid w:val="0"/>
                      <w:color w:val="000000"/>
                      <w:spacing w:val="3"/>
                      <w:kern w:val="0"/>
                      <w:sz w:val="21"/>
                      <w:szCs w:val="21"/>
                      <w:lang w:val="en-US" w:eastAsia="zh-CN"/>
                    </w:rPr>
                    <w:t>42.5</w:t>
                  </w:r>
                  <w:r>
                    <w:rPr>
                      <w:rFonts w:hint="default" w:ascii="Times New Roman" w:hAnsi="Times New Roman" w:cs="Times New Roman"/>
                      <w:snapToGrid w:val="0"/>
                      <w:color w:val="000000"/>
                      <w:spacing w:val="3"/>
                      <w:kern w:val="0"/>
                      <w:sz w:val="21"/>
                      <w:szCs w:val="21"/>
                      <w:lang w:val="en-US" w:eastAsia="zh-CN"/>
                    </w:rPr>
                    <w:t>，-1</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spacing w:val="3"/>
                      <w:kern w:val="0"/>
                      <w:sz w:val="21"/>
                      <w:szCs w:val="21"/>
                      <w:lang w:eastAsia="zh-CN"/>
                    </w:rPr>
                    <w:t>）</w:t>
                  </w:r>
                </w:p>
              </w:tc>
            </w:tr>
            <w:tr w14:paraId="3C2B42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continue"/>
                  <w:vAlign w:val="center"/>
                </w:tcPr>
                <w:p w14:paraId="5F82BF99">
                  <w:pPr>
                    <w:widowControl/>
                    <w:kinsoku/>
                    <w:autoSpaceDE w:val="0"/>
                    <w:autoSpaceDN w:val="0"/>
                    <w:adjustRightInd w:val="0"/>
                    <w:snapToGrid w:val="0"/>
                    <w:spacing w:before="100" w:line="187" w:lineRule="auto"/>
                    <w:jc w:val="center"/>
                    <w:textAlignment w:val="baseline"/>
                    <w:rPr>
                      <w:rFonts w:ascii="Times New Roman" w:hAnsi="Times New Roman" w:eastAsia="Times New Roman" w:cs="Times New Roman"/>
                      <w:snapToGrid w:val="0"/>
                      <w:color w:val="000000"/>
                      <w:kern w:val="0"/>
                      <w:sz w:val="21"/>
                      <w:szCs w:val="21"/>
                    </w:rPr>
                  </w:pPr>
                </w:p>
              </w:tc>
              <w:tc>
                <w:tcPr>
                  <w:tcW w:w="566" w:type="pct"/>
                  <w:vAlign w:val="center"/>
                </w:tcPr>
                <w:p w14:paraId="796B7CA2">
                  <w:pPr>
                    <w:widowControl/>
                    <w:kinsoku/>
                    <w:autoSpaceDE w:val="0"/>
                    <w:autoSpaceDN w:val="0"/>
                    <w:adjustRightInd w:val="0"/>
                    <w:snapToGrid w:val="0"/>
                    <w:spacing w:before="100" w:line="187" w:lineRule="auto"/>
                    <w:jc w:val="center"/>
                    <w:textAlignment w:val="baseline"/>
                    <w:rPr>
                      <w:rFonts w:ascii="Times New Roman" w:hAnsi="Times New Roman" w:eastAsia="Times New Roman" w:cs="Times New Roman"/>
                      <w:snapToGrid w:val="0"/>
                      <w:color w:val="000000"/>
                      <w:kern w:val="0"/>
                      <w:sz w:val="21"/>
                      <w:szCs w:val="21"/>
                    </w:rPr>
                  </w:pPr>
                  <w:r>
                    <w:rPr>
                      <w:rFonts w:ascii="Times New Roman" w:hAnsi="Times New Roman" w:eastAsia="Times New Roman" w:cs="Times New Roman"/>
                      <w:snapToGrid w:val="0"/>
                      <w:color w:val="000000"/>
                      <w:kern w:val="0"/>
                      <w:sz w:val="21"/>
                      <w:szCs w:val="21"/>
                    </w:rPr>
                    <w:t>3</w:t>
                  </w:r>
                </w:p>
              </w:tc>
              <w:tc>
                <w:tcPr>
                  <w:tcW w:w="1849" w:type="pct"/>
                  <w:vAlign w:val="center"/>
                </w:tcPr>
                <w:p w14:paraId="7D85BF4D">
                  <w:pPr>
                    <w:pStyle w:val="174"/>
                    <w:spacing w:line="240" w:lineRule="auto"/>
                    <w:ind w:firstLine="0" w:firstLineChars="0"/>
                    <w:jc w:val="center"/>
                    <w:rPr>
                      <w:rFonts w:ascii="宋体" w:hAnsi="宋体" w:eastAsia="宋体" w:cs="宋体"/>
                      <w:snapToGrid w:val="0"/>
                      <w:color w:val="000000"/>
                      <w:kern w:val="0"/>
                      <w:sz w:val="21"/>
                      <w:szCs w:val="21"/>
                    </w:rPr>
                  </w:pPr>
                  <w:r>
                    <w:rPr>
                      <w:rFonts w:hint="eastAsia" w:cs="Times New Roman"/>
                      <w:sz w:val="21"/>
                      <w:szCs w:val="21"/>
                      <w:lang w:val="en-US" w:eastAsia="zh-CN"/>
                    </w:rPr>
                    <w:t>西</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1819" w:type="pct"/>
                  <w:vAlign w:val="center"/>
                </w:tcPr>
                <w:p w14:paraId="5088C56A">
                  <w:pPr>
                    <w:widowControl/>
                    <w:kinsoku/>
                    <w:autoSpaceDE w:val="0"/>
                    <w:autoSpaceDN w:val="0"/>
                    <w:adjustRightInd w:val="0"/>
                    <w:snapToGrid w:val="0"/>
                    <w:spacing w:before="62" w:line="223" w:lineRule="auto"/>
                    <w:jc w:val="center"/>
                    <w:textAlignment w:val="baseline"/>
                    <w:rPr>
                      <w:rFonts w:hint="default" w:ascii="Times New Roman" w:hAnsi="Times New Roman" w:eastAsia="宋体" w:cs="Times New Roman"/>
                      <w:snapToGrid w:val="0"/>
                      <w:color w:val="000000"/>
                      <w:kern w:val="0"/>
                      <w:sz w:val="21"/>
                      <w:szCs w:val="21"/>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-1，24</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kern w:val="0"/>
                      <w:sz w:val="21"/>
                      <w:szCs w:val="21"/>
                      <w:lang w:eastAsia="zh-CN"/>
                    </w:rPr>
                    <w:t>）</w:t>
                  </w:r>
                </w:p>
              </w:tc>
            </w:tr>
            <w:tr w14:paraId="1F897C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continue"/>
                  <w:vAlign w:val="center"/>
                </w:tcPr>
                <w:p w14:paraId="6DC35932">
                  <w:pPr>
                    <w:widowControl/>
                    <w:kinsoku/>
                    <w:autoSpaceDE w:val="0"/>
                    <w:autoSpaceDN w:val="0"/>
                    <w:adjustRightInd w:val="0"/>
                    <w:snapToGrid w:val="0"/>
                    <w:spacing w:before="101" w:line="187" w:lineRule="auto"/>
                    <w:jc w:val="center"/>
                    <w:textAlignment w:val="baseline"/>
                    <w:rPr>
                      <w:rFonts w:ascii="Times New Roman" w:hAnsi="Times New Roman" w:eastAsia="Times New Roman" w:cs="Times New Roman"/>
                      <w:snapToGrid w:val="0"/>
                      <w:color w:val="000000"/>
                      <w:kern w:val="0"/>
                      <w:sz w:val="21"/>
                      <w:szCs w:val="21"/>
                    </w:rPr>
                  </w:pPr>
                </w:p>
              </w:tc>
              <w:tc>
                <w:tcPr>
                  <w:tcW w:w="566" w:type="pct"/>
                  <w:vAlign w:val="center"/>
                </w:tcPr>
                <w:p w14:paraId="576F61E2">
                  <w:pPr>
                    <w:widowControl/>
                    <w:kinsoku/>
                    <w:autoSpaceDE w:val="0"/>
                    <w:autoSpaceDN w:val="0"/>
                    <w:adjustRightInd w:val="0"/>
                    <w:snapToGrid w:val="0"/>
                    <w:spacing w:before="101" w:line="187" w:lineRule="auto"/>
                    <w:jc w:val="center"/>
                    <w:textAlignment w:val="baseline"/>
                    <w:rPr>
                      <w:rFonts w:ascii="Times New Roman" w:hAnsi="Times New Roman" w:eastAsia="Times New Roman" w:cs="Times New Roman"/>
                      <w:snapToGrid w:val="0"/>
                      <w:color w:val="000000"/>
                      <w:kern w:val="0"/>
                      <w:sz w:val="21"/>
                      <w:szCs w:val="21"/>
                    </w:rPr>
                  </w:pPr>
                  <w:r>
                    <w:rPr>
                      <w:rFonts w:ascii="Times New Roman" w:hAnsi="Times New Roman" w:eastAsia="Times New Roman" w:cs="Times New Roman"/>
                      <w:snapToGrid w:val="0"/>
                      <w:color w:val="000000"/>
                      <w:kern w:val="0"/>
                      <w:sz w:val="21"/>
                      <w:szCs w:val="21"/>
                    </w:rPr>
                    <w:t>4</w:t>
                  </w:r>
                </w:p>
              </w:tc>
              <w:tc>
                <w:tcPr>
                  <w:tcW w:w="1849" w:type="pct"/>
                  <w:vAlign w:val="center"/>
                </w:tcPr>
                <w:p w14:paraId="71A0C52D">
                  <w:pPr>
                    <w:pStyle w:val="174"/>
                    <w:spacing w:line="240" w:lineRule="auto"/>
                    <w:ind w:firstLine="0" w:firstLineChars="0"/>
                    <w:jc w:val="center"/>
                    <w:rPr>
                      <w:rFonts w:hint="eastAsia" w:ascii="宋体" w:hAnsi="宋体" w:eastAsia="宋体" w:cs="宋体"/>
                      <w:snapToGrid w:val="0"/>
                      <w:color w:val="000000"/>
                      <w:kern w:val="0"/>
                      <w:sz w:val="21"/>
                      <w:szCs w:val="21"/>
                      <w:lang w:eastAsia="zh-CN"/>
                    </w:rPr>
                  </w:pPr>
                  <w:r>
                    <w:rPr>
                      <w:rFonts w:hint="eastAsia" w:cs="Times New Roman"/>
                      <w:sz w:val="21"/>
                      <w:szCs w:val="21"/>
                      <w:lang w:eastAsia="zh-CN"/>
                    </w:rPr>
                    <w:t>北</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1819" w:type="pct"/>
                  <w:vAlign w:val="center"/>
                </w:tcPr>
                <w:p w14:paraId="53BA3A18">
                  <w:pPr>
                    <w:widowControl/>
                    <w:kinsoku/>
                    <w:autoSpaceDE w:val="0"/>
                    <w:autoSpaceDN w:val="0"/>
                    <w:adjustRightInd w:val="0"/>
                    <w:snapToGrid w:val="0"/>
                    <w:spacing w:before="63" w:line="223" w:lineRule="auto"/>
                    <w:jc w:val="center"/>
                    <w:textAlignment w:val="baseline"/>
                    <w:rPr>
                      <w:rFonts w:hint="default" w:ascii="Times New Roman" w:hAnsi="Times New Roman" w:eastAsia="宋体"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42.5，49</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kern w:val="0"/>
                      <w:sz w:val="21"/>
                      <w:szCs w:val="21"/>
                      <w:lang w:eastAsia="zh-CN"/>
                    </w:rPr>
                    <w:t>）</w:t>
                  </w:r>
                </w:p>
              </w:tc>
            </w:tr>
            <w:tr w14:paraId="622F0A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restart"/>
                  <w:vAlign w:val="center"/>
                </w:tcPr>
                <w:p w14:paraId="4A3A38A3">
                  <w:pPr>
                    <w:widowControl/>
                    <w:kinsoku/>
                    <w:autoSpaceDE w:val="0"/>
                    <w:autoSpaceDN w:val="0"/>
                    <w:adjustRightInd w:val="0"/>
                    <w:snapToGrid w:val="0"/>
                    <w:spacing w:before="101" w:line="187"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敏感点</w:t>
                  </w:r>
                </w:p>
              </w:tc>
              <w:tc>
                <w:tcPr>
                  <w:tcW w:w="566" w:type="pct"/>
                  <w:vAlign w:val="center"/>
                </w:tcPr>
                <w:p w14:paraId="4C7F93AE">
                  <w:pPr>
                    <w:widowControl/>
                    <w:kinsoku/>
                    <w:autoSpaceDE w:val="0"/>
                    <w:autoSpaceDN w:val="0"/>
                    <w:adjustRightInd w:val="0"/>
                    <w:snapToGrid w:val="0"/>
                    <w:spacing w:before="101" w:line="187"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5</w:t>
                  </w:r>
                </w:p>
              </w:tc>
              <w:tc>
                <w:tcPr>
                  <w:tcW w:w="3324" w:type="dxa"/>
                  <w:vAlign w:val="center"/>
                </w:tcPr>
                <w:p w14:paraId="107C92FC">
                  <w:pPr>
                    <w:jc w:val="center"/>
                    <w:rPr>
                      <w:rFonts w:hint="default" w:cs="Times New Roman"/>
                      <w:sz w:val="21"/>
                      <w:szCs w:val="21"/>
                      <w:lang w:val="en-US" w:eastAsia="zh-CN"/>
                    </w:rPr>
                  </w:pPr>
                  <w:r>
                    <w:rPr>
                      <w:rFonts w:hint="eastAsia" w:cs="Times New Roman"/>
                      <w:color w:val="auto"/>
                      <w:sz w:val="21"/>
                      <w:szCs w:val="21"/>
                      <w:lang w:val="en-US" w:eastAsia="zh-CN"/>
                    </w:rPr>
                    <w:t>金寨县关庙乡沙坪沟</w:t>
                  </w:r>
                </w:p>
              </w:tc>
              <w:tc>
                <w:tcPr>
                  <w:tcW w:w="1819" w:type="pct"/>
                  <w:vAlign w:val="center"/>
                </w:tcPr>
                <w:p w14:paraId="5BE9A344">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100，20</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kern w:val="0"/>
                      <w:sz w:val="21"/>
                      <w:szCs w:val="21"/>
                      <w:lang w:eastAsia="zh-CN"/>
                    </w:rPr>
                    <w:t>）</w:t>
                  </w:r>
                </w:p>
              </w:tc>
            </w:tr>
            <w:tr w14:paraId="5A3991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continue"/>
                  <w:vAlign w:val="center"/>
                </w:tcPr>
                <w:p w14:paraId="23B6925D">
                  <w:pPr>
                    <w:widowControl/>
                    <w:kinsoku/>
                    <w:autoSpaceDE w:val="0"/>
                    <w:autoSpaceDN w:val="0"/>
                    <w:adjustRightInd w:val="0"/>
                    <w:snapToGrid w:val="0"/>
                    <w:spacing w:before="101" w:line="187" w:lineRule="auto"/>
                    <w:jc w:val="center"/>
                    <w:textAlignment w:val="baseline"/>
                    <w:rPr>
                      <w:rFonts w:hint="eastAsia" w:eastAsia="宋体" w:cs="Times New Roman"/>
                      <w:snapToGrid w:val="0"/>
                      <w:color w:val="000000"/>
                      <w:kern w:val="0"/>
                      <w:sz w:val="21"/>
                      <w:szCs w:val="21"/>
                      <w:lang w:val="en-US" w:eastAsia="zh-CN"/>
                    </w:rPr>
                  </w:pPr>
                </w:p>
              </w:tc>
              <w:tc>
                <w:tcPr>
                  <w:tcW w:w="566" w:type="pct"/>
                  <w:vAlign w:val="center"/>
                </w:tcPr>
                <w:p w14:paraId="609B11F2">
                  <w:pPr>
                    <w:widowControl/>
                    <w:kinsoku/>
                    <w:autoSpaceDE w:val="0"/>
                    <w:autoSpaceDN w:val="0"/>
                    <w:adjustRightInd w:val="0"/>
                    <w:snapToGrid w:val="0"/>
                    <w:spacing w:before="101" w:line="187" w:lineRule="auto"/>
                    <w:jc w:val="center"/>
                    <w:textAlignment w:val="baseline"/>
                    <w:rPr>
                      <w:rFonts w:hint="default"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6</w:t>
                  </w:r>
                </w:p>
              </w:tc>
              <w:tc>
                <w:tcPr>
                  <w:tcW w:w="3324" w:type="dxa"/>
                  <w:vAlign w:val="center"/>
                </w:tcPr>
                <w:p w14:paraId="3F868358">
                  <w:pPr>
                    <w:jc w:val="center"/>
                    <w:rPr>
                      <w:rFonts w:hint="eastAsia" w:cs="Times New Roman"/>
                      <w:sz w:val="21"/>
                      <w:szCs w:val="21"/>
                      <w:lang w:val="en-US" w:eastAsia="zh-CN"/>
                    </w:rPr>
                  </w:pPr>
                  <w:r>
                    <w:rPr>
                      <w:rFonts w:hint="eastAsia" w:cs="Times New Roman"/>
                      <w:color w:val="auto"/>
                      <w:sz w:val="21"/>
                      <w:szCs w:val="21"/>
                      <w:lang w:val="en-US" w:eastAsia="zh-CN"/>
                    </w:rPr>
                    <w:t>金寨县关庙乡橡岭岗</w:t>
                  </w:r>
                </w:p>
              </w:tc>
              <w:tc>
                <w:tcPr>
                  <w:tcW w:w="1819" w:type="pct"/>
                  <w:vAlign w:val="center"/>
                </w:tcPr>
                <w:p w14:paraId="642E5150">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160，-70</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kern w:val="0"/>
                      <w:sz w:val="21"/>
                      <w:szCs w:val="21"/>
                      <w:lang w:eastAsia="zh-CN"/>
                    </w:rPr>
                    <w:t>）</w:t>
                  </w:r>
                </w:p>
              </w:tc>
            </w:tr>
            <w:tr w14:paraId="1BE13F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765" w:type="pct"/>
                  <w:vMerge w:val="continue"/>
                  <w:vAlign w:val="center"/>
                </w:tcPr>
                <w:p w14:paraId="7DF58FAF">
                  <w:pPr>
                    <w:widowControl/>
                    <w:kinsoku/>
                    <w:autoSpaceDE w:val="0"/>
                    <w:autoSpaceDN w:val="0"/>
                    <w:adjustRightInd w:val="0"/>
                    <w:snapToGrid w:val="0"/>
                    <w:spacing w:before="101" w:line="187" w:lineRule="auto"/>
                    <w:jc w:val="center"/>
                    <w:textAlignment w:val="baseline"/>
                    <w:rPr>
                      <w:rFonts w:hint="eastAsia" w:eastAsia="宋体" w:cs="Times New Roman"/>
                      <w:snapToGrid w:val="0"/>
                      <w:color w:val="000000"/>
                      <w:kern w:val="0"/>
                      <w:sz w:val="21"/>
                      <w:szCs w:val="21"/>
                      <w:lang w:val="en-US" w:eastAsia="zh-CN"/>
                    </w:rPr>
                  </w:pPr>
                </w:p>
              </w:tc>
              <w:tc>
                <w:tcPr>
                  <w:tcW w:w="566" w:type="pct"/>
                  <w:vAlign w:val="center"/>
                </w:tcPr>
                <w:p w14:paraId="5C5B8EC4">
                  <w:pPr>
                    <w:widowControl/>
                    <w:kinsoku/>
                    <w:autoSpaceDE w:val="0"/>
                    <w:autoSpaceDN w:val="0"/>
                    <w:adjustRightInd w:val="0"/>
                    <w:snapToGrid w:val="0"/>
                    <w:spacing w:before="101" w:line="187" w:lineRule="auto"/>
                    <w:jc w:val="center"/>
                    <w:textAlignment w:val="baseline"/>
                    <w:rPr>
                      <w:rFonts w:hint="default"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7</w:t>
                  </w:r>
                </w:p>
              </w:tc>
              <w:tc>
                <w:tcPr>
                  <w:tcW w:w="3324" w:type="dxa"/>
                  <w:vAlign w:val="center"/>
                </w:tcPr>
                <w:p w14:paraId="280B3420">
                  <w:pPr>
                    <w:jc w:val="center"/>
                    <w:rPr>
                      <w:rFonts w:hint="eastAsia" w:cs="Times New Roman"/>
                      <w:sz w:val="21"/>
                      <w:szCs w:val="21"/>
                      <w:lang w:val="en-US" w:eastAsia="zh-CN"/>
                    </w:rPr>
                  </w:pPr>
                  <w:r>
                    <w:rPr>
                      <w:rFonts w:hint="eastAsia" w:cs="Times New Roman"/>
                      <w:color w:val="auto"/>
                      <w:sz w:val="21"/>
                      <w:szCs w:val="21"/>
                      <w:lang w:val="en-US" w:eastAsia="zh-CN"/>
                    </w:rPr>
                    <w:t>金寨县关庙乡詹家湾</w:t>
                  </w:r>
                </w:p>
              </w:tc>
              <w:tc>
                <w:tcPr>
                  <w:tcW w:w="1819" w:type="pct"/>
                  <w:vAlign w:val="center"/>
                </w:tcPr>
                <w:p w14:paraId="4E8A58DA">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eastAsia="zh-CN"/>
                    </w:rPr>
                    <w:t>（</w:t>
                  </w:r>
                  <w:r>
                    <w:rPr>
                      <w:rFonts w:hint="eastAsia" w:cs="Times New Roman"/>
                      <w:snapToGrid w:val="0"/>
                      <w:color w:val="000000"/>
                      <w:kern w:val="0"/>
                      <w:sz w:val="21"/>
                      <w:szCs w:val="21"/>
                      <w:lang w:val="en-US" w:eastAsia="zh-CN"/>
                    </w:rPr>
                    <w:t>10，205</w:t>
                  </w:r>
                  <w:r>
                    <w:rPr>
                      <w:rFonts w:hint="eastAsia" w:cs="Times New Roman"/>
                      <w:snapToGrid w:val="0"/>
                      <w:color w:val="000000"/>
                      <w:spacing w:val="3"/>
                      <w:kern w:val="0"/>
                      <w:sz w:val="21"/>
                      <w:szCs w:val="21"/>
                      <w:lang w:val="en-US" w:eastAsia="zh-CN"/>
                    </w:rPr>
                    <w:t>，1.2</w:t>
                  </w:r>
                  <w:r>
                    <w:rPr>
                      <w:rFonts w:hint="default" w:ascii="Times New Roman" w:hAnsi="Times New Roman" w:cs="Times New Roman"/>
                      <w:snapToGrid w:val="0"/>
                      <w:color w:val="000000"/>
                      <w:kern w:val="0"/>
                      <w:sz w:val="21"/>
                      <w:szCs w:val="21"/>
                      <w:lang w:eastAsia="zh-CN"/>
                    </w:rPr>
                    <w:t>）</w:t>
                  </w:r>
                </w:p>
              </w:tc>
            </w:tr>
          </w:tbl>
          <w:p w14:paraId="30A81499">
            <w:pPr>
              <w:keepNext w:val="0"/>
              <w:keepLines w:val="0"/>
              <w:pageBreakBefore w:val="0"/>
              <w:widowControl w:val="0"/>
              <w:kinsoku/>
              <w:wordWrap/>
              <w:overflowPunct/>
              <w:topLinePunct w:val="0"/>
              <w:autoSpaceDE w:val="0"/>
              <w:autoSpaceDN w:val="0"/>
              <w:bidi w:val="0"/>
              <w:adjustRightInd w:val="0"/>
              <w:snapToGrid w:val="0"/>
              <w:spacing w:before="157" w:beforeLines="50"/>
              <w:jc w:val="center"/>
              <w:textAlignment w:val="auto"/>
              <w:rPr>
                <w:rFonts w:ascii="Times New Roman" w:hAnsi="Times New Roman" w:eastAsia="宋体" w:cs="Times New Roman"/>
                <w:b/>
                <w:color w:val="000000"/>
                <w:kern w:val="2"/>
                <w:sz w:val="21"/>
                <w:szCs w:val="18"/>
              </w:rPr>
            </w:pPr>
            <w:r>
              <w:rPr>
                <w:rFonts w:ascii="Times New Roman" w:hAnsi="Times New Roman" w:eastAsia="宋体" w:cs="Times New Roman"/>
                <w:b/>
                <w:color w:val="000000"/>
                <w:kern w:val="2"/>
                <w:sz w:val="21"/>
                <w:szCs w:val="18"/>
              </w:rPr>
              <w:t>表</w:t>
            </w:r>
            <w:r>
              <w:rPr>
                <w:rFonts w:hint="eastAsia" w:ascii="Times New Roman" w:hAnsi="Times New Roman" w:eastAsia="宋体" w:cs="Times New Roman"/>
                <w:b/>
                <w:color w:val="000000"/>
                <w:kern w:val="2"/>
                <w:sz w:val="21"/>
                <w:szCs w:val="18"/>
                <w:lang w:val="en-US" w:eastAsia="zh-CN"/>
              </w:rPr>
              <w:t>4-</w:t>
            </w:r>
            <w:r>
              <w:rPr>
                <w:rFonts w:hint="eastAsia" w:cs="Times New Roman"/>
                <w:b/>
                <w:color w:val="000000"/>
                <w:kern w:val="2"/>
                <w:sz w:val="21"/>
                <w:szCs w:val="18"/>
                <w:lang w:val="en-US" w:eastAsia="zh-CN"/>
              </w:rPr>
              <w:t>14</w:t>
            </w:r>
            <w:r>
              <w:rPr>
                <w:rFonts w:ascii="Times New Roman" w:hAnsi="Times New Roman" w:eastAsia="宋体" w:cs="Times New Roman"/>
                <w:b/>
                <w:color w:val="000000"/>
                <w:kern w:val="2"/>
                <w:sz w:val="21"/>
                <w:szCs w:val="18"/>
              </w:rPr>
              <w:t xml:space="preserve">  项目运营期</w:t>
            </w:r>
            <w:r>
              <w:rPr>
                <w:rFonts w:hint="eastAsia" w:cs="Times New Roman"/>
                <w:b/>
                <w:color w:val="000000"/>
                <w:kern w:val="2"/>
                <w:sz w:val="21"/>
                <w:szCs w:val="18"/>
                <w:lang w:val="en-US" w:eastAsia="zh-CN"/>
              </w:rPr>
              <w:t>预测点</w:t>
            </w:r>
            <w:r>
              <w:rPr>
                <w:rFonts w:ascii="Times New Roman" w:hAnsi="Times New Roman" w:eastAsia="宋体" w:cs="Times New Roman"/>
                <w:b/>
                <w:color w:val="000000"/>
                <w:kern w:val="2"/>
                <w:sz w:val="21"/>
                <w:szCs w:val="18"/>
              </w:rPr>
              <w:t>噪声</w:t>
            </w:r>
            <w:r>
              <w:rPr>
                <w:rFonts w:hint="eastAsia" w:cs="Times New Roman"/>
                <w:b/>
                <w:color w:val="000000"/>
                <w:kern w:val="2"/>
                <w:sz w:val="21"/>
                <w:szCs w:val="18"/>
                <w:lang w:eastAsia="zh-CN"/>
              </w:rPr>
              <w:t>贡献值</w:t>
            </w:r>
            <w:r>
              <w:rPr>
                <w:rFonts w:hint="eastAsia" w:cs="Times New Roman"/>
                <w:b/>
                <w:color w:val="000000"/>
                <w:kern w:val="2"/>
                <w:sz w:val="21"/>
                <w:szCs w:val="18"/>
                <w:lang w:val="en-US" w:eastAsia="zh-CN"/>
              </w:rPr>
              <w:t xml:space="preserve"> </w:t>
            </w:r>
            <w:r>
              <w:rPr>
                <w:rFonts w:ascii="Times New Roman" w:hAnsi="Times New Roman" w:eastAsia="宋体" w:cs="Times New Roman"/>
                <w:b/>
                <w:color w:val="000000"/>
                <w:kern w:val="2"/>
                <w:sz w:val="21"/>
                <w:szCs w:val="18"/>
              </w:rPr>
              <w:t xml:space="preserve">  单位：dB(A)</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63"/>
              <w:gridCol w:w="1097"/>
              <w:gridCol w:w="1136"/>
              <w:gridCol w:w="1129"/>
              <w:gridCol w:w="1149"/>
              <w:gridCol w:w="1212"/>
            </w:tblGrid>
            <w:tr w14:paraId="05E2B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Merge w:val="restart"/>
                  <w:vAlign w:val="center"/>
                </w:tcPr>
                <w:p w14:paraId="5CC9D224">
                  <w:pPr>
                    <w:pageBreakBefore w:val="0"/>
                    <w:widowControl/>
                    <w:wordWrap/>
                    <w:bidi w:val="0"/>
                    <w:adjustRightInd w:val="0"/>
                    <w:snapToGrid w:val="0"/>
                    <w:spacing w:line="240" w:lineRule="auto"/>
                    <w:jc w:val="center"/>
                    <w:rPr>
                      <w:rFonts w:hint="eastAsia" w:ascii="Times New Roman" w:hAnsi="Times New Roman" w:eastAsia="宋体" w:cs="Times New Roman"/>
                      <w:b/>
                      <w:bCs/>
                      <w:color w:val="000000"/>
                      <w:sz w:val="21"/>
                      <w:szCs w:val="21"/>
                      <w:lang w:eastAsia="zh-CN"/>
                    </w:rPr>
                  </w:pPr>
                  <w:r>
                    <w:rPr>
                      <w:rFonts w:hint="eastAsia" w:cs="Times New Roman"/>
                      <w:b/>
                      <w:bCs/>
                      <w:color w:val="000000"/>
                      <w:sz w:val="21"/>
                      <w:szCs w:val="21"/>
                      <w:lang w:val="en-US" w:eastAsia="zh-CN"/>
                    </w:rPr>
                    <w:t>点位</w:t>
                  </w:r>
                </w:p>
              </w:tc>
              <w:tc>
                <w:tcPr>
                  <w:tcW w:w="1242" w:type="pct"/>
                  <w:gridSpan w:val="2"/>
                  <w:vAlign w:val="center"/>
                </w:tcPr>
                <w:p w14:paraId="7A7053FF">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贡献值</w:t>
                  </w:r>
                </w:p>
              </w:tc>
              <w:tc>
                <w:tcPr>
                  <w:tcW w:w="1267" w:type="pct"/>
                  <w:gridSpan w:val="2"/>
                  <w:vAlign w:val="center"/>
                </w:tcPr>
                <w:p w14:paraId="099E07B5">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标准限值</w:t>
                  </w:r>
                </w:p>
              </w:tc>
              <w:tc>
                <w:tcPr>
                  <w:tcW w:w="674" w:type="pct"/>
                  <w:vMerge w:val="restart"/>
                  <w:vAlign w:val="center"/>
                </w:tcPr>
                <w:p w14:paraId="20151AC3">
                  <w:pPr>
                    <w:pageBreakBefore w:val="0"/>
                    <w:widowControl/>
                    <w:wordWrap/>
                    <w:bidi w:val="0"/>
                    <w:adjustRightInd w:val="0"/>
                    <w:snapToGrid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b/>
                      <w:bCs/>
                      <w:color w:val="000000"/>
                      <w:sz w:val="21"/>
                      <w:szCs w:val="21"/>
                    </w:rPr>
                    <w:t>达标情况</w:t>
                  </w:r>
                </w:p>
              </w:tc>
            </w:tr>
            <w:tr w14:paraId="68D34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Merge w:val="continue"/>
                  <w:vAlign w:val="center"/>
                </w:tcPr>
                <w:p w14:paraId="7502A265">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p>
              </w:tc>
              <w:tc>
                <w:tcPr>
                  <w:tcW w:w="610" w:type="pct"/>
                  <w:vAlign w:val="center"/>
                </w:tcPr>
                <w:p w14:paraId="7B250700">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昼间</w:t>
                  </w:r>
                </w:p>
              </w:tc>
              <w:tc>
                <w:tcPr>
                  <w:tcW w:w="632" w:type="pct"/>
                  <w:vAlign w:val="center"/>
                </w:tcPr>
                <w:p w14:paraId="5372179D">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夜间</w:t>
                  </w:r>
                </w:p>
              </w:tc>
              <w:tc>
                <w:tcPr>
                  <w:tcW w:w="628" w:type="pct"/>
                  <w:vAlign w:val="center"/>
                </w:tcPr>
                <w:p w14:paraId="6557B823">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昼间</w:t>
                  </w:r>
                </w:p>
              </w:tc>
              <w:tc>
                <w:tcPr>
                  <w:tcW w:w="639" w:type="pct"/>
                  <w:vAlign w:val="center"/>
                </w:tcPr>
                <w:p w14:paraId="10D8FCFB">
                  <w:pPr>
                    <w:pageBreakBefore w:val="0"/>
                    <w:widowControl/>
                    <w:wordWrap/>
                    <w:bidi w:val="0"/>
                    <w:adjustRightInd w:val="0"/>
                    <w:snapToGrid w:val="0"/>
                    <w:spacing w:line="240" w:lineRule="auto"/>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夜间</w:t>
                  </w:r>
                </w:p>
              </w:tc>
              <w:tc>
                <w:tcPr>
                  <w:tcW w:w="674" w:type="pct"/>
                  <w:vMerge w:val="continue"/>
                  <w:vAlign w:val="center"/>
                </w:tcPr>
                <w:p w14:paraId="7069FC05">
                  <w:pPr>
                    <w:pageBreakBefore w:val="0"/>
                    <w:widowControl/>
                    <w:wordWrap/>
                    <w:bidi w:val="0"/>
                    <w:adjustRightInd w:val="0"/>
                    <w:snapToGrid w:val="0"/>
                    <w:spacing w:line="240" w:lineRule="auto"/>
                    <w:jc w:val="center"/>
                    <w:rPr>
                      <w:rFonts w:hint="default" w:ascii="Times New Roman" w:hAnsi="Times New Roman" w:eastAsia="宋体" w:cs="Times New Roman"/>
                      <w:color w:val="000000"/>
                      <w:sz w:val="21"/>
                      <w:szCs w:val="21"/>
                    </w:rPr>
                  </w:pPr>
                </w:p>
              </w:tc>
            </w:tr>
            <w:tr w14:paraId="298B4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25C94252">
                  <w:pPr>
                    <w:pStyle w:val="174"/>
                    <w:spacing w:line="240" w:lineRule="auto"/>
                    <w:ind w:firstLine="0" w:firstLineChars="0"/>
                    <w:jc w:val="center"/>
                    <w:rPr>
                      <w:rFonts w:hint="default" w:ascii="Times New Roman" w:hAnsi="Times New Roman" w:eastAsia="宋体" w:cs="Times New Roman"/>
                      <w:sz w:val="21"/>
                      <w:szCs w:val="21"/>
                      <w:lang w:val="en-US" w:eastAsia="zh-CN" w:bidi="ar-SA"/>
                    </w:rPr>
                  </w:pPr>
                  <w:r>
                    <w:rPr>
                      <w:rFonts w:hint="eastAsia" w:cs="Times New Roman"/>
                      <w:sz w:val="21"/>
                      <w:szCs w:val="21"/>
                      <w:lang w:val="en-US" w:eastAsia="zh-CN"/>
                    </w:rPr>
                    <w:t>东</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610" w:type="pct"/>
                  <w:vAlign w:val="center"/>
                </w:tcPr>
                <w:p w14:paraId="5030A5EF">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40.1</w:t>
                  </w:r>
                </w:p>
              </w:tc>
              <w:tc>
                <w:tcPr>
                  <w:tcW w:w="632" w:type="pct"/>
                  <w:vAlign w:val="center"/>
                </w:tcPr>
                <w:p w14:paraId="720293F9">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40.1</w:t>
                  </w:r>
                </w:p>
              </w:tc>
              <w:tc>
                <w:tcPr>
                  <w:tcW w:w="628" w:type="pct"/>
                  <w:vAlign w:val="center"/>
                </w:tcPr>
                <w:p w14:paraId="5DFD79C7">
                  <w:pPr>
                    <w:pageBreakBefore w:val="0"/>
                    <w:widowControl/>
                    <w:wordWrap/>
                    <w:bidi w:val="0"/>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60</w:t>
                  </w:r>
                </w:p>
              </w:tc>
              <w:tc>
                <w:tcPr>
                  <w:tcW w:w="639" w:type="pct"/>
                  <w:vAlign w:val="center"/>
                </w:tcPr>
                <w:p w14:paraId="745C8F3E">
                  <w:pPr>
                    <w:pageBreakBefore w:val="0"/>
                    <w:widowControl/>
                    <w:wordWrap/>
                    <w:bidi w:val="0"/>
                    <w:spacing w:line="240" w:lineRule="auto"/>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w:t>
                  </w:r>
                  <w:r>
                    <w:rPr>
                      <w:rFonts w:hint="eastAsia" w:cs="Times New Roman"/>
                      <w:color w:val="000000"/>
                      <w:sz w:val="21"/>
                      <w:szCs w:val="21"/>
                      <w:lang w:val="en-US" w:eastAsia="zh-CN"/>
                    </w:rPr>
                    <w:t>0</w:t>
                  </w:r>
                </w:p>
              </w:tc>
              <w:tc>
                <w:tcPr>
                  <w:tcW w:w="674" w:type="pct"/>
                  <w:vAlign w:val="center"/>
                </w:tcPr>
                <w:p w14:paraId="5AD3E5D6">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0A52C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6FDD039B">
                  <w:pPr>
                    <w:pStyle w:val="174"/>
                    <w:spacing w:line="240" w:lineRule="auto"/>
                    <w:ind w:firstLine="0" w:firstLineChars="0"/>
                    <w:jc w:val="center"/>
                    <w:rPr>
                      <w:rFonts w:hint="eastAsia" w:cs="Times New Roman"/>
                      <w:sz w:val="21"/>
                      <w:szCs w:val="21"/>
                      <w:lang w:eastAsia="zh-CN"/>
                    </w:rPr>
                  </w:pPr>
                  <w:r>
                    <w:rPr>
                      <w:rFonts w:hint="eastAsia" w:cs="Times New Roman"/>
                      <w:sz w:val="21"/>
                      <w:szCs w:val="21"/>
                      <w:lang w:eastAsia="zh-CN"/>
                    </w:rPr>
                    <w:t>南</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610" w:type="pct"/>
                  <w:vAlign w:val="center"/>
                </w:tcPr>
                <w:p w14:paraId="4FE02F46">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44.2</w:t>
                  </w:r>
                </w:p>
              </w:tc>
              <w:tc>
                <w:tcPr>
                  <w:tcW w:w="632" w:type="pct"/>
                  <w:vAlign w:val="center"/>
                </w:tcPr>
                <w:p w14:paraId="6A5A3556">
                  <w:pPr>
                    <w:keepNext w:val="0"/>
                    <w:keepLines w:val="0"/>
                    <w:widowControl/>
                    <w:suppressLineNumbers w:val="0"/>
                    <w:jc w:val="center"/>
                    <w:textAlignment w:val="center"/>
                    <w:rPr>
                      <w:rFonts w:hint="eastAsia" w:cs="Times New Roman"/>
                      <w:color w:val="000000"/>
                      <w:sz w:val="21"/>
                      <w:szCs w:val="21"/>
                      <w:lang w:val="en-US" w:eastAsia="zh-CN"/>
                    </w:rPr>
                  </w:pPr>
                  <w:r>
                    <w:rPr>
                      <w:rFonts w:hint="eastAsia" w:cs="Times New Roman"/>
                      <w:color w:val="000000"/>
                      <w:sz w:val="21"/>
                      <w:szCs w:val="21"/>
                      <w:lang w:val="en-US" w:eastAsia="zh-CN"/>
                    </w:rPr>
                    <w:t>44.2</w:t>
                  </w:r>
                </w:p>
              </w:tc>
              <w:tc>
                <w:tcPr>
                  <w:tcW w:w="628" w:type="pct"/>
                  <w:vAlign w:val="center"/>
                </w:tcPr>
                <w:p w14:paraId="184C2380">
                  <w:pPr>
                    <w:pageBreakBefore w:val="0"/>
                    <w:widowControl/>
                    <w:wordWrap/>
                    <w:bidi w:val="0"/>
                    <w:adjustRightInd w:val="0"/>
                    <w:snapToGrid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w:t>
                  </w:r>
                </w:p>
              </w:tc>
              <w:tc>
                <w:tcPr>
                  <w:tcW w:w="639" w:type="pct"/>
                  <w:vAlign w:val="center"/>
                </w:tcPr>
                <w:p w14:paraId="4D8E5A94">
                  <w:pPr>
                    <w:pageBreakBefore w:val="0"/>
                    <w:widowControl/>
                    <w:wordWrap/>
                    <w:bidi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50</w:t>
                  </w:r>
                </w:p>
              </w:tc>
              <w:tc>
                <w:tcPr>
                  <w:tcW w:w="674" w:type="pct"/>
                  <w:vAlign w:val="center"/>
                </w:tcPr>
                <w:p w14:paraId="6E5E40A3">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63553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261F8B94">
                  <w:pPr>
                    <w:pStyle w:val="174"/>
                    <w:spacing w:line="240" w:lineRule="auto"/>
                    <w:ind w:firstLine="0" w:firstLineChars="0"/>
                    <w:jc w:val="center"/>
                    <w:rPr>
                      <w:rFonts w:hint="eastAsia" w:cs="Times New Roman"/>
                      <w:sz w:val="21"/>
                      <w:szCs w:val="21"/>
                      <w:lang w:eastAsia="zh-CN"/>
                    </w:rPr>
                  </w:pPr>
                  <w:r>
                    <w:rPr>
                      <w:rFonts w:hint="eastAsia" w:cs="Times New Roman"/>
                      <w:sz w:val="21"/>
                      <w:szCs w:val="21"/>
                      <w:lang w:val="en-US" w:eastAsia="zh-CN"/>
                    </w:rPr>
                    <w:t>西</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610" w:type="pct"/>
                  <w:vAlign w:val="center"/>
                </w:tcPr>
                <w:p w14:paraId="27202F05">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41.2</w:t>
                  </w:r>
                </w:p>
              </w:tc>
              <w:tc>
                <w:tcPr>
                  <w:tcW w:w="632" w:type="pct"/>
                  <w:vAlign w:val="center"/>
                </w:tcPr>
                <w:p w14:paraId="66A82A64">
                  <w:pPr>
                    <w:keepNext w:val="0"/>
                    <w:keepLines w:val="0"/>
                    <w:widowControl/>
                    <w:suppressLineNumbers w:val="0"/>
                    <w:jc w:val="center"/>
                    <w:textAlignment w:val="center"/>
                    <w:rPr>
                      <w:rFonts w:hint="eastAsia" w:cs="Times New Roman"/>
                      <w:color w:val="000000"/>
                      <w:sz w:val="21"/>
                      <w:szCs w:val="21"/>
                      <w:lang w:val="en-US" w:eastAsia="zh-CN"/>
                    </w:rPr>
                  </w:pPr>
                  <w:r>
                    <w:rPr>
                      <w:rFonts w:hint="eastAsia" w:cs="Times New Roman"/>
                      <w:color w:val="000000"/>
                      <w:sz w:val="21"/>
                      <w:szCs w:val="21"/>
                      <w:lang w:val="en-US" w:eastAsia="zh-CN"/>
                    </w:rPr>
                    <w:t>41.2</w:t>
                  </w:r>
                </w:p>
              </w:tc>
              <w:tc>
                <w:tcPr>
                  <w:tcW w:w="628" w:type="pct"/>
                  <w:vAlign w:val="center"/>
                </w:tcPr>
                <w:p w14:paraId="1A5D8DBE">
                  <w:pPr>
                    <w:pageBreakBefore w:val="0"/>
                    <w:widowControl/>
                    <w:wordWrap/>
                    <w:bidi w:val="0"/>
                    <w:adjustRightInd w:val="0"/>
                    <w:snapToGrid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w:t>
                  </w:r>
                </w:p>
              </w:tc>
              <w:tc>
                <w:tcPr>
                  <w:tcW w:w="639" w:type="pct"/>
                  <w:vAlign w:val="center"/>
                </w:tcPr>
                <w:p w14:paraId="759E5DD3">
                  <w:pPr>
                    <w:pageBreakBefore w:val="0"/>
                    <w:widowControl/>
                    <w:wordWrap/>
                    <w:bidi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50</w:t>
                  </w:r>
                </w:p>
              </w:tc>
              <w:tc>
                <w:tcPr>
                  <w:tcW w:w="674" w:type="pct"/>
                  <w:vAlign w:val="center"/>
                </w:tcPr>
                <w:p w14:paraId="36D702A7">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2B7ED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4D0B4008">
                  <w:pPr>
                    <w:pStyle w:val="174"/>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北</w:t>
                  </w:r>
                  <w:r>
                    <w:rPr>
                      <w:rFonts w:hint="default" w:ascii="Times New Roman" w:hAnsi="Times New Roman" w:cs="Times New Roman"/>
                      <w:sz w:val="21"/>
                      <w:szCs w:val="21"/>
                    </w:rPr>
                    <w:t>厂界</w:t>
                  </w:r>
                  <w:r>
                    <w:rPr>
                      <w:rFonts w:hint="default" w:ascii="Times New Roman" w:hAnsi="Times New Roman" w:cs="Times New Roman"/>
                      <w:sz w:val="21"/>
                      <w:szCs w:val="21"/>
                      <w:lang w:eastAsia="zh-CN"/>
                    </w:rPr>
                    <w:t>外</w:t>
                  </w:r>
                  <w:r>
                    <w:rPr>
                      <w:rFonts w:hint="default" w:ascii="Times New Roman" w:hAnsi="Times New Roman" w:cs="Times New Roman"/>
                      <w:sz w:val="21"/>
                      <w:szCs w:val="21"/>
                      <w:lang w:val="en-US" w:eastAsia="zh-CN"/>
                    </w:rPr>
                    <w:t>1m处</w:t>
                  </w:r>
                </w:p>
              </w:tc>
              <w:tc>
                <w:tcPr>
                  <w:tcW w:w="610" w:type="pct"/>
                  <w:vAlign w:val="center"/>
                </w:tcPr>
                <w:p w14:paraId="4A45D96E">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43.8</w:t>
                  </w:r>
                </w:p>
              </w:tc>
              <w:tc>
                <w:tcPr>
                  <w:tcW w:w="632" w:type="pct"/>
                  <w:vAlign w:val="center"/>
                </w:tcPr>
                <w:p w14:paraId="2FED830E">
                  <w:pPr>
                    <w:keepNext w:val="0"/>
                    <w:keepLines w:val="0"/>
                    <w:widowControl/>
                    <w:suppressLineNumbers w:val="0"/>
                    <w:jc w:val="center"/>
                    <w:textAlignment w:val="center"/>
                    <w:rPr>
                      <w:rFonts w:hint="eastAsia" w:cs="Times New Roman"/>
                      <w:color w:val="000000"/>
                      <w:sz w:val="21"/>
                      <w:szCs w:val="21"/>
                      <w:lang w:val="en-US" w:eastAsia="zh-CN"/>
                    </w:rPr>
                  </w:pPr>
                  <w:r>
                    <w:rPr>
                      <w:rFonts w:hint="eastAsia" w:cs="Times New Roman"/>
                      <w:color w:val="000000"/>
                      <w:sz w:val="21"/>
                      <w:szCs w:val="21"/>
                      <w:lang w:val="en-US" w:eastAsia="zh-CN"/>
                    </w:rPr>
                    <w:t>43.8</w:t>
                  </w:r>
                </w:p>
              </w:tc>
              <w:tc>
                <w:tcPr>
                  <w:tcW w:w="628" w:type="pct"/>
                  <w:vAlign w:val="center"/>
                </w:tcPr>
                <w:p w14:paraId="18E8EE61">
                  <w:pPr>
                    <w:pageBreakBefore w:val="0"/>
                    <w:widowControl/>
                    <w:wordWrap/>
                    <w:bidi w:val="0"/>
                    <w:adjustRightInd w:val="0"/>
                    <w:snapToGrid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60</w:t>
                  </w:r>
                </w:p>
              </w:tc>
              <w:tc>
                <w:tcPr>
                  <w:tcW w:w="639" w:type="pct"/>
                  <w:vAlign w:val="center"/>
                </w:tcPr>
                <w:p w14:paraId="3163DDD5">
                  <w:pPr>
                    <w:pageBreakBefore w:val="0"/>
                    <w:widowControl/>
                    <w:wordWrap/>
                    <w:bidi w:val="0"/>
                    <w:spacing w:line="240"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50</w:t>
                  </w:r>
                </w:p>
              </w:tc>
              <w:tc>
                <w:tcPr>
                  <w:tcW w:w="674" w:type="pct"/>
                  <w:vAlign w:val="center"/>
                </w:tcPr>
                <w:p w14:paraId="1BEB3C21">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6FEA5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685B9EA6">
                  <w:pPr>
                    <w:jc w:val="center"/>
                    <w:rPr>
                      <w:rFonts w:hint="eastAsia" w:cs="Times New Roman"/>
                      <w:sz w:val="21"/>
                      <w:szCs w:val="21"/>
                      <w:lang w:eastAsia="zh-CN"/>
                    </w:rPr>
                  </w:pPr>
                  <w:r>
                    <w:rPr>
                      <w:rFonts w:hint="eastAsia" w:cs="Times New Roman"/>
                      <w:color w:val="auto"/>
                      <w:sz w:val="21"/>
                      <w:szCs w:val="21"/>
                      <w:lang w:val="en-US" w:eastAsia="zh-CN"/>
                    </w:rPr>
                    <w:t>金寨县关庙乡沙坪沟</w:t>
                  </w:r>
                </w:p>
              </w:tc>
              <w:tc>
                <w:tcPr>
                  <w:tcW w:w="610" w:type="pct"/>
                  <w:vAlign w:val="center"/>
                </w:tcPr>
                <w:p w14:paraId="248A7576">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40.6</w:t>
                  </w:r>
                </w:p>
              </w:tc>
              <w:tc>
                <w:tcPr>
                  <w:tcW w:w="632" w:type="pct"/>
                  <w:vAlign w:val="center"/>
                </w:tcPr>
                <w:p w14:paraId="168BE306">
                  <w:pPr>
                    <w:keepNext w:val="0"/>
                    <w:keepLines w:val="0"/>
                    <w:widowControl/>
                    <w:suppressLineNumbers w:val="0"/>
                    <w:jc w:val="center"/>
                    <w:textAlignment w:val="center"/>
                    <w:rPr>
                      <w:rFonts w:hint="eastAsia" w:cs="Times New Roman"/>
                      <w:color w:val="000000"/>
                      <w:sz w:val="21"/>
                      <w:szCs w:val="21"/>
                      <w:lang w:val="en-US" w:eastAsia="zh-CN"/>
                    </w:rPr>
                  </w:pPr>
                  <w:r>
                    <w:rPr>
                      <w:rFonts w:hint="eastAsia" w:cs="Times New Roman"/>
                      <w:color w:val="000000"/>
                      <w:sz w:val="21"/>
                      <w:szCs w:val="21"/>
                      <w:lang w:val="en-US" w:eastAsia="zh-CN"/>
                    </w:rPr>
                    <w:t>40.6</w:t>
                  </w:r>
                </w:p>
              </w:tc>
              <w:tc>
                <w:tcPr>
                  <w:tcW w:w="628" w:type="pct"/>
                  <w:vAlign w:val="center"/>
                </w:tcPr>
                <w:p w14:paraId="5862D86A">
                  <w:pPr>
                    <w:pageBreakBefore w:val="0"/>
                    <w:widowControl/>
                    <w:wordWrap/>
                    <w:bidi w:val="0"/>
                    <w:adjustRightInd w:val="0"/>
                    <w:snapToGrid w:val="0"/>
                    <w:spacing w:line="240" w:lineRule="auto"/>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55</w:t>
                  </w:r>
                </w:p>
              </w:tc>
              <w:tc>
                <w:tcPr>
                  <w:tcW w:w="639" w:type="pct"/>
                  <w:vAlign w:val="center"/>
                </w:tcPr>
                <w:p w14:paraId="690029B9">
                  <w:pPr>
                    <w:pageBreakBefore w:val="0"/>
                    <w:widowControl/>
                    <w:wordWrap/>
                    <w:bidi w:val="0"/>
                    <w:spacing w:line="240" w:lineRule="auto"/>
                    <w:jc w:val="center"/>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45</w:t>
                  </w:r>
                </w:p>
              </w:tc>
              <w:tc>
                <w:tcPr>
                  <w:tcW w:w="674" w:type="pct"/>
                  <w:vAlign w:val="center"/>
                </w:tcPr>
                <w:p w14:paraId="1EBF5149">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72671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24595E31">
                  <w:pPr>
                    <w:jc w:val="center"/>
                    <w:rPr>
                      <w:rFonts w:hint="eastAsia" w:cs="Times New Roman"/>
                      <w:sz w:val="21"/>
                      <w:szCs w:val="21"/>
                      <w:lang w:val="en-US" w:eastAsia="zh-CN"/>
                    </w:rPr>
                  </w:pPr>
                  <w:r>
                    <w:rPr>
                      <w:rFonts w:hint="eastAsia" w:cs="Times New Roman"/>
                      <w:color w:val="auto"/>
                      <w:sz w:val="21"/>
                      <w:szCs w:val="21"/>
                      <w:lang w:val="en-US" w:eastAsia="zh-CN"/>
                    </w:rPr>
                    <w:t>金寨县关庙乡橡岭岗</w:t>
                  </w:r>
                </w:p>
              </w:tc>
              <w:tc>
                <w:tcPr>
                  <w:tcW w:w="610" w:type="pct"/>
                  <w:vAlign w:val="center"/>
                </w:tcPr>
                <w:p w14:paraId="3F7F5A47">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43.3</w:t>
                  </w:r>
                </w:p>
              </w:tc>
              <w:tc>
                <w:tcPr>
                  <w:tcW w:w="1136" w:type="dxa"/>
                  <w:vAlign w:val="center"/>
                </w:tcPr>
                <w:p w14:paraId="0991893D">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43.3</w:t>
                  </w:r>
                </w:p>
              </w:tc>
              <w:tc>
                <w:tcPr>
                  <w:tcW w:w="628" w:type="pct"/>
                  <w:vAlign w:val="center"/>
                </w:tcPr>
                <w:p w14:paraId="4E86D358">
                  <w:pPr>
                    <w:pageBreakBefore w:val="0"/>
                    <w:widowControl/>
                    <w:wordWrap/>
                    <w:bidi w:val="0"/>
                    <w:adjustRightInd w:val="0"/>
                    <w:snapToGrid w:val="0"/>
                    <w:spacing w:line="240" w:lineRule="auto"/>
                    <w:jc w:val="center"/>
                    <w:rPr>
                      <w:rFonts w:hint="eastAsia" w:cs="Times New Roman"/>
                      <w:color w:val="000000"/>
                      <w:sz w:val="21"/>
                      <w:szCs w:val="21"/>
                      <w:lang w:val="en-US" w:eastAsia="zh-CN"/>
                    </w:rPr>
                  </w:pPr>
                  <w:r>
                    <w:rPr>
                      <w:rFonts w:hint="eastAsia" w:cs="Times New Roman"/>
                      <w:color w:val="000000"/>
                      <w:sz w:val="21"/>
                      <w:szCs w:val="21"/>
                      <w:lang w:val="en-US" w:eastAsia="zh-CN"/>
                    </w:rPr>
                    <w:t>55</w:t>
                  </w:r>
                </w:p>
              </w:tc>
              <w:tc>
                <w:tcPr>
                  <w:tcW w:w="639" w:type="pct"/>
                  <w:vAlign w:val="center"/>
                </w:tcPr>
                <w:p w14:paraId="1EE35C58">
                  <w:pPr>
                    <w:pageBreakBefore w:val="0"/>
                    <w:widowControl/>
                    <w:wordWrap/>
                    <w:bidi w:val="0"/>
                    <w:spacing w:line="240" w:lineRule="auto"/>
                    <w:jc w:val="center"/>
                    <w:rPr>
                      <w:rFonts w:hint="eastAsia" w:cs="Times New Roman"/>
                      <w:color w:val="000000"/>
                      <w:sz w:val="21"/>
                      <w:szCs w:val="21"/>
                      <w:lang w:val="en-US" w:eastAsia="zh-CN"/>
                    </w:rPr>
                  </w:pPr>
                  <w:r>
                    <w:rPr>
                      <w:rFonts w:hint="eastAsia" w:cs="Times New Roman"/>
                      <w:color w:val="000000"/>
                      <w:sz w:val="21"/>
                      <w:szCs w:val="21"/>
                      <w:lang w:val="en-US" w:eastAsia="zh-CN"/>
                    </w:rPr>
                    <w:t>45</w:t>
                  </w:r>
                </w:p>
              </w:tc>
              <w:tc>
                <w:tcPr>
                  <w:tcW w:w="674" w:type="pct"/>
                  <w:vAlign w:val="center"/>
                </w:tcPr>
                <w:p w14:paraId="318BE573">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r w14:paraId="4F25C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815" w:type="pct"/>
                  <w:vAlign w:val="center"/>
                </w:tcPr>
                <w:p w14:paraId="1295C645">
                  <w:pPr>
                    <w:jc w:val="center"/>
                    <w:rPr>
                      <w:rFonts w:hint="eastAsia" w:cs="Times New Roman"/>
                      <w:sz w:val="21"/>
                      <w:szCs w:val="21"/>
                      <w:lang w:val="en-US" w:eastAsia="zh-CN"/>
                    </w:rPr>
                  </w:pPr>
                  <w:r>
                    <w:rPr>
                      <w:rFonts w:hint="eastAsia" w:cs="Times New Roman"/>
                      <w:color w:val="auto"/>
                      <w:sz w:val="21"/>
                      <w:szCs w:val="21"/>
                      <w:lang w:val="en-US" w:eastAsia="zh-CN"/>
                    </w:rPr>
                    <w:t>金寨县关庙乡詹家湾</w:t>
                  </w:r>
                </w:p>
              </w:tc>
              <w:tc>
                <w:tcPr>
                  <w:tcW w:w="610" w:type="pct"/>
                  <w:vAlign w:val="center"/>
                </w:tcPr>
                <w:p w14:paraId="57EF690F">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42.6</w:t>
                  </w:r>
                </w:p>
              </w:tc>
              <w:tc>
                <w:tcPr>
                  <w:tcW w:w="1136" w:type="dxa"/>
                  <w:vAlign w:val="center"/>
                </w:tcPr>
                <w:p w14:paraId="3B2B470F">
                  <w:pPr>
                    <w:keepNext w:val="0"/>
                    <w:keepLines w:val="0"/>
                    <w:widowControl/>
                    <w:suppressLineNumbers w:val="0"/>
                    <w:jc w:val="center"/>
                    <w:textAlignment w:val="center"/>
                    <w:rPr>
                      <w:rFonts w:hint="default" w:cs="Times New Roman"/>
                      <w:color w:val="000000"/>
                      <w:sz w:val="21"/>
                      <w:szCs w:val="21"/>
                      <w:lang w:val="en-US" w:eastAsia="zh-CN"/>
                    </w:rPr>
                  </w:pPr>
                  <w:r>
                    <w:rPr>
                      <w:rFonts w:hint="eastAsia" w:cs="Times New Roman"/>
                      <w:color w:val="000000"/>
                      <w:sz w:val="21"/>
                      <w:szCs w:val="21"/>
                      <w:lang w:val="en-US" w:eastAsia="zh-CN"/>
                    </w:rPr>
                    <w:t>42.6</w:t>
                  </w:r>
                </w:p>
              </w:tc>
              <w:tc>
                <w:tcPr>
                  <w:tcW w:w="628" w:type="pct"/>
                  <w:vAlign w:val="center"/>
                </w:tcPr>
                <w:p w14:paraId="635F58F6">
                  <w:pPr>
                    <w:pageBreakBefore w:val="0"/>
                    <w:widowControl/>
                    <w:wordWrap/>
                    <w:bidi w:val="0"/>
                    <w:adjustRightInd w:val="0"/>
                    <w:snapToGrid w:val="0"/>
                    <w:spacing w:line="240" w:lineRule="auto"/>
                    <w:jc w:val="center"/>
                    <w:rPr>
                      <w:rFonts w:hint="eastAsia" w:cs="Times New Roman"/>
                      <w:color w:val="000000"/>
                      <w:sz w:val="21"/>
                      <w:szCs w:val="21"/>
                      <w:lang w:val="en-US" w:eastAsia="zh-CN"/>
                    </w:rPr>
                  </w:pPr>
                  <w:r>
                    <w:rPr>
                      <w:rFonts w:hint="eastAsia" w:cs="Times New Roman"/>
                      <w:color w:val="000000"/>
                      <w:sz w:val="21"/>
                      <w:szCs w:val="21"/>
                      <w:lang w:val="en-US" w:eastAsia="zh-CN"/>
                    </w:rPr>
                    <w:t>55</w:t>
                  </w:r>
                </w:p>
              </w:tc>
              <w:tc>
                <w:tcPr>
                  <w:tcW w:w="639" w:type="pct"/>
                  <w:vAlign w:val="center"/>
                </w:tcPr>
                <w:p w14:paraId="533C3C74">
                  <w:pPr>
                    <w:pageBreakBefore w:val="0"/>
                    <w:widowControl/>
                    <w:wordWrap/>
                    <w:bidi w:val="0"/>
                    <w:spacing w:line="240" w:lineRule="auto"/>
                    <w:jc w:val="center"/>
                    <w:rPr>
                      <w:rFonts w:hint="eastAsia" w:cs="Times New Roman"/>
                      <w:color w:val="000000"/>
                      <w:sz w:val="21"/>
                      <w:szCs w:val="21"/>
                      <w:lang w:val="en-US" w:eastAsia="zh-CN"/>
                    </w:rPr>
                  </w:pPr>
                  <w:r>
                    <w:rPr>
                      <w:rFonts w:hint="eastAsia" w:cs="Times New Roman"/>
                      <w:color w:val="000000"/>
                      <w:sz w:val="21"/>
                      <w:szCs w:val="21"/>
                      <w:lang w:val="en-US" w:eastAsia="zh-CN"/>
                    </w:rPr>
                    <w:t>45</w:t>
                  </w:r>
                </w:p>
              </w:tc>
              <w:tc>
                <w:tcPr>
                  <w:tcW w:w="674" w:type="pct"/>
                  <w:vAlign w:val="center"/>
                </w:tcPr>
                <w:p w14:paraId="1A5A0A7F">
                  <w:pPr>
                    <w:pageBreakBefore w:val="0"/>
                    <w:widowControl/>
                    <w:wordWrap/>
                    <w:bidi w:val="0"/>
                    <w:spacing w:line="240" w:lineRule="auto"/>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w:t>
                  </w:r>
                </w:p>
              </w:tc>
            </w:tr>
          </w:tbl>
          <w:p w14:paraId="0D8D889E">
            <w:pPr>
              <w:pageBreakBefore w:val="0"/>
              <w:widowControl/>
              <w:wordWrap/>
              <w:bidi w:val="0"/>
              <w:spacing w:before="120" w:beforeLines="50" w:line="360" w:lineRule="auto"/>
              <w:ind w:firstLine="480" w:firstLineChars="200"/>
              <w:jc w:val="both"/>
              <w:rPr>
                <w:rFonts w:ascii="Times New Roman" w:hAnsi="Times New Roman" w:eastAsia="宋体" w:cs="Times New Roman"/>
                <w:color w:val="000000"/>
                <w:sz w:val="24"/>
                <w:szCs w:val="24"/>
              </w:rPr>
            </w:pPr>
            <w:r>
              <w:rPr>
                <w:rFonts w:ascii="Times New Roman" w:hAnsi="Times New Roman" w:eastAsia="宋体" w:cs="Times New Roman"/>
                <w:color w:val="000000"/>
                <w:sz w:val="24"/>
                <w:szCs w:val="24"/>
              </w:rPr>
              <w:t>预测结果表明，项目建成运行后，</w:t>
            </w:r>
            <w:r>
              <w:rPr>
                <w:rFonts w:hint="eastAsia" w:cs="Times New Roman"/>
                <w:color w:val="000000"/>
                <w:sz w:val="24"/>
                <w:szCs w:val="24"/>
                <w:lang w:eastAsia="zh-CN"/>
              </w:rPr>
              <w:t>东、南、</w:t>
            </w:r>
            <w:r>
              <w:rPr>
                <w:rFonts w:hint="eastAsia" w:cs="Times New Roman"/>
                <w:color w:val="000000"/>
                <w:sz w:val="24"/>
                <w:szCs w:val="24"/>
                <w:lang w:val="en-US" w:eastAsia="zh-CN"/>
              </w:rPr>
              <w:t>西、</w:t>
            </w:r>
            <w:r>
              <w:rPr>
                <w:rFonts w:hint="eastAsia" w:cs="Times New Roman"/>
                <w:color w:val="000000"/>
                <w:sz w:val="24"/>
                <w:szCs w:val="24"/>
                <w:lang w:eastAsia="zh-CN"/>
              </w:rPr>
              <w:t>北厂界噪声贡献值满足《工业企业厂界环境噪声排放标准》（GB12348-2008）中</w:t>
            </w:r>
            <w:r>
              <w:rPr>
                <w:rFonts w:hint="eastAsia" w:cs="Times New Roman"/>
                <w:color w:val="000000"/>
                <w:sz w:val="24"/>
                <w:szCs w:val="24"/>
                <w:lang w:val="en-US" w:eastAsia="zh-CN"/>
              </w:rPr>
              <w:t>2</w:t>
            </w:r>
            <w:r>
              <w:rPr>
                <w:rFonts w:hint="eastAsia" w:cs="Times New Roman"/>
                <w:color w:val="000000"/>
                <w:sz w:val="24"/>
                <w:szCs w:val="24"/>
                <w:lang w:eastAsia="zh-CN"/>
              </w:rPr>
              <w:t>类标准要求；</w:t>
            </w:r>
            <w:r>
              <w:rPr>
                <w:rFonts w:hint="eastAsia" w:cs="Times New Roman"/>
                <w:color w:val="000000"/>
                <w:sz w:val="24"/>
                <w:szCs w:val="24"/>
                <w:lang w:val="en-US" w:eastAsia="zh-CN"/>
              </w:rPr>
              <w:t>厂界外敏感点</w:t>
            </w:r>
            <w:r>
              <w:rPr>
                <w:rFonts w:hint="eastAsia" w:cs="Times New Roman"/>
                <w:color w:val="000000"/>
                <w:sz w:val="24"/>
                <w:szCs w:val="24"/>
                <w:lang w:eastAsia="zh-CN"/>
              </w:rPr>
              <w:t>噪声贡献值满足《工业企业厂界环境噪声排放标准》（GB12348-2008）中</w:t>
            </w:r>
            <w:r>
              <w:rPr>
                <w:rFonts w:hint="eastAsia" w:cs="Times New Roman"/>
                <w:color w:val="000000"/>
                <w:sz w:val="24"/>
                <w:szCs w:val="24"/>
                <w:lang w:val="en-US" w:eastAsia="zh-CN"/>
              </w:rPr>
              <w:t>1</w:t>
            </w:r>
            <w:r>
              <w:rPr>
                <w:rFonts w:hint="eastAsia" w:cs="Times New Roman"/>
                <w:color w:val="000000"/>
                <w:sz w:val="24"/>
                <w:szCs w:val="24"/>
                <w:lang w:eastAsia="zh-CN"/>
              </w:rPr>
              <w:t>类标准要求</w:t>
            </w:r>
            <w:r>
              <w:rPr>
                <w:rFonts w:ascii="Times New Roman" w:hAnsi="Times New Roman" w:eastAsia="宋体" w:cs="Times New Roman"/>
                <w:color w:val="000000"/>
                <w:sz w:val="24"/>
                <w:szCs w:val="24"/>
              </w:rPr>
              <w:t>。</w:t>
            </w:r>
          </w:p>
          <w:p w14:paraId="4F250EA6">
            <w:pPr>
              <w:pageBreakBefore w:val="0"/>
              <w:widowControl/>
              <w:wordWrap/>
              <w:bidi w:val="0"/>
              <w:spacing w:before="0" w:beforeLines="0" w:line="360" w:lineRule="auto"/>
              <w:ind w:firstLine="482" w:firstLineChars="200"/>
              <w:jc w:val="both"/>
              <w:rPr>
                <w:rFonts w:hint="default" w:ascii="Times New Roman" w:hAnsi="Times New Roman" w:eastAsia="宋体" w:cs="Times New Roman"/>
                <w:b/>
                <w:bCs/>
                <w:color w:val="000000"/>
                <w:sz w:val="24"/>
                <w:szCs w:val="24"/>
                <w:lang w:val="en-US" w:eastAsia="zh-CN"/>
              </w:rPr>
            </w:pPr>
            <w:r>
              <w:rPr>
                <w:rFonts w:hint="eastAsia" w:cs="Times New Roman"/>
                <w:b/>
                <w:bCs/>
                <w:color w:val="000000"/>
                <w:sz w:val="24"/>
                <w:szCs w:val="24"/>
                <w:lang w:val="en-US" w:eastAsia="zh-CN"/>
              </w:rPr>
              <w:t>4.8.1.2输电线路声环境影响分析</w:t>
            </w:r>
          </w:p>
          <w:p w14:paraId="0179C475">
            <w:pPr>
              <w:pageBreakBefore w:val="0"/>
              <w:widowControl/>
              <w:wordWrap/>
              <w:bidi w:val="0"/>
              <w:spacing w:before="0" w:beforeLines="0" w:line="360" w:lineRule="auto"/>
              <w:ind w:firstLine="480" w:firstLineChars="200"/>
              <w:jc w:val="both"/>
              <w:rPr>
                <w:rFonts w:hint="eastAsia" w:cs="Times New Roman"/>
                <w:color w:val="000000"/>
                <w:sz w:val="24"/>
                <w:szCs w:val="24"/>
                <w:lang w:eastAsia="zh-CN"/>
              </w:rPr>
            </w:pPr>
            <w:r>
              <w:rPr>
                <w:rFonts w:hint="eastAsia" w:cs="Times New Roman"/>
                <w:color w:val="000000"/>
                <w:sz w:val="24"/>
                <w:szCs w:val="24"/>
                <w:lang w:val="en-US" w:eastAsia="zh-CN"/>
              </w:rPr>
              <w:t>本工程架空输电线路采用同塔单回路架设，根据《环境影响评价技术导则 输变电》（HJ24-2020），本次环评采用类比分析的方法评价不同架设方式时输电线路运行期的声环境影响。</w:t>
            </w:r>
          </w:p>
          <w:p w14:paraId="2735644A">
            <w:pPr>
              <w:pageBreakBefore w:val="0"/>
              <w:widowControl/>
              <w:wordWrap/>
              <w:bidi w:val="0"/>
              <w:spacing w:before="0" w:beforeLines="0" w:line="360" w:lineRule="auto"/>
              <w:ind w:firstLine="480" w:firstLineChars="200"/>
              <w:jc w:val="both"/>
              <w:rPr>
                <w:rFonts w:hint="default" w:ascii="Times New Roman" w:hAnsi="Times New Roman" w:eastAsia="宋体" w:cs="Times New Roman"/>
                <w:color w:val="000000"/>
                <w:sz w:val="24"/>
                <w:szCs w:val="24"/>
                <w:lang w:val="en-US" w:eastAsia="zh-CN"/>
              </w:rPr>
            </w:pPr>
            <w:r>
              <w:rPr>
                <w:rFonts w:hint="eastAsia" w:cs="Times New Roman"/>
                <w:color w:val="000000"/>
                <w:sz w:val="24"/>
                <w:szCs w:val="24"/>
                <w:lang w:eastAsia="zh-CN"/>
              </w:rPr>
              <w:t>（</w:t>
            </w:r>
            <w:r>
              <w:rPr>
                <w:rFonts w:hint="eastAsia" w:cs="Times New Roman"/>
                <w:color w:val="000000"/>
                <w:sz w:val="24"/>
                <w:szCs w:val="24"/>
                <w:lang w:val="en-US" w:eastAsia="zh-CN"/>
              </w:rPr>
              <w:t>1</w:t>
            </w:r>
            <w:r>
              <w:rPr>
                <w:rFonts w:hint="eastAsia" w:cs="Times New Roman"/>
                <w:color w:val="000000"/>
                <w:sz w:val="24"/>
                <w:szCs w:val="24"/>
                <w:lang w:eastAsia="zh-CN"/>
              </w:rPr>
              <w:t>）</w:t>
            </w:r>
            <w:r>
              <w:rPr>
                <w:rFonts w:hint="eastAsia" w:cs="Times New Roman"/>
                <w:color w:val="000000"/>
                <w:sz w:val="24"/>
                <w:szCs w:val="24"/>
                <w:lang w:val="en-US" w:eastAsia="zh-CN"/>
              </w:rPr>
              <w:t>类比对象</w:t>
            </w:r>
          </w:p>
          <w:p w14:paraId="75D8E6AB">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本次评价根据输电线路电压等级、架线形式、线高、环境条件、运行工况等因素，选择阜阳</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孙胡</w:t>
            </w:r>
            <w:r>
              <w:rPr>
                <w:rFonts w:hint="default" w:ascii="Times New Roman" w:hAnsi="Times New Roman" w:eastAsia="宋体" w:cs="Times New Roman"/>
                <w:color w:val="000000"/>
                <w:sz w:val="24"/>
                <w:szCs w:val="24"/>
                <w:lang w:val="en-US" w:eastAsia="zh-CN"/>
              </w:rPr>
              <w:t>506</w:t>
            </w:r>
            <w:r>
              <w:rPr>
                <w:rFonts w:hint="eastAsia" w:ascii="Times New Roman" w:hAnsi="Times New Roman" w:eastAsia="宋体" w:cs="Times New Roman"/>
                <w:color w:val="000000"/>
                <w:sz w:val="24"/>
                <w:szCs w:val="24"/>
                <w:lang w:val="en-US" w:eastAsia="zh-CN"/>
              </w:rPr>
              <w:t>线作为本工程单回线路的类比对象。本工程单回线路与类比线路的可比性分析见</w:t>
            </w:r>
            <w:r>
              <w:rPr>
                <w:rFonts w:hint="eastAsia" w:cs="Times New Roman"/>
                <w:color w:val="000000"/>
                <w:sz w:val="24"/>
                <w:szCs w:val="24"/>
                <w:lang w:val="en-US" w:eastAsia="zh-CN"/>
              </w:rPr>
              <w:t>下表</w:t>
            </w:r>
            <w:r>
              <w:rPr>
                <w:rFonts w:hint="eastAsia" w:ascii="Times New Roman" w:hAnsi="Times New Roman" w:eastAsia="宋体" w:cs="Times New Roman"/>
                <w:color w:val="000000"/>
                <w:sz w:val="24"/>
                <w:szCs w:val="24"/>
                <w:lang w:val="en-US" w:eastAsia="zh-CN"/>
              </w:rPr>
              <w:t>。</w:t>
            </w:r>
          </w:p>
          <w:p w14:paraId="6BEB594E">
            <w:pPr>
              <w:widowControl/>
              <w:kinsoku/>
              <w:autoSpaceDE w:val="0"/>
              <w:autoSpaceDN w:val="0"/>
              <w:adjustRightInd w:val="0"/>
              <w:snapToGrid w:val="0"/>
              <w:spacing w:before="27" w:line="212" w:lineRule="auto"/>
              <w:jc w:val="center"/>
              <w:textAlignment w:val="baseline"/>
              <w:rPr>
                <w:rFonts w:hint="default" w:ascii="Times New Roman" w:hAnsi="Times New Roman" w:eastAsia="宋体" w:cs="Times New Roman"/>
                <w:b/>
                <w:bCs/>
                <w:snapToGrid w:val="0"/>
                <w:color w:val="000000"/>
                <w:kern w:val="0"/>
                <w:sz w:val="21"/>
                <w:szCs w:val="21"/>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15</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w:t>
            </w:r>
            <w:r>
              <w:rPr>
                <w:rFonts w:hint="default" w:ascii="Times New Roman" w:hAnsi="Times New Roman" w:eastAsia="宋体" w:cs="Times New Roman"/>
                <w:b/>
                <w:bCs/>
                <w:snapToGrid w:val="0"/>
                <w:color w:val="000000"/>
                <w:spacing w:val="-2"/>
                <w:kern w:val="0"/>
                <w:sz w:val="21"/>
                <w:szCs w:val="21"/>
                <w:lang w:val="en-US" w:eastAsia="zh-CN"/>
              </w:rPr>
              <w:t>本工程输电线路与类比线路对比情况表</w:t>
            </w:r>
          </w:p>
          <w:tbl>
            <w:tblPr>
              <w:tblStyle w:val="209"/>
              <w:tblW w:w="4993"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35"/>
              <w:gridCol w:w="2755"/>
              <w:gridCol w:w="3582"/>
              <w:gridCol w:w="1605"/>
            </w:tblGrid>
            <w:tr w14:paraId="260880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36138EC7">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spacing w:val="-2"/>
                      <w:kern w:val="0"/>
                      <w:sz w:val="21"/>
                      <w:szCs w:val="21"/>
                      <w:lang w:val="en-US" w:eastAsia="zh-CN"/>
                    </w:rPr>
                  </w:pPr>
                  <w:r>
                    <w:rPr>
                      <w:rFonts w:hint="eastAsia" w:ascii="宋体" w:hAnsi="宋体" w:cs="宋体"/>
                      <w:b/>
                      <w:bCs/>
                      <w:snapToGrid w:val="0"/>
                      <w:color w:val="000000"/>
                      <w:spacing w:val="-2"/>
                      <w:kern w:val="0"/>
                      <w:sz w:val="21"/>
                      <w:szCs w:val="21"/>
                      <w:lang w:val="en-US" w:eastAsia="zh-CN"/>
                    </w:rPr>
                    <w:t>项目</w:t>
                  </w:r>
                </w:p>
              </w:tc>
              <w:tc>
                <w:tcPr>
                  <w:tcW w:w="1534" w:type="pct"/>
                  <w:vAlign w:val="center"/>
                </w:tcPr>
                <w:p w14:paraId="52E4BF54">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cs="Times New Roman"/>
                      <w:b/>
                      <w:bCs/>
                      <w:snapToGrid w:val="0"/>
                      <w:color w:val="000000"/>
                      <w:kern w:val="0"/>
                      <w:sz w:val="21"/>
                      <w:szCs w:val="21"/>
                      <w:lang w:val="en-US" w:eastAsia="zh-CN"/>
                    </w:rPr>
                    <w:t>本工程</w:t>
                  </w:r>
                  <w:r>
                    <w:rPr>
                      <w:rFonts w:hint="default" w:ascii="Times New Roman" w:hAnsi="Times New Roman" w:eastAsia="宋体" w:cs="Times New Roman"/>
                      <w:b/>
                      <w:bCs/>
                      <w:snapToGrid w:val="0"/>
                      <w:color w:val="000000"/>
                      <w:kern w:val="0"/>
                      <w:sz w:val="21"/>
                      <w:szCs w:val="21"/>
                      <w:lang w:val="en-US" w:eastAsia="zh-CN"/>
                    </w:rPr>
                    <w:t>110kV</w:t>
                  </w:r>
                  <w:r>
                    <w:rPr>
                      <w:rFonts w:hint="default" w:ascii="Times New Roman" w:hAnsi="Times New Roman" w:cs="Times New Roman"/>
                      <w:b/>
                      <w:bCs/>
                      <w:snapToGrid w:val="0"/>
                      <w:color w:val="000000"/>
                      <w:kern w:val="0"/>
                      <w:sz w:val="21"/>
                      <w:szCs w:val="21"/>
                      <w:lang w:val="en-US" w:eastAsia="zh-CN"/>
                    </w:rPr>
                    <w:t>输电线路</w:t>
                  </w:r>
                </w:p>
              </w:tc>
              <w:tc>
                <w:tcPr>
                  <w:tcW w:w="1995" w:type="pct"/>
                  <w:vAlign w:val="center"/>
                </w:tcPr>
                <w:p w14:paraId="1B117954">
                  <w:pPr>
                    <w:widowControl/>
                    <w:kinsoku/>
                    <w:autoSpaceDE w:val="0"/>
                    <w:autoSpaceDN w:val="0"/>
                    <w:adjustRightInd w:val="0"/>
                    <w:snapToGrid w:val="0"/>
                    <w:spacing w:before="63"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阜阳110kV孙胡506线</w:t>
                  </w:r>
                </w:p>
              </w:tc>
              <w:tc>
                <w:tcPr>
                  <w:tcW w:w="894" w:type="pct"/>
                  <w:vAlign w:val="center"/>
                </w:tcPr>
                <w:p w14:paraId="0EE97611">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kern w:val="0"/>
                      <w:sz w:val="21"/>
                      <w:szCs w:val="21"/>
                      <w:lang w:val="en-US" w:eastAsia="zh-CN"/>
                    </w:rPr>
                  </w:pPr>
                  <w:r>
                    <w:rPr>
                      <w:rFonts w:hint="eastAsia" w:ascii="宋体" w:hAnsi="宋体" w:cs="宋体"/>
                      <w:b/>
                      <w:bCs/>
                      <w:snapToGrid w:val="0"/>
                      <w:color w:val="000000"/>
                      <w:kern w:val="0"/>
                      <w:sz w:val="21"/>
                      <w:szCs w:val="21"/>
                      <w:lang w:val="en-US" w:eastAsia="zh-CN"/>
                    </w:rPr>
                    <w:t>可比性分析</w:t>
                  </w:r>
                </w:p>
              </w:tc>
            </w:tr>
            <w:tr w14:paraId="4611C1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5ECF4B8C">
                  <w:pPr>
                    <w:widowControl/>
                    <w:kinsoku/>
                    <w:autoSpaceDE w:val="0"/>
                    <w:autoSpaceDN w:val="0"/>
                    <w:adjustRightInd w:val="0"/>
                    <w:snapToGrid w:val="0"/>
                    <w:spacing w:before="98"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电压等级</w:t>
                  </w:r>
                </w:p>
              </w:tc>
              <w:tc>
                <w:tcPr>
                  <w:tcW w:w="1534" w:type="pct"/>
                  <w:vAlign w:val="center"/>
                </w:tcPr>
                <w:p w14:paraId="3CB54C73">
                  <w:pPr>
                    <w:widowControl/>
                    <w:kinsoku/>
                    <w:autoSpaceDE w:val="0"/>
                    <w:autoSpaceDN w:val="0"/>
                    <w:adjustRightInd w:val="0"/>
                    <w:snapToGrid w:val="0"/>
                    <w:spacing w:before="98" w:line="187" w:lineRule="auto"/>
                    <w:jc w:val="center"/>
                    <w:textAlignment w:val="baseline"/>
                    <w:rPr>
                      <w:rFonts w:ascii="Times New Roman" w:hAnsi="Times New Roman" w:eastAsia="Times New Roman" w:cs="Times New Roman"/>
                      <w:snapToGrid w:val="0"/>
                      <w:color w:val="000000"/>
                      <w:kern w:val="0"/>
                      <w:sz w:val="21"/>
                      <w:szCs w:val="21"/>
                    </w:rPr>
                  </w:pPr>
                  <w:r>
                    <w:rPr>
                      <w:rFonts w:hint="default" w:ascii="Times New Roman" w:hAnsi="Times New Roman" w:eastAsia="宋体" w:cs="Times New Roman"/>
                      <w:b w:val="0"/>
                      <w:bCs w:val="0"/>
                      <w:snapToGrid w:val="0"/>
                      <w:color w:val="000000"/>
                      <w:kern w:val="0"/>
                      <w:sz w:val="21"/>
                      <w:szCs w:val="21"/>
                      <w:lang w:val="en-US" w:eastAsia="zh-CN"/>
                    </w:rPr>
                    <w:t>110kV</w:t>
                  </w:r>
                </w:p>
              </w:tc>
              <w:tc>
                <w:tcPr>
                  <w:tcW w:w="1995" w:type="pct"/>
                  <w:vAlign w:val="center"/>
                </w:tcPr>
                <w:p w14:paraId="675EAA26">
                  <w:pPr>
                    <w:pStyle w:val="174"/>
                    <w:spacing w:line="240" w:lineRule="auto"/>
                    <w:ind w:firstLine="0" w:firstLineChars="0"/>
                    <w:jc w:val="center"/>
                    <w:rPr>
                      <w:rFonts w:ascii="宋体" w:hAnsi="宋体" w:eastAsia="宋体" w:cs="宋体"/>
                      <w:snapToGrid w:val="0"/>
                      <w:color w:val="000000"/>
                      <w:kern w:val="0"/>
                      <w:sz w:val="21"/>
                      <w:szCs w:val="21"/>
                    </w:rPr>
                  </w:pPr>
                  <w:r>
                    <w:rPr>
                      <w:rFonts w:hint="default" w:ascii="Times New Roman" w:hAnsi="Times New Roman" w:eastAsia="宋体" w:cs="Times New Roman"/>
                      <w:b w:val="0"/>
                      <w:bCs w:val="0"/>
                      <w:snapToGrid w:val="0"/>
                      <w:color w:val="000000"/>
                      <w:kern w:val="0"/>
                      <w:sz w:val="21"/>
                      <w:szCs w:val="21"/>
                      <w:lang w:val="en-US" w:eastAsia="zh-CN"/>
                    </w:rPr>
                    <w:t>110kV</w:t>
                  </w:r>
                </w:p>
              </w:tc>
              <w:tc>
                <w:tcPr>
                  <w:tcW w:w="894" w:type="pct"/>
                  <w:vAlign w:val="center"/>
                </w:tcPr>
                <w:p w14:paraId="40E95AD4">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相同</w:t>
                  </w:r>
                </w:p>
              </w:tc>
            </w:tr>
            <w:tr w14:paraId="4854E6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6DCDAF06">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架线形式</w:t>
                  </w:r>
                </w:p>
              </w:tc>
              <w:tc>
                <w:tcPr>
                  <w:tcW w:w="1534" w:type="pct"/>
                  <w:vAlign w:val="center"/>
                </w:tcPr>
                <w:p w14:paraId="27661C65">
                  <w:pPr>
                    <w:widowControl/>
                    <w:kinsoku/>
                    <w:autoSpaceDE w:val="0"/>
                    <w:autoSpaceDN w:val="0"/>
                    <w:adjustRightInd w:val="0"/>
                    <w:snapToGrid w:val="0"/>
                    <w:spacing w:before="100" w:line="187"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单回</w:t>
                  </w:r>
                </w:p>
              </w:tc>
              <w:tc>
                <w:tcPr>
                  <w:tcW w:w="1995" w:type="pct"/>
                  <w:vAlign w:val="center"/>
                </w:tcPr>
                <w:p w14:paraId="13A1BE14">
                  <w:pPr>
                    <w:pStyle w:val="174"/>
                    <w:spacing w:line="240" w:lineRule="auto"/>
                    <w:ind w:firstLine="0" w:firstLineChars="0"/>
                    <w:jc w:val="center"/>
                    <w:rPr>
                      <w:rFonts w:hint="eastAsia" w:ascii="宋体" w:hAnsi="宋体" w:eastAsia="宋体" w:cs="宋体"/>
                      <w:snapToGrid w:val="0"/>
                      <w:color w:val="000000"/>
                      <w:kern w:val="0"/>
                      <w:sz w:val="21"/>
                      <w:szCs w:val="21"/>
                      <w:lang w:val="en-US" w:eastAsia="zh-CN"/>
                    </w:rPr>
                  </w:pPr>
                  <w:r>
                    <w:rPr>
                      <w:rFonts w:hint="eastAsia" w:ascii="宋体" w:hAnsi="宋体" w:cs="宋体"/>
                      <w:snapToGrid w:val="0"/>
                      <w:color w:val="000000"/>
                      <w:kern w:val="0"/>
                      <w:sz w:val="21"/>
                      <w:szCs w:val="21"/>
                      <w:lang w:val="en-US" w:eastAsia="zh-CN"/>
                    </w:rPr>
                    <w:t>单回</w:t>
                  </w:r>
                </w:p>
              </w:tc>
              <w:tc>
                <w:tcPr>
                  <w:tcW w:w="894" w:type="pct"/>
                  <w:vAlign w:val="center"/>
                </w:tcPr>
                <w:p w14:paraId="1DE647AA">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rPr>
                  </w:pPr>
                  <w:r>
                    <w:rPr>
                      <w:rFonts w:hint="eastAsia" w:cs="Times New Roman"/>
                      <w:snapToGrid w:val="0"/>
                      <w:color w:val="000000"/>
                      <w:kern w:val="0"/>
                      <w:sz w:val="21"/>
                      <w:szCs w:val="21"/>
                      <w:lang w:val="en-US" w:eastAsia="zh-CN"/>
                    </w:rPr>
                    <w:t>相同</w:t>
                  </w:r>
                </w:p>
              </w:tc>
            </w:tr>
            <w:tr w14:paraId="61314C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6E50B186">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导线排列方式</w:t>
                  </w:r>
                </w:p>
              </w:tc>
              <w:tc>
                <w:tcPr>
                  <w:tcW w:w="1534" w:type="pct"/>
                  <w:vAlign w:val="center"/>
                </w:tcPr>
                <w:p w14:paraId="397D52B5">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三角</w:t>
                  </w:r>
                  <w:r>
                    <w:rPr>
                      <w:rFonts w:hint="eastAsia" w:eastAsia="宋体" w:cs="Times New Roman"/>
                      <w:snapToGrid w:val="0"/>
                      <w:color w:val="000000"/>
                      <w:kern w:val="0"/>
                      <w:sz w:val="21"/>
                      <w:szCs w:val="21"/>
                      <w:lang w:val="en-US" w:eastAsia="zh-CN"/>
                    </w:rPr>
                    <w:t>排列</w:t>
                  </w:r>
                </w:p>
              </w:tc>
              <w:tc>
                <w:tcPr>
                  <w:tcW w:w="1995" w:type="pct"/>
                  <w:vAlign w:val="center"/>
                </w:tcPr>
                <w:p w14:paraId="68E103BE">
                  <w:pPr>
                    <w:pStyle w:val="174"/>
                    <w:spacing w:line="240" w:lineRule="auto"/>
                    <w:ind w:firstLine="0" w:firstLineChars="0"/>
                    <w:jc w:val="center"/>
                    <w:rPr>
                      <w:rFonts w:hint="default" w:ascii="宋体" w:hAnsi="宋体" w:eastAsia="宋体" w:cs="宋体"/>
                      <w:snapToGrid w:val="0"/>
                      <w:color w:val="000000"/>
                      <w:kern w:val="0"/>
                      <w:sz w:val="21"/>
                      <w:szCs w:val="21"/>
                      <w:lang w:val="en-US" w:eastAsia="zh-CN"/>
                    </w:rPr>
                  </w:pPr>
                  <w:r>
                    <w:rPr>
                      <w:rFonts w:hint="eastAsia" w:ascii="宋体" w:hAnsi="宋体" w:cs="宋体"/>
                      <w:snapToGrid w:val="0"/>
                      <w:color w:val="000000"/>
                      <w:kern w:val="0"/>
                      <w:sz w:val="21"/>
                      <w:szCs w:val="21"/>
                      <w:lang w:val="en-US" w:eastAsia="zh-CN"/>
                    </w:rPr>
                    <w:t>三角排列</w:t>
                  </w:r>
                </w:p>
              </w:tc>
              <w:tc>
                <w:tcPr>
                  <w:tcW w:w="894" w:type="pct"/>
                  <w:vAlign w:val="center"/>
                </w:tcPr>
                <w:p w14:paraId="60AA7A3B">
                  <w:pPr>
                    <w:widowControl/>
                    <w:kinsoku/>
                    <w:autoSpaceDE w:val="0"/>
                    <w:autoSpaceDN w:val="0"/>
                    <w:adjustRightInd w:val="0"/>
                    <w:snapToGrid w:val="0"/>
                    <w:spacing w:before="62"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相同</w:t>
                  </w:r>
                </w:p>
              </w:tc>
            </w:tr>
            <w:tr w14:paraId="5FD41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261A18C8">
                  <w:pPr>
                    <w:widowControl/>
                    <w:kinsoku/>
                    <w:autoSpaceDE w:val="0"/>
                    <w:autoSpaceDN w:val="0"/>
                    <w:adjustRightInd w:val="0"/>
                    <w:snapToGrid w:val="0"/>
                    <w:spacing w:before="101"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eastAsia="宋体" w:cs="Times New Roman"/>
                      <w:snapToGrid w:val="0"/>
                      <w:color w:val="000000"/>
                      <w:kern w:val="0"/>
                      <w:sz w:val="21"/>
                      <w:szCs w:val="21"/>
                      <w:lang w:val="en-US" w:eastAsia="zh-CN"/>
                    </w:rPr>
                    <w:t>导线型号</w:t>
                  </w:r>
                </w:p>
              </w:tc>
              <w:tc>
                <w:tcPr>
                  <w:tcW w:w="1534" w:type="pct"/>
                  <w:vAlign w:val="center"/>
                </w:tcPr>
                <w:p w14:paraId="4E5C9CE3">
                  <w:pPr>
                    <w:widowControl/>
                    <w:kinsoku/>
                    <w:autoSpaceDE w:val="0"/>
                    <w:autoSpaceDN w:val="0"/>
                    <w:adjustRightInd w:val="0"/>
                    <w:snapToGrid w:val="0"/>
                    <w:spacing w:before="101" w:line="187" w:lineRule="auto"/>
                    <w:jc w:val="center"/>
                    <w:textAlignment w:val="baseline"/>
                    <w:rPr>
                      <w:rFonts w:ascii="Times New Roman" w:hAnsi="Times New Roman" w:eastAsia="Times New Roman" w:cs="Times New Roman"/>
                      <w:snapToGrid w:val="0"/>
                      <w:color w:val="000000"/>
                      <w:kern w:val="0"/>
                      <w:sz w:val="21"/>
                      <w:szCs w:val="21"/>
                    </w:rPr>
                  </w:pPr>
                  <w:r>
                    <w:rPr>
                      <w:rFonts w:hint="default" w:ascii="Times New Roman" w:hAnsi="Times New Roman" w:eastAsia="Times New Roman" w:cs="Times New Roman"/>
                      <w:snapToGrid w:val="0"/>
                      <w:color w:val="000000"/>
                      <w:kern w:val="0"/>
                      <w:sz w:val="21"/>
                      <w:szCs w:val="21"/>
                      <w:lang w:val="en-US" w:eastAsia="zh-CN"/>
                    </w:rPr>
                    <w:t>AF(SZ)+S4A-315+50</w:t>
                  </w:r>
                </w:p>
              </w:tc>
              <w:tc>
                <w:tcPr>
                  <w:tcW w:w="1995" w:type="pct"/>
                  <w:vAlign w:val="center"/>
                </w:tcPr>
                <w:p w14:paraId="32C8B5BA">
                  <w:pPr>
                    <w:pStyle w:val="174"/>
                    <w:spacing w:line="240" w:lineRule="auto"/>
                    <w:ind w:firstLine="0" w:firstLineChars="0"/>
                    <w:jc w:val="center"/>
                    <w:rPr>
                      <w:rFonts w:hint="eastAsia" w:ascii="宋体" w:hAnsi="宋体" w:eastAsia="宋体" w:cs="宋体"/>
                      <w:snapToGrid w:val="0"/>
                      <w:color w:val="000000"/>
                      <w:kern w:val="0"/>
                      <w:sz w:val="21"/>
                      <w:szCs w:val="21"/>
                      <w:lang w:eastAsia="zh-CN"/>
                    </w:rPr>
                  </w:pPr>
                  <w:r>
                    <w:rPr>
                      <w:rFonts w:hint="default" w:ascii="Times New Roman" w:hAnsi="Times New Roman" w:eastAsia="宋体" w:cs="Times New Roman"/>
                      <w:snapToGrid w:val="0"/>
                      <w:color w:val="000000"/>
                      <w:kern w:val="0"/>
                      <w:sz w:val="21"/>
                      <w:szCs w:val="21"/>
                      <w:lang w:val="en-US" w:eastAsia="zh-CN"/>
                    </w:rPr>
                    <w:t>JL/G1A-300/25</w:t>
                  </w:r>
                </w:p>
              </w:tc>
              <w:tc>
                <w:tcPr>
                  <w:tcW w:w="894" w:type="pct"/>
                  <w:vAlign w:val="center"/>
                </w:tcPr>
                <w:p w14:paraId="2B7CEDB8">
                  <w:pPr>
                    <w:widowControl/>
                    <w:kinsoku/>
                    <w:autoSpaceDE w:val="0"/>
                    <w:autoSpaceDN w:val="0"/>
                    <w:adjustRightInd w:val="0"/>
                    <w:snapToGrid w:val="0"/>
                    <w:spacing w:before="63"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导线截面积相近</w:t>
                  </w:r>
                </w:p>
              </w:tc>
            </w:tr>
            <w:tr w14:paraId="122D65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529642BB">
                  <w:pPr>
                    <w:widowControl/>
                    <w:kinsoku/>
                    <w:autoSpaceDE w:val="0"/>
                    <w:autoSpaceDN w:val="0"/>
                    <w:adjustRightInd w:val="0"/>
                    <w:snapToGrid w:val="0"/>
                    <w:spacing w:before="101"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导线对地高度</w:t>
                  </w:r>
                </w:p>
              </w:tc>
              <w:tc>
                <w:tcPr>
                  <w:tcW w:w="1534" w:type="pct"/>
                  <w:vAlign w:val="center"/>
                </w:tcPr>
                <w:p w14:paraId="2C5EC324">
                  <w:pPr>
                    <w:widowControl/>
                    <w:kinsoku/>
                    <w:autoSpaceDE w:val="0"/>
                    <w:autoSpaceDN w:val="0"/>
                    <w:adjustRightInd w:val="0"/>
                    <w:snapToGrid w:val="0"/>
                    <w:spacing w:before="101"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14m（最低呼高）</w:t>
                  </w:r>
                </w:p>
              </w:tc>
              <w:tc>
                <w:tcPr>
                  <w:tcW w:w="1995" w:type="pct"/>
                  <w:vAlign w:val="center"/>
                </w:tcPr>
                <w:p w14:paraId="58675C3E">
                  <w:pPr>
                    <w:pStyle w:val="174"/>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7m</w:t>
                  </w:r>
                </w:p>
              </w:tc>
              <w:tc>
                <w:tcPr>
                  <w:tcW w:w="894" w:type="pct"/>
                  <w:vAlign w:val="center"/>
                </w:tcPr>
                <w:p w14:paraId="046CF98D">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val="en-US" w:eastAsia="zh-CN"/>
                    </w:rPr>
                    <w:t xml:space="preserve">本工程实际导线不会低于类比线 </w:t>
                  </w:r>
                </w:p>
                <w:p w14:paraId="36FB3889">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default" w:ascii="Times New Roman" w:hAnsi="Times New Roman" w:cs="Times New Roman"/>
                      <w:snapToGrid w:val="0"/>
                      <w:color w:val="000000"/>
                      <w:kern w:val="0"/>
                      <w:sz w:val="21"/>
                      <w:szCs w:val="21"/>
                      <w:lang w:val="en-US" w:eastAsia="zh-CN"/>
                    </w:rPr>
                    <w:t>路对地高度</w:t>
                  </w:r>
                </w:p>
              </w:tc>
            </w:tr>
            <w:tr w14:paraId="5992F2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3F53A885">
                  <w:pPr>
                    <w:widowControl/>
                    <w:kinsoku/>
                    <w:autoSpaceDE w:val="0"/>
                    <w:autoSpaceDN w:val="0"/>
                    <w:adjustRightInd w:val="0"/>
                    <w:snapToGrid w:val="0"/>
                    <w:spacing w:before="101" w:line="187"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环境条件</w:t>
                  </w:r>
                </w:p>
              </w:tc>
              <w:tc>
                <w:tcPr>
                  <w:tcW w:w="1534" w:type="pct"/>
                  <w:vAlign w:val="center"/>
                </w:tcPr>
                <w:p w14:paraId="7C19C2F4">
                  <w:pPr>
                    <w:widowControl/>
                    <w:kinsoku/>
                    <w:autoSpaceDE w:val="0"/>
                    <w:autoSpaceDN w:val="0"/>
                    <w:adjustRightInd w:val="0"/>
                    <w:snapToGrid w:val="0"/>
                    <w:spacing w:before="101"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农村</w:t>
                  </w:r>
                </w:p>
              </w:tc>
              <w:tc>
                <w:tcPr>
                  <w:tcW w:w="1995" w:type="pct"/>
                  <w:vAlign w:val="center"/>
                </w:tcPr>
                <w:p w14:paraId="1400D5E6">
                  <w:pPr>
                    <w:pStyle w:val="174"/>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eastAsia="宋体" w:cs="Times New Roman"/>
                      <w:sz w:val="21"/>
                      <w:szCs w:val="21"/>
                      <w:lang w:val="en-US" w:eastAsia="zh-CN"/>
                    </w:rPr>
                    <w:t>农村</w:t>
                  </w:r>
                </w:p>
              </w:tc>
              <w:tc>
                <w:tcPr>
                  <w:tcW w:w="894" w:type="pct"/>
                  <w:vAlign w:val="center"/>
                </w:tcPr>
                <w:p w14:paraId="21AA2AE2">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eastAsia="zh-CN"/>
                    </w:rPr>
                  </w:pPr>
                  <w:r>
                    <w:rPr>
                      <w:rFonts w:hint="eastAsia" w:cs="Times New Roman"/>
                      <w:snapToGrid w:val="0"/>
                      <w:color w:val="000000"/>
                      <w:kern w:val="0"/>
                      <w:sz w:val="21"/>
                      <w:szCs w:val="21"/>
                      <w:lang w:val="en-US" w:eastAsia="zh-CN"/>
                    </w:rPr>
                    <w:t>相同</w:t>
                  </w:r>
                </w:p>
              </w:tc>
            </w:tr>
            <w:tr w14:paraId="6881B2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76" w:type="pct"/>
                  <w:vAlign w:val="center"/>
                </w:tcPr>
                <w:p w14:paraId="3831CDE0">
                  <w:pPr>
                    <w:widowControl/>
                    <w:kinsoku/>
                    <w:autoSpaceDE w:val="0"/>
                    <w:autoSpaceDN w:val="0"/>
                    <w:adjustRightInd w:val="0"/>
                    <w:snapToGrid w:val="0"/>
                    <w:spacing w:before="101" w:line="187"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所在区域</w:t>
                  </w:r>
                </w:p>
              </w:tc>
              <w:tc>
                <w:tcPr>
                  <w:tcW w:w="1534" w:type="pct"/>
                  <w:vAlign w:val="center"/>
                </w:tcPr>
                <w:p w14:paraId="7403BD19">
                  <w:pPr>
                    <w:widowControl/>
                    <w:kinsoku/>
                    <w:autoSpaceDE w:val="0"/>
                    <w:autoSpaceDN w:val="0"/>
                    <w:adjustRightInd w:val="0"/>
                    <w:snapToGrid w:val="0"/>
                    <w:spacing w:before="101"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六安市金寨县</w:t>
                  </w:r>
                </w:p>
              </w:tc>
              <w:tc>
                <w:tcPr>
                  <w:tcW w:w="1995" w:type="pct"/>
                  <w:vAlign w:val="center"/>
                </w:tcPr>
                <w:p w14:paraId="374B8D2B">
                  <w:pPr>
                    <w:pStyle w:val="174"/>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eastAsia="宋体" w:cs="Times New Roman"/>
                      <w:sz w:val="21"/>
                      <w:szCs w:val="21"/>
                      <w:lang w:val="en-US" w:eastAsia="zh-CN"/>
                    </w:rPr>
                    <w:t>阜阳市</w:t>
                  </w:r>
                </w:p>
              </w:tc>
              <w:tc>
                <w:tcPr>
                  <w:tcW w:w="894" w:type="pct"/>
                  <w:vAlign w:val="center"/>
                </w:tcPr>
                <w:p w14:paraId="7C277AD3">
                  <w:pPr>
                    <w:widowControl/>
                    <w:kinsoku/>
                    <w:autoSpaceDE w:val="0"/>
                    <w:autoSpaceDN w:val="0"/>
                    <w:adjustRightInd w:val="0"/>
                    <w:snapToGrid w:val="0"/>
                    <w:spacing w:before="63" w:line="223" w:lineRule="auto"/>
                    <w:jc w:val="center"/>
                    <w:textAlignment w:val="baseline"/>
                    <w:rPr>
                      <w:rFonts w:hint="default" w:ascii="Times New Roman" w:hAnsi="Times New Roman"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w:t>
                  </w:r>
                </w:p>
              </w:tc>
            </w:tr>
          </w:tbl>
          <w:p w14:paraId="07971676">
            <w:pPr>
              <w:pageBreakBefore w:val="0"/>
              <w:widowControl/>
              <w:wordWrap/>
              <w:bidi w:val="0"/>
              <w:spacing w:before="0" w:beforeLines="0" w:line="360" w:lineRule="auto"/>
              <w:ind w:firstLine="480" w:firstLineChars="200"/>
              <w:jc w:val="both"/>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根据表</w:t>
            </w:r>
            <w:r>
              <w:rPr>
                <w:rFonts w:hint="default" w:ascii="Times New Roman" w:hAnsi="Times New Roman" w:eastAsia="宋体" w:cs="Times New Roman"/>
                <w:color w:val="000000"/>
                <w:sz w:val="24"/>
                <w:szCs w:val="24"/>
                <w:lang w:val="en-US" w:eastAsia="zh-CN"/>
              </w:rPr>
              <w:t>4-</w:t>
            </w:r>
            <w:r>
              <w:rPr>
                <w:rFonts w:hint="eastAsia" w:cs="Times New Roman"/>
                <w:color w:val="000000"/>
                <w:sz w:val="24"/>
                <w:szCs w:val="24"/>
                <w:lang w:val="en-US" w:eastAsia="zh-CN"/>
              </w:rPr>
              <w:t>15</w:t>
            </w:r>
            <w:r>
              <w:rPr>
                <w:rFonts w:hint="eastAsia" w:ascii="Times New Roman" w:hAnsi="Times New Roman" w:eastAsia="宋体" w:cs="Times New Roman"/>
                <w:color w:val="000000"/>
                <w:sz w:val="24"/>
                <w:szCs w:val="24"/>
                <w:lang w:val="en-US" w:eastAsia="zh-CN"/>
              </w:rPr>
              <w:t>，本工程</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单回输电线路在电压等级、架线形式</w:t>
            </w:r>
            <w:r>
              <w:rPr>
                <w:rFonts w:hint="eastAsia" w:cs="Times New Roman"/>
                <w:color w:val="000000"/>
                <w:sz w:val="24"/>
                <w:szCs w:val="24"/>
                <w:lang w:val="en-US" w:eastAsia="zh-CN"/>
              </w:rPr>
              <w:t>、导线排列方式</w:t>
            </w:r>
            <w:r>
              <w:rPr>
                <w:rFonts w:hint="eastAsia" w:ascii="Times New Roman" w:hAnsi="Times New Roman" w:eastAsia="宋体" w:cs="Times New Roman"/>
                <w:color w:val="000000"/>
                <w:sz w:val="24"/>
                <w:szCs w:val="24"/>
                <w:lang w:val="en-US" w:eastAsia="zh-CN"/>
              </w:rPr>
              <w:t>与类比输电线路均相同</w:t>
            </w:r>
            <w:r>
              <w:rPr>
                <w:rFonts w:hint="eastAsia"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导线截面积</w:t>
            </w:r>
            <w:r>
              <w:rPr>
                <w:rFonts w:hint="eastAsia" w:cs="Times New Roman"/>
                <w:color w:val="000000"/>
                <w:sz w:val="24"/>
                <w:szCs w:val="24"/>
                <w:lang w:val="en-US" w:eastAsia="zh-CN"/>
              </w:rPr>
              <w:t>与类比输电线路相近，</w:t>
            </w:r>
            <w:r>
              <w:rPr>
                <w:rFonts w:hint="eastAsia" w:ascii="Times New Roman" w:hAnsi="Times New Roman" w:eastAsia="宋体" w:cs="Times New Roman"/>
                <w:color w:val="000000"/>
                <w:sz w:val="24"/>
                <w:szCs w:val="24"/>
                <w:lang w:val="en-US" w:eastAsia="zh-CN"/>
              </w:rPr>
              <w:t>类比线路导线对地高度为</w:t>
            </w:r>
            <w:r>
              <w:rPr>
                <w:rFonts w:hint="default" w:ascii="Times New Roman" w:hAnsi="Times New Roman" w:eastAsia="宋体" w:cs="Times New Roman"/>
                <w:color w:val="000000"/>
                <w:sz w:val="24"/>
                <w:szCs w:val="24"/>
                <w:lang w:val="en-US" w:eastAsia="zh-CN"/>
              </w:rPr>
              <w:t>7m</w:t>
            </w:r>
            <w:r>
              <w:rPr>
                <w:rFonts w:hint="eastAsia" w:ascii="Times New Roman" w:hAnsi="Times New Roman" w:eastAsia="宋体" w:cs="Times New Roman"/>
                <w:color w:val="000000"/>
                <w:sz w:val="24"/>
                <w:szCs w:val="24"/>
                <w:lang w:val="en-US" w:eastAsia="zh-CN"/>
              </w:rPr>
              <w:t>，本工程所采用的杆塔最低呼高为</w:t>
            </w:r>
            <w:r>
              <w:rPr>
                <w:rFonts w:hint="eastAsia" w:cs="Times New Roman"/>
                <w:color w:val="000000"/>
                <w:sz w:val="24"/>
                <w:szCs w:val="24"/>
                <w:lang w:val="en-US" w:eastAsia="zh-CN"/>
              </w:rPr>
              <w:t>14</w:t>
            </w:r>
            <w:r>
              <w:rPr>
                <w:rFonts w:hint="eastAsia" w:ascii="Times New Roman" w:hAnsi="Times New Roman" w:eastAsia="宋体" w:cs="Times New Roman"/>
                <w:color w:val="000000"/>
                <w:sz w:val="24"/>
                <w:szCs w:val="24"/>
                <w:lang w:val="en-US" w:eastAsia="zh-CN"/>
              </w:rPr>
              <w:t>m，实际导线对地高度不会低于7m，且类比运行电压已达到设计额定电压等级。因此，选用110kV孙胡506线作为类比对象可以较好</w:t>
            </w:r>
            <w:r>
              <w:rPr>
                <w:rFonts w:hint="eastAsia" w:cs="Times New Roman"/>
                <w:color w:val="000000"/>
                <w:sz w:val="24"/>
                <w:szCs w:val="24"/>
                <w:lang w:val="en-US" w:eastAsia="zh-CN"/>
              </w:rPr>
              <w:t>地</w:t>
            </w:r>
            <w:r>
              <w:rPr>
                <w:rFonts w:hint="eastAsia" w:ascii="Times New Roman" w:hAnsi="Times New Roman" w:eastAsia="宋体" w:cs="Times New Roman"/>
                <w:color w:val="000000"/>
                <w:sz w:val="24"/>
                <w:szCs w:val="24"/>
                <w:lang w:val="en-US" w:eastAsia="zh-CN"/>
              </w:rPr>
              <w:t>反映本工程110kV单回架空线路产生的噪声影响，类比具有可行性。</w:t>
            </w:r>
          </w:p>
          <w:p w14:paraId="27CC4676">
            <w:pPr>
              <w:pageBreakBefore w:val="0"/>
              <w:widowControl/>
              <w:wordWrap/>
              <w:bidi w:val="0"/>
              <w:spacing w:before="0" w:beforeLines="0" w:line="360" w:lineRule="auto"/>
              <w:ind w:firstLine="480" w:firstLineChars="200"/>
              <w:jc w:val="both"/>
              <w:rPr>
                <w:rFonts w:hint="default" w:ascii="Times New Roman" w:hAnsi="Times New Roman" w:eastAsia="宋体" w:cs="Times New Roman"/>
                <w:color w:val="000000"/>
                <w:sz w:val="24"/>
                <w:szCs w:val="24"/>
                <w:lang w:val="en-US" w:eastAsia="zh-CN"/>
              </w:rPr>
            </w:pPr>
            <w:r>
              <w:rPr>
                <w:rFonts w:hint="eastAsia" w:cs="Times New Roman"/>
                <w:color w:val="000000"/>
                <w:sz w:val="24"/>
                <w:szCs w:val="24"/>
                <w:lang w:eastAsia="zh-CN"/>
              </w:rPr>
              <w:t>（</w:t>
            </w:r>
            <w:r>
              <w:rPr>
                <w:rFonts w:hint="eastAsia" w:cs="Times New Roman"/>
                <w:color w:val="000000"/>
                <w:sz w:val="24"/>
                <w:szCs w:val="24"/>
                <w:lang w:val="en-US" w:eastAsia="zh-CN"/>
              </w:rPr>
              <w:t>2</w:t>
            </w:r>
            <w:r>
              <w:rPr>
                <w:rFonts w:hint="eastAsia" w:cs="Times New Roman"/>
                <w:color w:val="000000"/>
                <w:sz w:val="24"/>
                <w:szCs w:val="24"/>
                <w:lang w:eastAsia="zh-CN"/>
              </w:rPr>
              <w:t>）</w:t>
            </w:r>
            <w:r>
              <w:rPr>
                <w:rFonts w:hint="eastAsia" w:cs="Times New Roman"/>
                <w:color w:val="000000"/>
                <w:sz w:val="24"/>
                <w:szCs w:val="24"/>
                <w:lang w:val="en-US" w:eastAsia="zh-CN"/>
              </w:rPr>
              <w:t>监测时间及监测条件</w:t>
            </w:r>
          </w:p>
          <w:p w14:paraId="4C673402">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监测时间：</w:t>
            </w:r>
            <w:r>
              <w:rPr>
                <w:rFonts w:hint="default" w:ascii="Times New Roman" w:hAnsi="Times New Roman" w:eastAsia="宋体" w:cs="Times New Roman"/>
                <w:color w:val="000000"/>
                <w:sz w:val="24"/>
                <w:szCs w:val="24"/>
                <w:lang w:val="en-US" w:eastAsia="zh-CN"/>
              </w:rPr>
              <w:t>2020</w:t>
            </w:r>
            <w:r>
              <w:rPr>
                <w:rFonts w:hint="eastAsia" w:ascii="Times New Roman" w:hAnsi="Times New Roman" w:eastAsia="宋体" w:cs="Times New Roman"/>
                <w:color w:val="000000"/>
                <w:sz w:val="24"/>
                <w:szCs w:val="24"/>
                <w:lang w:val="en-US" w:eastAsia="zh-CN"/>
              </w:rPr>
              <w:t>年</w:t>
            </w:r>
            <w:r>
              <w:rPr>
                <w:rFonts w:hint="default" w:ascii="Times New Roman" w:hAnsi="Times New Roman" w:eastAsia="宋体" w:cs="Times New Roman"/>
                <w:color w:val="000000"/>
                <w:sz w:val="24"/>
                <w:szCs w:val="24"/>
                <w:lang w:val="en-US" w:eastAsia="zh-CN"/>
              </w:rPr>
              <w:t>5</w:t>
            </w:r>
            <w:r>
              <w:rPr>
                <w:rFonts w:hint="eastAsia" w:ascii="Times New Roman" w:hAnsi="Times New Roman" w:eastAsia="宋体" w:cs="Times New Roman"/>
                <w:color w:val="000000"/>
                <w:sz w:val="24"/>
                <w:szCs w:val="24"/>
                <w:lang w:val="en-US" w:eastAsia="zh-CN"/>
              </w:rPr>
              <w:t>月</w:t>
            </w:r>
            <w:r>
              <w:rPr>
                <w:rFonts w:hint="default" w:ascii="Times New Roman" w:hAnsi="Times New Roman" w:eastAsia="宋体" w:cs="Times New Roman"/>
                <w:color w:val="000000"/>
                <w:sz w:val="24"/>
                <w:szCs w:val="24"/>
                <w:lang w:val="en-US" w:eastAsia="zh-CN"/>
              </w:rPr>
              <w:t>26</w:t>
            </w:r>
            <w:r>
              <w:rPr>
                <w:rFonts w:hint="eastAsia" w:ascii="Times New Roman" w:hAnsi="Times New Roman" w:eastAsia="宋体" w:cs="Times New Roman"/>
                <w:color w:val="000000"/>
                <w:sz w:val="24"/>
                <w:szCs w:val="24"/>
                <w:lang w:val="en-US" w:eastAsia="zh-CN"/>
              </w:rPr>
              <w:t>日</w:t>
            </w:r>
          </w:p>
          <w:p w14:paraId="049A9691">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监测单位：湖北君邦环境技术有限责任公司武汉环境检测分公司</w:t>
            </w:r>
          </w:p>
          <w:p w14:paraId="652812FF">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天气状况：晴、温度</w:t>
            </w:r>
            <w:r>
              <w:rPr>
                <w:rFonts w:hint="default" w:ascii="Times New Roman" w:hAnsi="Times New Roman" w:eastAsia="宋体" w:cs="Times New Roman"/>
                <w:color w:val="000000"/>
                <w:sz w:val="24"/>
                <w:szCs w:val="24"/>
                <w:lang w:val="en-US" w:eastAsia="zh-CN"/>
              </w:rPr>
              <w:t>12~27℃</w:t>
            </w:r>
            <w:r>
              <w:rPr>
                <w:rFonts w:hint="eastAsia" w:ascii="Times New Roman" w:hAnsi="Times New Roman" w:eastAsia="宋体" w:cs="Times New Roman"/>
                <w:color w:val="000000"/>
                <w:sz w:val="24"/>
                <w:szCs w:val="24"/>
                <w:lang w:val="en-US" w:eastAsia="zh-CN"/>
              </w:rPr>
              <w:t>、湿度</w:t>
            </w:r>
            <w:r>
              <w:rPr>
                <w:rFonts w:hint="default" w:ascii="Times New Roman" w:hAnsi="Times New Roman" w:eastAsia="宋体" w:cs="Times New Roman"/>
                <w:color w:val="000000"/>
                <w:sz w:val="24"/>
                <w:szCs w:val="24"/>
                <w:lang w:val="en-US" w:eastAsia="zh-CN"/>
              </w:rPr>
              <w:t>56~68%</w:t>
            </w:r>
            <w:r>
              <w:rPr>
                <w:rFonts w:hint="eastAsia" w:ascii="Times New Roman" w:hAnsi="Times New Roman" w:eastAsia="宋体" w:cs="Times New Roman"/>
                <w:color w:val="000000"/>
                <w:sz w:val="24"/>
                <w:szCs w:val="24"/>
                <w:lang w:val="en-US" w:eastAsia="zh-CN"/>
              </w:rPr>
              <w:t>、风速</w:t>
            </w:r>
            <w:r>
              <w:rPr>
                <w:rFonts w:hint="default" w:ascii="Times New Roman" w:hAnsi="Times New Roman" w:eastAsia="宋体" w:cs="Times New Roman"/>
                <w:color w:val="000000"/>
                <w:sz w:val="24"/>
                <w:szCs w:val="24"/>
                <w:lang w:val="en-US" w:eastAsia="zh-CN"/>
              </w:rPr>
              <w:t>3m/s</w:t>
            </w:r>
          </w:p>
          <w:p w14:paraId="77356FE9">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数据来源：《</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孙胡</w:t>
            </w:r>
            <w:r>
              <w:rPr>
                <w:rFonts w:hint="default" w:ascii="Times New Roman" w:hAnsi="Times New Roman" w:eastAsia="宋体" w:cs="Times New Roman"/>
                <w:color w:val="000000"/>
                <w:sz w:val="24"/>
                <w:szCs w:val="24"/>
                <w:lang w:val="en-US" w:eastAsia="zh-CN"/>
              </w:rPr>
              <w:t>506</w:t>
            </w:r>
            <w:r>
              <w:rPr>
                <w:rFonts w:hint="eastAsia" w:ascii="Times New Roman" w:hAnsi="Times New Roman" w:eastAsia="宋体" w:cs="Times New Roman"/>
                <w:color w:val="000000"/>
                <w:sz w:val="24"/>
                <w:szCs w:val="24"/>
                <w:lang w:val="en-US" w:eastAsia="zh-CN"/>
              </w:rPr>
              <w:t>线单回线路噪声监测检测报告》，（</w:t>
            </w:r>
            <w:r>
              <w:rPr>
                <w:rFonts w:hint="default" w:ascii="Times New Roman" w:hAnsi="Times New Roman" w:eastAsia="宋体" w:cs="Times New Roman"/>
                <w:color w:val="000000"/>
                <w:sz w:val="24"/>
                <w:szCs w:val="24"/>
                <w:lang w:val="en-US" w:eastAsia="zh-CN"/>
              </w:rPr>
              <w:t>2020</w:t>
            </w:r>
            <w:r>
              <w:rPr>
                <w:rFonts w:hint="eastAsia" w:ascii="Times New Roman" w:hAnsi="Times New Roman" w:eastAsia="宋体" w:cs="Times New Roman"/>
                <w:color w:val="000000"/>
                <w:sz w:val="24"/>
                <w:szCs w:val="24"/>
                <w:lang w:val="en-US" w:eastAsia="zh-CN"/>
              </w:rPr>
              <w:t>）环监（声）字第（</w:t>
            </w:r>
            <w:r>
              <w:rPr>
                <w:rFonts w:hint="default" w:ascii="Times New Roman" w:hAnsi="Times New Roman" w:eastAsia="宋体" w:cs="Times New Roman"/>
                <w:color w:val="000000"/>
                <w:sz w:val="24"/>
                <w:szCs w:val="24"/>
                <w:lang w:val="en-US" w:eastAsia="zh-CN"/>
              </w:rPr>
              <w:t>030</w:t>
            </w:r>
            <w:r>
              <w:rPr>
                <w:rFonts w:hint="eastAsia" w:ascii="Times New Roman" w:hAnsi="Times New Roman" w:eastAsia="宋体" w:cs="Times New Roman"/>
                <w:color w:val="000000"/>
                <w:sz w:val="24"/>
                <w:szCs w:val="24"/>
                <w:lang w:val="en-US" w:eastAsia="zh-CN"/>
              </w:rPr>
              <w:t>）号。</w:t>
            </w:r>
          </w:p>
          <w:p w14:paraId="3C4F0002">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3</w:t>
            </w:r>
            <w:r>
              <w:rPr>
                <w:rFonts w:hint="eastAsia" w:ascii="Times New Roman" w:hAnsi="Times New Roman" w:eastAsia="宋体" w:cs="Times New Roman"/>
                <w:color w:val="000000"/>
                <w:sz w:val="24"/>
                <w:szCs w:val="24"/>
                <w:lang w:val="en-US" w:eastAsia="zh-CN"/>
              </w:rPr>
              <w:t>）类比监测仪器</w:t>
            </w:r>
          </w:p>
          <w:p w14:paraId="66C128C6">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按《声环境质量标准》（</w:t>
            </w:r>
            <w:r>
              <w:rPr>
                <w:rFonts w:hint="default" w:ascii="Times New Roman" w:hAnsi="Times New Roman" w:eastAsia="宋体" w:cs="Times New Roman"/>
                <w:color w:val="000000"/>
                <w:sz w:val="24"/>
                <w:szCs w:val="24"/>
                <w:lang w:val="en-US" w:eastAsia="zh-CN"/>
              </w:rPr>
              <w:t>GB3096-2008</w:t>
            </w:r>
            <w:r>
              <w:rPr>
                <w:rFonts w:hint="eastAsia" w:ascii="Times New Roman" w:hAnsi="Times New Roman" w:eastAsia="宋体" w:cs="Times New Roman"/>
                <w:color w:val="000000"/>
                <w:sz w:val="24"/>
                <w:szCs w:val="24"/>
                <w:lang w:val="en-US" w:eastAsia="zh-CN"/>
              </w:rPr>
              <w:t>）的监测方法进行，监测所用仪器见</w:t>
            </w:r>
            <w:r>
              <w:rPr>
                <w:rFonts w:hint="eastAsia" w:cs="Times New Roman"/>
                <w:color w:val="000000"/>
                <w:sz w:val="24"/>
                <w:szCs w:val="24"/>
                <w:lang w:val="en-US" w:eastAsia="zh-CN"/>
              </w:rPr>
              <w:t>表4-16</w:t>
            </w:r>
            <w:r>
              <w:rPr>
                <w:rFonts w:hint="eastAsia" w:ascii="Times New Roman" w:hAnsi="Times New Roman" w:eastAsia="宋体" w:cs="Times New Roman"/>
                <w:color w:val="000000"/>
                <w:sz w:val="24"/>
                <w:szCs w:val="24"/>
                <w:lang w:val="en-US" w:eastAsia="zh-CN"/>
              </w:rPr>
              <w:t>。</w:t>
            </w:r>
          </w:p>
          <w:p w14:paraId="6D338137">
            <w:pPr>
              <w:widowControl/>
              <w:kinsoku/>
              <w:autoSpaceDE w:val="0"/>
              <w:autoSpaceDN w:val="0"/>
              <w:adjustRightInd w:val="0"/>
              <w:snapToGrid w:val="0"/>
              <w:spacing w:before="27" w:line="212"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16</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w:t>
            </w:r>
            <w:r>
              <w:rPr>
                <w:rFonts w:hint="eastAsia" w:cs="Times New Roman"/>
                <w:b/>
                <w:bCs/>
                <w:snapToGrid w:val="0"/>
                <w:color w:val="000000"/>
                <w:spacing w:val="-2"/>
                <w:kern w:val="0"/>
                <w:sz w:val="21"/>
                <w:szCs w:val="21"/>
                <w:lang w:val="en-US" w:eastAsia="zh-CN"/>
              </w:rPr>
              <w:t>类比监测仪器一览表</w:t>
            </w:r>
          </w:p>
          <w:tbl>
            <w:tblPr>
              <w:tblStyle w:val="209"/>
              <w:tblW w:w="498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26"/>
              <w:gridCol w:w="2959"/>
              <w:gridCol w:w="2736"/>
              <w:gridCol w:w="2442"/>
            </w:tblGrid>
            <w:tr w14:paraId="278E78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60" w:type="pct"/>
                  <w:vAlign w:val="center"/>
                </w:tcPr>
                <w:p w14:paraId="2B35C798">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spacing w:val="-2"/>
                      <w:kern w:val="0"/>
                      <w:sz w:val="21"/>
                      <w:szCs w:val="21"/>
                      <w:lang w:val="en-US" w:eastAsia="zh-CN"/>
                    </w:rPr>
                  </w:pPr>
                  <w:r>
                    <w:rPr>
                      <w:rFonts w:hint="eastAsia" w:ascii="宋体" w:hAnsi="宋体" w:cs="宋体"/>
                      <w:b/>
                      <w:bCs/>
                      <w:snapToGrid w:val="0"/>
                      <w:color w:val="000000"/>
                      <w:spacing w:val="-2"/>
                      <w:kern w:val="0"/>
                      <w:sz w:val="21"/>
                      <w:szCs w:val="21"/>
                      <w:lang w:val="en-US" w:eastAsia="zh-CN"/>
                    </w:rPr>
                    <w:t>序号</w:t>
                  </w:r>
                </w:p>
              </w:tc>
              <w:tc>
                <w:tcPr>
                  <w:tcW w:w="1650" w:type="pct"/>
                  <w:vAlign w:val="center"/>
                </w:tcPr>
                <w:p w14:paraId="1C4E6959">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设备名称</w:t>
                  </w:r>
                </w:p>
              </w:tc>
              <w:tc>
                <w:tcPr>
                  <w:tcW w:w="1526" w:type="pct"/>
                  <w:vAlign w:val="center"/>
                </w:tcPr>
                <w:p w14:paraId="5E5CFEE4">
                  <w:pPr>
                    <w:widowControl/>
                    <w:kinsoku/>
                    <w:autoSpaceDE w:val="0"/>
                    <w:autoSpaceDN w:val="0"/>
                    <w:adjustRightInd w:val="0"/>
                    <w:snapToGrid w:val="0"/>
                    <w:spacing w:before="63"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仪器编号</w:t>
                  </w:r>
                </w:p>
              </w:tc>
              <w:tc>
                <w:tcPr>
                  <w:tcW w:w="1362" w:type="pct"/>
                  <w:vAlign w:val="center"/>
                </w:tcPr>
                <w:p w14:paraId="4A2B794A">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kern w:val="0"/>
                      <w:sz w:val="21"/>
                      <w:szCs w:val="21"/>
                      <w:lang w:val="en-US" w:eastAsia="zh-CN"/>
                    </w:rPr>
                  </w:pPr>
                  <w:r>
                    <w:rPr>
                      <w:rFonts w:hint="eastAsia" w:ascii="宋体" w:hAnsi="宋体" w:cs="宋体"/>
                      <w:b/>
                      <w:bCs/>
                      <w:snapToGrid w:val="0"/>
                      <w:color w:val="000000"/>
                      <w:kern w:val="0"/>
                      <w:sz w:val="21"/>
                      <w:szCs w:val="21"/>
                      <w:lang w:val="en-US" w:eastAsia="zh-CN"/>
                    </w:rPr>
                    <w:t>有效期起止时间</w:t>
                  </w:r>
                </w:p>
              </w:tc>
            </w:tr>
            <w:tr w14:paraId="1897B3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60" w:type="pct"/>
                  <w:vAlign w:val="center"/>
                </w:tcPr>
                <w:p w14:paraId="099C1C4D">
                  <w:pPr>
                    <w:widowControl/>
                    <w:kinsoku/>
                    <w:autoSpaceDE w:val="0"/>
                    <w:autoSpaceDN w:val="0"/>
                    <w:adjustRightInd w:val="0"/>
                    <w:snapToGrid w:val="0"/>
                    <w:spacing w:before="98"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1</w:t>
                  </w:r>
                </w:p>
              </w:tc>
              <w:tc>
                <w:tcPr>
                  <w:tcW w:w="1650" w:type="pct"/>
                  <w:vAlign w:val="center"/>
                </w:tcPr>
                <w:p w14:paraId="3752A8CA">
                  <w:pPr>
                    <w:widowControl/>
                    <w:kinsoku/>
                    <w:autoSpaceDE w:val="0"/>
                    <w:autoSpaceDN w:val="0"/>
                    <w:adjustRightInd w:val="0"/>
                    <w:snapToGrid w:val="0"/>
                    <w:spacing w:before="98" w:line="187" w:lineRule="auto"/>
                    <w:jc w:val="center"/>
                    <w:textAlignment w:val="baseline"/>
                    <w:rPr>
                      <w:rFonts w:ascii="Times New Roman" w:hAnsi="Times New Roman" w:eastAsia="Times New Roman" w:cs="Times New Roman"/>
                      <w:snapToGrid w:val="0"/>
                      <w:color w:val="000000"/>
                      <w:kern w:val="0"/>
                      <w:sz w:val="21"/>
                      <w:szCs w:val="21"/>
                    </w:rPr>
                  </w:pPr>
                  <w:r>
                    <w:rPr>
                      <w:rFonts w:hint="default" w:ascii="Times New Roman" w:hAnsi="Times New Roman" w:eastAsia="Times New Roman" w:cs="Times New Roman"/>
                      <w:snapToGrid w:val="0"/>
                      <w:color w:val="000000"/>
                      <w:kern w:val="0"/>
                      <w:sz w:val="21"/>
                      <w:szCs w:val="21"/>
                      <w:lang w:val="en-US" w:eastAsia="zh-CN"/>
                    </w:rPr>
                    <w:t>AWA6228+</w:t>
                  </w:r>
                  <w:r>
                    <w:rPr>
                      <w:rFonts w:hint="eastAsia" w:ascii="Times New Roman" w:hAnsi="Times New Roman" w:eastAsia="Times New Roman" w:cs="Times New Roman"/>
                      <w:snapToGrid w:val="0"/>
                      <w:color w:val="000000"/>
                      <w:kern w:val="0"/>
                      <w:sz w:val="21"/>
                      <w:szCs w:val="21"/>
                      <w:lang w:val="en-US" w:eastAsia="zh-CN"/>
                    </w:rPr>
                    <w:t>型声级计</w:t>
                  </w:r>
                </w:p>
              </w:tc>
              <w:tc>
                <w:tcPr>
                  <w:tcW w:w="1526" w:type="pct"/>
                  <w:vAlign w:val="center"/>
                </w:tcPr>
                <w:p w14:paraId="18B6974D">
                  <w:pPr>
                    <w:pStyle w:val="174"/>
                    <w:spacing w:line="240" w:lineRule="auto"/>
                    <w:ind w:firstLine="0" w:firstLineChars="0"/>
                    <w:jc w:val="center"/>
                    <w:rPr>
                      <w:rFonts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lang w:val="en-US" w:eastAsia="zh-CN"/>
                    </w:rPr>
                    <w:t>00314167</w:t>
                  </w:r>
                </w:p>
              </w:tc>
              <w:tc>
                <w:tcPr>
                  <w:tcW w:w="1362" w:type="pct"/>
                  <w:vAlign w:val="center"/>
                </w:tcPr>
                <w:p w14:paraId="20AB1C4C">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kern w:val="0"/>
                      <w:sz w:val="21"/>
                      <w:szCs w:val="21"/>
                      <w:lang w:val="en-US" w:eastAsia="zh-CN"/>
                    </w:rPr>
                    <w:t>2019.6.17-2020.6.16</w:t>
                  </w:r>
                </w:p>
              </w:tc>
            </w:tr>
            <w:tr w14:paraId="5AAB92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460" w:type="pct"/>
                  <w:vAlign w:val="center"/>
                </w:tcPr>
                <w:p w14:paraId="7B037A5F">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2</w:t>
                  </w:r>
                </w:p>
              </w:tc>
              <w:tc>
                <w:tcPr>
                  <w:tcW w:w="1650" w:type="pct"/>
                  <w:vAlign w:val="center"/>
                </w:tcPr>
                <w:p w14:paraId="7345BEBC">
                  <w:pPr>
                    <w:widowControl/>
                    <w:kinsoku/>
                    <w:autoSpaceDE w:val="0"/>
                    <w:autoSpaceDN w:val="0"/>
                    <w:adjustRightInd w:val="0"/>
                    <w:snapToGrid w:val="0"/>
                    <w:spacing w:before="100" w:line="187"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AWA6021A声校准器</w:t>
                  </w:r>
                </w:p>
              </w:tc>
              <w:tc>
                <w:tcPr>
                  <w:tcW w:w="1526" w:type="pct"/>
                  <w:vAlign w:val="center"/>
                </w:tcPr>
                <w:p w14:paraId="06106116">
                  <w:pPr>
                    <w:pStyle w:val="174"/>
                    <w:spacing w:line="240" w:lineRule="auto"/>
                    <w:ind w:firstLine="0" w:firstLineChars="0"/>
                    <w:jc w:val="center"/>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kern w:val="0"/>
                      <w:sz w:val="21"/>
                      <w:szCs w:val="21"/>
                      <w:lang w:val="en-US" w:eastAsia="zh-CN"/>
                    </w:rPr>
                    <w:t>1009101</w:t>
                  </w:r>
                </w:p>
              </w:tc>
              <w:tc>
                <w:tcPr>
                  <w:tcW w:w="1362" w:type="pct"/>
                  <w:vAlign w:val="center"/>
                </w:tcPr>
                <w:p w14:paraId="5B9EBCA3">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rPr>
                  </w:pPr>
                  <w:r>
                    <w:rPr>
                      <w:rFonts w:hint="default" w:ascii="Times New Roman" w:hAnsi="Times New Roman" w:eastAsia="宋体" w:cs="Times New Roman"/>
                      <w:snapToGrid w:val="0"/>
                      <w:color w:val="000000"/>
                      <w:kern w:val="0"/>
                      <w:sz w:val="21"/>
                      <w:szCs w:val="21"/>
                      <w:lang w:val="en-US" w:eastAsia="zh-CN"/>
                    </w:rPr>
                    <w:t>2019.11.21-2020.11.20</w:t>
                  </w:r>
                </w:p>
              </w:tc>
            </w:tr>
          </w:tbl>
          <w:p w14:paraId="1BB0FD9B">
            <w:pPr>
              <w:widowControl/>
              <w:kinsoku/>
              <w:autoSpaceDE w:val="0"/>
              <w:autoSpaceDN w:val="0"/>
              <w:adjustRightInd w:val="0"/>
              <w:snapToGrid w:val="0"/>
              <w:spacing w:before="157" w:beforeLines="50" w:line="212"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17</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w:t>
            </w:r>
            <w:r>
              <w:rPr>
                <w:rFonts w:hint="default" w:ascii="Times New Roman" w:hAnsi="Times New Roman" w:eastAsia="宋体" w:cs="Times New Roman"/>
                <w:b/>
                <w:bCs/>
                <w:snapToGrid w:val="0"/>
                <w:color w:val="000000"/>
                <w:spacing w:val="-2"/>
                <w:kern w:val="0"/>
                <w:sz w:val="21"/>
                <w:szCs w:val="21"/>
                <w:lang w:val="en-US" w:eastAsia="zh-CN"/>
              </w:rPr>
              <w:t>类比线路监测期间工况</w:t>
            </w:r>
            <w:r>
              <w:rPr>
                <w:rFonts w:hint="eastAsia" w:cs="Times New Roman"/>
                <w:b/>
                <w:bCs/>
                <w:snapToGrid w:val="0"/>
                <w:color w:val="000000"/>
                <w:spacing w:val="-2"/>
                <w:kern w:val="0"/>
                <w:sz w:val="21"/>
                <w:szCs w:val="21"/>
                <w:lang w:val="en-US" w:eastAsia="zh-CN"/>
              </w:rPr>
              <w:t>一览表</w:t>
            </w:r>
          </w:p>
          <w:tbl>
            <w:tblPr>
              <w:tblStyle w:val="37"/>
              <w:tblW w:w="4972"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72"/>
              <w:gridCol w:w="2683"/>
              <w:gridCol w:w="2304"/>
              <w:gridCol w:w="2280"/>
            </w:tblGrid>
            <w:tr w14:paraId="14DDA8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34" w:type="pct"/>
                  <w:vMerge w:val="restart"/>
                  <w:vAlign w:val="center"/>
                </w:tcPr>
                <w:p w14:paraId="67233B9F">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spacing w:val="-2"/>
                      <w:kern w:val="0"/>
                      <w:sz w:val="21"/>
                      <w:szCs w:val="21"/>
                      <w:lang w:val="en-US" w:eastAsia="zh-CN"/>
                    </w:rPr>
                  </w:pPr>
                  <w:r>
                    <w:rPr>
                      <w:rFonts w:hint="eastAsia" w:ascii="宋体" w:hAnsi="宋体" w:cs="宋体"/>
                      <w:b/>
                      <w:bCs/>
                      <w:snapToGrid w:val="0"/>
                      <w:color w:val="000000"/>
                      <w:spacing w:val="-2"/>
                      <w:kern w:val="0"/>
                      <w:sz w:val="21"/>
                      <w:szCs w:val="21"/>
                      <w:lang w:val="en-US" w:eastAsia="zh-CN"/>
                    </w:rPr>
                    <w:t>名称</w:t>
                  </w:r>
                </w:p>
              </w:tc>
              <w:tc>
                <w:tcPr>
                  <w:tcW w:w="4065" w:type="pct"/>
                  <w:gridSpan w:val="3"/>
                  <w:vAlign w:val="center"/>
                </w:tcPr>
                <w:p w14:paraId="50F8A28D">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运行工况</w:t>
                  </w:r>
                </w:p>
              </w:tc>
            </w:tr>
            <w:tr w14:paraId="16503C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34" w:type="pct"/>
                  <w:vMerge w:val="continue"/>
                  <w:vAlign w:val="center"/>
                </w:tcPr>
                <w:p w14:paraId="090AA783">
                  <w:pPr>
                    <w:widowControl/>
                    <w:kinsoku/>
                    <w:autoSpaceDE w:val="0"/>
                    <w:autoSpaceDN w:val="0"/>
                    <w:adjustRightInd w:val="0"/>
                    <w:snapToGrid w:val="0"/>
                    <w:spacing w:before="98"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p>
              </w:tc>
              <w:tc>
                <w:tcPr>
                  <w:tcW w:w="1500" w:type="pct"/>
                  <w:vAlign w:val="center"/>
                </w:tcPr>
                <w:p w14:paraId="7D8F71D5">
                  <w:pPr>
                    <w:widowControl/>
                    <w:kinsoku/>
                    <w:autoSpaceDE w:val="0"/>
                    <w:autoSpaceDN w:val="0"/>
                    <w:adjustRightInd w:val="0"/>
                    <w:snapToGrid w:val="0"/>
                    <w:spacing w:before="98" w:line="187" w:lineRule="auto"/>
                    <w:jc w:val="center"/>
                    <w:textAlignment w:val="baseline"/>
                    <w:rPr>
                      <w:rFonts w:hint="eastAsia" w:ascii="Times New Roman" w:hAnsi="Times New Roman" w:eastAsia="宋体" w:cs="Times New Roman"/>
                      <w:b/>
                      <w:bCs/>
                      <w:snapToGrid w:val="0"/>
                      <w:color w:val="000000"/>
                      <w:kern w:val="0"/>
                      <w:sz w:val="21"/>
                      <w:szCs w:val="21"/>
                      <w:lang w:val="en-US" w:eastAsia="zh-CN"/>
                    </w:rPr>
                  </w:pPr>
                  <w:r>
                    <w:rPr>
                      <w:rFonts w:hint="eastAsia" w:eastAsia="宋体" w:cs="Times New Roman"/>
                      <w:b/>
                      <w:bCs/>
                      <w:snapToGrid w:val="0"/>
                      <w:color w:val="000000"/>
                      <w:kern w:val="0"/>
                      <w:sz w:val="21"/>
                      <w:szCs w:val="21"/>
                      <w:lang w:val="en-US" w:eastAsia="zh-CN"/>
                    </w:rPr>
                    <w:t>电压（</w:t>
                  </w:r>
                  <w:r>
                    <w:rPr>
                      <w:rFonts w:hint="default" w:ascii="Times New Roman" w:hAnsi="Times New Roman" w:eastAsia="宋体" w:cs="Times New Roman"/>
                      <w:b/>
                      <w:bCs/>
                      <w:snapToGrid w:val="0"/>
                      <w:color w:val="000000"/>
                      <w:kern w:val="0"/>
                      <w:sz w:val="21"/>
                      <w:szCs w:val="21"/>
                      <w:lang w:val="en-US" w:eastAsia="zh-CN"/>
                    </w:rPr>
                    <w:t>kV</w:t>
                  </w:r>
                  <w:r>
                    <w:rPr>
                      <w:rFonts w:hint="eastAsia" w:eastAsia="宋体" w:cs="Times New Roman"/>
                      <w:b/>
                      <w:bCs/>
                      <w:snapToGrid w:val="0"/>
                      <w:color w:val="000000"/>
                      <w:kern w:val="0"/>
                      <w:sz w:val="21"/>
                      <w:szCs w:val="21"/>
                      <w:lang w:val="en-US" w:eastAsia="zh-CN"/>
                    </w:rPr>
                    <w:t>）</w:t>
                  </w:r>
                </w:p>
              </w:tc>
              <w:tc>
                <w:tcPr>
                  <w:tcW w:w="1288" w:type="pct"/>
                  <w:vAlign w:val="center"/>
                </w:tcPr>
                <w:p w14:paraId="3D9BA731">
                  <w:pPr>
                    <w:pStyle w:val="174"/>
                    <w:spacing w:line="240" w:lineRule="auto"/>
                    <w:ind w:firstLine="0" w:firstLineChars="0"/>
                    <w:jc w:val="center"/>
                    <w:rPr>
                      <w:rFonts w:hint="eastAsia" w:ascii="Times New Roman" w:hAnsi="Times New Roman" w:eastAsia="宋体" w:cs="Times New Roman"/>
                      <w:b/>
                      <w:bCs/>
                      <w:snapToGrid w:val="0"/>
                      <w:color w:val="000000"/>
                      <w:kern w:val="0"/>
                      <w:sz w:val="21"/>
                      <w:szCs w:val="21"/>
                      <w:lang w:val="en-US" w:eastAsia="zh-CN"/>
                    </w:rPr>
                  </w:pPr>
                  <w:r>
                    <w:rPr>
                      <w:rFonts w:hint="eastAsia" w:ascii="Times New Roman" w:hAnsi="Times New Roman" w:cs="Times New Roman"/>
                      <w:b/>
                      <w:bCs/>
                      <w:snapToGrid w:val="0"/>
                      <w:color w:val="000000"/>
                      <w:kern w:val="0"/>
                      <w:sz w:val="21"/>
                      <w:szCs w:val="21"/>
                      <w:lang w:val="en-US" w:eastAsia="zh-CN"/>
                    </w:rPr>
                    <w:t>电流</w:t>
                  </w:r>
                </w:p>
              </w:tc>
              <w:tc>
                <w:tcPr>
                  <w:tcW w:w="1275" w:type="pct"/>
                  <w:vAlign w:val="center"/>
                </w:tcPr>
                <w:p w14:paraId="2F52C436">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有功功率（MW）</w:t>
                  </w:r>
                </w:p>
              </w:tc>
            </w:tr>
            <w:tr w14:paraId="63EDDA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34" w:type="pct"/>
                  <w:vAlign w:val="center"/>
                </w:tcPr>
                <w:p w14:paraId="0263C318">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kern w:val="0"/>
                      <w:sz w:val="21"/>
                      <w:szCs w:val="21"/>
                      <w:lang w:val="en-US" w:eastAsia="zh-CN"/>
                    </w:rPr>
                    <w:t>110kV孙胡506线</w:t>
                  </w:r>
                </w:p>
              </w:tc>
              <w:tc>
                <w:tcPr>
                  <w:tcW w:w="1500" w:type="pct"/>
                  <w:vAlign w:val="center"/>
                </w:tcPr>
                <w:p w14:paraId="2A7B3585">
                  <w:pPr>
                    <w:widowControl/>
                    <w:kinsoku/>
                    <w:autoSpaceDE w:val="0"/>
                    <w:autoSpaceDN w:val="0"/>
                    <w:adjustRightInd w:val="0"/>
                    <w:snapToGrid w:val="0"/>
                    <w:spacing w:before="100" w:line="187"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112.16-114.36</w:t>
                  </w:r>
                </w:p>
              </w:tc>
              <w:tc>
                <w:tcPr>
                  <w:tcW w:w="1288" w:type="pct"/>
                  <w:vAlign w:val="center"/>
                </w:tcPr>
                <w:p w14:paraId="3C510956">
                  <w:pPr>
                    <w:pStyle w:val="174"/>
                    <w:spacing w:line="240" w:lineRule="auto"/>
                    <w:ind w:firstLine="0" w:firstLineChars="0"/>
                    <w:jc w:val="center"/>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cs="Times New Roman"/>
                      <w:snapToGrid w:val="0"/>
                      <w:color w:val="000000"/>
                      <w:kern w:val="0"/>
                      <w:sz w:val="21"/>
                      <w:szCs w:val="21"/>
                      <w:lang w:val="en-US" w:eastAsia="zh-CN"/>
                    </w:rPr>
                    <w:t>5.98-6.18</w:t>
                  </w:r>
                </w:p>
              </w:tc>
              <w:tc>
                <w:tcPr>
                  <w:tcW w:w="1275" w:type="pct"/>
                  <w:vAlign w:val="center"/>
                </w:tcPr>
                <w:p w14:paraId="49691E79">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1.21-1.26</w:t>
                  </w:r>
                </w:p>
              </w:tc>
            </w:tr>
          </w:tbl>
          <w:p w14:paraId="15CF97B1">
            <w:pPr>
              <w:pageBreakBefore w:val="0"/>
              <w:widowControl/>
              <w:wordWrap/>
              <w:bidi w:val="0"/>
              <w:spacing w:before="0" w:beforeLines="0" w:line="360" w:lineRule="auto"/>
              <w:ind w:firstLine="480" w:firstLineChars="200"/>
              <w:jc w:val="both"/>
              <w:rPr>
                <w:rFonts w:hint="default" w:ascii="Times New Roman" w:hAnsi="Times New Roman" w:eastAsia="宋体" w:cs="Times New Roman"/>
                <w:color w:val="000000"/>
                <w:sz w:val="24"/>
                <w:szCs w:val="24"/>
                <w:lang w:val="en-US" w:eastAsia="zh-CN"/>
              </w:rPr>
            </w:pPr>
            <w:r>
              <w:rPr>
                <w:rFonts w:hint="eastAsia" w:cs="Times New Roman"/>
                <w:color w:val="000000"/>
                <w:sz w:val="24"/>
                <w:szCs w:val="24"/>
                <w:lang w:eastAsia="zh-CN"/>
              </w:rPr>
              <w:t>（</w:t>
            </w:r>
            <w:r>
              <w:rPr>
                <w:rFonts w:hint="eastAsia" w:cs="Times New Roman"/>
                <w:color w:val="000000"/>
                <w:sz w:val="24"/>
                <w:szCs w:val="24"/>
                <w:lang w:val="en-US" w:eastAsia="zh-CN"/>
              </w:rPr>
              <w:t>4</w:t>
            </w:r>
            <w:r>
              <w:rPr>
                <w:rFonts w:hint="eastAsia" w:cs="Times New Roman"/>
                <w:color w:val="000000"/>
                <w:sz w:val="24"/>
                <w:szCs w:val="24"/>
                <w:lang w:eastAsia="zh-CN"/>
              </w:rPr>
              <w:t>）</w:t>
            </w:r>
            <w:r>
              <w:rPr>
                <w:rFonts w:hint="eastAsia" w:cs="Times New Roman"/>
                <w:color w:val="000000"/>
                <w:sz w:val="24"/>
                <w:szCs w:val="24"/>
                <w:lang w:val="en-US" w:eastAsia="zh-CN"/>
              </w:rPr>
              <w:t>类比监测结果</w:t>
            </w:r>
          </w:p>
          <w:p w14:paraId="21B692BE">
            <w:pPr>
              <w:widowControl/>
              <w:kinsoku/>
              <w:autoSpaceDE w:val="0"/>
              <w:autoSpaceDN w:val="0"/>
              <w:adjustRightInd w:val="0"/>
              <w:snapToGrid w:val="0"/>
              <w:spacing w:before="27" w:line="212" w:lineRule="auto"/>
              <w:jc w:val="center"/>
              <w:textAlignment w:val="baseline"/>
              <w:rPr>
                <w:rFonts w:hint="default" w:ascii="Times New Roman" w:hAnsi="Times New Roman" w:eastAsia="宋体" w:cs="Times New Roman"/>
                <w:b/>
                <w:bCs/>
                <w:snapToGrid w:val="0"/>
                <w:color w:val="000000"/>
                <w:spacing w:val="-2"/>
                <w:kern w:val="0"/>
                <w:sz w:val="21"/>
                <w:szCs w:val="21"/>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18</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w:t>
            </w:r>
            <w:r>
              <w:rPr>
                <w:rFonts w:hint="default" w:ascii="Times New Roman" w:hAnsi="Times New Roman" w:eastAsia="宋体" w:cs="Times New Roman"/>
                <w:b/>
                <w:bCs/>
                <w:snapToGrid w:val="0"/>
                <w:color w:val="000000"/>
                <w:spacing w:val="-2"/>
                <w:kern w:val="0"/>
                <w:sz w:val="21"/>
                <w:szCs w:val="21"/>
                <w:lang w:val="en-US" w:eastAsia="zh-CN"/>
              </w:rPr>
              <w:t>110kV孙胡506线单回线路类比监测结果</w:t>
            </w:r>
            <w:r>
              <w:rPr>
                <w:rFonts w:hint="eastAsia" w:cs="Times New Roman"/>
                <w:b/>
                <w:bCs/>
                <w:snapToGrid w:val="0"/>
                <w:color w:val="000000"/>
                <w:spacing w:val="-2"/>
                <w:kern w:val="0"/>
                <w:sz w:val="21"/>
                <w:szCs w:val="21"/>
                <w:lang w:val="en-US" w:eastAsia="zh-CN"/>
              </w:rPr>
              <w:t xml:space="preserve">     单位：</w:t>
            </w:r>
            <w:r>
              <w:rPr>
                <w:rFonts w:hint="default" w:ascii="Times New Roman" w:hAnsi="Times New Roman" w:eastAsia="宋体" w:cs="Times New Roman"/>
                <w:b/>
                <w:bCs/>
                <w:snapToGrid w:val="0"/>
                <w:color w:val="000000"/>
                <w:spacing w:val="-2"/>
                <w:kern w:val="0"/>
                <w:sz w:val="21"/>
                <w:szCs w:val="21"/>
                <w:lang w:val="en-US" w:eastAsia="zh-CN"/>
              </w:rPr>
              <w:t>（dB(A)）</w:t>
            </w:r>
          </w:p>
          <w:tbl>
            <w:tblPr>
              <w:tblStyle w:val="37"/>
              <w:tblW w:w="496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85"/>
              <w:gridCol w:w="3903"/>
              <w:gridCol w:w="1348"/>
              <w:gridCol w:w="925"/>
              <w:gridCol w:w="971"/>
            </w:tblGrid>
            <w:tr w14:paraId="242127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Merge w:val="restart"/>
                  <w:vAlign w:val="center"/>
                </w:tcPr>
                <w:p w14:paraId="58C24569">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spacing w:val="-2"/>
                      <w:kern w:val="0"/>
                      <w:sz w:val="21"/>
                      <w:szCs w:val="21"/>
                      <w:lang w:val="en-US" w:eastAsia="zh-CN"/>
                    </w:rPr>
                  </w:pPr>
                  <w:r>
                    <w:rPr>
                      <w:rFonts w:hint="eastAsia" w:ascii="宋体" w:hAnsi="宋体" w:cs="宋体"/>
                      <w:b/>
                      <w:bCs/>
                      <w:snapToGrid w:val="0"/>
                      <w:color w:val="000000"/>
                      <w:spacing w:val="-2"/>
                      <w:kern w:val="0"/>
                      <w:sz w:val="21"/>
                      <w:szCs w:val="21"/>
                      <w:lang w:val="en-US" w:eastAsia="zh-CN"/>
                    </w:rPr>
                    <w:t>序号</w:t>
                  </w:r>
                </w:p>
              </w:tc>
              <w:tc>
                <w:tcPr>
                  <w:tcW w:w="2939" w:type="pct"/>
                  <w:gridSpan w:val="2"/>
                  <w:vMerge w:val="restart"/>
                  <w:vAlign w:val="center"/>
                </w:tcPr>
                <w:p w14:paraId="7E58DBB1">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点位描述</w:t>
                  </w:r>
                </w:p>
              </w:tc>
              <w:tc>
                <w:tcPr>
                  <w:tcW w:w="1061" w:type="pct"/>
                  <w:gridSpan w:val="2"/>
                  <w:vAlign w:val="center"/>
                </w:tcPr>
                <w:p w14:paraId="3D693125">
                  <w:pPr>
                    <w:widowControl/>
                    <w:kinsoku/>
                    <w:autoSpaceDE w:val="0"/>
                    <w:autoSpaceDN w:val="0"/>
                    <w:adjustRightInd w:val="0"/>
                    <w:snapToGrid w:val="0"/>
                    <w:spacing w:before="62" w:line="221" w:lineRule="auto"/>
                    <w:jc w:val="center"/>
                    <w:textAlignment w:val="baseline"/>
                    <w:rPr>
                      <w:rFonts w:hint="default" w:ascii="宋体" w:hAnsi="宋体" w:eastAsia="宋体" w:cs="宋体"/>
                      <w:b/>
                      <w:bCs/>
                      <w:snapToGrid w:val="0"/>
                      <w:color w:val="000000"/>
                      <w:kern w:val="0"/>
                      <w:sz w:val="21"/>
                      <w:szCs w:val="21"/>
                      <w:lang w:val="en-US" w:eastAsia="zh-CN"/>
                    </w:rPr>
                  </w:pPr>
                  <w:r>
                    <w:rPr>
                      <w:rFonts w:hint="eastAsia" w:ascii="宋体" w:hAnsi="宋体" w:cs="宋体"/>
                      <w:b/>
                      <w:bCs/>
                      <w:snapToGrid w:val="0"/>
                      <w:color w:val="000000"/>
                      <w:kern w:val="0"/>
                      <w:sz w:val="21"/>
                      <w:szCs w:val="21"/>
                      <w:lang w:val="en-US" w:eastAsia="zh-CN"/>
                    </w:rPr>
                    <w:t>监测值</w:t>
                  </w:r>
                </w:p>
              </w:tc>
            </w:tr>
            <w:tr w14:paraId="4F5EE5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Merge w:val="continue"/>
                  <w:vAlign w:val="center"/>
                </w:tcPr>
                <w:p w14:paraId="44F56DAC">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p>
              </w:tc>
              <w:tc>
                <w:tcPr>
                  <w:tcW w:w="2939" w:type="pct"/>
                  <w:gridSpan w:val="2"/>
                  <w:vMerge w:val="continue"/>
                  <w:vAlign w:val="center"/>
                </w:tcPr>
                <w:p w14:paraId="212C9153">
                  <w:pPr>
                    <w:widowControl/>
                    <w:kinsoku/>
                    <w:autoSpaceDE w:val="0"/>
                    <w:autoSpaceDN w:val="0"/>
                    <w:adjustRightInd w:val="0"/>
                    <w:snapToGrid w:val="0"/>
                    <w:spacing w:before="60" w:line="223" w:lineRule="auto"/>
                    <w:jc w:val="center"/>
                    <w:textAlignment w:val="baseline"/>
                    <w:rPr>
                      <w:rFonts w:ascii="Times New Roman" w:hAnsi="Times New Roman" w:eastAsia="宋体" w:cs="Times New Roman"/>
                      <w:snapToGrid w:val="0"/>
                      <w:color w:val="000000"/>
                      <w:kern w:val="0"/>
                      <w:sz w:val="21"/>
                      <w:szCs w:val="21"/>
                    </w:rPr>
                  </w:pPr>
                </w:p>
              </w:tc>
              <w:tc>
                <w:tcPr>
                  <w:tcW w:w="517" w:type="pct"/>
                  <w:vAlign w:val="center"/>
                </w:tcPr>
                <w:p w14:paraId="58B90682">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昼间</w:t>
                  </w:r>
                </w:p>
              </w:tc>
              <w:tc>
                <w:tcPr>
                  <w:tcW w:w="543" w:type="pct"/>
                  <w:vAlign w:val="center"/>
                </w:tcPr>
                <w:p w14:paraId="28A8C6A9">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eastAsia" w:cs="Times New Roman"/>
                      <w:b/>
                      <w:bCs/>
                      <w:snapToGrid w:val="0"/>
                      <w:color w:val="000000"/>
                      <w:kern w:val="0"/>
                      <w:sz w:val="21"/>
                      <w:szCs w:val="21"/>
                      <w:lang w:val="en-US" w:eastAsia="zh-CN"/>
                    </w:rPr>
                    <w:t>夜间</w:t>
                  </w:r>
                </w:p>
              </w:tc>
            </w:tr>
            <w:tr w14:paraId="5DD8A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6C89D976">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N1</w:t>
                  </w:r>
                </w:p>
              </w:tc>
              <w:tc>
                <w:tcPr>
                  <w:tcW w:w="2185" w:type="pct"/>
                  <w:vMerge w:val="restart"/>
                  <w:vAlign w:val="center"/>
                </w:tcPr>
                <w:p w14:paraId="18C5C2E1">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110kV孙胡506线137#~138#杆塔间（单回架设，对地高度为7m，周边环境为农田、村道），距两杆塔中央连线对地投影。监测点位起于110kV孙胡506线单回线路边导线线下，垂直于110kV线路向东侧布置至30m处为止。</w:t>
                  </w:r>
                </w:p>
              </w:tc>
              <w:tc>
                <w:tcPr>
                  <w:tcW w:w="754" w:type="pct"/>
                  <w:vAlign w:val="center"/>
                </w:tcPr>
                <w:p w14:paraId="0F7EB774">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0m线下</w:t>
                  </w:r>
                </w:p>
              </w:tc>
              <w:tc>
                <w:tcPr>
                  <w:tcW w:w="517" w:type="pct"/>
                  <w:vAlign w:val="center"/>
                </w:tcPr>
                <w:p w14:paraId="64651713">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42.0</w:t>
                  </w:r>
                </w:p>
              </w:tc>
              <w:tc>
                <w:tcPr>
                  <w:tcW w:w="543" w:type="pct"/>
                  <w:vAlign w:val="center"/>
                </w:tcPr>
                <w:p w14:paraId="34478DBE">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39.7</w:t>
                  </w:r>
                </w:p>
              </w:tc>
            </w:tr>
            <w:tr w14:paraId="658E96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40804928">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N2</w:t>
                  </w:r>
                </w:p>
              </w:tc>
              <w:tc>
                <w:tcPr>
                  <w:tcW w:w="2185" w:type="pct"/>
                  <w:vMerge w:val="continue"/>
                  <w:vAlign w:val="center"/>
                </w:tcPr>
                <w:p w14:paraId="7C15B39C">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4F09EAB4">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5m</w:t>
                  </w:r>
                </w:p>
              </w:tc>
              <w:tc>
                <w:tcPr>
                  <w:tcW w:w="517" w:type="pct"/>
                  <w:vAlign w:val="center"/>
                </w:tcPr>
                <w:p w14:paraId="431314CF">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42.3</w:t>
                  </w:r>
                </w:p>
              </w:tc>
              <w:tc>
                <w:tcPr>
                  <w:tcW w:w="543" w:type="pct"/>
                  <w:vAlign w:val="center"/>
                </w:tcPr>
                <w:p w14:paraId="6D26412F">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40.0</w:t>
                  </w:r>
                </w:p>
              </w:tc>
            </w:tr>
            <w:tr w14:paraId="57E4DA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6F23B8D0">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N3</w:t>
                  </w:r>
                </w:p>
              </w:tc>
              <w:tc>
                <w:tcPr>
                  <w:tcW w:w="2185" w:type="pct"/>
                  <w:vMerge w:val="continue"/>
                  <w:vAlign w:val="center"/>
                </w:tcPr>
                <w:p w14:paraId="129072E6">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26B4F1C0">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10m</w:t>
                  </w:r>
                </w:p>
              </w:tc>
              <w:tc>
                <w:tcPr>
                  <w:tcW w:w="517" w:type="pct"/>
                  <w:vAlign w:val="center"/>
                </w:tcPr>
                <w:p w14:paraId="015AB7F0">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42.1</w:t>
                  </w:r>
                </w:p>
              </w:tc>
              <w:tc>
                <w:tcPr>
                  <w:tcW w:w="543" w:type="pct"/>
                  <w:vAlign w:val="center"/>
                </w:tcPr>
                <w:p w14:paraId="47F8D3FE">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39.9</w:t>
                  </w:r>
                </w:p>
              </w:tc>
            </w:tr>
            <w:tr w14:paraId="74D0F2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348EC768">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N4</w:t>
                  </w:r>
                </w:p>
              </w:tc>
              <w:tc>
                <w:tcPr>
                  <w:tcW w:w="2185" w:type="pct"/>
                  <w:vMerge w:val="continue"/>
                  <w:vAlign w:val="center"/>
                </w:tcPr>
                <w:p w14:paraId="262F8AB0">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0E1CF80F">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15m</w:t>
                  </w:r>
                </w:p>
              </w:tc>
              <w:tc>
                <w:tcPr>
                  <w:tcW w:w="517" w:type="pct"/>
                  <w:vAlign w:val="center"/>
                </w:tcPr>
                <w:p w14:paraId="1649A871">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41.9</w:t>
                  </w:r>
                </w:p>
              </w:tc>
              <w:tc>
                <w:tcPr>
                  <w:tcW w:w="543" w:type="pct"/>
                  <w:vAlign w:val="center"/>
                </w:tcPr>
                <w:p w14:paraId="6CA0019C">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39.5</w:t>
                  </w:r>
                </w:p>
              </w:tc>
            </w:tr>
            <w:tr w14:paraId="7043E0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7D6315C0">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N5</w:t>
                  </w:r>
                </w:p>
              </w:tc>
              <w:tc>
                <w:tcPr>
                  <w:tcW w:w="2185" w:type="pct"/>
                  <w:vMerge w:val="continue"/>
                  <w:vAlign w:val="center"/>
                </w:tcPr>
                <w:p w14:paraId="7784FB4F">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11784189">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20m</w:t>
                  </w:r>
                </w:p>
              </w:tc>
              <w:tc>
                <w:tcPr>
                  <w:tcW w:w="517" w:type="pct"/>
                  <w:vAlign w:val="center"/>
                </w:tcPr>
                <w:p w14:paraId="1FE360E6">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41.9</w:t>
                  </w:r>
                </w:p>
              </w:tc>
              <w:tc>
                <w:tcPr>
                  <w:tcW w:w="543" w:type="pct"/>
                  <w:vAlign w:val="center"/>
                </w:tcPr>
                <w:p w14:paraId="3D8A1795">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39.3</w:t>
                  </w:r>
                </w:p>
              </w:tc>
            </w:tr>
            <w:tr w14:paraId="6B380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5D02B544">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N6</w:t>
                  </w:r>
                </w:p>
              </w:tc>
              <w:tc>
                <w:tcPr>
                  <w:tcW w:w="2185" w:type="pct"/>
                  <w:vMerge w:val="continue"/>
                  <w:vAlign w:val="center"/>
                </w:tcPr>
                <w:p w14:paraId="1DEA714C">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0B66A08C">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25m</w:t>
                  </w:r>
                </w:p>
              </w:tc>
              <w:tc>
                <w:tcPr>
                  <w:tcW w:w="517" w:type="pct"/>
                  <w:vAlign w:val="center"/>
                </w:tcPr>
                <w:p w14:paraId="1783E4E8">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41.4</w:t>
                  </w:r>
                </w:p>
              </w:tc>
              <w:tc>
                <w:tcPr>
                  <w:tcW w:w="543" w:type="pct"/>
                  <w:vAlign w:val="center"/>
                </w:tcPr>
                <w:p w14:paraId="24CCD5BB">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39.6</w:t>
                  </w:r>
                </w:p>
              </w:tc>
            </w:tr>
            <w:tr w14:paraId="59B5A5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37397D58">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N7</w:t>
                  </w:r>
                </w:p>
              </w:tc>
              <w:tc>
                <w:tcPr>
                  <w:tcW w:w="2185" w:type="pct"/>
                  <w:vMerge w:val="continue"/>
                  <w:vAlign w:val="center"/>
                </w:tcPr>
                <w:p w14:paraId="524304F2">
                  <w:pPr>
                    <w:widowControl/>
                    <w:kinsoku/>
                    <w:autoSpaceDE w:val="0"/>
                    <w:autoSpaceDN w:val="0"/>
                    <w:adjustRightInd w:val="0"/>
                    <w:snapToGrid w:val="0"/>
                    <w:spacing w:before="61" w:line="223" w:lineRule="auto"/>
                    <w:jc w:val="center"/>
                    <w:textAlignment w:val="baseline"/>
                    <w:rPr>
                      <w:rFonts w:hint="eastAsia" w:ascii="Times New Roman" w:hAnsi="Times New Roman" w:eastAsia="宋体" w:cs="Times New Roman"/>
                      <w:snapToGrid w:val="0"/>
                      <w:color w:val="000000"/>
                      <w:kern w:val="0"/>
                      <w:sz w:val="21"/>
                      <w:szCs w:val="21"/>
                      <w:lang w:val="en-US" w:eastAsia="zh-CN"/>
                    </w:rPr>
                  </w:pPr>
                </w:p>
              </w:tc>
              <w:tc>
                <w:tcPr>
                  <w:tcW w:w="754" w:type="pct"/>
                  <w:vAlign w:val="center"/>
                </w:tcPr>
                <w:p w14:paraId="61064A8A">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30m</w:t>
                  </w:r>
                </w:p>
              </w:tc>
              <w:tc>
                <w:tcPr>
                  <w:tcW w:w="517" w:type="pct"/>
                  <w:vAlign w:val="center"/>
                </w:tcPr>
                <w:p w14:paraId="0382868D">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42.0</w:t>
                  </w:r>
                </w:p>
              </w:tc>
              <w:tc>
                <w:tcPr>
                  <w:tcW w:w="543" w:type="pct"/>
                  <w:vAlign w:val="center"/>
                </w:tcPr>
                <w:p w14:paraId="4DEF3539">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39.9</w:t>
                  </w:r>
                </w:p>
              </w:tc>
            </w:tr>
            <w:tr w14:paraId="15336D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999" w:type="pct"/>
                  <w:vAlign w:val="center"/>
                </w:tcPr>
                <w:p w14:paraId="6A9DD59D">
                  <w:pPr>
                    <w:widowControl/>
                    <w:kinsoku/>
                    <w:autoSpaceDE w:val="0"/>
                    <w:autoSpaceDN w:val="0"/>
                    <w:adjustRightInd w:val="0"/>
                    <w:snapToGrid w:val="0"/>
                    <w:spacing w:before="61" w:line="223" w:lineRule="auto"/>
                    <w:jc w:val="center"/>
                    <w:textAlignment w:val="baseline"/>
                    <w:rPr>
                      <w:rFonts w:hint="default"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N8</w:t>
                  </w:r>
                </w:p>
              </w:tc>
              <w:tc>
                <w:tcPr>
                  <w:tcW w:w="2939" w:type="pct"/>
                  <w:gridSpan w:val="2"/>
                  <w:vAlign w:val="center"/>
                </w:tcPr>
                <w:p w14:paraId="5C9B98E2">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110kV孙胡506线背景监测点（137#~138#杆塔东侧120m处，周边环境为农田）</w:t>
                  </w:r>
                </w:p>
              </w:tc>
              <w:tc>
                <w:tcPr>
                  <w:tcW w:w="517" w:type="pct"/>
                  <w:vAlign w:val="center"/>
                </w:tcPr>
                <w:p w14:paraId="5E70C7AF">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42.1</w:t>
                  </w:r>
                </w:p>
              </w:tc>
              <w:tc>
                <w:tcPr>
                  <w:tcW w:w="543" w:type="pct"/>
                  <w:vAlign w:val="center"/>
                </w:tcPr>
                <w:p w14:paraId="6110446A">
                  <w:pPr>
                    <w:widowControl/>
                    <w:kinsoku/>
                    <w:autoSpaceDE w:val="0"/>
                    <w:autoSpaceDN w:val="0"/>
                    <w:adjustRightInd w:val="0"/>
                    <w:snapToGrid w:val="0"/>
                    <w:spacing w:before="61"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39.8</w:t>
                  </w:r>
                </w:p>
              </w:tc>
            </w:tr>
          </w:tbl>
          <w:p w14:paraId="7FB99BA9">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p>
          <w:p w14:paraId="317995E0">
            <w:pPr>
              <w:pageBreakBefore w:val="0"/>
              <w:widowControl/>
              <w:wordWrap/>
              <w:bidi w:val="0"/>
              <w:spacing w:before="0" w:beforeLines="0" w:line="360" w:lineRule="auto"/>
              <w:ind w:firstLine="400" w:firstLineChars="200"/>
              <w:jc w:val="both"/>
            </w:pPr>
            <w:r>
              <w:drawing>
                <wp:inline distT="0" distB="0" distL="114300" distR="114300">
                  <wp:extent cx="4876800" cy="2838450"/>
                  <wp:effectExtent l="0" t="0" r="0" b="0"/>
                  <wp:docPr id="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8"/>
                          <pic:cNvPicPr>
                            <a:picLocks noChangeAspect="1"/>
                          </pic:cNvPicPr>
                        </pic:nvPicPr>
                        <pic:blipFill>
                          <a:blip r:embed="rId93"/>
                          <a:stretch>
                            <a:fillRect/>
                          </a:stretch>
                        </pic:blipFill>
                        <pic:spPr>
                          <a:xfrm>
                            <a:off x="0" y="0"/>
                            <a:ext cx="4876800" cy="2838450"/>
                          </a:xfrm>
                          <a:prstGeom prst="rect">
                            <a:avLst/>
                          </a:prstGeom>
                          <a:noFill/>
                          <a:ln>
                            <a:noFill/>
                          </a:ln>
                        </pic:spPr>
                      </pic:pic>
                    </a:graphicData>
                  </a:graphic>
                </wp:inline>
              </w:drawing>
            </w:r>
          </w:p>
          <w:p w14:paraId="0F8F1B91">
            <w:pPr>
              <w:pageBreakBefore w:val="0"/>
              <w:widowControl/>
              <w:wordWrap/>
              <w:bidi w:val="0"/>
              <w:spacing w:before="0" w:beforeLines="0" w:line="240" w:lineRule="auto"/>
              <w:ind w:firstLine="0" w:firstLineChars="0"/>
              <w:jc w:val="center"/>
              <w:rPr>
                <w:rFonts w:hint="eastAsia"/>
                <w:b/>
                <w:bCs/>
                <w:sz w:val="21"/>
                <w:szCs w:val="21"/>
                <w:lang w:val="en-US" w:eastAsia="zh-CN"/>
              </w:rPr>
            </w:pPr>
            <w:r>
              <w:rPr>
                <w:rFonts w:hint="eastAsia"/>
                <w:b/>
                <w:bCs/>
                <w:sz w:val="21"/>
                <w:szCs w:val="21"/>
                <w:lang w:val="en-US" w:eastAsia="zh-CN"/>
              </w:rPr>
              <w:t>图4-2  类比线路噪声监测断面变化趋势图</w:t>
            </w:r>
          </w:p>
          <w:p w14:paraId="4B3712EF">
            <w:pPr>
              <w:pageBreakBefore w:val="0"/>
              <w:widowControl/>
              <w:wordWrap/>
              <w:bidi w:val="0"/>
              <w:spacing w:before="0" w:beforeLines="0" w:line="360" w:lineRule="auto"/>
              <w:ind w:firstLine="480" w:firstLineChars="200"/>
              <w:jc w:val="both"/>
              <w:rPr>
                <w:rFonts w:hint="default" w:eastAsia="宋体"/>
                <w:sz w:val="24"/>
                <w:szCs w:val="24"/>
                <w:lang w:val="en-US" w:eastAsia="zh-CN"/>
              </w:rPr>
            </w:pPr>
            <w:r>
              <w:rPr>
                <w:rFonts w:hint="default" w:eastAsia="宋体"/>
                <w:sz w:val="24"/>
                <w:szCs w:val="24"/>
                <w:lang w:val="en-US" w:eastAsia="zh-CN"/>
              </w:rPr>
              <w:t>根据表4-</w:t>
            </w:r>
            <w:r>
              <w:rPr>
                <w:rFonts w:hint="default"/>
                <w:sz w:val="24"/>
                <w:szCs w:val="24"/>
                <w:lang w:val="en-US" w:eastAsia="zh-CN"/>
              </w:rPr>
              <w:t>18</w:t>
            </w:r>
            <w:r>
              <w:rPr>
                <w:rFonts w:hint="default" w:eastAsia="宋体"/>
                <w:sz w:val="24"/>
                <w:szCs w:val="24"/>
                <w:lang w:val="en-US" w:eastAsia="zh-CN"/>
              </w:rPr>
              <w:t>类比监测结果可知，类比单回线路噪声昼间监测值在41.4dB(A)</w:t>
            </w:r>
            <w:r>
              <w:rPr>
                <w:rFonts w:hint="eastAsia" w:ascii="Times New Roman" w:hAnsi="Times New Roman" w:eastAsia="宋体" w:cs="Times New Roman"/>
                <w:sz w:val="24"/>
                <w:szCs w:val="24"/>
                <w:lang w:val="en-US" w:eastAsia="zh-CN"/>
              </w:rPr>
              <w:t>-</w:t>
            </w:r>
            <w:r>
              <w:rPr>
                <w:rFonts w:hint="default" w:eastAsia="宋体"/>
                <w:sz w:val="24"/>
                <w:szCs w:val="24"/>
                <w:lang w:val="en-US" w:eastAsia="zh-CN"/>
              </w:rPr>
              <w:t>42.3dB(A</w:t>
            </w:r>
            <w:r>
              <w:rPr>
                <w:rFonts w:hint="eastAsia"/>
                <w:sz w:val="24"/>
                <w:szCs w:val="24"/>
                <w:lang w:val="en-US" w:eastAsia="zh-CN"/>
              </w:rPr>
              <w:t>）</w:t>
            </w:r>
            <w:r>
              <w:rPr>
                <w:rFonts w:hint="default" w:eastAsia="宋体"/>
                <w:sz w:val="24"/>
                <w:szCs w:val="24"/>
                <w:lang w:val="en-US" w:eastAsia="zh-CN"/>
              </w:rPr>
              <w:t>之间，夜间监测值在39.3dB(A)</w:t>
            </w:r>
            <w:r>
              <w:rPr>
                <w:rFonts w:hint="eastAsia" w:ascii="Times New Roman" w:hAnsi="Times New Roman" w:eastAsia="宋体" w:cs="Times New Roman"/>
                <w:sz w:val="24"/>
                <w:szCs w:val="24"/>
                <w:lang w:val="en-US" w:eastAsia="zh-CN"/>
              </w:rPr>
              <w:t>-</w:t>
            </w:r>
            <w:r>
              <w:rPr>
                <w:rFonts w:hint="default" w:eastAsia="宋体"/>
                <w:sz w:val="24"/>
                <w:szCs w:val="24"/>
                <w:lang w:val="en-US" w:eastAsia="zh-CN"/>
              </w:rPr>
              <w:t>40.0dB</w:t>
            </w:r>
            <w:r>
              <w:rPr>
                <w:rFonts w:hint="default" w:ascii="Times New Roman" w:hAnsi="Times New Roman" w:eastAsia="宋体" w:cs="Times New Roman"/>
                <w:sz w:val="24"/>
                <w:szCs w:val="24"/>
                <w:lang w:val="en-US" w:eastAsia="zh-CN"/>
              </w:rPr>
              <w:t>(A</w:t>
            </w:r>
            <w:r>
              <w:rPr>
                <w:rFonts w:hint="eastAsia" w:cs="Times New Roman"/>
                <w:sz w:val="24"/>
                <w:szCs w:val="24"/>
                <w:lang w:val="en-US" w:eastAsia="zh-CN"/>
              </w:rPr>
              <w:t>）</w:t>
            </w:r>
            <w:r>
              <w:rPr>
                <w:rFonts w:hint="default" w:eastAsia="宋体"/>
                <w:sz w:val="24"/>
                <w:szCs w:val="24"/>
                <w:lang w:val="en-US" w:eastAsia="zh-CN"/>
              </w:rPr>
              <w:t>之间，均能满足《声环境质量标准》（GB3096-2008）1类标准要求。</w:t>
            </w:r>
          </w:p>
          <w:p w14:paraId="1F4A82E4">
            <w:pPr>
              <w:pageBreakBefore w:val="0"/>
              <w:widowControl/>
              <w:wordWrap/>
              <w:bidi w:val="0"/>
              <w:spacing w:before="0" w:beforeLines="0" w:line="360" w:lineRule="auto"/>
              <w:ind w:firstLine="480" w:firstLineChars="200"/>
              <w:jc w:val="both"/>
              <w:rPr>
                <w:rFonts w:hint="default" w:eastAsia="宋体"/>
                <w:sz w:val="24"/>
                <w:szCs w:val="24"/>
                <w:lang w:val="en-US" w:eastAsia="zh-CN"/>
              </w:rPr>
            </w:pPr>
            <w:r>
              <w:rPr>
                <w:rFonts w:hint="default" w:eastAsia="宋体"/>
                <w:sz w:val="24"/>
                <w:szCs w:val="24"/>
                <w:lang w:val="en-US" w:eastAsia="zh-CN"/>
              </w:rPr>
              <w:t>根据类比监测结果及噪声监测断面变化趋势图分析可知，单回线路噪声监测衰减断面处的昼、夜噪声变化幅度不大，噪声水平随距离的增加而减小的趋势不明显，</w:t>
            </w:r>
            <w:r>
              <w:rPr>
                <w:rFonts w:hint="eastAsia"/>
                <w:sz w:val="24"/>
                <w:szCs w:val="24"/>
                <w:lang w:val="en-US" w:eastAsia="zh-CN"/>
              </w:rPr>
              <w:t>说明</w:t>
            </w:r>
            <w:r>
              <w:rPr>
                <w:rFonts w:hint="default" w:eastAsia="宋体"/>
                <w:sz w:val="24"/>
                <w:szCs w:val="24"/>
                <w:lang w:val="en-US" w:eastAsia="zh-CN"/>
              </w:rPr>
              <w:t>主要受背景噪声影响，输电线路的运行噪声对周围环境噪声的贡献很小，基本不构成增量贡献，对当地环境噪声水平不会有明显的改变。</w:t>
            </w:r>
          </w:p>
          <w:p w14:paraId="0227C625">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cs="Times New Roman"/>
                <w:color w:val="000000"/>
                <w:sz w:val="24"/>
                <w:szCs w:val="24"/>
                <w:lang w:val="en-US" w:eastAsia="zh-CN"/>
              </w:rPr>
              <w:t>（5）</w:t>
            </w:r>
            <w:r>
              <w:rPr>
                <w:rFonts w:hint="eastAsia" w:ascii="Times New Roman" w:hAnsi="Times New Roman" w:eastAsia="宋体" w:cs="Times New Roman"/>
                <w:color w:val="000000"/>
                <w:sz w:val="24"/>
                <w:szCs w:val="24"/>
                <w:lang w:val="en-US" w:eastAsia="zh-CN"/>
              </w:rPr>
              <w:t>声环境保护目标的影响分析</w:t>
            </w:r>
          </w:p>
          <w:p w14:paraId="3E431D12">
            <w:pPr>
              <w:pageBreakBefore w:val="0"/>
              <w:widowControl/>
              <w:wordWrap/>
              <w:bidi w:val="0"/>
              <w:spacing w:before="0" w:beforeLines="0" w:line="360" w:lineRule="auto"/>
              <w:ind w:firstLine="480" w:firstLineChars="200"/>
              <w:jc w:val="both"/>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根据类比结果，</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输电线路下方至评价范围处无论昼间还是夜间噪声几乎无差别，</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线路运行不改变周围声环境质量。因此，可以预测本工程</w:t>
            </w:r>
            <w:r>
              <w:rPr>
                <w:rFonts w:hint="default" w:ascii="Times New Roman" w:hAnsi="Times New Roman" w:eastAsia="宋体" w:cs="Times New Roman"/>
                <w:color w:val="000000"/>
                <w:sz w:val="24"/>
                <w:szCs w:val="24"/>
                <w:lang w:val="en-US" w:eastAsia="zh-CN"/>
              </w:rPr>
              <w:t>110kV</w:t>
            </w:r>
            <w:r>
              <w:rPr>
                <w:rFonts w:hint="eastAsia" w:ascii="Times New Roman" w:hAnsi="Times New Roman" w:eastAsia="宋体" w:cs="Times New Roman"/>
                <w:color w:val="000000"/>
                <w:sz w:val="24"/>
                <w:szCs w:val="24"/>
                <w:lang w:val="en-US" w:eastAsia="zh-CN"/>
              </w:rPr>
              <w:t>线路运行后声环境保护目标处的声环境质量仍能满足《声环境质量标准》（</w:t>
            </w:r>
            <w:r>
              <w:rPr>
                <w:rFonts w:hint="default" w:ascii="Times New Roman" w:hAnsi="Times New Roman" w:eastAsia="宋体" w:cs="Times New Roman"/>
                <w:color w:val="000000"/>
                <w:sz w:val="24"/>
                <w:szCs w:val="24"/>
                <w:lang w:val="en-US" w:eastAsia="zh-CN"/>
              </w:rPr>
              <w:t>GB3096-2008</w:t>
            </w:r>
            <w:r>
              <w:rPr>
                <w:rFonts w:hint="eastAsia" w:ascii="Times New Roman" w:hAnsi="Times New Roman" w:eastAsia="宋体" w:cs="Times New Roman"/>
                <w:color w:val="000000"/>
                <w:sz w:val="24"/>
                <w:szCs w:val="24"/>
                <w:lang w:val="en-US" w:eastAsia="zh-CN"/>
              </w:rPr>
              <w:t>）中相应标准要求。</w:t>
            </w:r>
          </w:p>
          <w:p w14:paraId="0EE2E416">
            <w:pPr>
              <w:pageBreakBefore w:val="0"/>
              <w:widowControl/>
              <w:wordWrap/>
              <w:bidi w:val="0"/>
              <w:spacing w:before="120" w:beforeLines="50" w:line="360" w:lineRule="auto"/>
              <w:ind w:firstLine="482" w:firstLineChars="200"/>
              <w:jc w:val="both"/>
              <w:rPr>
                <w:rFonts w:hint="default"/>
                <w:b/>
                <w:bCs/>
                <w:sz w:val="24"/>
                <w:szCs w:val="24"/>
              </w:rPr>
            </w:pPr>
            <w:r>
              <w:rPr>
                <w:rFonts w:hint="eastAsia"/>
                <w:b/>
                <w:bCs/>
                <w:sz w:val="24"/>
                <w:szCs w:val="24"/>
                <w:lang w:val="en-US" w:eastAsia="zh-CN"/>
              </w:rPr>
              <w:t>4.8.2</w:t>
            </w:r>
            <w:r>
              <w:rPr>
                <w:rFonts w:hint="default"/>
                <w:b/>
                <w:bCs/>
                <w:sz w:val="24"/>
                <w:szCs w:val="24"/>
              </w:rPr>
              <w:t>、水环境影响分析</w:t>
            </w:r>
          </w:p>
          <w:p w14:paraId="184B5F68">
            <w:pPr>
              <w:pStyle w:val="21"/>
              <w:spacing w:before="0" w:line="360" w:lineRule="auto"/>
              <w:ind w:left="0" w:leftChars="0" w:firstLine="496" w:firstLineChars="200"/>
              <w:jc w:val="both"/>
              <w:rPr>
                <w:rFonts w:hint="default" w:ascii="Times New Roman" w:hAnsi="Times New Roman" w:eastAsia="宋体" w:cs="Times New Roman"/>
                <w:b w:val="0"/>
                <w:bCs/>
                <w:szCs w:val="24"/>
              </w:rPr>
            </w:pPr>
            <w:r>
              <w:rPr>
                <w:rFonts w:hint="default" w:ascii="Times New Roman" w:hAnsi="Times New Roman" w:eastAsia="宋体" w:cs="Times New Roman"/>
                <w:b w:val="0"/>
                <w:bCs/>
                <w:szCs w:val="24"/>
              </w:rPr>
              <w:t>项目营运期无生产废水产生，主要是</w:t>
            </w:r>
            <w:r>
              <w:rPr>
                <w:rFonts w:hint="eastAsia" w:ascii="Times New Roman" w:hAnsi="Times New Roman" w:cs="Times New Roman"/>
                <w:b w:val="0"/>
                <w:bCs/>
                <w:szCs w:val="24"/>
                <w:lang w:val="en-US" w:eastAsia="zh-CN"/>
              </w:rPr>
              <w:t>变电站</w:t>
            </w:r>
            <w:r>
              <w:rPr>
                <w:rFonts w:hint="default" w:ascii="Times New Roman" w:hAnsi="Times New Roman" w:eastAsia="宋体" w:cs="Times New Roman"/>
                <w:b w:val="0"/>
                <w:bCs/>
                <w:szCs w:val="24"/>
              </w:rPr>
              <w:t>值班员工产生的生活污水</w:t>
            </w:r>
            <w:r>
              <w:rPr>
                <w:rFonts w:hint="eastAsia" w:ascii="Times New Roman" w:hAnsi="Times New Roman" w:cs="Times New Roman"/>
                <w:b w:val="0"/>
                <w:bCs/>
                <w:szCs w:val="24"/>
                <w:lang w:eastAsia="zh-CN"/>
              </w:rPr>
              <w:t>，</w:t>
            </w:r>
            <w:r>
              <w:rPr>
                <w:rFonts w:hint="eastAsia"/>
                <w:sz w:val="24"/>
                <w:szCs w:val="24"/>
                <w:lang w:val="en-US" w:eastAsia="zh-CN"/>
              </w:rPr>
              <w:t>生活污水经化粪池收集后排入厂区生活排水管道，最终排入矿区内地埋式生活污水处理装置（生物接触氧化+砂滤+消毒工艺）收集处理后泵至选矿生产，</w:t>
            </w:r>
            <w:r>
              <w:rPr>
                <w:rFonts w:hint="eastAsia" w:ascii="Times New Roman" w:hAnsi="Times New Roman" w:cs="Times New Roman"/>
                <w:szCs w:val="24"/>
                <w:lang w:val="en-US" w:eastAsia="zh-CN"/>
              </w:rPr>
              <w:t>地埋式生活污水处理装置位于变电站西侧，依托具有可行性，</w:t>
            </w:r>
            <w:r>
              <w:rPr>
                <w:rFonts w:hint="default"/>
                <w:color w:val="auto"/>
                <w:sz w:val="24"/>
                <w:szCs w:val="24"/>
              </w:rPr>
              <w:t>对地表水环境影响较小</w:t>
            </w:r>
            <w:r>
              <w:rPr>
                <w:rFonts w:hint="default"/>
                <w:sz w:val="24"/>
                <w:szCs w:val="24"/>
              </w:rPr>
              <w:t>。</w:t>
            </w:r>
          </w:p>
          <w:p w14:paraId="601871D7">
            <w:pPr>
              <w:pStyle w:val="21"/>
              <w:spacing w:before="0" w:line="360" w:lineRule="auto"/>
              <w:ind w:left="0" w:leftChars="0" w:firstLine="496" w:firstLineChars="200"/>
              <w:jc w:val="both"/>
              <w:rPr>
                <w:rFonts w:hint="default"/>
                <w:sz w:val="24"/>
                <w:szCs w:val="24"/>
              </w:rPr>
            </w:pPr>
            <w:r>
              <w:rPr>
                <w:rFonts w:hint="eastAsia"/>
                <w:sz w:val="24"/>
                <w:szCs w:val="24"/>
                <w:lang w:val="en-US" w:eastAsia="zh-CN"/>
              </w:rPr>
              <w:t>地埋式生活污水处理装置</w:t>
            </w:r>
            <w:r>
              <w:rPr>
                <w:rFonts w:hint="default" w:ascii="Times New Roman" w:hAnsi="Times New Roman" w:cs="Times New Roman"/>
                <w:sz w:val="24"/>
                <w:szCs w:val="24"/>
                <w:lang w:val="en-US" w:eastAsia="zh-CN"/>
              </w:rPr>
              <w:t>采用较为成熟的生化处理技术——</w:t>
            </w:r>
            <w:r>
              <w:rPr>
                <w:rFonts w:hint="default" w:ascii="Times New Roman" w:hAnsi="Times New Roman" w:cs="Times New Roman"/>
                <w:sz w:val="24"/>
                <w:szCs w:val="24"/>
                <w:lang w:val="en-US" w:eastAsia="zh-CN"/>
              </w:rPr>
              <w:fldChar w:fldCharType="begin"/>
            </w:r>
            <w:r>
              <w:rPr>
                <w:rFonts w:hint="default" w:ascii="Times New Roman" w:hAnsi="Times New Roman" w:cs="Times New Roman"/>
                <w:sz w:val="24"/>
                <w:szCs w:val="24"/>
                <w:lang w:val="en-US" w:eastAsia="zh-CN"/>
              </w:rPr>
              <w:instrText xml:space="preserve"> HYPERLINK "https://baike.baidu.com/item/%E7%94%9F%E7%89%A9%E6%8E%A5%E8%A7%A6%E6%B0%A7%E5%8C%96%E6%B3%95/3632847?fromModule=lemma_inlink" \t "https://baike.baidu.com/item/%E5%9C%B0%E5%9F%8B%E5%BC%8F%E4%B8%80%E4%BD%93%E5%8C%96%E6%B1%A1%E6%B0%B4%E5%A4%84%E7%90%86%E8%AE%BE%E5%A4%87/_blank" </w:instrText>
            </w:r>
            <w:r>
              <w:rPr>
                <w:rFonts w:hint="default" w:ascii="Times New Roman" w:hAnsi="Times New Roman" w:cs="Times New Roman"/>
                <w:sz w:val="24"/>
                <w:szCs w:val="24"/>
                <w:lang w:val="en-US" w:eastAsia="zh-CN"/>
              </w:rPr>
              <w:fldChar w:fldCharType="separate"/>
            </w:r>
            <w:r>
              <w:rPr>
                <w:rFonts w:hint="default" w:ascii="Times New Roman" w:hAnsi="Times New Roman" w:cs="Times New Roman"/>
                <w:sz w:val="24"/>
                <w:szCs w:val="24"/>
                <w:lang w:val="en-US" w:eastAsia="zh-CN"/>
              </w:rPr>
              <w:t>生物接触氧化法</w:t>
            </w:r>
            <w:r>
              <w:rPr>
                <w:rFonts w:hint="default" w:ascii="Times New Roman" w:hAnsi="Times New Roman" w:cs="Times New Roman"/>
                <w:sz w:val="24"/>
                <w:szCs w:val="24"/>
                <w:lang w:val="en-US" w:eastAsia="zh-CN"/>
              </w:rPr>
              <w:fldChar w:fldCharType="end"/>
            </w:r>
            <w:r>
              <w:rPr>
                <w:rFonts w:hint="eastAsia" w:ascii="Times New Roman" w:hAnsi="Times New Roman" w:cs="Times New Roman"/>
                <w:sz w:val="24"/>
                <w:szCs w:val="24"/>
                <w:lang w:val="en-US" w:eastAsia="zh-CN"/>
              </w:rPr>
              <w:t>，主要由初沉池+接触氧化池+二沉池+消毒池+污泥池组成，具备物理过滤、生物降解以及植物截留等工艺，有效去除有机物质同时，可以通过水生植物与微生物的协作以达到去除N和P的目的；特别适用于生活污水的处理。因此，本工程生活污水经</w:t>
            </w:r>
            <w:r>
              <w:rPr>
                <w:rFonts w:hint="eastAsia"/>
                <w:sz w:val="24"/>
                <w:szCs w:val="24"/>
                <w:lang w:val="en-US" w:eastAsia="zh-CN"/>
              </w:rPr>
              <w:t>地埋式生活污水处理装置</w:t>
            </w:r>
            <w:r>
              <w:rPr>
                <w:rFonts w:hint="eastAsia" w:ascii="Times New Roman" w:hAnsi="Times New Roman" w:cs="Times New Roman"/>
                <w:sz w:val="24"/>
                <w:szCs w:val="24"/>
                <w:lang w:val="en-US" w:eastAsia="zh-CN"/>
              </w:rPr>
              <w:t>处理是可行的。</w:t>
            </w:r>
          </w:p>
          <w:p w14:paraId="607F803E">
            <w:pPr>
              <w:spacing w:line="360" w:lineRule="auto"/>
              <w:ind w:firstLine="482" w:firstLineChars="200"/>
              <w:rPr>
                <w:rFonts w:hint="default"/>
                <w:b/>
                <w:bCs/>
                <w:sz w:val="24"/>
                <w:szCs w:val="24"/>
              </w:rPr>
            </w:pPr>
            <w:r>
              <w:rPr>
                <w:rFonts w:hint="eastAsia"/>
                <w:b/>
                <w:bCs/>
                <w:sz w:val="24"/>
                <w:szCs w:val="24"/>
                <w:lang w:val="en-US" w:eastAsia="zh-CN"/>
              </w:rPr>
              <w:t>4.8.3</w:t>
            </w:r>
            <w:r>
              <w:rPr>
                <w:rFonts w:hint="default"/>
                <w:b/>
                <w:bCs/>
                <w:sz w:val="24"/>
                <w:szCs w:val="24"/>
              </w:rPr>
              <w:t>、固体废物环境影响分析</w:t>
            </w:r>
          </w:p>
          <w:p w14:paraId="14A985B3">
            <w:pPr>
              <w:spacing w:line="360" w:lineRule="auto"/>
              <w:ind w:firstLine="480" w:firstLineChars="200"/>
              <w:rPr>
                <w:rFonts w:hint="eastAsia"/>
                <w:sz w:val="24"/>
                <w:szCs w:val="24"/>
                <w:lang w:eastAsia="zh-CN"/>
              </w:rPr>
            </w:pPr>
            <w:r>
              <w:rPr>
                <w:rFonts w:hint="eastAsia"/>
                <w:sz w:val="24"/>
                <w:szCs w:val="24"/>
                <w:lang w:eastAsia="zh-CN"/>
              </w:rPr>
              <w:t>营运期产生的固体废物主要包括变电站</w:t>
            </w:r>
            <w:r>
              <w:rPr>
                <w:rFonts w:hint="default"/>
                <w:sz w:val="24"/>
                <w:szCs w:val="24"/>
              </w:rPr>
              <w:t>工作人员产生的生活垃圾、</w:t>
            </w:r>
            <w:r>
              <w:rPr>
                <w:rFonts w:hint="eastAsia"/>
                <w:sz w:val="24"/>
                <w:szCs w:val="24"/>
                <w:lang w:eastAsia="zh-CN"/>
              </w:rPr>
              <w:t>变电站主变事故废油、维护检修废物、废旧蓄电池。项目使用的蓄电池为阀控式免维护密闭铅酸蓄电池，由厂家定期整组更换并带走；废变压器油、维护检修废物等危险废物由维修单位更换并带走，不在厂内暂存和处置，故不会对周围环境造成影响。</w:t>
            </w:r>
          </w:p>
          <w:p w14:paraId="68CBB53E">
            <w:pPr>
              <w:pStyle w:val="57"/>
              <w:rPr>
                <w:rFonts w:hint="eastAsia"/>
                <w:lang w:eastAsia="zh-CN"/>
              </w:rPr>
            </w:pPr>
            <w:r>
              <w:rPr>
                <w:rFonts w:hint="eastAsia"/>
                <w:b/>
                <w:bCs/>
                <w:sz w:val="24"/>
                <w:szCs w:val="24"/>
                <w:lang w:val="en-US" w:eastAsia="zh-CN"/>
              </w:rPr>
              <w:t>4.8.4</w:t>
            </w:r>
            <w:r>
              <w:rPr>
                <w:rFonts w:hint="default"/>
                <w:b/>
                <w:bCs/>
                <w:sz w:val="24"/>
                <w:szCs w:val="24"/>
              </w:rPr>
              <w:t>、</w:t>
            </w:r>
            <w:r>
              <w:rPr>
                <w:rFonts w:hint="eastAsia"/>
                <w:b/>
                <w:bCs/>
                <w:sz w:val="24"/>
                <w:szCs w:val="24"/>
                <w:lang w:eastAsia="zh-CN"/>
              </w:rPr>
              <w:t>废气</w:t>
            </w:r>
            <w:r>
              <w:rPr>
                <w:rFonts w:hint="default"/>
                <w:b/>
                <w:bCs/>
                <w:sz w:val="24"/>
                <w:szCs w:val="24"/>
              </w:rPr>
              <w:t>环境影响分析</w:t>
            </w:r>
          </w:p>
          <w:p w14:paraId="1CB20C90">
            <w:pPr>
              <w:spacing w:line="360" w:lineRule="auto"/>
              <w:ind w:firstLine="480" w:firstLineChars="200"/>
              <w:rPr>
                <w:rFonts w:hint="eastAsia"/>
                <w:b/>
                <w:bCs/>
                <w:sz w:val="24"/>
                <w:szCs w:val="24"/>
                <w:lang w:val="en-US" w:eastAsia="zh-CN"/>
              </w:rPr>
            </w:pPr>
            <w:r>
              <w:rPr>
                <w:rFonts w:hint="eastAsia" w:ascii="宋体" w:hAnsi="宋体" w:cs="宋体"/>
                <w:sz w:val="24"/>
                <w:szCs w:val="24"/>
                <w:lang w:val="en-US" w:eastAsia="zh-CN"/>
              </w:rPr>
              <w:t>本工程营运期无废气产生，</w:t>
            </w:r>
            <w:r>
              <w:rPr>
                <w:rFonts w:hint="eastAsia" w:ascii="宋体" w:hAnsi="宋体" w:eastAsia="宋体" w:cs="宋体"/>
                <w:sz w:val="24"/>
                <w:szCs w:val="24"/>
                <w:lang w:val="en-US" w:eastAsia="zh-CN"/>
              </w:rPr>
              <w:t>对周边环境空气影响较小</w:t>
            </w:r>
            <w:r>
              <w:rPr>
                <w:rFonts w:hint="eastAsia" w:eastAsia="宋体"/>
                <w:sz w:val="24"/>
                <w:szCs w:val="24"/>
                <w:lang w:val="en-US" w:eastAsia="zh-CN"/>
              </w:rPr>
              <w:t>。</w:t>
            </w:r>
          </w:p>
          <w:p w14:paraId="4C7A010A">
            <w:pPr>
              <w:spacing w:line="360" w:lineRule="auto"/>
              <w:ind w:firstLine="482" w:firstLineChars="200"/>
              <w:rPr>
                <w:rFonts w:hint="default"/>
                <w:b/>
                <w:bCs/>
                <w:sz w:val="24"/>
                <w:szCs w:val="24"/>
              </w:rPr>
            </w:pPr>
            <w:r>
              <w:rPr>
                <w:rFonts w:hint="eastAsia"/>
                <w:b/>
                <w:bCs/>
                <w:sz w:val="24"/>
                <w:szCs w:val="24"/>
                <w:lang w:val="en-US" w:eastAsia="zh-CN"/>
              </w:rPr>
              <w:t>4.8.5</w:t>
            </w:r>
            <w:r>
              <w:rPr>
                <w:rFonts w:hint="default"/>
                <w:b/>
                <w:bCs/>
                <w:sz w:val="24"/>
                <w:szCs w:val="24"/>
              </w:rPr>
              <w:t>、环境风险影响分析</w:t>
            </w:r>
          </w:p>
          <w:p w14:paraId="6587C62D">
            <w:p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（1）环境风险识别</w:t>
            </w:r>
          </w:p>
          <w:p w14:paraId="0BD9A763">
            <w:p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本工程变电站的环境风险主要为变电站主变运行过程中变压器发生事故时引起的事故油外泄和变电站运行期间产生的废旧铅酸蓄电池。主变压器出现事故时会产生漏油现象，事故油由事故油池收集，应得到及时、合适的处理。</w:t>
            </w:r>
          </w:p>
          <w:p w14:paraId="463AEE7B">
            <w:p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（2）环境风险分析</w:t>
            </w:r>
          </w:p>
          <w:p w14:paraId="49B6E635">
            <w:p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在变压器事故和检修、更换过程中的失控状态下可能造成变压器油泄漏的风险事故以及更换主变时可能存在的跑冒滴漏，变压器漏油事故产生的变压器废油，根据《国家危险废物名录》（2025年版）可知，变压器废油</w:t>
            </w:r>
            <w:r>
              <w:rPr>
                <w:rFonts w:hint="eastAsia"/>
                <w:sz w:val="24"/>
                <w:szCs w:val="24"/>
                <w:lang w:eastAsia="zh-CN"/>
              </w:rPr>
              <w:t>属于“</w:t>
            </w:r>
            <w:r>
              <w:rPr>
                <w:rFonts w:hint="default" w:ascii="Times New Roman" w:hAnsi="Times New Roman" w:cs="Times New Roman"/>
                <w:sz w:val="24"/>
                <w:szCs w:val="24"/>
                <w:lang w:val="en-US" w:eastAsia="zh-CN"/>
              </w:rPr>
              <w:t>HW08 废矿物油与含矿物油废物</w:t>
            </w:r>
            <w:r>
              <w:rPr>
                <w:rFonts w:hint="eastAsia"/>
                <w:sz w:val="24"/>
                <w:szCs w:val="24"/>
                <w:lang w:eastAsia="zh-CN"/>
              </w:rPr>
              <w:t>”</w:t>
            </w:r>
            <w:r>
              <w:rPr>
                <w:rFonts w:hint="default"/>
                <w:sz w:val="24"/>
                <w:szCs w:val="24"/>
                <w:lang w:eastAsia="zh-CN"/>
              </w:rPr>
              <w:t>，</w:t>
            </w:r>
            <w:r>
              <w:rPr>
                <w:rFonts w:hint="eastAsia"/>
                <w:b w:val="0"/>
                <w:bCs w:val="0"/>
                <w:sz w:val="24"/>
                <w:szCs w:val="24"/>
                <w:lang w:val="en-US" w:eastAsia="zh-CN"/>
              </w:rPr>
              <w:t>废物代码为900-220-08，交由具有经营此类危险废物类别资质的单位进行回收、处置。参照《火力发电厂与变电站设计防火标准》（GB50229-2019），变电站内应设置事故油坑和总事故油池，变压器发生泄油事故时，将溢流的变压器油贮存，减小环境污染。按照《危险废物贮存污染控制标准》（GB18597-2001）中关于危险废物的防渗要求，防渗层为至少1米厚黏土层（渗透系数≤10</w:t>
            </w:r>
            <w:r>
              <w:rPr>
                <w:rFonts w:hint="eastAsia"/>
                <w:b w:val="0"/>
                <w:bCs w:val="0"/>
                <w:sz w:val="24"/>
                <w:szCs w:val="24"/>
                <w:vertAlign w:val="superscript"/>
                <w:lang w:val="en-US" w:eastAsia="zh-CN"/>
              </w:rPr>
              <w:t>-7</w:t>
            </w:r>
            <w:r>
              <w:rPr>
                <w:rFonts w:hint="eastAsia"/>
                <w:b w:val="0"/>
                <w:bCs w:val="0"/>
                <w:sz w:val="24"/>
                <w:szCs w:val="24"/>
                <w:lang w:val="en-US" w:eastAsia="zh-CN"/>
              </w:rPr>
              <w:t>cm/s）或至少2毫米厚高密度聚乙烯或至少2毫米厚的其他人工材料（渗透系数≤10</w:t>
            </w:r>
            <w:r>
              <w:rPr>
                <w:rFonts w:hint="eastAsia"/>
                <w:b w:val="0"/>
                <w:bCs w:val="0"/>
                <w:sz w:val="24"/>
                <w:szCs w:val="24"/>
                <w:vertAlign w:val="superscript"/>
                <w:lang w:val="en-US" w:eastAsia="zh-CN"/>
              </w:rPr>
              <w:t>-10</w:t>
            </w:r>
            <w:r>
              <w:rPr>
                <w:rFonts w:hint="eastAsia"/>
                <w:b w:val="0"/>
                <w:bCs w:val="0"/>
                <w:sz w:val="24"/>
                <w:szCs w:val="24"/>
                <w:lang w:val="en-US" w:eastAsia="zh-CN"/>
              </w:rPr>
              <w:t>cm/s），事故油池池体采用钢筋混凝土浇筑，抗渗等级不低于P6，满足《地下工程防水技术规范》（GB5018-2008）规范要求，有效容积不应小于单台主变压器最大油量的100%。根据设计单位提供的资料，本次新建110kV变电站事故油池设置情况见下表。</w:t>
            </w:r>
          </w:p>
          <w:p w14:paraId="3F3BC50F">
            <w:pPr>
              <w:widowControl/>
              <w:kinsoku/>
              <w:autoSpaceDE w:val="0"/>
              <w:autoSpaceDN w:val="0"/>
              <w:adjustRightInd w:val="0"/>
              <w:snapToGrid w:val="0"/>
              <w:spacing w:before="27" w:line="212"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spacing w:val="-4"/>
                <w:kern w:val="0"/>
                <w:sz w:val="21"/>
                <w:szCs w:val="21"/>
              </w:rPr>
              <w:t>表</w:t>
            </w:r>
            <w:r>
              <w:rPr>
                <w:rFonts w:hint="eastAsia" w:ascii="Times New Roman" w:hAnsi="Times New Roman" w:eastAsia="宋体" w:cs="Times New Roman"/>
                <w:b/>
                <w:bCs/>
                <w:snapToGrid w:val="0"/>
                <w:color w:val="000000"/>
                <w:spacing w:val="-4"/>
                <w:kern w:val="0"/>
                <w:sz w:val="21"/>
                <w:szCs w:val="21"/>
                <w:lang w:val="en-US" w:eastAsia="zh-CN"/>
              </w:rPr>
              <w:t>4-</w:t>
            </w:r>
            <w:r>
              <w:rPr>
                <w:rFonts w:hint="eastAsia" w:cs="Times New Roman"/>
                <w:b/>
                <w:bCs/>
                <w:snapToGrid w:val="0"/>
                <w:color w:val="000000"/>
                <w:spacing w:val="-4"/>
                <w:kern w:val="0"/>
                <w:sz w:val="21"/>
                <w:szCs w:val="21"/>
                <w:lang w:val="en-US" w:eastAsia="zh-CN"/>
              </w:rPr>
              <w:t>19</w:t>
            </w:r>
            <w:r>
              <w:rPr>
                <w:rFonts w:hint="default" w:ascii="Times New Roman" w:hAnsi="Times New Roman" w:eastAsia="宋体" w:cs="Times New Roman"/>
                <w:b/>
                <w:bCs/>
                <w:snapToGrid w:val="0"/>
                <w:color w:val="000000"/>
                <w:spacing w:val="-4"/>
                <w:kern w:val="0"/>
                <w:sz w:val="21"/>
                <w:szCs w:val="21"/>
              </w:rPr>
              <w:t xml:space="preserve"> </w:t>
            </w:r>
            <w:r>
              <w:rPr>
                <w:rFonts w:hint="default" w:ascii="Times New Roman" w:hAnsi="Times New Roman" w:eastAsia="宋体" w:cs="Times New Roman"/>
                <w:b/>
                <w:bCs/>
                <w:snapToGrid w:val="0"/>
                <w:color w:val="000000"/>
                <w:spacing w:val="-2"/>
                <w:kern w:val="0"/>
                <w:sz w:val="21"/>
                <w:szCs w:val="21"/>
              </w:rPr>
              <w:t xml:space="preserve"> </w:t>
            </w:r>
            <w:r>
              <w:rPr>
                <w:rFonts w:hint="eastAsia" w:ascii="Times New Roman" w:hAnsi="Times New Roman" w:eastAsia="宋体" w:cs="Times New Roman"/>
                <w:b/>
                <w:bCs/>
                <w:snapToGrid w:val="0"/>
                <w:color w:val="000000"/>
                <w:spacing w:val="-2"/>
                <w:kern w:val="0"/>
                <w:sz w:val="21"/>
                <w:szCs w:val="21"/>
                <w:lang w:val="en-US" w:eastAsia="zh-CN"/>
              </w:rPr>
              <w:t>金沙钼矿</w:t>
            </w:r>
            <w:r>
              <w:rPr>
                <w:rFonts w:hint="default" w:ascii="Times New Roman" w:hAnsi="Times New Roman" w:eastAsia="宋体" w:cs="Times New Roman"/>
                <w:b/>
                <w:bCs/>
                <w:snapToGrid w:val="0"/>
                <w:color w:val="000000"/>
                <w:spacing w:val="-2"/>
                <w:kern w:val="0"/>
                <w:sz w:val="21"/>
                <w:szCs w:val="21"/>
                <w:lang w:val="en-US" w:eastAsia="zh-CN"/>
              </w:rPr>
              <w:t>110kV变电站事故油池情况一览表</w:t>
            </w:r>
          </w:p>
          <w:tbl>
            <w:tblPr>
              <w:tblStyle w:val="209"/>
              <w:tblW w:w="497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59"/>
              <w:gridCol w:w="1246"/>
              <w:gridCol w:w="1241"/>
              <w:gridCol w:w="1541"/>
              <w:gridCol w:w="1664"/>
              <w:gridCol w:w="954"/>
              <w:gridCol w:w="1735"/>
            </w:tblGrid>
            <w:tr w14:paraId="6A7834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12" w:type="pct"/>
                  <w:vAlign w:val="center"/>
                </w:tcPr>
                <w:p w14:paraId="0ADA827B">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spacing w:val="-2"/>
                      <w:kern w:val="0"/>
                      <w:sz w:val="21"/>
                      <w:szCs w:val="21"/>
                      <w:lang w:val="en-US" w:eastAsia="zh-CN"/>
                    </w:rPr>
                  </w:pPr>
                  <w:r>
                    <w:rPr>
                      <w:rFonts w:hint="default" w:ascii="Times New Roman" w:hAnsi="Times New Roman" w:eastAsia="宋体" w:cs="Times New Roman"/>
                      <w:b/>
                      <w:bCs/>
                      <w:snapToGrid w:val="0"/>
                      <w:color w:val="000000"/>
                      <w:spacing w:val="-2"/>
                      <w:kern w:val="0"/>
                      <w:sz w:val="21"/>
                      <w:szCs w:val="21"/>
                      <w:lang w:val="en-US" w:eastAsia="zh-CN"/>
                    </w:rPr>
                    <w:t>序号</w:t>
                  </w:r>
                </w:p>
              </w:tc>
              <w:tc>
                <w:tcPr>
                  <w:tcW w:w="696" w:type="pct"/>
                  <w:vAlign w:val="center"/>
                </w:tcPr>
                <w:p w14:paraId="62A66FB0">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变电站名称</w:t>
                  </w:r>
                </w:p>
              </w:tc>
              <w:tc>
                <w:tcPr>
                  <w:tcW w:w="694" w:type="pct"/>
                  <w:vAlign w:val="center"/>
                </w:tcPr>
                <w:p w14:paraId="5F0FD578">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主变容量</w:t>
                  </w:r>
                </w:p>
              </w:tc>
              <w:tc>
                <w:tcPr>
                  <w:tcW w:w="861" w:type="pct"/>
                  <w:vAlign w:val="center"/>
                </w:tcPr>
                <w:p w14:paraId="25D527E2">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最大单台主变容量变压器油重</w:t>
                  </w:r>
                </w:p>
              </w:tc>
              <w:tc>
                <w:tcPr>
                  <w:tcW w:w="930" w:type="pct"/>
                  <w:vAlign w:val="center"/>
                </w:tcPr>
                <w:p w14:paraId="4BC193B2">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100%事故排放量（折算成容积）</w:t>
                  </w:r>
                </w:p>
              </w:tc>
              <w:tc>
                <w:tcPr>
                  <w:tcW w:w="533" w:type="pct"/>
                  <w:vAlign w:val="center"/>
                </w:tcPr>
                <w:p w14:paraId="20C8D0E0">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事故油池有效容积</w:t>
                  </w:r>
                </w:p>
              </w:tc>
              <w:tc>
                <w:tcPr>
                  <w:tcW w:w="970" w:type="pct"/>
                  <w:vAlign w:val="center"/>
                </w:tcPr>
                <w:p w14:paraId="1FBB4DEC">
                  <w:pPr>
                    <w:widowControl/>
                    <w:kinsoku/>
                    <w:autoSpaceDE w:val="0"/>
                    <w:autoSpaceDN w:val="0"/>
                    <w:adjustRightInd w:val="0"/>
                    <w:snapToGrid w:val="0"/>
                    <w:spacing w:before="62" w:line="221" w:lineRule="auto"/>
                    <w:jc w:val="center"/>
                    <w:textAlignment w:val="baseline"/>
                    <w:rPr>
                      <w:rFonts w:hint="default" w:ascii="Times New Roman" w:hAnsi="Times New Roman" w:eastAsia="宋体" w:cs="Times New Roman"/>
                      <w:b/>
                      <w:bCs/>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val="en-US" w:eastAsia="zh-CN"/>
                    </w:rPr>
                    <w:t>是否满足容纳单台100%的使用要求</w:t>
                  </w:r>
                </w:p>
              </w:tc>
            </w:tr>
            <w:tr w14:paraId="467CA5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12" w:type="pct"/>
                  <w:vAlign w:val="center"/>
                </w:tcPr>
                <w:p w14:paraId="55E7655B">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1</w:t>
                  </w:r>
                </w:p>
              </w:tc>
              <w:tc>
                <w:tcPr>
                  <w:tcW w:w="696" w:type="pct"/>
                  <w:vAlign w:val="center"/>
                </w:tcPr>
                <w:p w14:paraId="576621D9">
                  <w:pPr>
                    <w:widowControl/>
                    <w:kinsoku/>
                    <w:autoSpaceDE w:val="0"/>
                    <w:autoSpaceDN w:val="0"/>
                    <w:adjustRightInd w:val="0"/>
                    <w:snapToGrid w:val="0"/>
                    <w:spacing w:before="60" w:line="223" w:lineRule="auto"/>
                    <w:jc w:val="center"/>
                    <w:textAlignment w:val="baseline"/>
                    <w:rPr>
                      <w:rFonts w:ascii="Times New Roman" w:hAnsi="Times New Roman" w:eastAsia="Times New Roman" w:cs="Times New Roman"/>
                      <w:snapToGrid w:val="0"/>
                      <w:color w:val="000000"/>
                      <w:kern w:val="0"/>
                      <w:sz w:val="21"/>
                      <w:szCs w:val="21"/>
                    </w:rPr>
                  </w:pPr>
                  <w:r>
                    <w:rPr>
                      <w:rFonts w:hint="eastAsia" w:ascii="Times New Roman" w:hAnsi="Times New Roman" w:eastAsia="Times New Roman" w:cs="Times New Roman"/>
                      <w:snapToGrid w:val="0"/>
                      <w:color w:val="000000"/>
                      <w:kern w:val="0"/>
                      <w:sz w:val="21"/>
                      <w:szCs w:val="21"/>
                      <w:lang w:val="en-US" w:eastAsia="zh-CN"/>
                    </w:rPr>
                    <w:t>金沙钼矿</w:t>
                  </w:r>
                  <w:r>
                    <w:rPr>
                      <w:rFonts w:hint="default" w:ascii="Times New Roman" w:hAnsi="Times New Roman" w:eastAsia="Times New Roman" w:cs="Times New Roman"/>
                      <w:snapToGrid w:val="0"/>
                      <w:color w:val="000000"/>
                      <w:kern w:val="0"/>
                      <w:sz w:val="21"/>
                      <w:szCs w:val="21"/>
                      <w:lang w:val="en-US" w:eastAsia="zh-CN"/>
                    </w:rPr>
                    <w:t>110kV变电站</w:t>
                  </w:r>
                </w:p>
              </w:tc>
              <w:tc>
                <w:tcPr>
                  <w:tcW w:w="694" w:type="pct"/>
                  <w:vAlign w:val="center"/>
                </w:tcPr>
                <w:p w14:paraId="6F910E89">
                  <w:pPr>
                    <w:widowControl/>
                    <w:kinsoku/>
                    <w:autoSpaceDE w:val="0"/>
                    <w:autoSpaceDN w:val="0"/>
                    <w:adjustRightInd w:val="0"/>
                    <w:snapToGrid w:val="0"/>
                    <w:spacing w:before="60" w:line="223" w:lineRule="auto"/>
                    <w:jc w:val="center"/>
                    <w:textAlignment w:val="baseline"/>
                    <w:rPr>
                      <w:rFonts w:ascii="Times New Roman" w:hAnsi="Times New Roman" w:eastAsia="宋体" w:cs="Times New Roman"/>
                      <w:snapToGrid w:val="0"/>
                      <w:color w:val="000000"/>
                      <w:kern w:val="0"/>
                      <w:sz w:val="21"/>
                      <w:szCs w:val="21"/>
                    </w:rPr>
                  </w:pPr>
                  <w:r>
                    <w:rPr>
                      <w:rFonts w:hint="eastAsia" w:ascii="Times New Roman" w:hAnsi="Times New Roman" w:eastAsia="宋体" w:cs="Times New Roman"/>
                      <w:snapToGrid w:val="0"/>
                      <w:color w:val="000000"/>
                      <w:kern w:val="0"/>
                      <w:sz w:val="21"/>
                      <w:szCs w:val="21"/>
                      <w:lang w:val="en-US" w:eastAsia="zh-CN"/>
                    </w:rPr>
                    <w:t>3×63</w:t>
                  </w:r>
                  <w:r>
                    <w:rPr>
                      <w:rFonts w:hint="default" w:ascii="Times New Roman" w:hAnsi="Times New Roman" w:eastAsia="宋体" w:cs="Times New Roman"/>
                      <w:snapToGrid w:val="0"/>
                      <w:color w:val="000000"/>
                      <w:kern w:val="0"/>
                      <w:sz w:val="21"/>
                      <w:szCs w:val="21"/>
                      <w:lang w:val="en-US" w:eastAsia="zh-CN"/>
                    </w:rPr>
                    <w:t>MVA</w:t>
                  </w:r>
                </w:p>
              </w:tc>
              <w:tc>
                <w:tcPr>
                  <w:tcW w:w="861" w:type="pct"/>
                  <w:vAlign w:val="center"/>
                </w:tcPr>
                <w:p w14:paraId="2D87618D">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8500kg</w:t>
                  </w:r>
                </w:p>
              </w:tc>
              <w:tc>
                <w:tcPr>
                  <w:tcW w:w="930" w:type="pct"/>
                  <w:vAlign w:val="center"/>
                </w:tcPr>
                <w:p w14:paraId="270C62B2">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28.492m</w:t>
                  </w:r>
                  <w:r>
                    <w:rPr>
                      <w:rFonts w:hint="eastAsia" w:cs="Times New Roman"/>
                      <w:snapToGrid w:val="0"/>
                      <w:color w:val="000000"/>
                      <w:kern w:val="0"/>
                      <w:sz w:val="21"/>
                      <w:szCs w:val="21"/>
                      <w:vertAlign w:val="superscript"/>
                      <w:lang w:val="en-US" w:eastAsia="zh-CN"/>
                    </w:rPr>
                    <w:t>3</w:t>
                  </w:r>
                </w:p>
              </w:tc>
              <w:tc>
                <w:tcPr>
                  <w:tcW w:w="533" w:type="pct"/>
                  <w:vAlign w:val="center"/>
                </w:tcPr>
                <w:p w14:paraId="7E26DE80">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34m</w:t>
                  </w:r>
                  <w:r>
                    <w:rPr>
                      <w:rFonts w:hint="eastAsia" w:cs="Times New Roman"/>
                      <w:snapToGrid w:val="0"/>
                      <w:color w:val="000000"/>
                      <w:kern w:val="0"/>
                      <w:sz w:val="21"/>
                      <w:szCs w:val="21"/>
                      <w:vertAlign w:val="superscript"/>
                      <w:lang w:val="en-US" w:eastAsia="zh-CN"/>
                    </w:rPr>
                    <w:t>3</w:t>
                  </w:r>
                </w:p>
              </w:tc>
              <w:tc>
                <w:tcPr>
                  <w:tcW w:w="970" w:type="pct"/>
                  <w:vAlign w:val="center"/>
                </w:tcPr>
                <w:p w14:paraId="1994DA7F">
                  <w:pPr>
                    <w:widowControl/>
                    <w:kinsoku/>
                    <w:autoSpaceDE w:val="0"/>
                    <w:autoSpaceDN w:val="0"/>
                    <w:adjustRightInd w:val="0"/>
                    <w:snapToGrid w:val="0"/>
                    <w:spacing w:before="60" w:line="223" w:lineRule="auto"/>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满足</w:t>
                  </w:r>
                </w:p>
              </w:tc>
            </w:tr>
            <w:tr w14:paraId="581CDA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7"/>
                  <w:vAlign w:val="center"/>
                </w:tcPr>
                <w:p w14:paraId="234DAC67">
                  <w:pPr>
                    <w:widowControl/>
                    <w:kinsoku/>
                    <w:autoSpaceDE w:val="0"/>
                    <w:autoSpaceDN w:val="0"/>
                    <w:adjustRightInd w:val="0"/>
                    <w:snapToGrid w:val="0"/>
                    <w:spacing w:before="0" w:line="240" w:lineRule="auto"/>
                    <w:jc w:val="both"/>
                    <w:textAlignment w:val="baseline"/>
                    <w:rPr>
                      <w:rFonts w:hint="eastAsia" w:ascii="Times New Roman" w:hAnsi="Times New Roman" w:eastAsia="宋体" w:cs="Times New Roman"/>
                      <w:snapToGrid w:val="0"/>
                      <w:color w:val="000000"/>
                      <w:kern w:val="0"/>
                      <w:sz w:val="21"/>
                      <w:szCs w:val="21"/>
                      <w:lang w:val="en-US" w:eastAsia="zh-CN"/>
                    </w:rPr>
                  </w:pPr>
                  <w:r>
                    <w:rPr>
                      <w:rFonts w:hint="eastAsia" w:ascii="Times New Roman" w:hAnsi="Times New Roman" w:eastAsia="宋体" w:cs="Times New Roman"/>
                      <w:snapToGrid w:val="0"/>
                      <w:color w:val="000000"/>
                      <w:kern w:val="0"/>
                      <w:sz w:val="21"/>
                      <w:szCs w:val="21"/>
                      <w:lang w:val="en-US" w:eastAsia="zh-CN"/>
                    </w:rPr>
                    <w:t>注</w:t>
                  </w:r>
                  <w:r>
                    <w:rPr>
                      <w:rFonts w:hint="eastAsia" w:cs="Times New Roman"/>
                      <w:snapToGrid w:val="0"/>
                      <w:color w:val="000000"/>
                      <w:kern w:val="0"/>
                      <w:sz w:val="21"/>
                      <w:szCs w:val="21"/>
                      <w:lang w:val="en-US" w:eastAsia="zh-CN"/>
                    </w:rPr>
                    <w:t>：</w:t>
                  </w:r>
                  <w:r>
                    <w:rPr>
                      <w:rFonts w:hint="eastAsia" w:ascii="Times New Roman" w:hAnsi="Times New Roman" w:eastAsia="宋体" w:cs="Times New Roman"/>
                      <w:snapToGrid w:val="0"/>
                      <w:color w:val="000000"/>
                      <w:kern w:val="0"/>
                      <w:sz w:val="21"/>
                      <w:szCs w:val="21"/>
                      <w:lang w:val="en-US" w:eastAsia="zh-CN"/>
                    </w:rPr>
                    <w:t>变压器油密度为0.895t/m</w:t>
                  </w:r>
                  <w:r>
                    <w:rPr>
                      <w:rFonts w:hint="eastAsia" w:ascii="Times New Roman" w:hAnsi="Times New Roman" w:eastAsia="宋体" w:cs="Times New Roman"/>
                      <w:snapToGrid w:val="0"/>
                      <w:color w:val="000000"/>
                      <w:kern w:val="0"/>
                      <w:sz w:val="21"/>
                      <w:szCs w:val="21"/>
                      <w:vertAlign w:val="superscript"/>
                      <w:lang w:val="en-US" w:eastAsia="zh-CN"/>
                    </w:rPr>
                    <w:t>3</w:t>
                  </w:r>
                </w:p>
              </w:tc>
            </w:tr>
          </w:tbl>
          <w:p w14:paraId="69B8D618">
            <w:pPr>
              <w:spacing w:line="360" w:lineRule="auto"/>
              <w:ind w:firstLine="480" w:firstLineChars="200"/>
              <w:rPr>
                <w:rFonts w:hint="eastAsia"/>
                <w:b w:val="0"/>
                <w:bCs w:val="0"/>
                <w:sz w:val="24"/>
                <w:szCs w:val="24"/>
                <w:lang w:val="en-US" w:eastAsia="zh-CN"/>
              </w:rPr>
            </w:pPr>
            <w:r>
              <w:rPr>
                <w:rFonts w:hint="eastAsia"/>
                <w:b w:val="0"/>
                <w:bCs w:val="0"/>
                <w:sz w:val="24"/>
                <w:szCs w:val="24"/>
                <w:lang w:val="en-US" w:eastAsia="zh-CN"/>
              </w:rPr>
              <w:t>由上表可知，金沙钼矿110kV变电站事故油池能够满足单台最大容量设备油量的100%的使用需求。变压器下设置储油坑并铺设鹅卵石，并通过事故排油管与事故油池相连。在事故失控情况下，泄漏的变压器油流经储油坑内铺设的鹅卵石层（鹅卵石层可起到吸热、散热作用），并经事故排油管自流进入事故油池，事故油经收集后交由有资质的单位进行回收处理。</w:t>
            </w:r>
          </w:p>
          <w:p w14:paraId="3E1AF45A">
            <w:pPr>
              <w:pStyle w:val="57"/>
              <w:rPr>
                <w:rFonts w:hint="default"/>
              </w:rPr>
            </w:pPr>
            <w:r>
              <w:rPr>
                <w:rFonts w:hint="default"/>
              </w:rPr>
              <w:t>环境风险分析的目的是分析和预测建设项目存在的潜在危险、有害因素，建设项目建设和运行期间可能发生的突发性事件或事故（一般不包括人为破坏和自然灾害），引起有毒有害和易燃易爆等物质泄漏，所造成的人身安全与环境影响和损害程度，提出合理可行的防范、应急与减缓措施，以使建设项目事故率、损失和环境影响达到可接受水平。</w:t>
            </w:r>
          </w:p>
          <w:p w14:paraId="10A520C9">
            <w:pPr>
              <w:pStyle w:val="57"/>
              <w:rPr>
                <w:rFonts w:hint="eastAsia" w:eastAsia="宋体"/>
                <w:lang w:eastAsia="zh-CN"/>
              </w:rPr>
            </w:pPr>
            <w:r>
              <w:rPr>
                <w:rFonts w:hint="eastAsia"/>
                <w:lang w:eastAsia="zh-CN"/>
              </w:rPr>
              <w:t>（</w:t>
            </w:r>
            <w:r>
              <w:rPr>
                <w:rFonts w:hint="eastAsia"/>
                <w:lang w:val="en-US" w:eastAsia="zh-CN"/>
              </w:rPr>
              <w:t>3</w:t>
            </w:r>
            <w:r>
              <w:rPr>
                <w:rFonts w:hint="eastAsia"/>
                <w:lang w:eastAsia="zh-CN"/>
              </w:rPr>
              <w:t>）等级评定</w:t>
            </w:r>
          </w:p>
          <w:p w14:paraId="1E3A3195">
            <w:pPr>
              <w:spacing w:line="360" w:lineRule="auto"/>
              <w:ind w:firstLine="480" w:firstLineChars="200"/>
              <w:rPr>
                <w:rFonts w:hint="default"/>
                <w:sz w:val="24"/>
                <w:szCs w:val="24"/>
              </w:rPr>
            </w:pPr>
            <w:r>
              <w:rPr>
                <w:rFonts w:hint="default"/>
                <w:sz w:val="24"/>
                <w:szCs w:val="24"/>
              </w:rPr>
              <w:t>根据该项目污染物排放特征、项目所在地区的地形特点和环境功能区划，按照《建设项目环境风险评价导则》（HJ169-2018）附录C所规定的方法。当只涉及一种危险物质时，计算该物质的总量与其临界量比值，即为Q；当存在多种危险物质时，则按下式计算物质总量与其临界量比值（Q）。</w:t>
            </w:r>
          </w:p>
          <w:p w14:paraId="271D366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sz w:val="24"/>
                <w:szCs w:val="24"/>
                <w:lang w:val="en-US"/>
              </w:rPr>
            </w:pPr>
            <m:oMathPara>
              <m:oMath>
                <m:r>
                  <m:rPr>
                    <m:sty m:val="p"/>
                  </m:rPr>
                  <w:rPr>
                    <w:rFonts w:hint="default" w:ascii="Cambria Math" w:hAnsi="Cambria Math" w:cs="Times New Roman"/>
                    <w:sz w:val="28"/>
                    <w:szCs w:val="28"/>
                    <w:lang w:val="en-US" w:eastAsia="zh-CN" w:bidi="ar-SA"/>
                  </w:rPr>
                  <m:t>Q=</m:t>
                </m:r>
                <m:f>
                  <m:fPr>
                    <m:ctrlPr>
                      <w:rPr>
                        <w:rFonts w:hint="default" w:ascii="Cambria Math" w:hAnsi="Cambria Math" w:cs="Times New Roman"/>
                        <w:sz w:val="28"/>
                        <w:szCs w:val="28"/>
                        <w:lang w:val="en-US" w:eastAsia="zh-CN" w:bidi="ar-SA"/>
                      </w:rPr>
                    </m:ctrlPr>
                  </m:fPr>
                  <m:num>
                    <m:sSub>
                      <m:sSubPr>
                        <m:ctrlPr>
                          <w:rPr>
                            <w:rFonts w:hint="default" w:ascii="Cambria Math" w:hAnsi="Cambria Math" w:cs="Times New Roman"/>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sz w:val="28"/>
                            <w:szCs w:val="28"/>
                            <w:lang w:val="en-US" w:eastAsia="zh-CN" w:bidi="ar-SA"/>
                          </w:rPr>
                        </m:ctrlPr>
                      </m:e>
                      <m:sub>
                        <m:r>
                          <m:rPr>
                            <m:sty m:val="p"/>
                          </m:rPr>
                          <w:rPr>
                            <w:rFonts w:hint="default" w:ascii="Cambria Math" w:hAnsi="Cambria Math" w:cs="Times New Roman"/>
                            <w:sz w:val="28"/>
                            <w:szCs w:val="28"/>
                            <w:lang w:val="en-US" w:eastAsia="zh-CN" w:bidi="ar-SA"/>
                          </w:rPr>
                          <m:t>1</m:t>
                        </m:r>
                        <m:ctrlPr>
                          <w:rPr>
                            <w:rFonts w:hint="default" w:ascii="Cambria Math" w:hAnsi="Cambria Math" w:cs="Times New Roman"/>
                            <w:sz w:val="28"/>
                            <w:szCs w:val="28"/>
                            <w:lang w:val="en-US" w:eastAsia="zh-CN" w:bidi="ar-SA"/>
                          </w:rPr>
                        </m:ctrlPr>
                      </m:sub>
                    </m:sSub>
                    <m:ctrlPr>
                      <w:rPr>
                        <w:rFonts w:hint="default" w:ascii="Cambria Math" w:hAnsi="Cambria Math" w:cs="Times New Roman"/>
                        <w:sz w:val="28"/>
                        <w:szCs w:val="28"/>
                        <w:lang w:val="en-US" w:eastAsia="zh-CN" w:bidi="ar-SA"/>
                      </w:rPr>
                    </m:ctrlPr>
                  </m:num>
                  <m:den>
                    <m:sSub>
                      <m:sSubPr>
                        <m:ctrlPr>
                          <w:rPr>
                            <w:rFonts w:hint="default" w:ascii="Cambria Math" w:hAnsi="Cambria Math" w:cs="Times New Roman"/>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sz w:val="28"/>
                            <w:szCs w:val="28"/>
                            <w:lang w:val="en-US" w:eastAsia="zh-CN" w:bidi="ar-SA"/>
                          </w:rPr>
                        </m:ctrlPr>
                      </m:e>
                      <m:sub>
                        <m:r>
                          <m:rPr>
                            <m:sty m:val="p"/>
                          </m:rPr>
                          <w:rPr>
                            <w:rFonts w:hint="default" w:ascii="Cambria Math" w:hAnsi="Cambria Math" w:cs="Times New Roman"/>
                            <w:sz w:val="28"/>
                            <w:szCs w:val="28"/>
                            <w:lang w:val="en-US" w:eastAsia="zh-CN" w:bidi="ar-SA"/>
                          </w:rPr>
                          <m:t>1</m:t>
                        </m:r>
                        <m:ctrlPr>
                          <w:rPr>
                            <w:rFonts w:hint="default" w:ascii="Cambria Math" w:hAnsi="Cambria Math" w:cs="Times New Roman"/>
                            <w:sz w:val="28"/>
                            <w:szCs w:val="28"/>
                            <w:lang w:val="en-US" w:eastAsia="zh-CN" w:bidi="ar-SA"/>
                          </w:rPr>
                        </m:ctrlPr>
                      </m:sub>
                    </m:sSub>
                    <m:ctrlPr>
                      <w:rPr>
                        <w:rFonts w:hint="default" w:ascii="Cambria Math" w:hAnsi="Cambria Math" w:cs="Times New Roman"/>
                        <w:sz w:val="28"/>
                        <w:szCs w:val="28"/>
                        <w:lang w:val="en-US" w:eastAsia="zh-CN" w:bidi="ar-SA"/>
                      </w:rPr>
                    </m:ctrlPr>
                  </m:den>
                </m:f>
                <m:r>
                  <m:rPr>
                    <m:sty m:val="p"/>
                  </m:rPr>
                  <w:rPr>
                    <w:rFonts w:hint="default" w:ascii="Cambria Math" w:hAnsi="Cambria Math" w:cs="Times New Roman"/>
                    <w:sz w:val="28"/>
                    <w:szCs w:val="28"/>
                    <w:lang w:val="en-US" w:eastAsia="zh-CN" w:bidi="ar-SA"/>
                  </w:rPr>
                  <m:t>+</m:t>
                </m:r>
                <m:f>
                  <m:fPr>
                    <m:ctrlPr>
                      <w:rPr>
                        <w:rFonts w:hint="default" w:ascii="Cambria Math" w:hAnsi="Cambria Math" w:cs="Times New Roman"/>
                        <w:sz w:val="28"/>
                        <w:szCs w:val="28"/>
                        <w:lang w:val="en-US" w:eastAsia="zh-CN" w:bidi="ar-SA"/>
                      </w:rPr>
                    </m:ctrlPr>
                  </m:fPr>
                  <m:num>
                    <m:sSub>
                      <m:sSubPr>
                        <m:ctrlPr>
                          <w:rPr>
                            <w:rFonts w:hint="default" w:ascii="Cambria Math" w:hAnsi="Cambria Math" w:cs="Times New Roman"/>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sz w:val="28"/>
                            <w:szCs w:val="28"/>
                            <w:lang w:val="en-US" w:eastAsia="zh-CN" w:bidi="ar-SA"/>
                          </w:rPr>
                        </m:ctrlPr>
                      </m:e>
                      <m:sub>
                        <m:r>
                          <m:rPr>
                            <m:sty m:val="p"/>
                          </m:rPr>
                          <w:rPr>
                            <w:rFonts w:hint="default" w:ascii="Cambria Math" w:hAnsi="Cambria Math" w:cs="Times New Roman"/>
                            <w:sz w:val="28"/>
                            <w:szCs w:val="28"/>
                            <w:lang w:val="en-US" w:eastAsia="zh-CN" w:bidi="ar-SA"/>
                          </w:rPr>
                          <m:t>2</m:t>
                        </m:r>
                        <m:ctrlPr>
                          <w:rPr>
                            <w:rFonts w:hint="default" w:ascii="Cambria Math" w:hAnsi="Cambria Math" w:cs="Times New Roman"/>
                            <w:sz w:val="28"/>
                            <w:szCs w:val="28"/>
                            <w:lang w:val="en-US" w:eastAsia="zh-CN" w:bidi="ar-SA"/>
                          </w:rPr>
                        </m:ctrlPr>
                      </m:sub>
                    </m:sSub>
                    <m:ctrlPr>
                      <w:rPr>
                        <w:rFonts w:hint="default" w:ascii="Cambria Math" w:hAnsi="Cambria Math" w:cs="Times New Roman"/>
                        <w:sz w:val="28"/>
                        <w:szCs w:val="28"/>
                        <w:lang w:val="en-US" w:eastAsia="zh-CN" w:bidi="ar-SA"/>
                      </w:rPr>
                    </m:ctrlPr>
                  </m:num>
                  <m:den>
                    <m:sSub>
                      <m:sSubPr>
                        <m:ctrlPr>
                          <w:rPr>
                            <w:rFonts w:hint="default" w:ascii="Cambria Math" w:hAnsi="Cambria Math" w:cs="Times New Roman"/>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sz w:val="28"/>
                            <w:szCs w:val="28"/>
                            <w:lang w:val="en-US" w:eastAsia="zh-CN" w:bidi="ar-SA"/>
                          </w:rPr>
                        </m:ctrlPr>
                      </m:e>
                      <m:sub>
                        <m:r>
                          <m:rPr>
                            <m:sty m:val="p"/>
                          </m:rPr>
                          <w:rPr>
                            <w:rFonts w:hint="default" w:ascii="Cambria Math" w:hAnsi="Cambria Math" w:cs="Times New Roman"/>
                            <w:sz w:val="28"/>
                            <w:szCs w:val="28"/>
                            <w:lang w:val="en-US" w:eastAsia="zh-CN" w:bidi="ar-SA"/>
                          </w:rPr>
                          <m:t>2</m:t>
                        </m:r>
                        <m:ctrlPr>
                          <w:rPr>
                            <w:rFonts w:hint="default" w:ascii="Cambria Math" w:hAnsi="Cambria Math" w:cs="Times New Roman"/>
                            <w:sz w:val="28"/>
                            <w:szCs w:val="28"/>
                            <w:lang w:val="en-US" w:eastAsia="zh-CN" w:bidi="ar-SA"/>
                          </w:rPr>
                        </m:ctrlPr>
                      </m:sub>
                    </m:sSub>
                    <m:ctrlPr>
                      <w:rPr>
                        <w:rFonts w:hint="default" w:ascii="Cambria Math" w:hAnsi="Cambria Math" w:cs="Times New Roman"/>
                        <w:sz w:val="28"/>
                        <w:szCs w:val="28"/>
                        <w:lang w:val="en-US" w:eastAsia="zh-CN" w:bidi="ar-SA"/>
                      </w:rPr>
                    </m:ctrlPr>
                  </m:den>
                </m:f>
                <m:r>
                  <m:rPr>
                    <m:sty m:val="p"/>
                  </m:rPr>
                  <w:rPr>
                    <w:rFonts w:hint="default" w:ascii="Cambria Math" w:hAnsi="Cambria Math" w:cs="Times New Roman"/>
                    <w:sz w:val="28"/>
                    <w:szCs w:val="28"/>
                    <w:lang w:val="en-US" w:eastAsia="zh-CN" w:bidi="ar-SA"/>
                  </w:rPr>
                  <m:t>+...</m:t>
                </m:r>
                <m:f>
                  <m:fPr>
                    <m:ctrlPr>
                      <w:rPr>
                        <w:rFonts w:hint="default" w:ascii="Cambria Math" w:hAnsi="Cambria Math" w:cs="Times New Roman"/>
                        <w:b w:val="0"/>
                        <w:i w:val="0"/>
                        <w:sz w:val="28"/>
                        <w:szCs w:val="28"/>
                        <w:lang w:val="en-US" w:eastAsia="zh-CN" w:bidi="ar-SA"/>
                      </w:rPr>
                    </m:ctrlPr>
                  </m:fPr>
                  <m:num>
                    <m:sSub>
                      <m:sSubPr>
                        <m:ctrlPr>
                          <w:rPr>
                            <w:rFonts w:hint="default" w:ascii="Cambria Math" w:hAnsi="Cambria Math" w:cs="Times New Roman"/>
                            <w:b w:val="0"/>
                            <w:i w:val="0"/>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b w:val="0"/>
                            <w:i w:val="0"/>
                            <w:sz w:val="28"/>
                            <w:szCs w:val="28"/>
                            <w:lang w:val="en-US" w:eastAsia="zh-CN" w:bidi="ar-SA"/>
                          </w:rPr>
                        </m:ctrlPr>
                      </m:e>
                      <m:sub>
                        <m:r>
                          <m:rPr>
                            <m:sty m:val="p"/>
                          </m:rPr>
                          <w:rPr>
                            <w:rFonts w:hint="default" w:ascii="Cambria Math" w:hAnsi="Cambria Math" w:cs="Times New Roman"/>
                            <w:sz w:val="28"/>
                            <w:szCs w:val="28"/>
                            <w:lang w:val="en-US" w:eastAsia="zh-CN" w:bidi="ar-SA"/>
                          </w:rPr>
                          <m:t>n</m:t>
                        </m:r>
                        <m:ctrlPr>
                          <w:rPr>
                            <w:rFonts w:hint="default" w:ascii="Cambria Math" w:hAnsi="Cambria Math" w:cs="Times New Roman"/>
                            <w:b w:val="0"/>
                            <w:i w:val="0"/>
                            <w:sz w:val="28"/>
                            <w:szCs w:val="28"/>
                            <w:lang w:val="en-US" w:eastAsia="zh-CN" w:bidi="ar-SA"/>
                          </w:rPr>
                        </m:ctrlPr>
                      </m:sub>
                    </m:sSub>
                    <m:ctrlPr>
                      <w:rPr>
                        <w:rFonts w:hint="default" w:ascii="Cambria Math" w:hAnsi="Cambria Math" w:cs="Times New Roman"/>
                        <w:b w:val="0"/>
                        <w:i w:val="0"/>
                        <w:sz w:val="28"/>
                        <w:szCs w:val="28"/>
                        <w:lang w:val="en-US" w:eastAsia="zh-CN" w:bidi="ar-SA"/>
                      </w:rPr>
                    </m:ctrlPr>
                  </m:num>
                  <m:den>
                    <m:sSub>
                      <m:sSubPr>
                        <m:ctrlPr>
                          <w:rPr>
                            <w:rFonts w:hint="default" w:ascii="Cambria Math" w:hAnsi="Cambria Math" w:cs="Times New Roman"/>
                            <w:b w:val="0"/>
                            <w:i w:val="0"/>
                            <w:sz w:val="28"/>
                            <w:szCs w:val="28"/>
                            <w:lang w:val="en-US" w:eastAsia="zh-CN" w:bidi="ar-SA"/>
                          </w:rPr>
                        </m:ctrlPr>
                      </m:sSubPr>
                      <m:e>
                        <m:r>
                          <m:rPr>
                            <m:sty m:val="p"/>
                          </m:rPr>
                          <w:rPr>
                            <w:rFonts w:hint="default" w:ascii="Cambria Math" w:hAnsi="Cambria Math" w:cs="Times New Roman"/>
                            <w:sz w:val="28"/>
                            <w:szCs w:val="28"/>
                            <w:lang w:val="en-US" w:eastAsia="zh-CN" w:bidi="ar-SA"/>
                          </w:rPr>
                          <m:t>Q</m:t>
                        </m:r>
                        <m:ctrlPr>
                          <w:rPr>
                            <w:rFonts w:hint="default" w:ascii="Cambria Math" w:hAnsi="Cambria Math" w:cs="Times New Roman"/>
                            <w:b w:val="0"/>
                            <w:i w:val="0"/>
                            <w:sz w:val="28"/>
                            <w:szCs w:val="28"/>
                            <w:lang w:val="en-US" w:eastAsia="zh-CN" w:bidi="ar-SA"/>
                          </w:rPr>
                        </m:ctrlPr>
                      </m:e>
                      <m:sub>
                        <m:r>
                          <m:rPr>
                            <m:sty m:val="p"/>
                          </m:rPr>
                          <w:rPr>
                            <w:rFonts w:hint="default" w:ascii="Cambria Math" w:hAnsi="Cambria Math" w:cs="Times New Roman"/>
                            <w:sz w:val="28"/>
                            <w:szCs w:val="28"/>
                            <w:lang w:val="en-US" w:eastAsia="zh-CN" w:bidi="ar-SA"/>
                          </w:rPr>
                          <m:t>n</m:t>
                        </m:r>
                        <m:ctrlPr>
                          <w:rPr>
                            <w:rFonts w:hint="default" w:ascii="Cambria Math" w:hAnsi="Cambria Math" w:cs="Times New Roman"/>
                            <w:b w:val="0"/>
                            <w:i w:val="0"/>
                            <w:sz w:val="28"/>
                            <w:szCs w:val="28"/>
                            <w:lang w:val="en-US" w:eastAsia="zh-CN" w:bidi="ar-SA"/>
                          </w:rPr>
                        </m:ctrlPr>
                      </m:sub>
                    </m:sSub>
                    <m:ctrlPr>
                      <w:rPr>
                        <w:rFonts w:hint="default" w:ascii="Cambria Math" w:hAnsi="Cambria Math" w:cs="Times New Roman"/>
                        <w:b w:val="0"/>
                        <w:i w:val="0"/>
                        <w:sz w:val="28"/>
                        <w:szCs w:val="28"/>
                        <w:lang w:val="en-US" w:eastAsia="zh-CN" w:bidi="ar-SA"/>
                      </w:rPr>
                    </m:ctrlPr>
                  </m:den>
                </m:f>
              </m:oMath>
            </m:oMathPara>
          </w:p>
          <w:p w14:paraId="56BA85D4">
            <w:pPr>
              <w:spacing w:line="360" w:lineRule="auto"/>
              <w:ind w:firstLine="480" w:firstLineChars="200"/>
              <w:rPr>
                <w:rFonts w:hint="default"/>
                <w:sz w:val="24"/>
                <w:szCs w:val="24"/>
              </w:rPr>
            </w:pPr>
            <w:r>
              <w:rPr>
                <w:rFonts w:hint="default"/>
                <w:sz w:val="24"/>
                <w:szCs w:val="24"/>
              </w:rPr>
              <w:t>式中：q1，q2……qn—每种危险物质的最大存在量，t；</w:t>
            </w:r>
          </w:p>
          <w:p w14:paraId="31EF18D8">
            <w:pPr>
              <w:spacing w:line="360" w:lineRule="auto"/>
              <w:ind w:firstLine="1200" w:firstLineChars="500"/>
              <w:rPr>
                <w:rFonts w:hint="default"/>
                <w:sz w:val="24"/>
                <w:szCs w:val="24"/>
              </w:rPr>
            </w:pPr>
            <w:r>
              <w:rPr>
                <w:rFonts w:hint="default"/>
                <w:sz w:val="24"/>
                <w:szCs w:val="24"/>
              </w:rPr>
              <w:t>Q1，Q2…Qn—每种危险物质的临界量，t。</w:t>
            </w:r>
          </w:p>
          <w:p w14:paraId="2BDAC8BE">
            <w:pPr>
              <w:spacing w:line="360" w:lineRule="auto"/>
              <w:ind w:firstLine="960" w:firstLineChars="400"/>
              <w:rPr>
                <w:rFonts w:hint="default"/>
                <w:sz w:val="24"/>
                <w:szCs w:val="24"/>
              </w:rPr>
            </w:pPr>
            <w:r>
              <w:rPr>
                <w:rFonts w:hint="default"/>
                <w:sz w:val="24"/>
                <w:szCs w:val="24"/>
              </w:rPr>
              <w:t>当Q＜1时，该项目环境风险潜势为I。</w:t>
            </w:r>
          </w:p>
          <w:p w14:paraId="685515DB">
            <w:pPr>
              <w:spacing w:line="360" w:lineRule="auto"/>
              <w:ind w:firstLine="960" w:firstLineChars="400"/>
              <w:rPr>
                <w:rFonts w:hint="default"/>
                <w:sz w:val="24"/>
                <w:szCs w:val="24"/>
              </w:rPr>
            </w:pPr>
            <w:r>
              <w:rPr>
                <w:rFonts w:hint="default"/>
                <w:sz w:val="24"/>
                <w:szCs w:val="24"/>
              </w:rPr>
              <w:t>当Q≥1时，将Q值划分为：（1）1≤Q＜10；（2）10≤Q＜100；（3）Q≥100。</w:t>
            </w:r>
          </w:p>
          <w:p w14:paraId="3EC033A5">
            <w:pPr>
              <w:spacing w:line="360" w:lineRule="auto"/>
              <w:ind w:firstLine="480" w:firstLineChars="200"/>
              <w:rPr>
                <w:rFonts w:hint="default"/>
                <w:sz w:val="24"/>
                <w:szCs w:val="24"/>
              </w:rPr>
            </w:pPr>
            <w:r>
              <w:rPr>
                <w:rFonts w:hint="default"/>
                <w:sz w:val="24"/>
                <w:szCs w:val="24"/>
              </w:rPr>
              <w:t>拟建项目物质数量与其临界量比值（Q</w:t>
            </w:r>
            <w:r>
              <w:rPr>
                <w:rFonts w:hint="eastAsia"/>
                <w:sz w:val="24"/>
                <w:szCs w:val="24"/>
                <w:lang w:eastAsia="zh-CN"/>
              </w:rPr>
              <w:t>）</w:t>
            </w:r>
            <w:r>
              <w:rPr>
                <w:rFonts w:hint="default"/>
                <w:sz w:val="24"/>
                <w:szCs w:val="24"/>
              </w:rPr>
              <w:t>详见下表。</w:t>
            </w:r>
          </w:p>
          <w:p w14:paraId="4D90C310">
            <w:pPr>
              <w:pStyle w:val="21"/>
              <w:spacing w:before="0" w:line="240" w:lineRule="auto"/>
              <w:ind w:left="0" w:leftChars="0" w:firstLine="0" w:firstLineChars="0"/>
              <w:jc w:val="center"/>
              <w:rPr>
                <w:rFonts w:ascii="Times New Roman" w:hAnsi="Times New Roman"/>
                <w:b/>
                <w:bCs w:val="0"/>
                <w:sz w:val="21"/>
                <w:szCs w:val="21"/>
                <w:vertAlign w:val="baseline"/>
              </w:rPr>
            </w:pPr>
            <w:r>
              <w:rPr>
                <w:rFonts w:ascii="Times New Roman" w:hAnsi="Times New Roman"/>
                <w:b/>
                <w:bCs w:val="0"/>
                <w:sz w:val="21"/>
                <w:szCs w:val="21"/>
              </w:rPr>
              <w:t>表4-</w:t>
            </w:r>
            <w:r>
              <w:rPr>
                <w:rFonts w:hint="eastAsia" w:ascii="Times New Roman" w:hAnsi="Times New Roman"/>
                <w:b/>
                <w:bCs w:val="0"/>
                <w:sz w:val="21"/>
                <w:szCs w:val="21"/>
                <w:lang w:val="en-US" w:eastAsia="zh-CN"/>
              </w:rPr>
              <w:t xml:space="preserve">20  </w:t>
            </w:r>
            <w:r>
              <w:rPr>
                <w:rFonts w:hint="eastAsia" w:ascii="Times New Roman" w:hAnsi="Times New Roman"/>
                <w:b/>
                <w:bCs w:val="0"/>
                <w:sz w:val="21"/>
                <w:szCs w:val="21"/>
                <w:lang w:eastAsia="zh-CN"/>
              </w:rPr>
              <w:t>风险物质数量与其临界量比值（Q）计算表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7"/>
              <w:gridCol w:w="1862"/>
              <w:gridCol w:w="1862"/>
              <w:gridCol w:w="2920"/>
            </w:tblGrid>
            <w:tr w14:paraId="7D44C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301" w:type="pct"/>
                  <w:vAlign w:val="center"/>
                </w:tcPr>
                <w:p w14:paraId="42B71072">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b/>
                      <w:bCs/>
                      <w:sz w:val="21"/>
                      <w:szCs w:val="21"/>
                      <w:vertAlign w:val="baseline"/>
                      <w:lang w:val="en-US" w:eastAsia="zh-CN"/>
                    </w:rPr>
                  </w:pPr>
                  <w:r>
                    <w:rPr>
                      <w:rFonts w:hint="eastAsia" w:ascii="Times New Roman" w:hAnsi="Times New Roman" w:cs="Times New Roman"/>
                      <w:b/>
                      <w:bCs/>
                      <w:color w:val="000000" w:themeColor="text1"/>
                      <w:sz w:val="21"/>
                      <w:szCs w:val="21"/>
                      <w14:textFill>
                        <w14:solidFill>
                          <w14:schemeClr w14:val="tx1"/>
                        </w14:solidFill>
                      </w14:textFill>
                    </w:rPr>
                    <w:t>危险物质名称</w:t>
                  </w:r>
                </w:p>
              </w:tc>
              <w:tc>
                <w:tcPr>
                  <w:tcW w:w="1036" w:type="pct"/>
                  <w:vAlign w:val="center"/>
                </w:tcPr>
                <w:p w14:paraId="578E3EB9">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b/>
                      <w:bCs/>
                      <w:sz w:val="21"/>
                      <w:szCs w:val="21"/>
                      <w:vertAlign w:val="baseline"/>
                      <w:lang w:val="en-US" w:eastAsia="zh-CN"/>
                    </w:rPr>
                  </w:pPr>
                  <w:r>
                    <w:rPr>
                      <w:rFonts w:hint="eastAsia" w:cs="Times New Roman"/>
                      <w:b/>
                      <w:bCs/>
                      <w:color w:val="000000" w:themeColor="text1"/>
                      <w:sz w:val="21"/>
                      <w:szCs w:val="21"/>
                      <w:lang w:eastAsia="zh-CN"/>
                      <w14:textFill>
                        <w14:solidFill>
                          <w14:schemeClr w14:val="tx1"/>
                        </w14:solidFill>
                      </w14:textFill>
                    </w:rPr>
                    <w:t>临界量</w:t>
                  </w:r>
                  <w:r>
                    <w:rPr>
                      <w:rFonts w:ascii="Times New Roman" w:hAnsi="Times New Roman" w:cs="Times New Roman"/>
                      <w:b/>
                      <w:bCs/>
                      <w:color w:val="000000" w:themeColor="text1"/>
                      <w:sz w:val="21"/>
                      <w:szCs w:val="21"/>
                      <w14:textFill>
                        <w14:solidFill>
                          <w14:schemeClr w14:val="tx1"/>
                        </w14:solidFill>
                      </w14:textFill>
                    </w:rPr>
                    <w:t>（</w:t>
                  </w:r>
                  <w:r>
                    <w:rPr>
                      <w:rFonts w:hint="eastAsia" w:cs="Times New Roman"/>
                      <w:b/>
                      <w:bCs/>
                      <w:color w:val="000000" w:themeColor="text1"/>
                      <w:sz w:val="21"/>
                      <w:szCs w:val="21"/>
                      <w:lang w:val="en-US" w:eastAsia="zh-CN"/>
                      <w14:textFill>
                        <w14:solidFill>
                          <w14:schemeClr w14:val="tx1"/>
                        </w14:solidFill>
                      </w14:textFill>
                    </w:rPr>
                    <w:t>t</w:t>
                  </w:r>
                  <w:r>
                    <w:rPr>
                      <w:rFonts w:ascii="Times New Roman" w:hAnsi="Times New Roman" w:cs="Times New Roman"/>
                      <w:b/>
                      <w:bCs/>
                      <w:color w:val="000000" w:themeColor="text1"/>
                      <w:sz w:val="21"/>
                      <w:szCs w:val="21"/>
                      <w14:textFill>
                        <w14:solidFill>
                          <w14:schemeClr w14:val="tx1"/>
                        </w14:solidFill>
                      </w14:textFill>
                    </w:rPr>
                    <w:t>）</w:t>
                  </w:r>
                </w:p>
              </w:tc>
              <w:tc>
                <w:tcPr>
                  <w:tcW w:w="1036" w:type="pct"/>
                  <w:vAlign w:val="center"/>
                </w:tcPr>
                <w:p w14:paraId="1F3B2B5C">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b/>
                      <w:bCs/>
                      <w:sz w:val="21"/>
                      <w:szCs w:val="21"/>
                      <w:vertAlign w:val="baseline"/>
                      <w:lang w:val="en-US" w:eastAsia="zh-CN"/>
                    </w:rPr>
                  </w:pPr>
                  <w:r>
                    <w:rPr>
                      <w:rFonts w:hint="eastAsia" w:cs="Times New Roman"/>
                      <w:b/>
                      <w:bCs/>
                      <w:color w:val="000000" w:themeColor="text1"/>
                      <w:sz w:val="21"/>
                      <w:szCs w:val="21"/>
                      <w:lang w:eastAsia="zh-CN"/>
                      <w14:textFill>
                        <w14:solidFill>
                          <w14:schemeClr w14:val="tx1"/>
                        </w14:solidFill>
                      </w14:textFill>
                    </w:rPr>
                    <w:t>最大储存量（</w:t>
                  </w:r>
                  <w:r>
                    <w:rPr>
                      <w:rFonts w:hint="eastAsia" w:cs="Times New Roman"/>
                      <w:b/>
                      <w:bCs/>
                      <w:color w:val="000000" w:themeColor="text1"/>
                      <w:sz w:val="21"/>
                      <w:szCs w:val="21"/>
                      <w:lang w:val="en-US" w:eastAsia="zh-CN"/>
                      <w14:textFill>
                        <w14:solidFill>
                          <w14:schemeClr w14:val="tx1"/>
                        </w14:solidFill>
                      </w14:textFill>
                    </w:rPr>
                    <w:t>t）</w:t>
                  </w:r>
                </w:p>
              </w:tc>
              <w:tc>
                <w:tcPr>
                  <w:tcW w:w="1625" w:type="pct"/>
                  <w:vAlign w:val="center"/>
                </w:tcPr>
                <w:p w14:paraId="41FB1CB0">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b/>
                      <w:bCs/>
                      <w:sz w:val="21"/>
                      <w:szCs w:val="21"/>
                      <w:vertAlign w:val="baseline"/>
                      <w:lang w:val="en-US" w:eastAsia="zh-CN"/>
                    </w:rPr>
                  </w:pPr>
                  <w:r>
                    <w:rPr>
                      <w:rFonts w:hint="eastAsia" w:cs="Times New Roman"/>
                      <w:b/>
                      <w:bCs/>
                      <w:color w:val="000000" w:themeColor="text1"/>
                      <w:sz w:val="21"/>
                      <w:szCs w:val="21"/>
                      <w:lang w:eastAsia="zh-CN"/>
                      <w14:textFill>
                        <w14:solidFill>
                          <w14:schemeClr w14:val="tx1"/>
                        </w14:solidFill>
                      </w14:textFill>
                    </w:rPr>
                    <w:t>比值</w:t>
                  </w:r>
                  <w:r>
                    <w:rPr>
                      <w:rFonts w:ascii="Times New Roman" w:hAnsi="Times New Roman" w:cs="Times New Roman"/>
                      <w:b/>
                      <w:bCs/>
                      <w:color w:val="000000" w:themeColor="text1"/>
                      <w:sz w:val="21"/>
                      <w:szCs w:val="21"/>
                      <w14:textFill>
                        <w14:solidFill>
                          <w14:schemeClr w14:val="tx1"/>
                        </w14:solidFill>
                      </w14:textFill>
                    </w:rPr>
                    <w:t>（</w:t>
                  </w:r>
                  <w:r>
                    <w:rPr>
                      <w:rFonts w:hint="eastAsia" w:cs="Times New Roman"/>
                      <w:b/>
                      <w:bCs/>
                      <w:color w:val="000000" w:themeColor="text1"/>
                      <w:sz w:val="21"/>
                      <w:szCs w:val="21"/>
                      <w:lang w:val="en-US" w:eastAsia="zh-CN"/>
                      <w14:textFill>
                        <w14:solidFill>
                          <w14:schemeClr w14:val="tx1"/>
                        </w14:solidFill>
                      </w14:textFill>
                    </w:rPr>
                    <w:t>Q</w:t>
                  </w:r>
                  <w:r>
                    <w:rPr>
                      <w:rFonts w:ascii="Times New Roman" w:hAnsi="Times New Roman" w:cs="Times New Roman"/>
                      <w:b/>
                      <w:bCs/>
                      <w:color w:val="000000" w:themeColor="text1"/>
                      <w:sz w:val="21"/>
                      <w:szCs w:val="21"/>
                      <w14:textFill>
                        <w14:solidFill>
                          <w14:schemeClr w14:val="tx1"/>
                        </w14:solidFill>
                      </w14:textFill>
                    </w:rPr>
                    <w:t>）</w:t>
                  </w:r>
                </w:p>
              </w:tc>
            </w:tr>
            <w:tr w14:paraId="2B1C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01" w:type="pct"/>
                  <w:vAlign w:val="center"/>
                </w:tcPr>
                <w:p w14:paraId="0808FA22">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val="en-US" w:eastAsia="zh-CN"/>
                    </w:rPr>
                    <w:t>变压器油</w:t>
                  </w:r>
                </w:p>
              </w:tc>
              <w:tc>
                <w:tcPr>
                  <w:tcW w:w="1036" w:type="pct"/>
                  <w:vAlign w:val="center"/>
                </w:tcPr>
                <w:p w14:paraId="01D89775">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color w:val="auto"/>
                      <w:sz w:val="21"/>
                      <w:szCs w:val="21"/>
                      <w:vertAlign w:val="baseline"/>
                      <w:lang w:val="en-US" w:eastAsia="zh-CN"/>
                    </w:rPr>
                  </w:pPr>
                  <w:r>
                    <w:rPr>
                      <w:rFonts w:hint="eastAsia" w:ascii="Times New Roman" w:hAnsi="Times New Roman" w:cs="Times New Roman"/>
                      <w:bCs/>
                      <w:color w:val="auto"/>
                      <w:sz w:val="21"/>
                      <w:szCs w:val="21"/>
                      <w:lang w:val="en-US" w:eastAsia="zh-CN"/>
                    </w:rPr>
                    <w:t>2</w:t>
                  </w:r>
                  <w:r>
                    <w:rPr>
                      <w:rFonts w:hint="eastAsia" w:cs="Times New Roman"/>
                      <w:bCs/>
                      <w:color w:val="auto"/>
                      <w:sz w:val="21"/>
                      <w:szCs w:val="21"/>
                      <w:lang w:val="en-US" w:eastAsia="zh-CN"/>
                    </w:rPr>
                    <w:t>500</w:t>
                  </w:r>
                </w:p>
              </w:tc>
              <w:tc>
                <w:tcPr>
                  <w:tcW w:w="1036" w:type="pct"/>
                  <w:vAlign w:val="center"/>
                </w:tcPr>
                <w:p w14:paraId="294CA805">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color w:val="auto"/>
                      <w:sz w:val="21"/>
                      <w:szCs w:val="21"/>
                      <w:vertAlign w:val="baseline"/>
                      <w:lang w:val="en-US" w:eastAsia="zh-CN"/>
                    </w:rPr>
                  </w:pPr>
                  <w:r>
                    <w:rPr>
                      <w:rFonts w:hint="eastAsia" w:cs="Times New Roman"/>
                      <w:bCs/>
                      <w:color w:val="auto"/>
                      <w:sz w:val="21"/>
                      <w:szCs w:val="21"/>
                      <w:highlight w:val="none"/>
                      <w:lang w:val="en-US" w:eastAsia="zh-CN"/>
                    </w:rPr>
                    <w:t>18.333</w:t>
                  </w:r>
                </w:p>
              </w:tc>
              <w:tc>
                <w:tcPr>
                  <w:tcW w:w="1625" w:type="pct"/>
                  <w:vAlign w:val="center"/>
                </w:tcPr>
                <w:p w14:paraId="722B7528">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0.00733</w:t>
                  </w:r>
                </w:p>
              </w:tc>
            </w:tr>
          </w:tbl>
          <w:p w14:paraId="4816152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经计算</w:t>
            </w:r>
            <w:r>
              <w:rPr>
                <w:rFonts w:hint="eastAsia" w:ascii="宋体" w:hAnsi="宋体" w:cs="宋体"/>
                <w:color w:val="000000"/>
                <w:kern w:val="0"/>
                <w:sz w:val="24"/>
                <w:szCs w:val="24"/>
                <w:lang w:val="en-US" w:eastAsia="zh-CN" w:bidi="ar"/>
              </w:rPr>
              <w:t>本工程</w:t>
            </w:r>
            <w:r>
              <w:rPr>
                <w:rFonts w:hint="default" w:ascii="Times New Roman" w:hAnsi="Times New Roman" w:eastAsia="宋体" w:cs="Times New Roman"/>
                <w:color w:val="000000"/>
                <w:kern w:val="0"/>
                <w:sz w:val="24"/>
                <w:szCs w:val="24"/>
                <w:lang w:val="en-US" w:eastAsia="zh-CN" w:bidi="ar"/>
              </w:rPr>
              <w:t>Q=</w:t>
            </w:r>
            <w:r>
              <w:rPr>
                <w:rFonts w:hint="eastAsia" w:cs="Times New Roman"/>
                <w:color w:val="000000"/>
                <w:kern w:val="0"/>
                <w:sz w:val="24"/>
                <w:szCs w:val="24"/>
                <w:lang w:val="en-US" w:eastAsia="zh-CN" w:bidi="ar"/>
              </w:rPr>
              <w:t>0.00733</w:t>
            </w:r>
            <w:r>
              <w:rPr>
                <w:rFonts w:hint="eastAsia" w:ascii="宋体" w:hAnsi="宋体" w:eastAsia="宋体" w:cs="宋体"/>
                <w:color w:val="000000"/>
                <w:kern w:val="0"/>
                <w:sz w:val="24"/>
                <w:szCs w:val="24"/>
                <w:lang w:val="en-US" w:eastAsia="zh-CN" w:bidi="ar"/>
              </w:rPr>
              <w:t>，小于</w:t>
            </w: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w:t>
            </w:r>
          </w:p>
          <w:p w14:paraId="7B11CCF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default"/>
                <w:sz w:val="24"/>
                <w:szCs w:val="24"/>
              </w:rPr>
              <w:t>根据《建设项目环境风险评价技术导则》（HJ169-2018）可以确定</w:t>
            </w:r>
            <w:r>
              <w:rPr>
                <w:rFonts w:hint="eastAsia"/>
                <w:sz w:val="24"/>
                <w:szCs w:val="24"/>
                <w:lang w:eastAsia="zh-CN"/>
              </w:rPr>
              <w:t>本工程</w:t>
            </w:r>
            <w:r>
              <w:rPr>
                <w:rFonts w:hint="default"/>
                <w:sz w:val="24"/>
                <w:szCs w:val="24"/>
              </w:rPr>
              <w:t>环境风险潜势为Ⅰ，环境风险评价等级为简单分析。简单分析可参照本导则进行风险识别、源项分析和对事故影响进行简要分析，提出防范、减缓和应急措施。</w:t>
            </w:r>
          </w:p>
          <w:p w14:paraId="720DA28B">
            <w:pPr>
              <w:spacing w:line="360" w:lineRule="auto"/>
              <w:ind w:firstLine="480" w:firstLineChars="200"/>
              <w:rPr>
                <w:rFonts w:hint="default"/>
                <w:sz w:val="24"/>
                <w:szCs w:val="24"/>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rFonts w:hint="default"/>
                <w:sz w:val="24"/>
                <w:szCs w:val="24"/>
              </w:rPr>
              <w:t>风险分析</w:t>
            </w:r>
          </w:p>
          <w:p w14:paraId="41A149D2">
            <w:pPr>
              <w:spacing w:line="360" w:lineRule="auto"/>
              <w:ind w:firstLine="480" w:firstLineChars="200"/>
              <w:rPr>
                <w:rFonts w:hint="default"/>
                <w:sz w:val="24"/>
                <w:szCs w:val="24"/>
              </w:rPr>
            </w:pPr>
            <w:r>
              <w:rPr>
                <w:rFonts w:hint="default"/>
                <w:sz w:val="24"/>
                <w:szCs w:val="24"/>
              </w:rPr>
              <w:t>根据</w:t>
            </w:r>
            <w:r>
              <w:rPr>
                <w:rFonts w:hint="eastAsia"/>
                <w:sz w:val="24"/>
                <w:szCs w:val="24"/>
                <w:lang w:val="en-US" w:eastAsia="zh-CN"/>
              </w:rPr>
              <w:t>变压器油</w:t>
            </w:r>
            <w:r>
              <w:rPr>
                <w:rFonts w:hint="default"/>
                <w:sz w:val="24"/>
                <w:szCs w:val="24"/>
              </w:rPr>
              <w:t>的性质和可能</w:t>
            </w:r>
            <w:r>
              <w:rPr>
                <w:rFonts w:hint="eastAsia"/>
                <w:sz w:val="24"/>
                <w:szCs w:val="24"/>
                <w:lang w:eastAsia="zh-CN"/>
              </w:rPr>
              <w:t>影响</w:t>
            </w:r>
            <w:r>
              <w:rPr>
                <w:rFonts w:hint="default"/>
                <w:sz w:val="24"/>
                <w:szCs w:val="24"/>
              </w:rPr>
              <w:t>环境的途径，</w:t>
            </w:r>
            <w:r>
              <w:rPr>
                <w:rFonts w:hint="eastAsia"/>
                <w:sz w:val="24"/>
                <w:szCs w:val="24"/>
                <w:lang w:eastAsia="zh-CN"/>
              </w:rPr>
              <w:t>本工程</w:t>
            </w:r>
            <w:r>
              <w:rPr>
                <w:rFonts w:hint="default"/>
                <w:sz w:val="24"/>
                <w:szCs w:val="24"/>
              </w:rPr>
              <w:t>变压器油等在泄漏过程中可能</w:t>
            </w:r>
            <w:r>
              <w:rPr>
                <w:rFonts w:hint="eastAsia"/>
                <w:sz w:val="24"/>
                <w:szCs w:val="24"/>
                <w:lang w:val="en-US" w:eastAsia="zh-CN"/>
              </w:rPr>
              <w:t>渗入</w:t>
            </w:r>
            <w:r>
              <w:rPr>
                <w:rFonts w:hint="default"/>
                <w:sz w:val="24"/>
                <w:szCs w:val="24"/>
              </w:rPr>
              <w:t>周边的土壤，导致土壤环境受到污染，万一若遇明火会发生火灾事故或中毒事故，会引发次生的大气、地表水等环境污染问题。</w:t>
            </w:r>
          </w:p>
          <w:p w14:paraId="38C7D95B">
            <w:pPr>
              <w:spacing w:line="360" w:lineRule="auto"/>
              <w:ind w:firstLine="480" w:firstLineChars="200"/>
              <w:rPr>
                <w:rFonts w:hint="default"/>
                <w:sz w:val="24"/>
                <w:szCs w:val="24"/>
              </w:rPr>
            </w:pPr>
            <w:r>
              <w:rPr>
                <w:rFonts w:hint="eastAsia"/>
                <w:sz w:val="24"/>
                <w:szCs w:val="24"/>
                <w:lang w:eastAsia="zh-CN"/>
              </w:rPr>
              <w:t>（</w:t>
            </w:r>
            <w:r>
              <w:rPr>
                <w:rFonts w:hint="eastAsia"/>
                <w:sz w:val="24"/>
                <w:szCs w:val="24"/>
                <w:lang w:val="en-US" w:eastAsia="zh-CN"/>
              </w:rPr>
              <w:t>5</w:t>
            </w:r>
            <w:r>
              <w:rPr>
                <w:rFonts w:hint="eastAsia"/>
                <w:sz w:val="24"/>
                <w:szCs w:val="24"/>
                <w:lang w:eastAsia="zh-CN"/>
              </w:rPr>
              <w:t>）</w:t>
            </w:r>
            <w:r>
              <w:rPr>
                <w:rFonts w:hint="default"/>
                <w:sz w:val="24"/>
                <w:szCs w:val="24"/>
              </w:rPr>
              <w:t>环境风险防范及应急要求</w:t>
            </w:r>
          </w:p>
          <w:p w14:paraId="582498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A、</w:t>
            </w:r>
            <w:r>
              <w:rPr>
                <w:rFonts w:hint="default"/>
                <w:sz w:val="24"/>
                <w:szCs w:val="24"/>
              </w:rPr>
              <w:t>严格执行《生产设备安全卫生设计总则》等有关法规。</w:t>
            </w:r>
          </w:p>
          <w:p w14:paraId="100573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B、</w:t>
            </w:r>
            <w:r>
              <w:rPr>
                <w:rFonts w:hint="default"/>
                <w:sz w:val="24"/>
                <w:szCs w:val="24"/>
              </w:rPr>
              <w:t>项目区按《建筑灭火器配置设计规范》配置手提式干粉灭火器和推车式干粉灭火器。</w:t>
            </w:r>
          </w:p>
          <w:p w14:paraId="7EFFF1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C、</w:t>
            </w:r>
            <w:r>
              <w:rPr>
                <w:rFonts w:hint="default"/>
                <w:sz w:val="24"/>
                <w:szCs w:val="24"/>
              </w:rPr>
              <w:t>操作人员必须经过专</w:t>
            </w:r>
            <w:r>
              <w:rPr>
                <w:rFonts w:hint="eastAsia"/>
                <w:sz w:val="24"/>
                <w:szCs w:val="24"/>
                <w:lang w:eastAsia="zh-CN"/>
              </w:rPr>
              <w:t>门的</w:t>
            </w:r>
            <w:r>
              <w:rPr>
                <w:rFonts w:hint="default"/>
                <w:sz w:val="24"/>
                <w:szCs w:val="24"/>
              </w:rPr>
              <w:t>培训，做到持证上岗，并且严格遵守操作规程。</w:t>
            </w:r>
          </w:p>
          <w:p w14:paraId="23149B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D、增强</w:t>
            </w:r>
            <w:r>
              <w:rPr>
                <w:rFonts w:hint="default"/>
                <w:sz w:val="24"/>
                <w:szCs w:val="24"/>
              </w:rPr>
              <w:t>工作人员的安全意识。</w:t>
            </w:r>
          </w:p>
          <w:p w14:paraId="172A5F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E、</w:t>
            </w:r>
            <w:r>
              <w:rPr>
                <w:rFonts w:hint="default"/>
                <w:sz w:val="24"/>
                <w:szCs w:val="24"/>
              </w:rPr>
              <w:t>严禁烟火，</w:t>
            </w:r>
            <w:r>
              <w:rPr>
                <w:rFonts w:hint="eastAsia"/>
                <w:sz w:val="24"/>
                <w:szCs w:val="24"/>
                <w:lang w:eastAsia="zh-CN"/>
              </w:rPr>
              <w:t>变电站</w:t>
            </w:r>
            <w:r>
              <w:rPr>
                <w:rFonts w:hint="default"/>
                <w:sz w:val="24"/>
                <w:szCs w:val="24"/>
              </w:rPr>
              <w:t>内禁止吸烟，加强管理，严格操作规范，制定一系列的防火规章制度</w:t>
            </w:r>
            <w:r>
              <w:rPr>
                <w:rFonts w:hint="eastAsia"/>
                <w:sz w:val="24"/>
                <w:szCs w:val="24"/>
                <w:lang w:eastAsia="zh-CN"/>
              </w:rPr>
              <w:t>；</w:t>
            </w:r>
            <w:r>
              <w:rPr>
                <w:rFonts w:hint="default"/>
                <w:sz w:val="24"/>
                <w:szCs w:val="24"/>
              </w:rPr>
              <w:t>站区应在进口处的明显位置设有醒目的严禁烟火的标志。</w:t>
            </w:r>
          </w:p>
          <w:p w14:paraId="43AF56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F、</w:t>
            </w:r>
            <w:r>
              <w:rPr>
                <w:rFonts w:hint="default"/>
                <w:sz w:val="24"/>
                <w:szCs w:val="24"/>
              </w:rPr>
              <w:t>站区电气设备室内必须提供良好的自然通风条件。</w:t>
            </w:r>
          </w:p>
          <w:p w14:paraId="63D4FB9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G、</w:t>
            </w:r>
            <w:r>
              <w:rPr>
                <w:rFonts w:hint="default"/>
                <w:sz w:val="24"/>
                <w:szCs w:val="24"/>
              </w:rPr>
              <w:t>加强日常巡检工作，及时发现、处理故障，保证安全生产，严格落实各项安全与环保措施，防止事故造成的环境污染。</w:t>
            </w:r>
          </w:p>
          <w:p w14:paraId="4652F4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H、</w:t>
            </w:r>
            <w:r>
              <w:rPr>
                <w:rFonts w:hint="default"/>
                <w:sz w:val="24"/>
                <w:szCs w:val="24"/>
              </w:rPr>
              <w:t>各种电气设备应定期检修保养，确保设备正常运行。</w:t>
            </w:r>
          </w:p>
          <w:p w14:paraId="56D948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eastAsia"/>
                <w:sz w:val="24"/>
                <w:szCs w:val="24"/>
                <w:lang w:val="en-US" w:eastAsia="zh-CN"/>
              </w:rPr>
              <w:t>I、</w:t>
            </w:r>
            <w:r>
              <w:rPr>
                <w:rFonts w:hint="default"/>
                <w:sz w:val="24"/>
                <w:szCs w:val="24"/>
              </w:rPr>
              <w:t>对安全及环保管理人员进行安全与环保知识培训，熟悉国家安全生产方针、政策、法规、标准，增强安全意识</w:t>
            </w:r>
            <w:r>
              <w:rPr>
                <w:rFonts w:hint="eastAsia"/>
                <w:sz w:val="24"/>
                <w:szCs w:val="24"/>
                <w:lang w:eastAsia="zh-CN"/>
              </w:rPr>
              <w:t>和法治观念</w:t>
            </w:r>
            <w:r>
              <w:rPr>
                <w:rFonts w:hint="default"/>
                <w:sz w:val="24"/>
                <w:szCs w:val="24"/>
              </w:rPr>
              <w:t>，掌握安全卫生基本知识，具有一定的安全管理和决策能力。</w:t>
            </w:r>
          </w:p>
          <w:p w14:paraId="64217E1C">
            <w:pPr>
              <w:spacing w:line="360" w:lineRule="auto"/>
              <w:ind w:firstLine="480" w:firstLineChars="200"/>
              <w:rPr>
                <w:rFonts w:hint="default"/>
                <w:sz w:val="24"/>
                <w:szCs w:val="24"/>
              </w:rPr>
            </w:pPr>
            <w:r>
              <w:rPr>
                <w:rFonts w:hint="eastAsia"/>
                <w:sz w:val="24"/>
                <w:szCs w:val="24"/>
                <w:lang w:eastAsia="zh-CN"/>
              </w:rPr>
              <w:t>（</w:t>
            </w:r>
            <w:r>
              <w:rPr>
                <w:rFonts w:hint="eastAsia"/>
                <w:sz w:val="24"/>
                <w:szCs w:val="24"/>
                <w:lang w:val="en-US" w:eastAsia="zh-CN"/>
              </w:rPr>
              <w:t>6</w:t>
            </w:r>
            <w:r>
              <w:rPr>
                <w:rFonts w:hint="eastAsia"/>
                <w:sz w:val="24"/>
                <w:szCs w:val="24"/>
                <w:lang w:eastAsia="zh-CN"/>
              </w:rPr>
              <w:t>）</w:t>
            </w:r>
            <w:r>
              <w:rPr>
                <w:rFonts w:hint="default"/>
                <w:sz w:val="24"/>
                <w:szCs w:val="24"/>
              </w:rPr>
              <w:t>分析结论</w:t>
            </w:r>
          </w:p>
          <w:p w14:paraId="38FE216F">
            <w:pPr>
              <w:spacing w:line="360" w:lineRule="auto"/>
              <w:ind w:firstLine="480" w:firstLineChars="200"/>
              <w:rPr>
                <w:rFonts w:hint="default"/>
                <w:sz w:val="24"/>
                <w:szCs w:val="24"/>
              </w:rPr>
            </w:pPr>
            <w:r>
              <w:rPr>
                <w:rFonts w:hint="eastAsia"/>
                <w:sz w:val="24"/>
                <w:szCs w:val="24"/>
                <w:lang w:eastAsia="zh-CN"/>
              </w:rPr>
              <w:t>本工程</w:t>
            </w:r>
            <w:r>
              <w:rPr>
                <w:rFonts w:hint="default"/>
                <w:sz w:val="24"/>
                <w:szCs w:val="24"/>
              </w:rPr>
              <w:t>的环境风险源主要</w:t>
            </w:r>
            <w:r>
              <w:rPr>
                <w:rFonts w:hint="eastAsia"/>
                <w:sz w:val="24"/>
                <w:szCs w:val="24"/>
                <w:lang w:eastAsia="zh-CN"/>
              </w:rPr>
              <w:t>来自</w:t>
            </w:r>
            <w:r>
              <w:rPr>
                <w:rFonts w:hint="default"/>
                <w:sz w:val="24"/>
                <w:szCs w:val="24"/>
              </w:rPr>
              <w:t>变压器油</w:t>
            </w:r>
            <w:r>
              <w:rPr>
                <w:rFonts w:hint="eastAsia"/>
                <w:sz w:val="24"/>
                <w:szCs w:val="24"/>
                <w:lang w:eastAsia="zh-CN"/>
              </w:rPr>
              <w:t>泄漏</w:t>
            </w:r>
            <w:r>
              <w:rPr>
                <w:rFonts w:hint="default"/>
                <w:sz w:val="24"/>
                <w:szCs w:val="24"/>
              </w:rPr>
              <w:t>和火灾风险。</w:t>
            </w:r>
            <w:r>
              <w:rPr>
                <w:rFonts w:hint="eastAsia"/>
                <w:sz w:val="24"/>
                <w:szCs w:val="24"/>
                <w:lang w:eastAsia="zh-CN"/>
              </w:rPr>
              <w:t>本工程</w:t>
            </w:r>
            <w:r>
              <w:rPr>
                <w:rFonts w:hint="default"/>
                <w:sz w:val="24"/>
                <w:szCs w:val="24"/>
              </w:rPr>
              <w:t>具有潜在的火灾危险性，因此，建设项目的规划设计、施工和运营等必须进行科学规划、合理布置、严格执行国家的防火安全设计规范，提高操作人员的素质和水平，避免或减少事故的发生。</w:t>
            </w:r>
          </w:p>
          <w:p w14:paraId="02441944">
            <w:pPr>
              <w:spacing w:line="360" w:lineRule="auto"/>
              <w:ind w:firstLine="480" w:firstLineChars="200"/>
              <w:rPr>
                <w:rFonts w:hint="default"/>
                <w:sz w:val="24"/>
                <w:szCs w:val="24"/>
              </w:rPr>
            </w:pPr>
            <w:r>
              <w:rPr>
                <w:rFonts w:hint="eastAsia"/>
                <w:sz w:val="24"/>
                <w:szCs w:val="24"/>
                <w:lang w:eastAsia="zh-CN"/>
              </w:rPr>
              <w:t>严格</w:t>
            </w:r>
            <w:r>
              <w:rPr>
                <w:rFonts w:hint="default"/>
                <w:sz w:val="24"/>
                <w:szCs w:val="24"/>
              </w:rPr>
              <w:t>落实本</w:t>
            </w:r>
            <w:r>
              <w:rPr>
                <w:rFonts w:hint="eastAsia"/>
                <w:sz w:val="24"/>
                <w:szCs w:val="24"/>
                <w:lang w:eastAsia="zh-CN"/>
              </w:rPr>
              <w:t>报告</w:t>
            </w:r>
            <w:r>
              <w:rPr>
                <w:rFonts w:hint="default"/>
                <w:sz w:val="24"/>
                <w:szCs w:val="24"/>
              </w:rPr>
              <w:t>提出各项事故防范和应急措施，加强管理，可最大限度地减少可能发生的环境风险。且一旦发生事故，也可将影响范围控制在较小程度之内，减小损失。</w:t>
            </w:r>
            <w:r>
              <w:rPr>
                <w:rFonts w:hint="eastAsia"/>
                <w:sz w:val="24"/>
                <w:szCs w:val="24"/>
                <w:lang w:eastAsia="zh-CN"/>
              </w:rPr>
              <w:t>本工程</w:t>
            </w:r>
            <w:r>
              <w:rPr>
                <w:rFonts w:hint="default"/>
                <w:sz w:val="24"/>
                <w:szCs w:val="24"/>
              </w:rPr>
              <w:t>环境风险影响可控，风险水平可接受。</w:t>
            </w:r>
          </w:p>
          <w:p w14:paraId="48A5C23B">
            <w:pPr>
              <w:spacing w:line="360" w:lineRule="auto"/>
              <w:ind w:firstLine="482" w:firstLineChars="200"/>
              <w:rPr>
                <w:rFonts w:hint="default"/>
                <w:b/>
                <w:bCs/>
                <w:sz w:val="24"/>
                <w:szCs w:val="24"/>
              </w:rPr>
            </w:pPr>
            <w:r>
              <w:rPr>
                <w:rFonts w:hint="eastAsia"/>
                <w:b/>
                <w:bCs/>
                <w:sz w:val="24"/>
                <w:szCs w:val="24"/>
                <w:lang w:val="en-US" w:eastAsia="zh-CN"/>
              </w:rPr>
              <w:t>4.8.6</w:t>
            </w:r>
            <w:r>
              <w:rPr>
                <w:rFonts w:hint="default"/>
                <w:b/>
                <w:bCs/>
                <w:sz w:val="24"/>
                <w:szCs w:val="24"/>
              </w:rPr>
              <w:t>、生态环境影响分析</w:t>
            </w:r>
          </w:p>
          <w:p w14:paraId="0C3BC179">
            <w:pPr>
              <w:spacing w:line="360" w:lineRule="auto"/>
              <w:ind w:firstLine="480" w:firstLineChars="200"/>
              <w:rPr>
                <w:rFonts w:hint="default"/>
                <w:sz w:val="24"/>
                <w:szCs w:val="24"/>
              </w:rPr>
            </w:pPr>
            <w:r>
              <w:rPr>
                <w:rFonts w:hint="default"/>
                <w:sz w:val="24"/>
                <w:szCs w:val="24"/>
              </w:rPr>
              <w:t>项目建设单位按要求对占地</w:t>
            </w:r>
            <w:r>
              <w:rPr>
                <w:rFonts w:hint="eastAsia"/>
                <w:sz w:val="24"/>
                <w:szCs w:val="24"/>
                <w:lang w:val="en-US" w:eastAsia="zh-CN"/>
              </w:rPr>
              <w:t>区域</w:t>
            </w:r>
            <w:r>
              <w:rPr>
                <w:rFonts w:hint="default"/>
                <w:sz w:val="24"/>
                <w:szCs w:val="24"/>
              </w:rPr>
              <w:t>的植被采取有效的植被恢复等措施，丰富当地植被种类</w:t>
            </w:r>
            <w:r>
              <w:rPr>
                <w:rFonts w:hint="eastAsia"/>
                <w:sz w:val="24"/>
                <w:szCs w:val="24"/>
                <w:lang w:eastAsia="zh-CN"/>
              </w:rPr>
              <w:t>，</w:t>
            </w:r>
            <w:r>
              <w:rPr>
                <w:rFonts w:hint="default"/>
                <w:sz w:val="24"/>
                <w:szCs w:val="24"/>
              </w:rPr>
              <w:t>因此</w:t>
            </w:r>
            <w:r>
              <w:rPr>
                <w:rFonts w:hint="eastAsia"/>
                <w:sz w:val="24"/>
                <w:szCs w:val="24"/>
                <w:lang w:eastAsia="zh-CN"/>
              </w:rPr>
              <w:t>本工程</w:t>
            </w:r>
            <w:r>
              <w:rPr>
                <w:rFonts w:hint="default"/>
                <w:sz w:val="24"/>
                <w:szCs w:val="24"/>
              </w:rPr>
              <w:t>建成后对本地生物量的影响是可以接受的。运行期做好环境保护设施的维护和运行管理，加强巡查和检查，强化设备检修维护人员的生态环境保护意识教育，并严格管理，避免对项目周边的自然植被和生态系统的破坏。</w:t>
            </w:r>
          </w:p>
          <w:p w14:paraId="17C1FE5E">
            <w:pPr>
              <w:spacing w:line="360" w:lineRule="auto"/>
              <w:ind w:firstLine="482" w:firstLineChars="200"/>
              <w:rPr>
                <w:rFonts w:hint="default"/>
                <w:sz w:val="24"/>
                <w:szCs w:val="24"/>
              </w:rPr>
            </w:pPr>
            <w:r>
              <w:rPr>
                <w:rFonts w:hint="eastAsia"/>
                <w:b/>
                <w:bCs/>
                <w:sz w:val="24"/>
                <w:szCs w:val="24"/>
                <w:lang w:val="en-US" w:eastAsia="zh-CN"/>
              </w:rPr>
              <w:t>项目</w:t>
            </w:r>
            <w:r>
              <w:rPr>
                <w:rFonts w:hint="default"/>
                <w:b/>
                <w:bCs/>
                <w:sz w:val="24"/>
                <w:szCs w:val="24"/>
              </w:rPr>
              <w:t>运行期</w:t>
            </w:r>
            <w:r>
              <w:rPr>
                <w:rFonts w:hint="eastAsia"/>
                <w:b/>
                <w:bCs/>
                <w:sz w:val="24"/>
                <w:szCs w:val="24"/>
                <w:lang w:val="en-US" w:eastAsia="zh-CN"/>
              </w:rPr>
              <w:t>变电站及输电线路生态</w:t>
            </w:r>
            <w:r>
              <w:rPr>
                <w:rFonts w:hint="default"/>
                <w:b/>
                <w:bCs/>
                <w:sz w:val="24"/>
                <w:szCs w:val="24"/>
              </w:rPr>
              <w:t>环境影响分析详见</w:t>
            </w:r>
            <w:r>
              <w:rPr>
                <w:rFonts w:hint="eastAsia"/>
                <w:b/>
                <w:bCs/>
                <w:sz w:val="24"/>
                <w:szCs w:val="24"/>
                <w:lang w:val="en-US" w:eastAsia="zh-CN"/>
              </w:rPr>
              <w:t>生态</w:t>
            </w:r>
            <w:r>
              <w:rPr>
                <w:rFonts w:hint="default"/>
                <w:b/>
                <w:bCs/>
                <w:sz w:val="24"/>
                <w:szCs w:val="24"/>
              </w:rPr>
              <w:t>环境影响专项评价</w:t>
            </w:r>
            <w:r>
              <w:rPr>
                <w:rFonts w:hint="default"/>
                <w:sz w:val="24"/>
                <w:szCs w:val="24"/>
              </w:rPr>
              <w:t>。</w:t>
            </w:r>
          </w:p>
          <w:p w14:paraId="5B3AA741">
            <w:pPr>
              <w:spacing w:line="360" w:lineRule="auto"/>
              <w:ind w:firstLine="482" w:firstLineChars="200"/>
              <w:rPr>
                <w:rFonts w:hint="default"/>
                <w:b/>
                <w:bCs/>
                <w:sz w:val="24"/>
                <w:szCs w:val="24"/>
              </w:rPr>
            </w:pPr>
            <w:r>
              <w:rPr>
                <w:rFonts w:hint="eastAsia"/>
                <w:b/>
                <w:bCs/>
                <w:sz w:val="24"/>
                <w:szCs w:val="24"/>
                <w:lang w:val="en-US" w:eastAsia="zh-CN"/>
              </w:rPr>
              <w:t>4.8.7</w:t>
            </w:r>
            <w:r>
              <w:rPr>
                <w:rFonts w:hint="default"/>
                <w:b/>
                <w:bCs/>
                <w:sz w:val="24"/>
                <w:szCs w:val="24"/>
              </w:rPr>
              <w:t>、电磁环境影响分析</w:t>
            </w:r>
          </w:p>
          <w:p w14:paraId="3743529A">
            <w:pPr>
              <w:spacing w:line="360" w:lineRule="auto"/>
              <w:ind w:firstLine="480" w:firstLineChars="200"/>
              <w:rPr>
                <w:rFonts w:hint="eastAsia"/>
                <w:sz w:val="24"/>
                <w:szCs w:val="24"/>
                <w:lang w:eastAsia="zh-CN"/>
              </w:rPr>
            </w:pPr>
            <w:r>
              <w:rPr>
                <w:rFonts w:hint="eastAsia"/>
                <w:sz w:val="24"/>
                <w:szCs w:val="24"/>
                <w:lang w:val="en-US" w:eastAsia="zh-CN"/>
              </w:rPr>
              <w:t>通过定性分析，可以预测本工程</w:t>
            </w:r>
            <w:r>
              <w:rPr>
                <w:rFonts w:hint="default"/>
                <w:sz w:val="24"/>
                <w:szCs w:val="24"/>
                <w:lang w:val="en-US" w:eastAsia="zh-CN"/>
              </w:rPr>
              <w:t>110kV</w:t>
            </w:r>
            <w:r>
              <w:rPr>
                <w:rFonts w:hint="eastAsia"/>
                <w:sz w:val="24"/>
                <w:szCs w:val="24"/>
                <w:lang w:val="en-US" w:eastAsia="zh-CN"/>
              </w:rPr>
              <w:t>变电站建成运行后产生的工频电场强度和工频磁感应强度能够满足《电磁环境控制限值》（</w:t>
            </w:r>
            <w:r>
              <w:rPr>
                <w:rFonts w:hint="default"/>
                <w:sz w:val="24"/>
                <w:szCs w:val="24"/>
                <w:lang w:val="en-US" w:eastAsia="zh-CN"/>
              </w:rPr>
              <w:t>GB8702-2014</w:t>
            </w:r>
            <w:r>
              <w:rPr>
                <w:rFonts w:hint="eastAsia"/>
                <w:sz w:val="24"/>
                <w:szCs w:val="24"/>
                <w:lang w:val="en-US" w:eastAsia="zh-CN"/>
              </w:rPr>
              <w:t>）中工频电场强度</w:t>
            </w:r>
            <w:r>
              <w:rPr>
                <w:rFonts w:hint="default"/>
                <w:sz w:val="24"/>
                <w:szCs w:val="24"/>
                <w:lang w:val="en-US" w:eastAsia="zh-CN"/>
              </w:rPr>
              <w:t>4000V/m</w:t>
            </w:r>
            <w:r>
              <w:rPr>
                <w:rFonts w:hint="eastAsia"/>
                <w:sz w:val="24"/>
                <w:szCs w:val="24"/>
                <w:lang w:val="en-US" w:eastAsia="zh-CN"/>
              </w:rPr>
              <w:t>、工频磁感应强度</w:t>
            </w:r>
            <w:r>
              <w:rPr>
                <w:rFonts w:hint="default"/>
                <w:sz w:val="24"/>
                <w:szCs w:val="24"/>
                <w:lang w:val="en-US" w:eastAsia="zh-CN"/>
              </w:rPr>
              <w:t>100μT</w:t>
            </w:r>
            <w:r>
              <w:rPr>
                <w:rFonts w:hint="eastAsia"/>
                <w:sz w:val="24"/>
                <w:szCs w:val="24"/>
                <w:lang w:val="en-US" w:eastAsia="zh-CN"/>
              </w:rPr>
              <w:t>的标准要求。</w:t>
            </w:r>
          </w:p>
          <w:p w14:paraId="5386E668">
            <w:pPr>
              <w:spacing w:line="360" w:lineRule="auto"/>
              <w:ind w:firstLine="480" w:firstLineChars="200"/>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通过</w:t>
            </w:r>
            <w:r>
              <w:rPr>
                <w:rFonts w:hint="eastAsia" w:cs="Times New Roman"/>
                <w:b w:val="0"/>
                <w:bCs/>
                <w:color w:val="auto"/>
                <w:sz w:val="24"/>
                <w:lang w:val="en-US" w:eastAsia="zh-CN"/>
              </w:rPr>
              <w:t>模型预测</w:t>
            </w:r>
            <w:r>
              <w:rPr>
                <w:rFonts w:hint="default" w:ascii="Times New Roman" w:hAnsi="Times New Roman" w:cs="Times New Roman"/>
                <w:b w:val="0"/>
                <w:bCs/>
                <w:color w:val="auto"/>
                <w:sz w:val="24"/>
              </w:rPr>
              <w:t>分析，本工程</w:t>
            </w:r>
            <w:r>
              <w:rPr>
                <w:rFonts w:hint="eastAsia" w:cs="Times New Roman"/>
                <w:b w:val="0"/>
                <w:bCs/>
                <w:color w:val="auto"/>
                <w:sz w:val="24"/>
                <w:lang w:val="en-US" w:eastAsia="zh-CN"/>
              </w:rPr>
              <w:t>输电线路</w:t>
            </w:r>
            <w:r>
              <w:rPr>
                <w:rFonts w:hint="default" w:ascii="Times New Roman" w:hAnsi="Times New Roman" w:cs="Times New Roman"/>
                <w:b w:val="0"/>
                <w:bCs/>
                <w:color w:val="auto"/>
                <w:sz w:val="24"/>
              </w:rPr>
              <w:t>建成投运后产生的工频电场强度、工频磁感应强度一般比较小，能够满足《电磁环境控制限值》（GB8702-2014）中工频电场强度4000V/m及工频磁感应强度100μT的公众</w:t>
            </w:r>
            <w:r>
              <w:rPr>
                <w:rFonts w:hint="eastAsia" w:cs="Times New Roman"/>
                <w:b w:val="0"/>
                <w:bCs/>
                <w:color w:val="auto"/>
                <w:sz w:val="24"/>
                <w:lang w:eastAsia="zh-CN"/>
              </w:rPr>
              <w:t>暴露</w:t>
            </w:r>
            <w:r>
              <w:rPr>
                <w:rFonts w:hint="default" w:ascii="Times New Roman" w:hAnsi="Times New Roman" w:cs="Times New Roman"/>
                <w:b w:val="0"/>
                <w:bCs/>
                <w:color w:val="auto"/>
                <w:sz w:val="24"/>
              </w:rPr>
              <w:t>控制限值要求。</w:t>
            </w:r>
          </w:p>
          <w:p w14:paraId="4ADBC553">
            <w:pPr>
              <w:spacing w:line="360" w:lineRule="auto"/>
              <w:ind w:firstLine="482" w:firstLineChars="200"/>
              <w:rPr>
                <w:rFonts w:hint="default"/>
                <w:sz w:val="24"/>
                <w:szCs w:val="24"/>
              </w:rPr>
            </w:pPr>
            <w:r>
              <w:rPr>
                <w:rFonts w:hint="eastAsia"/>
                <w:b/>
                <w:bCs/>
                <w:sz w:val="24"/>
                <w:szCs w:val="24"/>
                <w:lang w:val="en-US" w:eastAsia="zh-CN"/>
              </w:rPr>
              <w:t>项目</w:t>
            </w:r>
            <w:r>
              <w:rPr>
                <w:rFonts w:hint="default"/>
                <w:b/>
                <w:bCs/>
                <w:sz w:val="24"/>
                <w:szCs w:val="24"/>
              </w:rPr>
              <w:t>运行期</w:t>
            </w:r>
            <w:r>
              <w:rPr>
                <w:rFonts w:hint="eastAsia"/>
                <w:b/>
                <w:bCs/>
                <w:sz w:val="24"/>
                <w:szCs w:val="24"/>
                <w:lang w:val="en-US" w:eastAsia="zh-CN"/>
              </w:rPr>
              <w:t>变电站及输电线路</w:t>
            </w:r>
            <w:r>
              <w:rPr>
                <w:rFonts w:hint="default"/>
                <w:b/>
                <w:bCs/>
                <w:sz w:val="24"/>
                <w:szCs w:val="24"/>
              </w:rPr>
              <w:t>工频电场和工频磁场环境影响分析详见电磁环境影响专项评价</w:t>
            </w:r>
            <w:r>
              <w:rPr>
                <w:rFonts w:hint="default"/>
                <w:sz w:val="24"/>
                <w:szCs w:val="24"/>
              </w:rPr>
              <w:t>。</w:t>
            </w:r>
          </w:p>
          <w:p w14:paraId="0C77834B">
            <w:pPr>
              <w:spacing w:line="360" w:lineRule="auto"/>
              <w:ind w:firstLine="480" w:firstLineChars="200"/>
              <w:rPr>
                <w:rFonts w:hint="default"/>
                <w:sz w:val="24"/>
                <w:szCs w:val="24"/>
              </w:rPr>
            </w:pPr>
          </w:p>
          <w:p w14:paraId="113161E6">
            <w:pPr>
              <w:spacing w:line="360" w:lineRule="auto"/>
              <w:ind w:firstLine="480" w:firstLineChars="200"/>
              <w:rPr>
                <w:rFonts w:hint="default"/>
                <w:sz w:val="24"/>
                <w:szCs w:val="24"/>
              </w:rPr>
            </w:pPr>
          </w:p>
          <w:p w14:paraId="7D2AE5CA">
            <w:pPr>
              <w:spacing w:line="360" w:lineRule="auto"/>
              <w:ind w:firstLine="480" w:firstLineChars="200"/>
              <w:rPr>
                <w:rFonts w:hint="default"/>
                <w:sz w:val="24"/>
                <w:szCs w:val="24"/>
              </w:rPr>
            </w:pPr>
          </w:p>
          <w:p w14:paraId="7CD7B0CA">
            <w:pPr>
              <w:spacing w:line="360" w:lineRule="auto"/>
              <w:ind w:firstLine="480" w:firstLineChars="200"/>
              <w:rPr>
                <w:rFonts w:hint="default"/>
                <w:sz w:val="24"/>
                <w:szCs w:val="24"/>
              </w:rPr>
            </w:pPr>
          </w:p>
          <w:p w14:paraId="67E7B243">
            <w:pPr>
              <w:spacing w:line="360" w:lineRule="auto"/>
              <w:ind w:firstLine="480" w:firstLineChars="200"/>
              <w:rPr>
                <w:rFonts w:hint="default"/>
                <w:sz w:val="24"/>
                <w:szCs w:val="24"/>
              </w:rPr>
            </w:pPr>
          </w:p>
          <w:p w14:paraId="009EEB62">
            <w:pPr>
              <w:spacing w:line="360" w:lineRule="auto"/>
              <w:ind w:firstLine="480" w:firstLineChars="200"/>
              <w:rPr>
                <w:rFonts w:hint="default"/>
                <w:sz w:val="24"/>
                <w:szCs w:val="24"/>
              </w:rPr>
            </w:pPr>
          </w:p>
          <w:p w14:paraId="23F9460A">
            <w:pPr>
              <w:spacing w:line="360" w:lineRule="auto"/>
              <w:ind w:firstLine="480" w:firstLineChars="200"/>
              <w:rPr>
                <w:rFonts w:hint="default"/>
                <w:sz w:val="24"/>
                <w:szCs w:val="24"/>
              </w:rPr>
            </w:pPr>
          </w:p>
          <w:p w14:paraId="74C05120">
            <w:pPr>
              <w:spacing w:line="360" w:lineRule="auto"/>
              <w:ind w:firstLine="480" w:firstLineChars="200"/>
              <w:rPr>
                <w:rFonts w:hint="default"/>
                <w:sz w:val="24"/>
                <w:szCs w:val="24"/>
              </w:rPr>
            </w:pPr>
          </w:p>
          <w:p w14:paraId="140D15BA">
            <w:pPr>
              <w:spacing w:line="360" w:lineRule="auto"/>
              <w:ind w:firstLine="480" w:firstLineChars="200"/>
              <w:rPr>
                <w:rFonts w:hint="default"/>
                <w:sz w:val="24"/>
                <w:szCs w:val="24"/>
              </w:rPr>
            </w:pPr>
          </w:p>
          <w:p w14:paraId="2A3522D7">
            <w:pPr>
              <w:spacing w:line="360" w:lineRule="auto"/>
              <w:ind w:firstLine="480" w:firstLineChars="200"/>
              <w:rPr>
                <w:rFonts w:hint="default"/>
                <w:sz w:val="24"/>
                <w:szCs w:val="24"/>
              </w:rPr>
            </w:pPr>
          </w:p>
          <w:p w14:paraId="3859B3AD">
            <w:pPr>
              <w:spacing w:line="360" w:lineRule="auto"/>
              <w:ind w:firstLine="480" w:firstLineChars="200"/>
              <w:rPr>
                <w:rFonts w:hint="default"/>
                <w:sz w:val="24"/>
                <w:szCs w:val="24"/>
              </w:rPr>
            </w:pPr>
          </w:p>
          <w:p w14:paraId="3977E3FB">
            <w:pPr>
              <w:spacing w:line="360" w:lineRule="auto"/>
              <w:ind w:firstLine="480" w:firstLineChars="200"/>
              <w:rPr>
                <w:rFonts w:hint="default"/>
                <w:sz w:val="24"/>
                <w:szCs w:val="24"/>
              </w:rPr>
            </w:pPr>
          </w:p>
          <w:p w14:paraId="45E835A7">
            <w:pPr>
              <w:spacing w:line="360" w:lineRule="auto"/>
              <w:ind w:firstLine="480" w:firstLineChars="200"/>
              <w:rPr>
                <w:rFonts w:hint="default"/>
                <w:sz w:val="24"/>
                <w:szCs w:val="24"/>
              </w:rPr>
            </w:pPr>
          </w:p>
          <w:p w14:paraId="1E22D479">
            <w:pPr>
              <w:spacing w:line="360" w:lineRule="auto"/>
              <w:ind w:firstLine="480" w:firstLineChars="200"/>
              <w:rPr>
                <w:rFonts w:hint="default"/>
                <w:sz w:val="24"/>
                <w:szCs w:val="24"/>
              </w:rPr>
            </w:pPr>
          </w:p>
          <w:p w14:paraId="2D9E5385">
            <w:pPr>
              <w:pStyle w:val="36"/>
              <w:ind w:left="0" w:leftChars="0" w:firstLine="0" w:firstLineChars="0"/>
            </w:pPr>
          </w:p>
          <w:p w14:paraId="187AE0F5"/>
        </w:tc>
      </w:tr>
      <w:tr w14:paraId="37882C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6" w:type="pct"/>
            <w:vAlign w:val="center"/>
          </w:tcPr>
          <w:p w14:paraId="1CA0DD74">
            <w:pPr>
              <w:rPr>
                <w:b/>
                <w:bCs/>
                <w:sz w:val="24"/>
                <w:szCs w:val="24"/>
              </w:rPr>
            </w:pPr>
            <w:r>
              <w:rPr>
                <w:b/>
                <w:bCs/>
                <w:sz w:val="24"/>
                <w:szCs w:val="24"/>
              </w:rPr>
              <w:t>选址选线环境合理性分析</w:t>
            </w:r>
          </w:p>
        </w:tc>
        <w:tc>
          <w:tcPr>
            <w:tcW w:w="4763" w:type="pct"/>
          </w:tcPr>
          <w:p w14:paraId="021D72BE">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rPr>
              <w:t>根据</w:t>
            </w:r>
            <w:r>
              <w:rPr>
                <w:rFonts w:hint="eastAsia"/>
                <w:sz w:val="24"/>
                <w:szCs w:val="24"/>
                <w:lang w:eastAsia="zh-CN"/>
              </w:rPr>
              <w:t>本工程</w:t>
            </w:r>
            <w:r>
              <w:rPr>
                <w:rFonts w:hint="default"/>
                <w:sz w:val="24"/>
                <w:szCs w:val="24"/>
              </w:rPr>
              <w:t>周边已划定的</w:t>
            </w:r>
            <w:r>
              <w:rPr>
                <w:rFonts w:hint="eastAsia"/>
                <w:sz w:val="24"/>
                <w:szCs w:val="24"/>
                <w:lang w:eastAsia="zh-CN"/>
              </w:rPr>
              <w:t>“三区三线”</w:t>
            </w:r>
            <w:r>
              <w:rPr>
                <w:rFonts w:hint="default"/>
                <w:sz w:val="24"/>
                <w:szCs w:val="24"/>
              </w:rPr>
              <w:t>-生态保护红线，本工程评价范围内</w:t>
            </w:r>
            <w:r>
              <w:rPr>
                <w:rFonts w:hint="default"/>
                <w:sz w:val="24"/>
                <w:szCs w:val="24"/>
                <w:lang w:val="en-US" w:eastAsia="zh-CN"/>
              </w:rPr>
              <w:t>输电线路有部分塔基占用</w:t>
            </w:r>
            <w:r>
              <w:rPr>
                <w:rFonts w:hint="default"/>
                <w:sz w:val="24"/>
                <w:szCs w:val="24"/>
              </w:rPr>
              <w:t>生态保护红线</w:t>
            </w:r>
            <w:r>
              <w:rPr>
                <w:rFonts w:hint="default"/>
                <w:sz w:val="24"/>
                <w:szCs w:val="24"/>
                <w:lang w:eastAsia="zh-CN"/>
              </w:rPr>
              <w:t>，</w:t>
            </w:r>
            <w:r>
              <w:rPr>
                <w:rFonts w:hint="default"/>
                <w:sz w:val="24"/>
                <w:szCs w:val="24"/>
                <w:lang w:val="en-US" w:eastAsia="zh-CN"/>
              </w:rPr>
              <w:t>本工程已取得《金寨县人民政府关于安徽金沙钼业有限公司110kV输变电工程符合生态保护红线内允许有限人为活动的说明》（详见附件34），属于对生态功能不造成破坏的有限人为活动。</w:t>
            </w:r>
          </w:p>
          <w:p w14:paraId="380FE148">
            <w:pPr>
              <w:keepNext w:val="0"/>
              <w:keepLines w:val="0"/>
              <w:widowControl/>
              <w:suppressLineNumbers w:val="0"/>
              <w:spacing w:line="360" w:lineRule="auto"/>
              <w:ind w:firstLine="480" w:firstLineChars="200"/>
              <w:jc w:val="left"/>
              <w:rPr>
                <w:rFonts w:hint="default"/>
                <w:sz w:val="24"/>
                <w:szCs w:val="24"/>
                <w:lang w:val="en-US" w:eastAsia="zh-CN"/>
              </w:rPr>
            </w:pPr>
            <w:r>
              <w:rPr>
                <w:rFonts w:hint="eastAsia"/>
                <w:sz w:val="24"/>
                <w:szCs w:val="24"/>
                <w:lang w:val="en-US" w:eastAsia="zh-CN"/>
              </w:rPr>
              <w:t>根据《安徽金沙钼业有限公司110kV输变电工程符合生态保护红线内允许有限人为活动的论证报告》，项目比选情况如下：</w:t>
            </w:r>
          </w:p>
          <w:p w14:paraId="176376D1">
            <w:pPr>
              <w:keepNext w:val="0"/>
              <w:keepLines w:val="0"/>
              <w:widowControl/>
              <w:suppressLineNumbers w:val="0"/>
              <w:spacing w:line="360" w:lineRule="auto"/>
              <w:ind w:firstLine="480" w:firstLineChars="200"/>
              <w:jc w:val="left"/>
              <w:rPr>
                <w:rFonts w:hint="default"/>
                <w:sz w:val="24"/>
                <w:szCs w:val="24"/>
                <w:lang w:val="en-US" w:eastAsia="zh-CN"/>
              </w:rPr>
            </w:pPr>
            <w:r>
              <w:rPr>
                <w:rFonts w:hint="eastAsia"/>
                <w:sz w:val="24"/>
                <w:szCs w:val="24"/>
                <w:lang w:val="en-US" w:eastAsia="zh-CN"/>
              </w:rPr>
              <w:t>1、站区比选</w:t>
            </w:r>
          </w:p>
          <w:p w14:paraId="752E2978">
            <w:pPr>
              <w:keepNext w:val="0"/>
              <w:keepLines w:val="0"/>
              <w:widowControl/>
              <w:suppressLineNumbers w:val="0"/>
              <w:spacing w:line="360" w:lineRule="auto"/>
              <w:ind w:firstLine="480" w:firstLineChars="200"/>
              <w:jc w:val="left"/>
              <w:rPr>
                <w:rFonts w:hint="default"/>
                <w:sz w:val="24"/>
                <w:szCs w:val="24"/>
                <w:lang w:val="en-US" w:eastAsia="zh-CN"/>
              </w:rPr>
            </w:pPr>
            <w:r>
              <w:rPr>
                <w:rFonts w:hint="eastAsia"/>
                <w:sz w:val="24"/>
                <w:szCs w:val="24"/>
                <w:lang w:val="en-US" w:eastAsia="zh-CN"/>
              </w:rPr>
              <w:t>（1）站区位置初选</w:t>
            </w:r>
          </w:p>
          <w:p w14:paraId="3757C83B">
            <w:pPr>
              <w:keepNext w:val="0"/>
              <w:keepLines w:val="0"/>
              <w:widowControl/>
              <w:suppressLineNumbers w:val="0"/>
              <w:spacing w:line="360" w:lineRule="auto"/>
              <w:ind w:firstLine="0" w:firstLineChars="0"/>
              <w:jc w:val="center"/>
              <w:rPr>
                <w:rFonts w:hint="default"/>
                <w:sz w:val="24"/>
                <w:szCs w:val="24"/>
                <w:lang w:val="en-US" w:eastAsia="zh-CN"/>
              </w:rPr>
            </w:pPr>
            <w:r>
              <w:drawing>
                <wp:inline distT="0" distB="0" distL="114300" distR="114300">
                  <wp:extent cx="5206365" cy="3686175"/>
                  <wp:effectExtent l="0" t="0" r="13335" b="9525"/>
                  <wp:docPr id="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7"/>
                          <pic:cNvPicPr>
                            <a:picLocks noChangeAspect="1"/>
                          </pic:cNvPicPr>
                        </pic:nvPicPr>
                        <pic:blipFill>
                          <a:blip r:embed="rId94"/>
                          <a:stretch>
                            <a:fillRect/>
                          </a:stretch>
                        </pic:blipFill>
                        <pic:spPr>
                          <a:xfrm>
                            <a:off x="0" y="0"/>
                            <a:ext cx="5206365" cy="3686175"/>
                          </a:xfrm>
                          <a:prstGeom prst="rect">
                            <a:avLst/>
                          </a:prstGeom>
                          <a:noFill/>
                          <a:ln>
                            <a:noFill/>
                          </a:ln>
                        </pic:spPr>
                      </pic:pic>
                    </a:graphicData>
                  </a:graphic>
                </wp:inline>
              </w:drawing>
            </w:r>
          </w:p>
          <w:p w14:paraId="5A30E222">
            <w:pPr>
              <w:keepNext w:val="0"/>
              <w:keepLines w:val="0"/>
              <w:widowControl/>
              <w:suppressLineNumbers w:val="0"/>
              <w:spacing w:line="240" w:lineRule="auto"/>
              <w:ind w:firstLine="0" w:firstLineChars="0"/>
              <w:jc w:val="center"/>
              <w:rPr>
                <w:rFonts w:hint="default"/>
                <w:b/>
                <w:bCs/>
                <w:sz w:val="21"/>
                <w:szCs w:val="21"/>
                <w:lang w:val="en-US" w:eastAsia="zh-CN"/>
              </w:rPr>
            </w:pPr>
            <w:r>
              <w:rPr>
                <w:rFonts w:hint="default"/>
                <w:b/>
                <w:bCs/>
                <w:sz w:val="21"/>
                <w:szCs w:val="21"/>
                <w:lang w:val="en-US" w:eastAsia="zh-CN"/>
              </w:rPr>
              <w:t>图</w:t>
            </w:r>
            <w:r>
              <w:rPr>
                <w:rFonts w:hint="eastAsia"/>
                <w:b/>
                <w:bCs/>
                <w:sz w:val="21"/>
                <w:szCs w:val="21"/>
                <w:lang w:val="en-US" w:eastAsia="zh-CN"/>
              </w:rPr>
              <w:t xml:space="preserve">4-3  </w:t>
            </w:r>
            <w:r>
              <w:rPr>
                <w:rFonts w:hint="default"/>
                <w:b/>
                <w:bCs/>
                <w:sz w:val="21"/>
                <w:szCs w:val="21"/>
                <w:lang w:val="en-US" w:eastAsia="zh-CN"/>
              </w:rPr>
              <w:t>沙坪沟钼矿位置及功能分区分布图</w:t>
            </w:r>
          </w:p>
          <w:p w14:paraId="7E6A173A">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①</w:t>
            </w:r>
            <w:r>
              <w:rPr>
                <w:rFonts w:hint="eastAsia"/>
                <w:sz w:val="24"/>
                <w:szCs w:val="24"/>
                <w:lang w:val="en-US" w:eastAsia="zh-CN"/>
              </w:rPr>
              <w:t>本工程</w:t>
            </w:r>
            <w:r>
              <w:rPr>
                <w:rFonts w:hint="default"/>
                <w:sz w:val="24"/>
                <w:szCs w:val="24"/>
                <w:lang w:val="en-US" w:eastAsia="zh-CN"/>
              </w:rPr>
              <w:t>建设是为了直接服务于钼矿的开采需要，因钼矿采选工业场地是钼矿开采电力消耗的核心区域，包括采矿设备（如通风井、提升机）、选矿厂（破碎机、球磨机、浮选设备）以及充填站等大功率设施。</w:t>
            </w:r>
          </w:p>
          <w:p w14:paraId="3E59A089">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②根据《35～110kV变电所设计规范》（GB50059-2011），变电站应靠近负荷中心以缩短输电距离，减少线路损耗和电压降低，提升供电质量</w:t>
            </w:r>
            <w:r>
              <w:rPr>
                <w:rFonts w:hint="eastAsia"/>
                <w:sz w:val="24"/>
                <w:szCs w:val="24"/>
                <w:lang w:val="en-US" w:eastAsia="zh-CN"/>
              </w:rPr>
              <w:t>。</w:t>
            </w:r>
          </w:p>
          <w:p w14:paraId="474E091A">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③采选工业场地已规划完善的交通网络、设备运输道路及管线布局。沙坪沟钼矿的变电站与选矿厂、充填站等主体工程集中布置，便于电缆敷设和运维管理。根据有关设计规范要求，变电站需避开爆炸、火灾危险区域，而采选场地通过工程设计与环保措施（如防渗、除尘）可满足此类安全要求。</w:t>
            </w:r>
          </w:p>
          <w:p w14:paraId="0D9EB279">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因此，变电站位置初步选址位于采选工业场地范围内。</w:t>
            </w:r>
          </w:p>
          <w:p w14:paraId="25C48F10">
            <w:pPr>
              <w:keepNext w:val="0"/>
              <w:keepLines w:val="0"/>
              <w:widowControl/>
              <w:suppressLineNumbers w:val="0"/>
              <w:spacing w:line="360" w:lineRule="auto"/>
              <w:ind w:firstLine="480" w:firstLineChars="200"/>
              <w:jc w:val="left"/>
              <w:rPr>
                <w:rFonts w:hint="default"/>
                <w:sz w:val="24"/>
                <w:szCs w:val="24"/>
                <w:lang w:val="en-US" w:eastAsia="zh-CN"/>
              </w:rPr>
            </w:pPr>
            <w:r>
              <w:rPr>
                <w:rFonts w:hint="eastAsia"/>
                <w:sz w:val="24"/>
                <w:szCs w:val="24"/>
                <w:lang w:val="en-US" w:eastAsia="zh-CN"/>
              </w:rPr>
              <w:t>（2）站区选址的条件</w:t>
            </w:r>
          </w:p>
          <w:p w14:paraId="4F9551C7">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①根据《金寨县国土空间总体规划（2021-2035年）》，金寨县沙坪沟钼矿采选项目位于矿产能源发展区，</w:t>
            </w:r>
            <w:r>
              <w:rPr>
                <w:rFonts w:hint="eastAsia"/>
                <w:sz w:val="24"/>
                <w:szCs w:val="24"/>
                <w:lang w:val="en-US" w:eastAsia="zh-CN"/>
              </w:rPr>
              <w:t>本工程</w:t>
            </w:r>
            <w:r>
              <w:rPr>
                <w:rFonts w:hint="default"/>
                <w:sz w:val="24"/>
                <w:szCs w:val="24"/>
                <w:lang w:val="en-US" w:eastAsia="zh-CN"/>
              </w:rPr>
              <w:t>属于沙坪沟钼矿采选项目的单项项目，选址应符合《金寨县国土空间总体规划（2021-2035年）》。</w:t>
            </w:r>
          </w:p>
          <w:p w14:paraId="4B1D1FD7">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②钼矿开采电力消耗的核心区域，包括采矿设备（如通风井、提升机）、选矿厂（破碎机、球磨机、浮选设备）以及充填站等大功率设施，均位于金寨县沙坪沟钼矿采选项目的采选工业场地内，考虑输电线路的成本以及电力输送的质量，选址应尽量靠近拟供电区域。</w:t>
            </w:r>
          </w:p>
          <w:p w14:paraId="59B93033">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③根据《安徽省建设用地使用标准》（2024年版）和《电网工程限额设计控制指标》（2013年版）相关，110千伏及以下变电站参照220千伏变电站，进站道路不超过500米控制。因此，变电站选址距离道路不宜超过500米。</w:t>
            </w:r>
          </w:p>
          <w:p w14:paraId="7D9340D2">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④</w:t>
            </w:r>
            <w:r>
              <w:rPr>
                <w:rFonts w:hint="eastAsia"/>
                <w:sz w:val="24"/>
                <w:szCs w:val="24"/>
                <w:lang w:val="en-US" w:eastAsia="zh-CN"/>
              </w:rPr>
              <w:t>本工程</w:t>
            </w:r>
            <w:r>
              <w:rPr>
                <w:rFonts w:hint="default"/>
                <w:sz w:val="24"/>
                <w:szCs w:val="24"/>
                <w:lang w:val="en-US" w:eastAsia="zh-CN"/>
              </w:rPr>
              <w:t>选址还需要与已规划布设在采选工业场地内的其他单项工程协调。</w:t>
            </w:r>
          </w:p>
          <w:p w14:paraId="5E5844EB">
            <w:pPr>
              <w:keepNext w:val="0"/>
              <w:keepLines w:val="0"/>
              <w:widowControl/>
              <w:suppressLineNumbers w:val="0"/>
              <w:spacing w:line="360" w:lineRule="auto"/>
              <w:ind w:firstLine="0" w:firstLineChars="0"/>
              <w:jc w:val="left"/>
              <w:rPr>
                <w:rFonts w:hint="default"/>
                <w:sz w:val="24"/>
                <w:szCs w:val="24"/>
                <w:lang w:val="en-US" w:eastAsia="zh-CN"/>
              </w:rPr>
            </w:pPr>
            <w:r>
              <w:object>
                <v:shape id="_x0000_i1057" o:spt="75" type="#_x0000_t75" style="height:278.95pt;width:449.55pt;" o:ole="t" filled="f" o:preferrelative="t" stroked="f" coordsize="21600,21600">
                  <v:path/>
                  <v:fill on="f" focussize="0,0"/>
                  <v:stroke on="f"/>
                  <v:imagedata r:id="rId96" o:title=""/>
                  <o:lock v:ext="edit" aspectratio="f"/>
                  <w10:wrap type="none"/>
                  <w10:anchorlock/>
                </v:shape>
                <o:OLEObject Type="Embed" ProgID="Visio.Drawing.15" ShapeID="_x0000_i1057" DrawAspect="Content" ObjectID="_1468075757" r:id="rId95">
                  <o:LockedField>false</o:LockedField>
                </o:OLEObject>
              </w:object>
            </w:r>
          </w:p>
          <w:p w14:paraId="34666D69">
            <w:pPr>
              <w:keepNext w:val="0"/>
              <w:keepLines w:val="0"/>
              <w:widowControl/>
              <w:suppressLineNumbers w:val="0"/>
              <w:jc w:val="center"/>
              <w:rPr>
                <w:b/>
                <w:bCs/>
                <w:sz w:val="21"/>
                <w:szCs w:val="21"/>
              </w:rPr>
            </w:pPr>
            <w:r>
              <w:rPr>
                <w:rFonts w:hint="default" w:ascii="Times New Roman" w:hAnsi="Times New Roman" w:eastAsia="宋体" w:cs="Times New Roman"/>
                <w:b/>
                <w:bCs/>
                <w:color w:val="000000"/>
                <w:kern w:val="0"/>
                <w:sz w:val="21"/>
                <w:szCs w:val="21"/>
                <w:lang w:val="en-US" w:eastAsia="zh-CN" w:bidi="ar"/>
              </w:rPr>
              <w:t>图4-</w:t>
            </w:r>
            <w:r>
              <w:rPr>
                <w:rFonts w:hint="eastAsia" w:cs="Times New Roman"/>
                <w:b/>
                <w:bCs/>
                <w:color w:val="000000"/>
                <w:kern w:val="0"/>
                <w:sz w:val="21"/>
                <w:szCs w:val="21"/>
                <w:lang w:val="en-US" w:eastAsia="zh-CN" w:bidi="ar"/>
              </w:rPr>
              <w:t>4</w:t>
            </w:r>
            <w:r>
              <w:rPr>
                <w:rFonts w:hint="default" w:ascii="Times New Roman" w:hAnsi="Times New Roman" w:eastAsia="宋体" w:cs="Times New Roman"/>
                <w:b/>
                <w:bCs/>
                <w:color w:val="000000"/>
                <w:kern w:val="0"/>
                <w:sz w:val="21"/>
                <w:szCs w:val="21"/>
                <w:lang w:val="en-US" w:eastAsia="zh-CN" w:bidi="ar"/>
              </w:rPr>
              <w:t xml:space="preserve">  沙坪沟钼矿采选工业场地功能分区图</w:t>
            </w:r>
          </w:p>
          <w:p w14:paraId="546818CB">
            <w:pPr>
              <w:keepNext w:val="0"/>
              <w:keepLines w:val="0"/>
              <w:widowControl/>
              <w:suppressLineNumbers w:val="0"/>
              <w:spacing w:before="157" w:beforeLines="50" w:line="360" w:lineRule="auto"/>
              <w:ind w:firstLine="480" w:firstLineChars="200"/>
              <w:jc w:val="left"/>
              <w:rPr>
                <w:rFonts w:hint="default"/>
                <w:sz w:val="24"/>
                <w:szCs w:val="24"/>
                <w:lang w:val="en-US" w:eastAsia="zh-CN"/>
              </w:rPr>
            </w:pPr>
            <w:r>
              <w:rPr>
                <w:rFonts w:hint="default"/>
                <w:sz w:val="24"/>
                <w:szCs w:val="24"/>
                <w:lang w:val="en-US" w:eastAsia="zh-CN"/>
              </w:rPr>
              <w:t>综合考虑国土空间规划对项目选址的约束性、工程建设的基本特征、行业规范的有关要求以及技术层面的可靠性、安全性和电网分层分区规划原则，最终拟定的两个方案均位于沙坪沟钼矿的采选工业场地内。</w:t>
            </w:r>
          </w:p>
          <w:p w14:paraId="5418E4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表</w:t>
            </w:r>
            <w:r>
              <w:rPr>
                <w:rFonts w:hint="eastAsia"/>
                <w:b/>
                <w:bCs/>
                <w:color w:val="auto"/>
                <w:sz w:val="21"/>
                <w:szCs w:val="21"/>
                <w:highlight w:val="none"/>
                <w:lang w:val="en-US" w:eastAsia="zh-CN"/>
              </w:rPr>
              <w:t>4-21</w:t>
            </w:r>
            <w:r>
              <w:rPr>
                <w:rFonts w:hint="eastAsia" w:ascii="Times New Roman" w:hAnsi="Times New Roman" w:eastAsia="宋体"/>
                <w:b/>
                <w:bCs/>
                <w:color w:val="auto"/>
                <w:sz w:val="21"/>
                <w:szCs w:val="21"/>
                <w:highlight w:val="none"/>
                <w:lang w:val="en-US" w:eastAsia="zh-CN"/>
              </w:rPr>
              <w:t xml:space="preserve"> </w:t>
            </w:r>
            <w:r>
              <w:rPr>
                <w:rFonts w:hint="eastAsia"/>
                <w:b/>
                <w:bCs/>
                <w:color w:val="auto"/>
                <w:sz w:val="21"/>
                <w:szCs w:val="21"/>
                <w:highlight w:val="none"/>
                <w:lang w:val="en-US" w:eastAsia="zh-CN"/>
              </w:rPr>
              <w:t xml:space="preserve"> 比选方案定量分析表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1126"/>
              <w:gridCol w:w="1183"/>
              <w:gridCol w:w="1172"/>
              <w:gridCol w:w="1172"/>
              <w:gridCol w:w="1172"/>
              <w:gridCol w:w="1162"/>
            </w:tblGrid>
            <w:tr w14:paraId="66EDE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578B2EC0">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项目</w:t>
                  </w:r>
                </w:p>
              </w:tc>
              <w:tc>
                <w:tcPr>
                  <w:tcW w:w="626" w:type="pct"/>
                  <w:vAlign w:val="center"/>
                </w:tcPr>
                <w:p w14:paraId="77561F47">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单位</w:t>
                  </w:r>
                </w:p>
              </w:tc>
              <w:tc>
                <w:tcPr>
                  <w:tcW w:w="658" w:type="pct"/>
                  <w:vAlign w:val="center"/>
                </w:tcPr>
                <w:p w14:paraId="2D2EBB9C">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方案一</w:t>
                  </w:r>
                </w:p>
              </w:tc>
              <w:tc>
                <w:tcPr>
                  <w:tcW w:w="652" w:type="pct"/>
                  <w:vAlign w:val="center"/>
                </w:tcPr>
                <w:p w14:paraId="5F92EB6C">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方案二</w:t>
                  </w:r>
                </w:p>
              </w:tc>
              <w:tc>
                <w:tcPr>
                  <w:tcW w:w="652" w:type="pct"/>
                  <w:vAlign w:val="center"/>
                </w:tcPr>
                <w:p w14:paraId="3FFC8C23">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差值</w:t>
                  </w:r>
                </w:p>
              </w:tc>
              <w:tc>
                <w:tcPr>
                  <w:tcW w:w="652" w:type="pct"/>
                  <w:vAlign w:val="center"/>
                </w:tcPr>
                <w:p w14:paraId="3FCD1531">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备注</w:t>
                  </w:r>
                </w:p>
              </w:tc>
              <w:tc>
                <w:tcPr>
                  <w:tcW w:w="646" w:type="pct"/>
                  <w:vAlign w:val="center"/>
                </w:tcPr>
                <w:p w14:paraId="4A8F5A7C">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推荐意见</w:t>
                  </w:r>
                </w:p>
              </w:tc>
            </w:tr>
            <w:tr w14:paraId="0EACB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6F59EF9E">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项目面积</w:t>
                  </w:r>
                </w:p>
              </w:tc>
              <w:tc>
                <w:tcPr>
                  <w:tcW w:w="626" w:type="pct"/>
                  <w:vAlign w:val="center"/>
                </w:tcPr>
                <w:p w14:paraId="68112A0C">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公顷</w:t>
                  </w:r>
                </w:p>
              </w:tc>
              <w:tc>
                <w:tcPr>
                  <w:tcW w:w="658" w:type="pct"/>
                  <w:vAlign w:val="center"/>
                </w:tcPr>
                <w:p w14:paraId="759536DA">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0.4352</w:t>
                  </w:r>
                </w:p>
              </w:tc>
              <w:tc>
                <w:tcPr>
                  <w:tcW w:w="652" w:type="pct"/>
                  <w:vAlign w:val="center"/>
                </w:tcPr>
                <w:p w14:paraId="2BA63036">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0.4865</w:t>
                  </w:r>
                </w:p>
              </w:tc>
              <w:tc>
                <w:tcPr>
                  <w:tcW w:w="652" w:type="pct"/>
                  <w:vAlign w:val="center"/>
                </w:tcPr>
                <w:p w14:paraId="7EBE038F">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-0.0513</w:t>
                  </w:r>
                </w:p>
              </w:tc>
              <w:tc>
                <w:tcPr>
                  <w:tcW w:w="652" w:type="pct"/>
                  <w:vAlign w:val="center"/>
                </w:tcPr>
                <w:p w14:paraId="5CC5478B">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646" w:type="pct"/>
                  <w:vAlign w:val="center"/>
                </w:tcPr>
                <w:p w14:paraId="484F6833">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0A11D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0CBB233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土石方量</w:t>
                  </w:r>
                </w:p>
              </w:tc>
              <w:tc>
                <w:tcPr>
                  <w:tcW w:w="626" w:type="pct"/>
                  <w:vAlign w:val="center"/>
                </w:tcPr>
                <w:p w14:paraId="21201D05">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立方米</w:t>
                  </w:r>
                </w:p>
              </w:tc>
              <w:tc>
                <w:tcPr>
                  <w:tcW w:w="658" w:type="pct"/>
                  <w:vAlign w:val="center"/>
                </w:tcPr>
                <w:p w14:paraId="2F3F1EDE">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342</w:t>
                  </w:r>
                </w:p>
              </w:tc>
              <w:tc>
                <w:tcPr>
                  <w:tcW w:w="652" w:type="pct"/>
                  <w:vAlign w:val="center"/>
                </w:tcPr>
                <w:p w14:paraId="6A88329A">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389</w:t>
                  </w:r>
                </w:p>
              </w:tc>
              <w:tc>
                <w:tcPr>
                  <w:tcW w:w="652" w:type="pct"/>
                  <w:vAlign w:val="center"/>
                </w:tcPr>
                <w:p w14:paraId="2CF15727">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-47</w:t>
                  </w:r>
                </w:p>
              </w:tc>
              <w:tc>
                <w:tcPr>
                  <w:tcW w:w="652" w:type="pct"/>
                  <w:vAlign w:val="center"/>
                </w:tcPr>
                <w:p w14:paraId="17377DC7">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挖</w:t>
                  </w:r>
                </w:p>
              </w:tc>
              <w:tc>
                <w:tcPr>
                  <w:tcW w:w="646" w:type="pct"/>
                  <w:vAlign w:val="center"/>
                </w:tcPr>
                <w:p w14:paraId="0E4EC1B5">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0D689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6E8874B8">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土石方量</w:t>
                  </w:r>
                </w:p>
              </w:tc>
              <w:tc>
                <w:tcPr>
                  <w:tcW w:w="626" w:type="pct"/>
                  <w:vAlign w:val="center"/>
                </w:tcPr>
                <w:p w14:paraId="160C7D8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立方米</w:t>
                  </w:r>
                </w:p>
              </w:tc>
              <w:tc>
                <w:tcPr>
                  <w:tcW w:w="658" w:type="pct"/>
                  <w:vAlign w:val="center"/>
                </w:tcPr>
                <w:p w14:paraId="72E9C003">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26</w:t>
                  </w:r>
                </w:p>
              </w:tc>
              <w:tc>
                <w:tcPr>
                  <w:tcW w:w="652" w:type="pct"/>
                  <w:vAlign w:val="center"/>
                </w:tcPr>
                <w:p w14:paraId="7E56763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54</w:t>
                  </w:r>
                </w:p>
              </w:tc>
              <w:tc>
                <w:tcPr>
                  <w:tcW w:w="652" w:type="pct"/>
                  <w:vAlign w:val="center"/>
                </w:tcPr>
                <w:p w14:paraId="4DBF9F4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-28</w:t>
                  </w:r>
                </w:p>
              </w:tc>
              <w:tc>
                <w:tcPr>
                  <w:tcW w:w="652" w:type="pct"/>
                  <w:vAlign w:val="center"/>
                </w:tcPr>
                <w:p w14:paraId="74D7E90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填</w:t>
                  </w:r>
                </w:p>
              </w:tc>
              <w:tc>
                <w:tcPr>
                  <w:tcW w:w="646" w:type="pct"/>
                  <w:vAlign w:val="center"/>
                </w:tcPr>
                <w:p w14:paraId="4EC28C8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4E04F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1324CD41">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占地</w:t>
                  </w:r>
                </w:p>
              </w:tc>
              <w:tc>
                <w:tcPr>
                  <w:tcW w:w="626" w:type="pct"/>
                  <w:vAlign w:val="center"/>
                </w:tcPr>
                <w:p w14:paraId="291B65EE">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亩</w:t>
                  </w:r>
                </w:p>
              </w:tc>
              <w:tc>
                <w:tcPr>
                  <w:tcW w:w="658" w:type="pct"/>
                  <w:vAlign w:val="center"/>
                </w:tcPr>
                <w:p w14:paraId="15C9DE54">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6.528</w:t>
                  </w:r>
                </w:p>
              </w:tc>
              <w:tc>
                <w:tcPr>
                  <w:tcW w:w="652" w:type="pct"/>
                  <w:vAlign w:val="center"/>
                </w:tcPr>
                <w:p w14:paraId="515D150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7.2975</w:t>
                  </w:r>
                </w:p>
              </w:tc>
              <w:tc>
                <w:tcPr>
                  <w:tcW w:w="652" w:type="pct"/>
                  <w:vAlign w:val="center"/>
                </w:tcPr>
                <w:p w14:paraId="6FBCC29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-0.7695</w:t>
                  </w:r>
                </w:p>
              </w:tc>
              <w:tc>
                <w:tcPr>
                  <w:tcW w:w="652" w:type="pct"/>
                  <w:vAlign w:val="center"/>
                </w:tcPr>
                <w:p w14:paraId="5561966F">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646" w:type="pct"/>
                  <w:vAlign w:val="center"/>
                </w:tcPr>
                <w:p w14:paraId="2E0F91B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2F88D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1D875295">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占耕地</w:t>
                  </w:r>
                </w:p>
              </w:tc>
              <w:tc>
                <w:tcPr>
                  <w:tcW w:w="626" w:type="pct"/>
                  <w:vAlign w:val="center"/>
                </w:tcPr>
                <w:p w14:paraId="057D124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公顷</w:t>
                  </w:r>
                </w:p>
              </w:tc>
              <w:tc>
                <w:tcPr>
                  <w:tcW w:w="658" w:type="pct"/>
                  <w:vAlign w:val="center"/>
                </w:tcPr>
                <w:p w14:paraId="0A6BE704">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0.0765</w:t>
                  </w:r>
                </w:p>
              </w:tc>
              <w:tc>
                <w:tcPr>
                  <w:tcW w:w="652" w:type="pct"/>
                  <w:vAlign w:val="center"/>
                </w:tcPr>
                <w:p w14:paraId="23182DB0">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0.1401</w:t>
                  </w:r>
                </w:p>
              </w:tc>
              <w:tc>
                <w:tcPr>
                  <w:tcW w:w="652" w:type="pct"/>
                  <w:vAlign w:val="center"/>
                </w:tcPr>
                <w:p w14:paraId="4291638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-0.0639</w:t>
                  </w:r>
                </w:p>
              </w:tc>
              <w:tc>
                <w:tcPr>
                  <w:tcW w:w="652" w:type="pct"/>
                  <w:vAlign w:val="center"/>
                </w:tcPr>
                <w:p w14:paraId="19F61A30">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646" w:type="pct"/>
                  <w:vAlign w:val="center"/>
                </w:tcPr>
                <w:p w14:paraId="3323BE2F">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4EA76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2" w:type="pct"/>
                  <w:vAlign w:val="center"/>
                </w:tcPr>
                <w:p w14:paraId="2E996FFF">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总造价</w:t>
                  </w:r>
                </w:p>
              </w:tc>
              <w:tc>
                <w:tcPr>
                  <w:tcW w:w="626" w:type="pct"/>
                  <w:vAlign w:val="center"/>
                </w:tcPr>
                <w:p w14:paraId="44C7CA4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万元</w:t>
                  </w:r>
                </w:p>
              </w:tc>
              <w:tc>
                <w:tcPr>
                  <w:tcW w:w="658" w:type="pct"/>
                  <w:vAlign w:val="center"/>
                </w:tcPr>
                <w:p w14:paraId="1E604405">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17899</w:t>
                  </w:r>
                </w:p>
              </w:tc>
              <w:tc>
                <w:tcPr>
                  <w:tcW w:w="652" w:type="pct"/>
                  <w:vAlign w:val="center"/>
                </w:tcPr>
                <w:p w14:paraId="3764F55F">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18232</w:t>
                  </w:r>
                </w:p>
              </w:tc>
              <w:tc>
                <w:tcPr>
                  <w:tcW w:w="652" w:type="pct"/>
                  <w:vAlign w:val="center"/>
                </w:tcPr>
                <w:p w14:paraId="2FA52694">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-333</w:t>
                  </w:r>
                </w:p>
              </w:tc>
              <w:tc>
                <w:tcPr>
                  <w:tcW w:w="652" w:type="pct"/>
                  <w:vAlign w:val="center"/>
                </w:tcPr>
                <w:p w14:paraId="21BF86F8">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c>
                <w:tcPr>
                  <w:tcW w:w="646" w:type="pct"/>
                  <w:vAlign w:val="center"/>
                </w:tcPr>
                <w:p w14:paraId="4F30272E">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bl>
          <w:p w14:paraId="1AFB9A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表</w:t>
            </w:r>
            <w:r>
              <w:rPr>
                <w:rFonts w:hint="eastAsia"/>
                <w:b/>
                <w:bCs/>
                <w:color w:val="auto"/>
                <w:sz w:val="21"/>
                <w:szCs w:val="21"/>
                <w:highlight w:val="none"/>
                <w:lang w:val="en-US" w:eastAsia="zh-CN"/>
              </w:rPr>
              <w:t>4-22</w:t>
            </w:r>
            <w:r>
              <w:rPr>
                <w:rFonts w:hint="eastAsia" w:ascii="Times New Roman" w:hAnsi="Times New Roman" w:eastAsia="宋体"/>
                <w:b/>
                <w:bCs/>
                <w:color w:val="auto"/>
                <w:sz w:val="21"/>
                <w:szCs w:val="21"/>
                <w:highlight w:val="none"/>
                <w:lang w:val="en-US" w:eastAsia="zh-CN"/>
              </w:rPr>
              <w:t xml:space="preserve"> </w:t>
            </w:r>
            <w:r>
              <w:rPr>
                <w:rFonts w:hint="eastAsia"/>
                <w:b/>
                <w:bCs/>
                <w:color w:val="auto"/>
                <w:sz w:val="21"/>
                <w:szCs w:val="21"/>
                <w:highlight w:val="none"/>
                <w:lang w:val="en-US" w:eastAsia="zh-CN"/>
              </w:rPr>
              <w:t xml:space="preserve"> 比选方案定性分析表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3"/>
              <w:gridCol w:w="2851"/>
              <w:gridCol w:w="1909"/>
              <w:gridCol w:w="1893"/>
            </w:tblGrid>
            <w:tr w14:paraId="3F865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057ACA04">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比选因子</w:t>
                  </w:r>
                </w:p>
              </w:tc>
              <w:tc>
                <w:tcPr>
                  <w:tcW w:w="1586" w:type="pct"/>
                  <w:vAlign w:val="center"/>
                </w:tcPr>
                <w:p w14:paraId="02C9AAFA">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方案一</w:t>
                  </w:r>
                </w:p>
              </w:tc>
              <w:tc>
                <w:tcPr>
                  <w:tcW w:w="1062" w:type="pct"/>
                  <w:vAlign w:val="center"/>
                </w:tcPr>
                <w:p w14:paraId="6F0E792C">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方案二</w:t>
                  </w:r>
                </w:p>
              </w:tc>
              <w:tc>
                <w:tcPr>
                  <w:tcW w:w="1053" w:type="pct"/>
                  <w:vAlign w:val="center"/>
                </w:tcPr>
                <w:p w14:paraId="274CA454">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推荐意见</w:t>
                  </w:r>
                </w:p>
              </w:tc>
            </w:tr>
            <w:tr w14:paraId="116BF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7AEA014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对现有线路的影响</w:t>
                  </w:r>
                </w:p>
              </w:tc>
              <w:tc>
                <w:tcPr>
                  <w:tcW w:w="1586" w:type="pct"/>
                  <w:vAlign w:val="center"/>
                </w:tcPr>
                <w:p w14:paraId="6AF216E1">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位于采选工业场地外围，铺设线路里程缩短。</w:t>
                  </w:r>
                </w:p>
              </w:tc>
              <w:tc>
                <w:tcPr>
                  <w:tcW w:w="1062" w:type="pct"/>
                  <w:vAlign w:val="center"/>
                </w:tcPr>
                <w:p w14:paraId="3A5BA5AE">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位于采选工业场地中心，铺设线路里程增加。</w:t>
                  </w:r>
                </w:p>
              </w:tc>
              <w:tc>
                <w:tcPr>
                  <w:tcW w:w="1053" w:type="pct"/>
                  <w:vAlign w:val="center"/>
                </w:tcPr>
                <w:p w14:paraId="679B076F">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4FCF7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40396054">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对周边群众的影响</w:t>
                  </w:r>
                </w:p>
              </w:tc>
              <w:tc>
                <w:tcPr>
                  <w:tcW w:w="1586" w:type="pct"/>
                  <w:vAlign w:val="center"/>
                </w:tcPr>
                <w:p w14:paraId="728EF588">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远离居民点，不涉及拆迁安置。</w:t>
                  </w:r>
                </w:p>
              </w:tc>
              <w:tc>
                <w:tcPr>
                  <w:tcW w:w="1062" w:type="pct"/>
                  <w:vAlign w:val="center"/>
                </w:tcPr>
                <w:p w14:paraId="45870C3E">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远离居民点，不涉及拆迁安置。</w:t>
                  </w:r>
                </w:p>
              </w:tc>
              <w:tc>
                <w:tcPr>
                  <w:tcW w:w="1053" w:type="pct"/>
                  <w:vAlign w:val="center"/>
                </w:tcPr>
                <w:p w14:paraId="303063EB">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两方案相当</w:t>
                  </w:r>
                </w:p>
              </w:tc>
            </w:tr>
            <w:tr w14:paraId="385D8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474CA3F5">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对沿线环境的影响</w:t>
                  </w:r>
                </w:p>
              </w:tc>
              <w:tc>
                <w:tcPr>
                  <w:tcW w:w="1586" w:type="pct"/>
                  <w:vAlign w:val="center"/>
                </w:tcPr>
                <w:p w14:paraId="7A85553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施工期间挖方量较少，对现场环境影响较小</w:t>
                  </w:r>
                  <w:r>
                    <w:rPr>
                      <w:rFonts w:hint="eastAsia" w:cs="Times New Roman"/>
                      <w:sz w:val="21"/>
                      <w:szCs w:val="21"/>
                      <w:highlight w:val="none"/>
                      <w:vertAlign w:val="baseline"/>
                      <w:lang w:val="en-US" w:eastAsia="zh-CN"/>
                    </w:rPr>
                    <w:t>。</w:t>
                  </w:r>
                </w:p>
              </w:tc>
              <w:tc>
                <w:tcPr>
                  <w:tcW w:w="1062" w:type="pct"/>
                  <w:vAlign w:val="center"/>
                </w:tcPr>
                <w:p w14:paraId="0AA64CF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地势起伏坡度较大，填挖量较大，对沿线环境影响较大</w:t>
                  </w:r>
                  <w:r>
                    <w:rPr>
                      <w:rFonts w:hint="eastAsia" w:cs="Times New Roman"/>
                      <w:sz w:val="21"/>
                      <w:szCs w:val="21"/>
                      <w:highlight w:val="none"/>
                      <w:vertAlign w:val="baseline"/>
                      <w:lang w:val="en-US" w:eastAsia="zh-CN"/>
                    </w:rPr>
                    <w:t>。</w:t>
                  </w:r>
                </w:p>
              </w:tc>
              <w:tc>
                <w:tcPr>
                  <w:tcW w:w="1053" w:type="pct"/>
                  <w:vAlign w:val="center"/>
                </w:tcPr>
                <w:p w14:paraId="2FB5359D">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7E0E1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230A0EB7">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与国土空间规划的衔接</w:t>
                  </w:r>
                </w:p>
              </w:tc>
              <w:tc>
                <w:tcPr>
                  <w:tcW w:w="1586" w:type="pct"/>
                  <w:vAlign w:val="center"/>
                </w:tcPr>
                <w:p w14:paraId="542441B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符合国土空间规划布局。</w:t>
                  </w:r>
                </w:p>
              </w:tc>
              <w:tc>
                <w:tcPr>
                  <w:tcW w:w="1062" w:type="pct"/>
                  <w:vAlign w:val="center"/>
                </w:tcPr>
                <w:p w14:paraId="2A1ADD95">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符合国土空间规划布局。</w:t>
                  </w:r>
                </w:p>
              </w:tc>
              <w:tc>
                <w:tcPr>
                  <w:tcW w:w="1053" w:type="pct"/>
                  <w:vAlign w:val="center"/>
                </w:tcPr>
                <w:p w14:paraId="1AF814DE">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两方案相当</w:t>
                  </w:r>
                </w:p>
              </w:tc>
            </w:tr>
            <w:tr w14:paraId="17D81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4F91E5C0">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对土地利用的影响</w:t>
                  </w:r>
                </w:p>
              </w:tc>
              <w:tc>
                <w:tcPr>
                  <w:tcW w:w="1586" w:type="pct"/>
                  <w:vAlign w:val="center"/>
                </w:tcPr>
                <w:p w14:paraId="6127BD73">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新增占地较少，占用耕地</w:t>
                  </w:r>
                </w:p>
                <w:p w14:paraId="46CF104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0.0762公顷，有利于耕地保护和节约集约用地</w:t>
                  </w:r>
                  <w:r>
                    <w:rPr>
                      <w:rFonts w:hint="eastAsia" w:cs="Times New Roman"/>
                      <w:sz w:val="21"/>
                      <w:szCs w:val="21"/>
                      <w:highlight w:val="none"/>
                      <w:vertAlign w:val="baseline"/>
                      <w:lang w:val="en-US" w:eastAsia="zh-CN"/>
                    </w:rPr>
                    <w:t>。</w:t>
                  </w:r>
                </w:p>
              </w:tc>
              <w:tc>
                <w:tcPr>
                  <w:tcW w:w="1062" w:type="pct"/>
                  <w:vAlign w:val="center"/>
                </w:tcPr>
                <w:p w14:paraId="03CF4959">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占用耕地0.1401公顷。节约集约效益不明显</w:t>
                  </w:r>
                  <w:r>
                    <w:rPr>
                      <w:rFonts w:hint="eastAsia" w:cs="Times New Roman"/>
                      <w:sz w:val="21"/>
                      <w:szCs w:val="21"/>
                      <w:highlight w:val="none"/>
                      <w:vertAlign w:val="baseline"/>
                      <w:lang w:val="en-US" w:eastAsia="zh-CN"/>
                    </w:rPr>
                    <w:t>。</w:t>
                  </w:r>
                </w:p>
              </w:tc>
              <w:tc>
                <w:tcPr>
                  <w:tcW w:w="1053" w:type="pct"/>
                  <w:vAlign w:val="center"/>
                </w:tcPr>
                <w:p w14:paraId="745712CE">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方案一优</w:t>
                  </w:r>
                </w:p>
              </w:tc>
            </w:tr>
            <w:tr w14:paraId="3422C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8" w:type="pct"/>
                  <w:vAlign w:val="center"/>
                </w:tcPr>
                <w:p w14:paraId="3CFBD9C8">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地形地貌</w:t>
                  </w:r>
                </w:p>
              </w:tc>
              <w:tc>
                <w:tcPr>
                  <w:tcW w:w="1586" w:type="pct"/>
                  <w:vAlign w:val="center"/>
                </w:tcPr>
                <w:p w14:paraId="7869DFD7">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地下土体结构较稳定，地质结构条件较好</w:t>
                  </w:r>
                  <w:r>
                    <w:rPr>
                      <w:rFonts w:hint="eastAsia" w:cs="Times New Roman"/>
                      <w:sz w:val="21"/>
                      <w:szCs w:val="21"/>
                      <w:highlight w:val="none"/>
                      <w:vertAlign w:val="baseline"/>
                      <w:lang w:val="en-US" w:eastAsia="zh-CN"/>
                    </w:rPr>
                    <w:t>。</w:t>
                  </w:r>
                </w:p>
              </w:tc>
              <w:tc>
                <w:tcPr>
                  <w:tcW w:w="1062" w:type="pct"/>
                  <w:vAlign w:val="center"/>
                </w:tcPr>
                <w:p w14:paraId="28795D43">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地下土体结构较稳定，地质结构条件较好</w:t>
                  </w:r>
                  <w:r>
                    <w:rPr>
                      <w:rFonts w:hint="eastAsia" w:cs="Times New Roman"/>
                      <w:sz w:val="21"/>
                      <w:szCs w:val="21"/>
                      <w:highlight w:val="none"/>
                      <w:vertAlign w:val="baseline"/>
                      <w:lang w:val="en-US" w:eastAsia="zh-CN"/>
                    </w:rPr>
                    <w:t>。</w:t>
                  </w:r>
                </w:p>
              </w:tc>
              <w:tc>
                <w:tcPr>
                  <w:tcW w:w="1053" w:type="pct"/>
                  <w:vAlign w:val="center"/>
                </w:tcPr>
                <w:p w14:paraId="0A9A229F">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两方案相当</w:t>
                  </w:r>
                </w:p>
              </w:tc>
            </w:tr>
          </w:tbl>
          <w:p w14:paraId="46196882">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（3）站区比选方案综述</w:t>
            </w:r>
          </w:p>
          <w:p w14:paraId="5231B988">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①从技术经济指标定量方面分析：方案一相对方案二较优。主要表现为：新增占地面积少，土石方填挖量相对较小，总造价相对较低。</w:t>
            </w:r>
          </w:p>
          <w:p w14:paraId="30E9E8B8">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②从路线方案定性方面分析：方案一在对现有路线影响、沿线环境、土地利用方面优势明显，其他方面两方案相当。</w:t>
            </w:r>
          </w:p>
          <w:p w14:paraId="5009C387">
            <w:pPr>
              <w:keepNext w:val="0"/>
              <w:keepLines w:val="0"/>
              <w:widowControl/>
              <w:suppressLineNumbers w:val="0"/>
              <w:spacing w:line="360" w:lineRule="auto"/>
              <w:ind w:firstLine="480" w:firstLineChars="200"/>
              <w:jc w:val="left"/>
              <w:rPr>
                <w:rFonts w:hint="default"/>
                <w:sz w:val="24"/>
                <w:szCs w:val="24"/>
                <w:lang w:val="en-US" w:eastAsia="zh-CN"/>
              </w:rPr>
            </w:pPr>
            <w:r>
              <w:rPr>
                <w:rFonts w:hint="eastAsia"/>
                <w:sz w:val="24"/>
                <w:szCs w:val="24"/>
                <w:lang w:val="en-US" w:eastAsia="zh-CN"/>
              </w:rPr>
              <w:t>2、输电线路路径比选</w:t>
            </w:r>
          </w:p>
          <w:p w14:paraId="17739702">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（1）线路选址原则</w:t>
            </w:r>
          </w:p>
          <w:p w14:paraId="582AAE5D">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①安全性：要选择地质条件稳定的区域，避免在易发生地质灾害的地段建设，如滑坡、泥石流、塌陷等区域，以保障杆塔基础的稳固性。另外杆塔与周边建筑物、树木、重要设施等有足够的安全距离，防止因外力破坏或电气安全问题对周边环境造成影响。</w:t>
            </w:r>
          </w:p>
          <w:p w14:paraId="72A4BB2D">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②自然条件：要避开强风、暴雨、雷电等恶劣气象频繁发生的区域，降低杆塔受自然灾害影响的风险。</w:t>
            </w:r>
          </w:p>
          <w:p w14:paraId="17450182">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③经济性：要尽量选择地势平坦的区域，减少基础建设的难度和成本。同时，合理规划线路走向，使杆塔的位置与输电线路的路径相匹配，减少线路迂回和长度，降低输电成本并提高输电效率。</w:t>
            </w:r>
          </w:p>
          <w:p w14:paraId="48844B17">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④环境保护：要尽量避开生态脆弱敏感区域，减少对生态环境的破坏。</w:t>
            </w:r>
          </w:p>
          <w:p w14:paraId="6E6E7167">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⑤社会稳定风险：考虑对周边居民的影响，尽量远离集中居民区，避免杆塔建设对居民的生活和生产造成不必要的干扰。</w:t>
            </w:r>
          </w:p>
          <w:p w14:paraId="6127E43D">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⑥可行性</w:t>
            </w:r>
            <w:r>
              <w:rPr>
                <w:rFonts w:hint="eastAsia"/>
                <w:sz w:val="24"/>
                <w:szCs w:val="24"/>
                <w:lang w:val="en-US" w:eastAsia="zh-CN"/>
              </w:rPr>
              <w:t>：考</w:t>
            </w:r>
            <w:r>
              <w:rPr>
                <w:rFonts w:hint="default"/>
                <w:sz w:val="24"/>
                <w:szCs w:val="24"/>
                <w:lang w:val="en-US" w:eastAsia="zh-CN"/>
              </w:rPr>
              <w:t>虑施工和维护的便利性，尽量靠近现有的交通基础设施，确保施工过程中能够顺利运输材料和设备，后期能够方便地进行检修和维护工作。</w:t>
            </w:r>
          </w:p>
          <w:p w14:paraId="2CC153A7">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（2）路线比选方案分析</w:t>
            </w:r>
          </w:p>
          <w:p w14:paraId="0E84D962">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在负荷中心和电源点之间选择两</w:t>
            </w:r>
            <w:r>
              <w:rPr>
                <w:rFonts w:hint="eastAsia"/>
                <w:sz w:val="24"/>
                <w:szCs w:val="24"/>
                <w:lang w:val="en-US" w:eastAsia="zh-CN"/>
              </w:rPr>
              <w:t>条</w:t>
            </w:r>
            <w:r>
              <w:rPr>
                <w:rFonts w:hint="default"/>
                <w:sz w:val="24"/>
                <w:szCs w:val="24"/>
                <w:lang w:val="en-US" w:eastAsia="zh-CN"/>
              </w:rPr>
              <w:t>输电线路路径进行比选。</w:t>
            </w:r>
          </w:p>
          <w:p w14:paraId="0F2D673B">
            <w:pPr>
              <w:keepNext w:val="0"/>
              <w:keepLines w:val="0"/>
              <w:widowControl/>
              <w:suppressLineNumbers w:val="0"/>
              <w:spacing w:line="360" w:lineRule="auto"/>
              <w:ind w:firstLine="0" w:firstLineChars="0"/>
              <w:jc w:val="center"/>
              <w:rPr>
                <w:rFonts w:hint="default"/>
                <w:sz w:val="24"/>
                <w:szCs w:val="24"/>
                <w:lang w:val="en-US" w:eastAsia="zh-CN"/>
              </w:rPr>
            </w:pPr>
            <w:r>
              <w:rPr>
                <w:rFonts w:hint="default"/>
                <w:sz w:val="24"/>
                <w:szCs w:val="24"/>
                <w:lang w:val="en-US" w:eastAsia="zh-CN"/>
              </w:rPr>
              <w:object>
                <v:shape id="_x0000_i1058" o:spt="75" type="#_x0000_t75" style="height:268.6pt;width:449.55pt;" o:ole="t" filled="f" o:preferrelative="t" stroked="f" coordsize="21600,21600">
                  <v:path/>
                  <v:fill on="f" focussize="0,0"/>
                  <v:stroke on="f"/>
                  <v:imagedata r:id="rId98" o:title=""/>
                  <o:lock v:ext="edit" aspectratio="f"/>
                  <w10:wrap type="none"/>
                  <w10:anchorlock/>
                </v:shape>
                <o:OLEObject Type="Embed" ProgID="Visio.Drawing.15" ShapeID="_x0000_i1058" DrawAspect="Content" ObjectID="_1468075758" r:id="rId97">
                  <o:LockedField>false</o:LockedField>
                </o:OLEObject>
              </w:object>
            </w:r>
            <w:r>
              <w:drawing>
                <wp:anchor distT="0" distB="0" distL="114300" distR="114300" simplePos="0" relativeHeight="251665408" behindDoc="0" locked="0" layoutInCell="1" allowOverlap="1">
                  <wp:simplePos x="0" y="0"/>
                  <wp:positionH relativeFrom="column">
                    <wp:posOffset>4979670</wp:posOffset>
                  </wp:positionH>
                  <wp:positionV relativeFrom="paragraph">
                    <wp:posOffset>8890</wp:posOffset>
                  </wp:positionV>
                  <wp:extent cx="726440" cy="648970"/>
                  <wp:effectExtent l="0" t="0" r="16510" b="17780"/>
                  <wp:wrapNone/>
                  <wp:docPr id="2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6"/>
                          <pic:cNvPicPr>
                            <a:picLocks noChangeAspect="1"/>
                          </pic:cNvPicPr>
                        </pic:nvPicPr>
                        <pic:blipFill>
                          <a:blip r:embed="rId27"/>
                          <a:stretch>
                            <a:fillRect/>
                          </a:stretch>
                        </pic:blipFill>
                        <pic:spPr>
                          <a:xfrm>
                            <a:off x="0" y="0"/>
                            <a:ext cx="726440" cy="648970"/>
                          </a:xfrm>
                          <a:prstGeom prst="rect">
                            <a:avLst/>
                          </a:prstGeom>
                          <a:noFill/>
                          <a:ln>
                            <a:noFill/>
                          </a:ln>
                        </pic:spPr>
                      </pic:pic>
                    </a:graphicData>
                  </a:graphic>
                </wp:anchor>
              </w:drawing>
            </w:r>
          </w:p>
          <w:p w14:paraId="48B3E59F">
            <w:pPr>
              <w:keepNext w:val="0"/>
              <w:keepLines w:val="0"/>
              <w:widowControl/>
              <w:suppressLineNumbers w:val="0"/>
              <w:jc w:val="center"/>
              <w:rPr>
                <w:rFonts w:hint="default"/>
                <w:b/>
                <w:bCs/>
                <w:sz w:val="21"/>
                <w:szCs w:val="21"/>
                <w:lang w:val="en-US"/>
              </w:rPr>
            </w:pPr>
            <w:r>
              <w:rPr>
                <w:rFonts w:hint="default" w:ascii="Times New Roman" w:hAnsi="Times New Roman" w:eastAsia="宋体" w:cs="Times New Roman"/>
                <w:b/>
                <w:bCs/>
                <w:color w:val="000000"/>
                <w:kern w:val="0"/>
                <w:sz w:val="21"/>
                <w:szCs w:val="21"/>
                <w:lang w:val="en-US" w:eastAsia="zh-CN" w:bidi="ar"/>
              </w:rPr>
              <w:t>图4-</w:t>
            </w:r>
            <w:r>
              <w:rPr>
                <w:rFonts w:hint="eastAsia" w:cs="Times New Roman"/>
                <w:b/>
                <w:bCs/>
                <w:color w:val="000000"/>
                <w:kern w:val="0"/>
                <w:sz w:val="21"/>
                <w:szCs w:val="21"/>
                <w:lang w:val="en-US" w:eastAsia="zh-CN" w:bidi="ar"/>
              </w:rPr>
              <w:t>5</w:t>
            </w:r>
            <w:r>
              <w:rPr>
                <w:rFonts w:hint="default" w:ascii="Times New Roman" w:hAnsi="Times New Roman" w:eastAsia="宋体" w:cs="Times New Roman"/>
                <w:b/>
                <w:bCs/>
                <w:color w:val="000000"/>
                <w:kern w:val="0"/>
                <w:sz w:val="21"/>
                <w:szCs w:val="21"/>
                <w:lang w:val="en-US" w:eastAsia="zh-CN" w:bidi="ar"/>
              </w:rPr>
              <w:t xml:space="preserve">  </w:t>
            </w:r>
            <w:r>
              <w:rPr>
                <w:rFonts w:hint="eastAsia" w:cs="Times New Roman"/>
                <w:b/>
                <w:bCs/>
                <w:color w:val="000000"/>
                <w:kern w:val="0"/>
                <w:sz w:val="21"/>
                <w:szCs w:val="21"/>
                <w:lang w:val="en-US" w:eastAsia="zh-CN" w:bidi="ar"/>
              </w:rPr>
              <w:t>输电线路比选方案示意图</w:t>
            </w:r>
          </w:p>
          <w:p w14:paraId="64BE865D">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表</w:t>
            </w:r>
            <w:r>
              <w:rPr>
                <w:rFonts w:hint="eastAsia"/>
                <w:b/>
                <w:bCs/>
                <w:color w:val="auto"/>
                <w:sz w:val="21"/>
                <w:szCs w:val="21"/>
                <w:highlight w:val="none"/>
                <w:lang w:val="en-US" w:eastAsia="zh-CN"/>
              </w:rPr>
              <w:t xml:space="preserve">4-23   </w:t>
            </w:r>
            <w:r>
              <w:rPr>
                <w:rFonts w:hint="eastAsia" w:ascii="Times New Roman" w:hAnsi="Times New Roman" w:eastAsia="宋体" w:cs="Times New Roman"/>
                <w:b/>
                <w:bCs/>
                <w:i w:val="0"/>
                <w:iCs w:val="0"/>
                <w:caps w:val="0"/>
                <w:color w:val="auto"/>
                <w:spacing w:val="0"/>
                <w:kern w:val="0"/>
                <w:sz w:val="21"/>
                <w:szCs w:val="21"/>
                <w:highlight w:val="none"/>
                <w:shd w:val="clear"/>
              </w:rPr>
              <w:t>古碑-钼矿架空线路</w:t>
            </w:r>
            <w:r>
              <w:rPr>
                <w:rFonts w:hint="eastAsia" w:ascii="Times New Roman" w:hAnsi="Times New Roman" w:eastAsia="宋体" w:cs="Times New Roman"/>
                <w:b/>
                <w:bCs/>
                <w:color w:val="auto"/>
                <w:sz w:val="21"/>
                <w:szCs w:val="21"/>
                <w:highlight w:val="none"/>
                <w:lang w:val="en-US" w:eastAsia="zh-CN"/>
              </w:rPr>
              <w:t>比选</w:t>
            </w:r>
            <w:r>
              <w:rPr>
                <w:rFonts w:hint="eastAsia"/>
                <w:b/>
                <w:bCs/>
                <w:color w:val="auto"/>
                <w:sz w:val="21"/>
                <w:szCs w:val="21"/>
                <w:highlight w:val="none"/>
                <w:lang w:val="en-US" w:eastAsia="zh-CN"/>
              </w:rPr>
              <w:t>方案定性分析表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2904"/>
              <w:gridCol w:w="3000"/>
              <w:gridCol w:w="1335"/>
            </w:tblGrid>
            <w:tr w14:paraId="76A7C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2C1BCE08">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比选因子</w:t>
                  </w:r>
                </w:p>
              </w:tc>
              <w:tc>
                <w:tcPr>
                  <w:tcW w:w="1615" w:type="pct"/>
                  <w:vAlign w:val="center"/>
                </w:tcPr>
                <w:p w14:paraId="193E1EEC">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比选方案</w:t>
                  </w:r>
                </w:p>
              </w:tc>
              <w:tc>
                <w:tcPr>
                  <w:tcW w:w="1669" w:type="pct"/>
                  <w:vAlign w:val="center"/>
                </w:tcPr>
                <w:p w14:paraId="56FAC81F">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推荐方案</w:t>
                  </w:r>
                </w:p>
              </w:tc>
              <w:tc>
                <w:tcPr>
                  <w:tcW w:w="742" w:type="pct"/>
                  <w:vAlign w:val="center"/>
                </w:tcPr>
                <w:p w14:paraId="49D5E167">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推荐意见</w:t>
                  </w:r>
                </w:p>
              </w:tc>
            </w:tr>
            <w:tr w14:paraId="14FE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581D6079">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生态环境</w:t>
                  </w:r>
                </w:p>
              </w:tc>
              <w:tc>
                <w:tcPr>
                  <w:tcW w:w="1615" w:type="pct"/>
                  <w:vAlign w:val="center"/>
                </w:tcPr>
                <w:p w14:paraId="3EAC432E">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输电线路穿越生态保护红线长度为</w:t>
                  </w:r>
                  <w:r>
                    <w:rPr>
                      <w:rFonts w:hint="eastAsia" w:cs="Times New Roman"/>
                      <w:sz w:val="21"/>
                      <w:szCs w:val="21"/>
                      <w:highlight w:val="none"/>
                      <w:vertAlign w:val="baseline"/>
                      <w:lang w:val="en-US" w:eastAsia="zh-CN"/>
                    </w:rPr>
                    <w:t>10.678</w:t>
                  </w:r>
                  <w:r>
                    <w:rPr>
                      <w:rFonts w:hint="default" w:cs="Times New Roman"/>
                      <w:sz w:val="21"/>
                      <w:szCs w:val="21"/>
                      <w:highlight w:val="none"/>
                      <w:vertAlign w:val="baseline"/>
                      <w:lang w:val="en-US" w:eastAsia="zh-CN"/>
                    </w:rPr>
                    <w:t>km</w:t>
                  </w:r>
                  <w:r>
                    <w:rPr>
                      <w:rFonts w:hint="eastAsia" w:cs="Times New Roman"/>
                      <w:sz w:val="21"/>
                      <w:szCs w:val="21"/>
                      <w:highlight w:val="none"/>
                      <w:vertAlign w:val="baseline"/>
                      <w:lang w:val="en-US" w:eastAsia="zh-CN"/>
                    </w:rPr>
                    <w:t>。</w:t>
                  </w:r>
                </w:p>
              </w:tc>
              <w:tc>
                <w:tcPr>
                  <w:tcW w:w="1669" w:type="pct"/>
                  <w:vAlign w:val="center"/>
                </w:tcPr>
                <w:p w14:paraId="4C9F7452">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输电线路</w:t>
                  </w:r>
                  <w:r>
                    <w:rPr>
                      <w:rFonts w:hint="eastAsia" w:cs="Times New Roman"/>
                      <w:sz w:val="21"/>
                      <w:szCs w:val="21"/>
                      <w:highlight w:val="none"/>
                      <w:vertAlign w:val="baseline"/>
                      <w:lang w:val="en-US" w:eastAsia="zh-CN"/>
                    </w:rPr>
                    <w:t>略长，</w:t>
                  </w:r>
                  <w:r>
                    <w:rPr>
                      <w:rFonts w:hint="default" w:cs="Times New Roman"/>
                      <w:sz w:val="21"/>
                      <w:szCs w:val="21"/>
                      <w:highlight w:val="none"/>
                      <w:vertAlign w:val="baseline"/>
                      <w:lang w:val="en-US" w:eastAsia="zh-CN"/>
                    </w:rPr>
                    <w:t>穿越生态保护红线长度为</w:t>
                  </w:r>
                  <w:r>
                    <w:rPr>
                      <w:rFonts w:hint="eastAsia" w:cs="Times New Roman"/>
                      <w:sz w:val="21"/>
                      <w:szCs w:val="21"/>
                      <w:highlight w:val="none"/>
                      <w:vertAlign w:val="baseline"/>
                      <w:lang w:val="en-US" w:eastAsia="zh-CN"/>
                    </w:rPr>
                    <w:t>9.324</w:t>
                  </w:r>
                  <w:r>
                    <w:rPr>
                      <w:rFonts w:hint="default" w:cs="Times New Roman"/>
                      <w:sz w:val="21"/>
                      <w:szCs w:val="21"/>
                      <w:highlight w:val="none"/>
                      <w:vertAlign w:val="baseline"/>
                      <w:lang w:val="en-US" w:eastAsia="zh-CN"/>
                    </w:rPr>
                    <w:t>km</w:t>
                  </w:r>
                </w:p>
              </w:tc>
              <w:tc>
                <w:tcPr>
                  <w:tcW w:w="742" w:type="pct"/>
                  <w:vAlign w:val="center"/>
                </w:tcPr>
                <w:p w14:paraId="517B6F9A">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3CDCB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51B929D0">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施工难度</w:t>
                  </w:r>
                </w:p>
              </w:tc>
              <w:tc>
                <w:tcPr>
                  <w:tcW w:w="1615" w:type="pct"/>
                  <w:vAlign w:val="center"/>
                </w:tcPr>
                <w:p w14:paraId="562BE3CD">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地质结构复杂、表层土壤容易受到扰动的敏感区，</w:t>
                  </w:r>
                </w:p>
              </w:tc>
              <w:tc>
                <w:tcPr>
                  <w:tcW w:w="1669" w:type="pct"/>
                  <w:vAlign w:val="center"/>
                </w:tcPr>
                <w:p w14:paraId="40FC43FE">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塔基布设点，直线较多，耐张塔需求少。</w:t>
                  </w:r>
                </w:p>
              </w:tc>
              <w:tc>
                <w:tcPr>
                  <w:tcW w:w="742" w:type="pct"/>
                  <w:vAlign w:val="center"/>
                </w:tcPr>
                <w:p w14:paraId="30D5D8BB">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42849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11E673B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建设安全性</w:t>
                  </w:r>
                </w:p>
              </w:tc>
              <w:tc>
                <w:tcPr>
                  <w:tcW w:w="1615" w:type="pct"/>
                  <w:vAlign w:val="center"/>
                </w:tcPr>
                <w:p w14:paraId="14A5231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输变电线路部分经过峡谷和河谷地带，部分塔基之间线路过长，导致两点之间导线弧垂过大，影响安全性。</w:t>
                  </w:r>
                </w:p>
              </w:tc>
              <w:tc>
                <w:tcPr>
                  <w:tcW w:w="1669" w:type="pct"/>
                  <w:vAlign w:val="center"/>
                </w:tcPr>
                <w:p w14:paraId="019D5C1C">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输变电线路大部分位于稳定地层，可保障杆塔基础的稳固性</w:t>
                  </w:r>
                  <w:r>
                    <w:rPr>
                      <w:rFonts w:hint="eastAsia" w:cs="Times New Roman"/>
                      <w:sz w:val="21"/>
                      <w:szCs w:val="21"/>
                      <w:highlight w:val="none"/>
                      <w:vertAlign w:val="baseline"/>
                      <w:lang w:val="en-US" w:eastAsia="zh-CN"/>
                    </w:rPr>
                    <w:t>。</w:t>
                  </w:r>
                </w:p>
              </w:tc>
              <w:tc>
                <w:tcPr>
                  <w:tcW w:w="742" w:type="pct"/>
                  <w:vAlign w:val="center"/>
                </w:tcPr>
                <w:p w14:paraId="162741F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626A7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4D14DF69">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建设经济性</w:t>
                  </w:r>
                </w:p>
              </w:tc>
              <w:tc>
                <w:tcPr>
                  <w:tcW w:w="1615" w:type="pct"/>
                  <w:vAlign w:val="center"/>
                </w:tcPr>
                <w:p w14:paraId="424688A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部分塔基之间横跨峡谷，需增加塔基高度和加重导线，增加建设成本。</w:t>
                  </w:r>
                </w:p>
              </w:tc>
              <w:tc>
                <w:tcPr>
                  <w:tcW w:w="1669" w:type="pct"/>
                  <w:vAlign w:val="center"/>
                </w:tcPr>
                <w:p w14:paraId="66E9491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绝大部分位于稳定地块，塔基建设投资成本减少，经济性较高。</w:t>
                  </w:r>
                </w:p>
              </w:tc>
              <w:tc>
                <w:tcPr>
                  <w:tcW w:w="742" w:type="pct"/>
                  <w:vAlign w:val="center"/>
                </w:tcPr>
                <w:p w14:paraId="2E25CE05">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76452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7" w:type="dxa"/>
                  <w:vAlign w:val="center"/>
                </w:tcPr>
                <w:p w14:paraId="0620F17F">
                  <w:pPr>
                    <w:spacing w:line="240" w:lineRule="auto"/>
                    <w:jc w:val="center"/>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对周边居民及大型设施影响</w:t>
                  </w:r>
                </w:p>
              </w:tc>
              <w:tc>
                <w:tcPr>
                  <w:tcW w:w="2904" w:type="dxa"/>
                  <w:vAlign w:val="center"/>
                </w:tcPr>
                <w:p w14:paraId="5120F467">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与周边居民点保持一定的安全距离</w:t>
                  </w:r>
                  <w:r>
                    <w:rPr>
                      <w:rFonts w:hint="eastAsia" w:cs="Times New Roman"/>
                      <w:color w:val="auto"/>
                      <w:sz w:val="21"/>
                      <w:szCs w:val="21"/>
                      <w:highlight w:val="none"/>
                      <w:vertAlign w:val="baseline"/>
                      <w:lang w:val="en-US" w:eastAsia="zh-CN"/>
                    </w:rPr>
                    <w:t>，与规划的机场位置较近</w:t>
                  </w:r>
                  <w:r>
                    <w:rPr>
                      <w:rFonts w:hint="default" w:ascii="Times New Roman" w:hAnsi="Times New Roman" w:eastAsia="宋体" w:cs="Times New Roman"/>
                      <w:color w:val="auto"/>
                      <w:sz w:val="21"/>
                      <w:szCs w:val="21"/>
                      <w:highlight w:val="none"/>
                      <w:vertAlign w:val="baseline"/>
                      <w:lang w:val="en-US" w:eastAsia="zh-CN"/>
                    </w:rPr>
                    <w:t>。</w:t>
                  </w:r>
                </w:p>
              </w:tc>
              <w:tc>
                <w:tcPr>
                  <w:tcW w:w="3000" w:type="dxa"/>
                  <w:vAlign w:val="center"/>
                </w:tcPr>
                <w:p w14:paraId="70D8AA6D">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与周边居民点保持一定的安全距离</w:t>
                  </w:r>
                  <w:r>
                    <w:rPr>
                      <w:rFonts w:hint="eastAsia" w:cs="Times New Roman"/>
                      <w:color w:val="auto"/>
                      <w:sz w:val="21"/>
                      <w:szCs w:val="21"/>
                      <w:highlight w:val="none"/>
                      <w:vertAlign w:val="baseline"/>
                      <w:lang w:val="en-US" w:eastAsia="zh-CN"/>
                    </w:rPr>
                    <w:t>，远离规划机场选址</w:t>
                  </w:r>
                  <w:r>
                    <w:rPr>
                      <w:rFonts w:hint="default" w:ascii="Times New Roman" w:hAnsi="Times New Roman" w:eastAsia="宋体" w:cs="Times New Roman"/>
                      <w:color w:val="auto"/>
                      <w:sz w:val="21"/>
                      <w:szCs w:val="21"/>
                      <w:highlight w:val="none"/>
                      <w:vertAlign w:val="baseline"/>
                      <w:lang w:val="en-US" w:eastAsia="zh-CN"/>
                    </w:rPr>
                    <w:t>。</w:t>
                  </w:r>
                </w:p>
              </w:tc>
              <w:tc>
                <w:tcPr>
                  <w:tcW w:w="1335" w:type="dxa"/>
                  <w:vAlign w:val="center"/>
                </w:tcPr>
                <w:p w14:paraId="1A7FD9B9">
                  <w:pPr>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推荐方案优</w:t>
                  </w:r>
                </w:p>
              </w:tc>
            </w:tr>
          </w:tbl>
          <w:p w14:paraId="4F9D0645">
            <w:pPr>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表</w:t>
            </w:r>
            <w:r>
              <w:rPr>
                <w:rFonts w:hint="eastAsia"/>
                <w:b/>
                <w:bCs/>
                <w:color w:val="auto"/>
                <w:sz w:val="21"/>
                <w:szCs w:val="21"/>
                <w:highlight w:val="none"/>
                <w:lang w:val="en-US" w:eastAsia="zh-CN"/>
              </w:rPr>
              <w:t>4-24</w:t>
            </w:r>
            <w:r>
              <w:rPr>
                <w:rFonts w:hint="eastAsia" w:ascii="Times New Roman" w:hAnsi="Times New Roman" w:eastAsia="宋体"/>
                <w:b/>
                <w:bCs/>
                <w:color w:val="auto"/>
                <w:sz w:val="21"/>
                <w:szCs w:val="21"/>
                <w:highlight w:val="none"/>
                <w:lang w:val="en-US" w:eastAsia="zh-CN"/>
              </w:rPr>
              <w:t xml:space="preserve"> </w:t>
            </w:r>
            <w:r>
              <w:rPr>
                <w:rFonts w:hint="eastAsia"/>
                <w:b/>
                <w:bCs/>
                <w:color w:val="auto"/>
                <w:sz w:val="21"/>
                <w:szCs w:val="21"/>
                <w:highlight w:val="none"/>
                <w:lang w:val="en-US" w:eastAsia="zh-CN"/>
              </w:rPr>
              <w:t xml:space="preserve"> </w:t>
            </w:r>
            <w:r>
              <w:rPr>
                <w:rFonts w:hint="eastAsia" w:ascii="Times New Roman" w:hAnsi="Times New Roman" w:eastAsia="宋体" w:cs="Times New Roman"/>
                <w:b/>
                <w:bCs/>
                <w:i w:val="0"/>
                <w:iCs w:val="0"/>
                <w:caps w:val="0"/>
                <w:color w:val="auto"/>
                <w:spacing w:val="0"/>
                <w:kern w:val="0"/>
                <w:sz w:val="21"/>
                <w:szCs w:val="21"/>
                <w:highlight w:val="none"/>
                <w:shd w:val="clear"/>
                <w:lang w:val="en-US" w:eastAsia="zh-CN"/>
              </w:rPr>
              <w:t>双河</w:t>
            </w:r>
            <w:r>
              <w:rPr>
                <w:rFonts w:hint="eastAsia" w:ascii="Times New Roman" w:hAnsi="Times New Roman" w:eastAsia="宋体" w:cs="Times New Roman"/>
                <w:b/>
                <w:bCs/>
                <w:i w:val="0"/>
                <w:iCs w:val="0"/>
                <w:caps w:val="0"/>
                <w:color w:val="auto"/>
                <w:spacing w:val="0"/>
                <w:kern w:val="0"/>
                <w:sz w:val="21"/>
                <w:szCs w:val="21"/>
                <w:highlight w:val="none"/>
                <w:shd w:val="clear"/>
              </w:rPr>
              <w:t>-钼矿架空线路</w:t>
            </w:r>
            <w:r>
              <w:rPr>
                <w:rFonts w:hint="eastAsia" w:ascii="Times New Roman" w:hAnsi="Times New Roman" w:eastAsia="宋体" w:cs="Times New Roman"/>
                <w:b/>
                <w:bCs/>
                <w:color w:val="auto"/>
                <w:sz w:val="21"/>
                <w:szCs w:val="21"/>
                <w:highlight w:val="none"/>
                <w:lang w:val="en-US" w:eastAsia="zh-CN"/>
              </w:rPr>
              <w:t>比选</w:t>
            </w:r>
            <w:r>
              <w:rPr>
                <w:rFonts w:hint="eastAsia"/>
                <w:b/>
                <w:bCs/>
                <w:color w:val="auto"/>
                <w:sz w:val="21"/>
                <w:szCs w:val="21"/>
                <w:highlight w:val="none"/>
                <w:lang w:val="en-US" w:eastAsia="zh-CN"/>
              </w:rPr>
              <w:t>方案定性分析表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7"/>
              <w:gridCol w:w="2904"/>
              <w:gridCol w:w="3000"/>
              <w:gridCol w:w="1335"/>
            </w:tblGrid>
            <w:tr w14:paraId="605EC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22BBB047">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比选因子</w:t>
                  </w:r>
                </w:p>
              </w:tc>
              <w:tc>
                <w:tcPr>
                  <w:tcW w:w="1615" w:type="pct"/>
                  <w:vAlign w:val="center"/>
                </w:tcPr>
                <w:p w14:paraId="4AA3B768">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比选方案</w:t>
                  </w:r>
                </w:p>
              </w:tc>
              <w:tc>
                <w:tcPr>
                  <w:tcW w:w="1669" w:type="pct"/>
                  <w:vAlign w:val="center"/>
                </w:tcPr>
                <w:p w14:paraId="398E8923">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推荐方案</w:t>
                  </w:r>
                </w:p>
              </w:tc>
              <w:tc>
                <w:tcPr>
                  <w:tcW w:w="742" w:type="pct"/>
                  <w:vAlign w:val="center"/>
                </w:tcPr>
                <w:p w14:paraId="21AE8382">
                  <w:pPr>
                    <w:spacing w:line="24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cs="Times New Roman"/>
                      <w:b/>
                      <w:bCs/>
                      <w:sz w:val="21"/>
                      <w:szCs w:val="21"/>
                      <w:highlight w:val="none"/>
                      <w:vertAlign w:val="baseline"/>
                      <w:lang w:val="en-US" w:eastAsia="zh-CN"/>
                    </w:rPr>
                    <w:t>推荐意见</w:t>
                  </w:r>
                </w:p>
              </w:tc>
            </w:tr>
            <w:tr w14:paraId="529B5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42ADFA88">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生态环境</w:t>
                  </w:r>
                </w:p>
              </w:tc>
              <w:tc>
                <w:tcPr>
                  <w:tcW w:w="1615" w:type="pct"/>
                  <w:vAlign w:val="center"/>
                </w:tcPr>
                <w:p w14:paraId="46BC9940">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输电线路穿越生态保护红线长度为</w:t>
                  </w:r>
                  <w:r>
                    <w:rPr>
                      <w:rFonts w:hint="eastAsia" w:cs="Times New Roman"/>
                      <w:sz w:val="21"/>
                      <w:szCs w:val="21"/>
                      <w:highlight w:val="none"/>
                      <w:vertAlign w:val="baseline"/>
                      <w:lang w:val="en-US" w:eastAsia="zh-CN"/>
                    </w:rPr>
                    <w:t>9.882</w:t>
                  </w:r>
                  <w:r>
                    <w:rPr>
                      <w:rFonts w:hint="default" w:cs="Times New Roman"/>
                      <w:sz w:val="21"/>
                      <w:szCs w:val="21"/>
                      <w:highlight w:val="none"/>
                      <w:vertAlign w:val="baseline"/>
                      <w:lang w:val="en-US" w:eastAsia="zh-CN"/>
                    </w:rPr>
                    <w:t>km</w:t>
                  </w:r>
                  <w:r>
                    <w:rPr>
                      <w:rFonts w:hint="eastAsia" w:cs="Times New Roman"/>
                      <w:sz w:val="21"/>
                      <w:szCs w:val="21"/>
                      <w:highlight w:val="none"/>
                      <w:vertAlign w:val="baseline"/>
                      <w:lang w:val="en-US" w:eastAsia="zh-CN"/>
                    </w:rPr>
                    <w:t>。</w:t>
                  </w:r>
                </w:p>
              </w:tc>
              <w:tc>
                <w:tcPr>
                  <w:tcW w:w="1669" w:type="pct"/>
                  <w:vAlign w:val="center"/>
                </w:tcPr>
                <w:p w14:paraId="05119621">
                  <w:pPr>
                    <w:spacing w:line="240" w:lineRule="auto"/>
                    <w:jc w:val="center"/>
                    <w:rPr>
                      <w:rFonts w:hint="default" w:cs="Times New Roman"/>
                      <w:sz w:val="21"/>
                      <w:szCs w:val="21"/>
                      <w:highlight w:val="none"/>
                      <w:vertAlign w:val="baseline"/>
                      <w:lang w:val="en-US" w:eastAsia="zh-CN"/>
                    </w:rPr>
                  </w:pPr>
                  <w:r>
                    <w:rPr>
                      <w:rFonts w:hint="default" w:cs="Times New Roman"/>
                      <w:sz w:val="21"/>
                      <w:szCs w:val="21"/>
                      <w:highlight w:val="none"/>
                      <w:vertAlign w:val="baseline"/>
                      <w:lang w:val="en-US" w:eastAsia="zh-CN"/>
                    </w:rPr>
                    <w:t>输电线路</w:t>
                  </w:r>
                  <w:r>
                    <w:rPr>
                      <w:rFonts w:hint="eastAsia" w:cs="Times New Roman"/>
                      <w:sz w:val="21"/>
                      <w:szCs w:val="21"/>
                      <w:highlight w:val="none"/>
                      <w:vertAlign w:val="baseline"/>
                      <w:lang w:val="en-US" w:eastAsia="zh-CN"/>
                    </w:rPr>
                    <w:t>略长，</w:t>
                  </w:r>
                  <w:r>
                    <w:rPr>
                      <w:rFonts w:hint="default" w:cs="Times New Roman"/>
                      <w:sz w:val="21"/>
                      <w:szCs w:val="21"/>
                      <w:highlight w:val="none"/>
                      <w:vertAlign w:val="baseline"/>
                      <w:lang w:val="en-US" w:eastAsia="zh-CN"/>
                    </w:rPr>
                    <w:t>穿越生态保护红线长度为</w:t>
                  </w:r>
                  <w:r>
                    <w:rPr>
                      <w:rFonts w:hint="eastAsia" w:cs="Times New Roman"/>
                      <w:sz w:val="21"/>
                      <w:szCs w:val="21"/>
                      <w:highlight w:val="none"/>
                      <w:vertAlign w:val="baseline"/>
                      <w:lang w:val="en-US" w:eastAsia="zh-CN"/>
                    </w:rPr>
                    <w:t>8.414</w:t>
                  </w:r>
                  <w:r>
                    <w:rPr>
                      <w:rFonts w:hint="default" w:cs="Times New Roman"/>
                      <w:sz w:val="21"/>
                      <w:szCs w:val="21"/>
                      <w:highlight w:val="none"/>
                      <w:vertAlign w:val="baseline"/>
                      <w:lang w:val="en-US" w:eastAsia="zh-CN"/>
                    </w:rPr>
                    <w:t>km</w:t>
                  </w:r>
                </w:p>
              </w:tc>
              <w:tc>
                <w:tcPr>
                  <w:tcW w:w="742" w:type="pct"/>
                  <w:vAlign w:val="center"/>
                </w:tcPr>
                <w:p w14:paraId="3C39BE83">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74E57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3D7FF9E3">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施工难度</w:t>
                  </w:r>
                </w:p>
              </w:tc>
              <w:tc>
                <w:tcPr>
                  <w:tcW w:w="1615" w:type="pct"/>
                  <w:vAlign w:val="center"/>
                </w:tcPr>
                <w:p w14:paraId="34249F65">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穿越高密度植被覆盖区较多</w:t>
                  </w:r>
                  <w:r>
                    <w:rPr>
                      <w:rFonts w:hint="default" w:cs="Times New Roman"/>
                      <w:sz w:val="21"/>
                      <w:szCs w:val="21"/>
                      <w:highlight w:val="none"/>
                      <w:vertAlign w:val="baseline"/>
                      <w:lang w:val="en-US" w:eastAsia="zh-CN"/>
                    </w:rPr>
                    <w:t>，</w:t>
                  </w:r>
                  <w:r>
                    <w:rPr>
                      <w:rFonts w:hint="eastAsia" w:cs="Times New Roman"/>
                      <w:sz w:val="21"/>
                      <w:szCs w:val="21"/>
                      <w:highlight w:val="none"/>
                      <w:vertAlign w:val="baseline"/>
                      <w:lang w:val="en-US" w:eastAsia="zh-CN"/>
                    </w:rPr>
                    <w:t>可利用的已有的便道少</w:t>
                  </w:r>
                  <w:r>
                    <w:rPr>
                      <w:rFonts w:hint="default" w:cs="Times New Roman"/>
                      <w:sz w:val="21"/>
                      <w:szCs w:val="21"/>
                      <w:highlight w:val="none"/>
                      <w:vertAlign w:val="baseline"/>
                      <w:lang w:val="en-US" w:eastAsia="zh-CN"/>
                    </w:rPr>
                    <w:t>。</w:t>
                  </w:r>
                </w:p>
              </w:tc>
              <w:tc>
                <w:tcPr>
                  <w:tcW w:w="1669" w:type="pct"/>
                  <w:vAlign w:val="center"/>
                </w:tcPr>
                <w:p w14:paraId="5D36C333">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已有的便道较多，可充分利用</w:t>
                  </w:r>
                  <w:r>
                    <w:rPr>
                      <w:rFonts w:hint="default" w:cs="Times New Roman"/>
                      <w:sz w:val="21"/>
                      <w:szCs w:val="21"/>
                      <w:highlight w:val="none"/>
                      <w:vertAlign w:val="baseline"/>
                      <w:lang w:val="en-US" w:eastAsia="zh-CN"/>
                    </w:rPr>
                    <w:t>。</w:t>
                  </w:r>
                </w:p>
              </w:tc>
              <w:tc>
                <w:tcPr>
                  <w:tcW w:w="742" w:type="pct"/>
                  <w:vAlign w:val="center"/>
                </w:tcPr>
                <w:p w14:paraId="2F4E4024">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55D5C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581C176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建设安全性</w:t>
                  </w:r>
                </w:p>
              </w:tc>
              <w:tc>
                <w:tcPr>
                  <w:tcW w:w="1615" w:type="pct"/>
                  <w:vAlign w:val="center"/>
                </w:tcPr>
                <w:p w14:paraId="165BBDF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输变电线路大部分位于稳定地层，可保障杆塔基础的稳固性</w:t>
                  </w:r>
                  <w:r>
                    <w:rPr>
                      <w:rFonts w:hint="eastAsia" w:cs="Times New Roman"/>
                      <w:sz w:val="21"/>
                      <w:szCs w:val="21"/>
                      <w:highlight w:val="none"/>
                      <w:vertAlign w:val="baseline"/>
                      <w:lang w:val="en-US" w:eastAsia="zh-CN"/>
                    </w:rPr>
                    <w:t>。</w:t>
                  </w:r>
                </w:p>
              </w:tc>
              <w:tc>
                <w:tcPr>
                  <w:tcW w:w="1669" w:type="pct"/>
                  <w:vAlign w:val="center"/>
                </w:tcPr>
                <w:p w14:paraId="51F11B9B">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输变电线路大部分位于稳定地层，可保障杆塔基础的稳固性。</w:t>
                  </w:r>
                </w:p>
              </w:tc>
              <w:tc>
                <w:tcPr>
                  <w:tcW w:w="742" w:type="pct"/>
                  <w:vAlign w:val="center"/>
                </w:tcPr>
                <w:p w14:paraId="35989C05">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两方案相当</w:t>
                  </w:r>
                </w:p>
              </w:tc>
            </w:tr>
            <w:tr w14:paraId="429D0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50C30152">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建设经济性</w:t>
                  </w:r>
                </w:p>
              </w:tc>
              <w:tc>
                <w:tcPr>
                  <w:tcW w:w="1615" w:type="pct"/>
                  <w:vAlign w:val="center"/>
                </w:tcPr>
                <w:p w14:paraId="1FD47FA4">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部分塔基之间横跨峡谷，需增加塔基高度和加重导线，增加建设成本。</w:t>
                  </w:r>
                </w:p>
              </w:tc>
              <w:tc>
                <w:tcPr>
                  <w:tcW w:w="1669" w:type="pct"/>
                  <w:vAlign w:val="center"/>
                </w:tcPr>
                <w:p w14:paraId="555B1832">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绝大部分位于稳定地块，塔基建设投资成本减少，经济性较高。</w:t>
                  </w:r>
                </w:p>
              </w:tc>
              <w:tc>
                <w:tcPr>
                  <w:tcW w:w="742" w:type="pct"/>
                  <w:vAlign w:val="center"/>
                </w:tcPr>
                <w:p w14:paraId="5D6D2856">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推荐方案优</w:t>
                  </w:r>
                </w:p>
              </w:tc>
            </w:tr>
            <w:tr w14:paraId="123EE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2" w:type="pct"/>
                  <w:vAlign w:val="center"/>
                </w:tcPr>
                <w:p w14:paraId="2E7DF816">
                  <w:pPr>
                    <w:spacing w:line="240" w:lineRule="auto"/>
                    <w:jc w:val="center"/>
                    <w:rPr>
                      <w:rFonts w:hint="default"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对周边居民影响</w:t>
                  </w:r>
                </w:p>
              </w:tc>
              <w:tc>
                <w:tcPr>
                  <w:tcW w:w="1615" w:type="pct"/>
                  <w:vAlign w:val="center"/>
                </w:tcPr>
                <w:p w14:paraId="1BDEA873">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与周边居民点保持一定的安全距离。</w:t>
                  </w:r>
                </w:p>
              </w:tc>
              <w:tc>
                <w:tcPr>
                  <w:tcW w:w="1669" w:type="pct"/>
                  <w:vAlign w:val="center"/>
                </w:tcPr>
                <w:p w14:paraId="21E56E6A">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与周边居民点保持一定的安全距离。</w:t>
                  </w:r>
                </w:p>
              </w:tc>
              <w:tc>
                <w:tcPr>
                  <w:tcW w:w="742" w:type="pct"/>
                  <w:vAlign w:val="center"/>
                </w:tcPr>
                <w:p w14:paraId="03AF0756">
                  <w:pPr>
                    <w:spacing w:line="240" w:lineRule="auto"/>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两方案相当</w:t>
                  </w:r>
                </w:p>
              </w:tc>
            </w:tr>
          </w:tbl>
          <w:p w14:paraId="00619449">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（3）比选方案综述</w:t>
            </w:r>
          </w:p>
          <w:p w14:paraId="58893558">
            <w:pPr>
              <w:keepNext w:val="0"/>
              <w:keepLines w:val="0"/>
              <w:widowControl/>
              <w:suppressLineNumbers w:val="0"/>
              <w:spacing w:line="360" w:lineRule="auto"/>
              <w:ind w:firstLine="480" w:firstLineChars="200"/>
              <w:jc w:val="left"/>
              <w:rPr>
                <w:rFonts w:hint="default"/>
                <w:sz w:val="24"/>
                <w:szCs w:val="24"/>
                <w:lang w:val="en-US" w:eastAsia="zh-CN"/>
              </w:rPr>
            </w:pPr>
            <w:r>
              <w:rPr>
                <w:rFonts w:hint="default"/>
                <w:sz w:val="24"/>
                <w:szCs w:val="24"/>
                <w:lang w:val="en-US" w:eastAsia="zh-CN"/>
              </w:rPr>
              <w:t>从生态环境、施工难度、建设安全性、建设经济性对</w:t>
            </w:r>
            <w:r>
              <w:rPr>
                <w:rFonts w:hint="eastAsia"/>
                <w:sz w:val="24"/>
                <w:szCs w:val="24"/>
                <w:lang w:val="en-US" w:eastAsia="zh-CN"/>
              </w:rPr>
              <w:t>比选方案</w:t>
            </w:r>
            <w:r>
              <w:rPr>
                <w:rFonts w:hint="default"/>
                <w:sz w:val="24"/>
                <w:szCs w:val="24"/>
                <w:lang w:val="en-US" w:eastAsia="zh-CN"/>
              </w:rPr>
              <w:t>和</w:t>
            </w:r>
            <w:r>
              <w:rPr>
                <w:rFonts w:hint="eastAsia"/>
                <w:sz w:val="24"/>
                <w:szCs w:val="24"/>
                <w:lang w:val="en-US" w:eastAsia="zh-CN"/>
              </w:rPr>
              <w:t>推荐方案</w:t>
            </w:r>
            <w:r>
              <w:rPr>
                <w:rFonts w:hint="default"/>
                <w:sz w:val="24"/>
                <w:szCs w:val="24"/>
                <w:lang w:val="en-US" w:eastAsia="zh-CN"/>
              </w:rPr>
              <w:t>进行分析，</w:t>
            </w:r>
            <w:r>
              <w:rPr>
                <w:rFonts w:hint="eastAsia"/>
                <w:sz w:val="24"/>
                <w:szCs w:val="24"/>
                <w:lang w:val="en-US" w:eastAsia="zh-CN"/>
              </w:rPr>
              <w:t>推荐方案</w:t>
            </w:r>
            <w:r>
              <w:rPr>
                <w:rFonts w:hint="default"/>
                <w:sz w:val="24"/>
                <w:szCs w:val="24"/>
                <w:lang w:val="en-US" w:eastAsia="zh-CN"/>
              </w:rPr>
              <w:t>较优。</w:t>
            </w:r>
          </w:p>
          <w:p w14:paraId="298CE925">
            <w:pPr>
              <w:keepNext w:val="0"/>
              <w:keepLines w:val="0"/>
              <w:widowControl/>
              <w:suppressLineNumbers w:val="0"/>
              <w:spacing w:line="360" w:lineRule="auto"/>
              <w:ind w:firstLine="480" w:firstLineChars="200"/>
              <w:jc w:val="both"/>
              <w:rPr>
                <w:rFonts w:hint="default"/>
                <w:sz w:val="24"/>
                <w:szCs w:val="24"/>
              </w:rPr>
            </w:pPr>
            <w:r>
              <w:rPr>
                <w:rFonts w:hint="default"/>
                <w:sz w:val="24"/>
                <w:szCs w:val="24"/>
                <w:lang w:eastAsia="zh-CN"/>
              </w:rPr>
              <w:t>对照《</w:t>
            </w:r>
            <w:r>
              <w:rPr>
                <w:rFonts w:hint="eastAsia"/>
                <w:sz w:val="24"/>
                <w:szCs w:val="24"/>
                <w:lang w:eastAsia="zh-CN"/>
              </w:rPr>
              <w:t>安徽省</w:t>
            </w:r>
            <w:r>
              <w:rPr>
                <w:rFonts w:hint="default"/>
                <w:sz w:val="24"/>
                <w:szCs w:val="24"/>
                <w:lang w:eastAsia="zh-CN"/>
              </w:rPr>
              <w:t>人民政府关于加快实施“三线一单”生态环境分区管控的通知》《</w:t>
            </w:r>
            <w:r>
              <w:rPr>
                <w:rFonts w:hint="eastAsia"/>
                <w:sz w:val="24"/>
                <w:szCs w:val="24"/>
                <w:lang w:eastAsia="zh-CN"/>
              </w:rPr>
              <w:t>安徽省</w:t>
            </w:r>
            <w:r>
              <w:rPr>
                <w:rFonts w:hint="default"/>
                <w:sz w:val="24"/>
                <w:szCs w:val="24"/>
                <w:lang w:eastAsia="zh-CN"/>
              </w:rPr>
              <w:t>“三线一单”生态环境分区管控管理办法（暂行）</w:t>
            </w:r>
            <w:r>
              <w:rPr>
                <w:rFonts w:hint="eastAsia"/>
                <w:sz w:val="24"/>
                <w:szCs w:val="24"/>
                <w:lang w:eastAsia="zh-CN"/>
              </w:rPr>
              <w:t>》《安徽省</w:t>
            </w:r>
            <w:r>
              <w:rPr>
                <w:rFonts w:hint="default"/>
                <w:sz w:val="24"/>
                <w:szCs w:val="24"/>
                <w:lang w:eastAsia="zh-CN"/>
              </w:rPr>
              <w:t>“三线一单”公众服务平台》，本工程拟建变电站位于一般管控单元内（管控编码：ZH34152430036）、拟建线路途经一般管控单元（管控编码：ZH34150330101）和</w:t>
            </w:r>
            <w:r>
              <w:rPr>
                <w:rFonts w:hint="default"/>
                <w:sz w:val="24"/>
                <w:szCs w:val="24"/>
                <w:lang w:val="en-US" w:eastAsia="zh-CN"/>
              </w:rPr>
              <w:t>优先保护</w:t>
            </w:r>
            <w:r>
              <w:rPr>
                <w:rFonts w:hint="default"/>
                <w:sz w:val="24"/>
                <w:szCs w:val="24"/>
                <w:lang w:eastAsia="zh-CN"/>
              </w:rPr>
              <w:t>单元（管控编码：</w:t>
            </w:r>
            <w:r>
              <w:rPr>
                <w:rFonts w:hint="default"/>
                <w:sz w:val="24"/>
                <w:szCs w:val="24"/>
                <w:lang w:val="en-US" w:eastAsia="zh-CN"/>
              </w:rPr>
              <w:t>ZH34152410205</w:t>
            </w:r>
            <w:r>
              <w:rPr>
                <w:rFonts w:hint="default"/>
                <w:sz w:val="24"/>
                <w:szCs w:val="24"/>
                <w:lang w:eastAsia="zh-CN"/>
              </w:rPr>
              <w:t>）。对照管控单元生态环境准入清单，</w:t>
            </w:r>
            <w:r>
              <w:rPr>
                <w:rFonts w:hint="eastAsia"/>
                <w:sz w:val="24"/>
                <w:szCs w:val="24"/>
                <w:lang w:eastAsia="zh-CN"/>
              </w:rPr>
              <w:t>本工程</w:t>
            </w:r>
            <w:r>
              <w:rPr>
                <w:rFonts w:hint="default"/>
                <w:sz w:val="24"/>
                <w:szCs w:val="24"/>
                <w:lang w:eastAsia="zh-CN"/>
              </w:rPr>
              <w:t>不属于管控单元内禁止、限制开发建设活动，工程建设符合管控单元的管控要求。</w:t>
            </w:r>
          </w:p>
          <w:p w14:paraId="59613DCE">
            <w:pPr>
              <w:keepNext w:val="0"/>
              <w:keepLines w:val="0"/>
              <w:widowControl/>
              <w:suppressLineNumbers w:val="0"/>
              <w:spacing w:line="360" w:lineRule="auto"/>
              <w:ind w:firstLine="480" w:firstLineChars="200"/>
              <w:jc w:val="left"/>
              <w:rPr>
                <w:rFonts w:hint="default"/>
                <w:sz w:val="24"/>
                <w:szCs w:val="24"/>
              </w:rPr>
            </w:pPr>
            <w:r>
              <w:rPr>
                <w:rFonts w:hint="eastAsia" w:cs="Times New Roman"/>
                <w:color w:val="000000"/>
                <w:kern w:val="0"/>
                <w:sz w:val="24"/>
                <w:szCs w:val="24"/>
                <w:lang w:val="en-US" w:eastAsia="zh-CN" w:bidi="ar"/>
              </w:rPr>
              <w:t>本工程</w:t>
            </w:r>
            <w:r>
              <w:rPr>
                <w:rFonts w:hint="default" w:ascii="Times New Roman" w:hAnsi="Times New Roman" w:eastAsia="宋体" w:cs="Times New Roman"/>
                <w:color w:val="000000"/>
                <w:kern w:val="0"/>
                <w:sz w:val="24"/>
                <w:szCs w:val="24"/>
                <w:lang w:val="en-US" w:eastAsia="zh-CN" w:bidi="ar"/>
              </w:rPr>
              <w:t>已取得自然资源和规划局及当地政府</w:t>
            </w:r>
            <w:r>
              <w:rPr>
                <w:rFonts w:hint="eastAsia" w:ascii="Times New Roman" w:hAnsi="Times New Roman" w:eastAsia="宋体" w:cs="Times New Roman"/>
                <w:color w:val="000000"/>
                <w:kern w:val="0"/>
                <w:sz w:val="24"/>
                <w:szCs w:val="24"/>
                <w:lang w:val="en-US" w:eastAsia="zh-CN" w:bidi="ar"/>
              </w:rPr>
              <w:t>及相关部门</w:t>
            </w:r>
            <w:r>
              <w:rPr>
                <w:rFonts w:hint="default" w:ascii="Times New Roman" w:hAnsi="Times New Roman" w:eastAsia="宋体" w:cs="Times New Roman"/>
                <w:color w:val="000000"/>
                <w:kern w:val="0"/>
                <w:sz w:val="24"/>
                <w:szCs w:val="24"/>
                <w:lang w:val="en-US" w:eastAsia="zh-CN" w:bidi="ar"/>
              </w:rPr>
              <w:t>的</w:t>
            </w:r>
            <w:r>
              <w:rPr>
                <w:rFonts w:hint="eastAsia" w:cs="Times New Roman"/>
                <w:color w:val="000000"/>
                <w:kern w:val="0"/>
                <w:sz w:val="24"/>
                <w:szCs w:val="24"/>
                <w:lang w:val="en-US" w:eastAsia="zh-CN" w:bidi="ar"/>
              </w:rPr>
              <w:t>原则</w:t>
            </w:r>
            <w:r>
              <w:rPr>
                <w:rFonts w:hint="default" w:ascii="Times New Roman" w:hAnsi="Times New Roman" w:eastAsia="宋体" w:cs="Times New Roman"/>
                <w:color w:val="000000"/>
                <w:kern w:val="0"/>
                <w:sz w:val="24"/>
                <w:szCs w:val="24"/>
                <w:lang w:val="en-US" w:eastAsia="zh-CN" w:bidi="ar"/>
              </w:rPr>
              <w:t>同意，符合当地城镇发展的规划要求。因此，</w:t>
            </w:r>
            <w:r>
              <w:rPr>
                <w:rFonts w:hint="eastAsia" w:cs="Times New Roman"/>
                <w:color w:val="000000"/>
                <w:kern w:val="0"/>
                <w:sz w:val="24"/>
                <w:szCs w:val="24"/>
                <w:lang w:val="en-US" w:eastAsia="zh-CN" w:bidi="ar"/>
              </w:rPr>
              <w:t>本工程</w:t>
            </w:r>
            <w:r>
              <w:rPr>
                <w:rFonts w:hint="default" w:ascii="Times New Roman" w:hAnsi="Times New Roman" w:eastAsia="宋体" w:cs="Times New Roman"/>
                <w:color w:val="000000"/>
                <w:kern w:val="0"/>
                <w:sz w:val="24"/>
                <w:szCs w:val="24"/>
                <w:lang w:val="en-US" w:eastAsia="zh-CN" w:bidi="ar"/>
              </w:rPr>
              <w:t>选址选线</w:t>
            </w:r>
            <w:r>
              <w:rPr>
                <w:rFonts w:hint="eastAsia" w:cs="Times New Roman"/>
                <w:color w:val="000000"/>
                <w:kern w:val="0"/>
                <w:sz w:val="24"/>
                <w:szCs w:val="24"/>
                <w:lang w:val="en-US" w:eastAsia="zh-CN" w:bidi="ar"/>
              </w:rPr>
              <w:t>具有合理性</w:t>
            </w:r>
            <w:r>
              <w:rPr>
                <w:rFonts w:hint="default" w:ascii="Times New Roman" w:hAnsi="Times New Roman" w:eastAsia="宋体" w:cs="Times New Roman"/>
                <w:color w:val="000000"/>
                <w:kern w:val="0"/>
                <w:sz w:val="24"/>
                <w:szCs w:val="24"/>
                <w:lang w:val="en-US" w:eastAsia="zh-CN" w:bidi="ar"/>
              </w:rPr>
              <w:t>。</w:t>
            </w:r>
          </w:p>
          <w:p w14:paraId="7A6A4E3D">
            <w:pPr>
              <w:rPr>
                <w:rFonts w:hint="eastAsia"/>
              </w:rPr>
            </w:pPr>
          </w:p>
          <w:p w14:paraId="156CB515">
            <w:pPr>
              <w:rPr>
                <w:rFonts w:hint="eastAsia"/>
              </w:rPr>
            </w:pPr>
          </w:p>
          <w:p w14:paraId="00B83C13">
            <w:pPr>
              <w:rPr>
                <w:rFonts w:hint="eastAsia"/>
              </w:rPr>
            </w:pPr>
          </w:p>
          <w:p w14:paraId="700ACC1E">
            <w:pPr>
              <w:pStyle w:val="36"/>
              <w:ind w:left="0" w:leftChars="0" w:firstLine="0" w:firstLineChars="0"/>
            </w:pPr>
          </w:p>
        </w:tc>
      </w:tr>
    </w:tbl>
    <w:p w14:paraId="488C93F3">
      <w:pPr>
        <w:pStyle w:val="21"/>
        <w:spacing w:before="0" w:line="20" w:lineRule="exact"/>
        <w:ind w:firstLine="0" w:firstLineChars="0"/>
        <w:rPr>
          <w:rFonts w:ascii="Times New Roman" w:hAnsi="Times New Roman"/>
          <w:b/>
          <w:bCs/>
          <w:kern w:val="44"/>
          <w:sz w:val="28"/>
          <w:szCs w:val="28"/>
        </w:rPr>
      </w:pPr>
      <w:r>
        <w:rPr>
          <w:rFonts w:ascii="Times New Roman" w:hAnsi="Times New Roman"/>
        </w:rPr>
        <w:br w:type="page"/>
      </w:r>
    </w:p>
    <w:p w14:paraId="0C536557">
      <w:pPr>
        <w:pStyle w:val="107"/>
        <w:jc w:val="center"/>
        <w:rPr>
          <w:rFonts w:eastAsia="宋体"/>
        </w:rPr>
      </w:pPr>
      <w:bookmarkStart w:id="102" w:name="_Toc18138"/>
      <w:bookmarkStart w:id="103" w:name="_Toc26463"/>
      <w:bookmarkStart w:id="104" w:name="_Toc85013638"/>
      <w:bookmarkStart w:id="105" w:name="_Toc73547124"/>
      <w:bookmarkStart w:id="106" w:name="_Toc25518"/>
      <w:bookmarkStart w:id="107" w:name="_Toc11623"/>
      <w:bookmarkStart w:id="108" w:name="_Toc108987311"/>
      <w:bookmarkStart w:id="109" w:name="_Toc79511876"/>
      <w:bookmarkStart w:id="110" w:name="_Toc101454271"/>
      <w:bookmarkStart w:id="111" w:name="_Toc77769259"/>
      <w:bookmarkStart w:id="112" w:name="_Toc68622118"/>
      <w:r>
        <w:rPr>
          <w:rFonts w:eastAsia="宋体"/>
        </w:rPr>
        <w:t>五、主要生态环境保护措施</w:t>
      </w:r>
      <w:bookmarkEnd w:id="102"/>
      <w:bookmarkEnd w:id="103"/>
      <w:bookmarkEnd w:id="104"/>
      <w:bookmarkEnd w:id="105"/>
      <w:bookmarkEnd w:id="106"/>
      <w:bookmarkEnd w:id="107"/>
      <w:bookmarkEnd w:id="108"/>
      <w:bookmarkEnd w:id="109"/>
      <w:bookmarkEnd w:id="110"/>
      <w:bookmarkEnd w:id="111"/>
    </w:p>
    <w:p w14:paraId="3BFD3C9D">
      <w:pPr>
        <w:spacing w:line="100" w:lineRule="exact"/>
        <w:jc w:val="left"/>
        <w:rPr>
          <w:b/>
          <w:bCs/>
          <w:kern w:val="44"/>
          <w:sz w:val="28"/>
          <w:szCs w:val="28"/>
        </w:rPr>
      </w:pPr>
    </w:p>
    <w:tbl>
      <w:tblPr>
        <w:tblStyle w:val="37"/>
        <w:tblW w:w="490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57"/>
        <w:gridCol w:w="9202"/>
      </w:tblGrid>
      <w:tr w14:paraId="6D7766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6" w:type="pct"/>
            <w:vAlign w:val="center"/>
          </w:tcPr>
          <w:p w14:paraId="713DC2D0">
            <w:pPr>
              <w:rPr>
                <w:b/>
                <w:bCs/>
                <w:sz w:val="24"/>
                <w:szCs w:val="24"/>
              </w:rPr>
            </w:pPr>
            <w:bookmarkStart w:id="113" w:name="_Hlk102826281"/>
            <w:r>
              <w:rPr>
                <w:b/>
                <w:bCs/>
                <w:sz w:val="24"/>
                <w:szCs w:val="24"/>
              </w:rPr>
              <w:t>施工期生态环境保护措施</w:t>
            </w:r>
          </w:p>
        </w:tc>
        <w:tc>
          <w:tcPr>
            <w:tcW w:w="4763" w:type="pct"/>
          </w:tcPr>
          <w:p w14:paraId="1E84ED29">
            <w:pPr>
              <w:spacing w:line="360" w:lineRule="auto"/>
              <w:rPr>
                <w:b/>
                <w:bCs/>
                <w:sz w:val="24"/>
                <w:szCs w:val="24"/>
              </w:rPr>
            </w:pPr>
            <w:r>
              <w:rPr>
                <w:rFonts w:hint="eastAsia"/>
                <w:b/>
                <w:bCs/>
                <w:sz w:val="24"/>
                <w:szCs w:val="24"/>
                <w:lang w:val="en-US" w:eastAsia="zh-CN"/>
              </w:rPr>
              <w:t>5.</w:t>
            </w:r>
            <w:r>
              <w:rPr>
                <w:b/>
                <w:bCs/>
                <w:sz w:val="24"/>
                <w:szCs w:val="24"/>
              </w:rPr>
              <w:t>1、生态环境影响保护措施</w:t>
            </w:r>
          </w:p>
          <w:p w14:paraId="300B5578">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1</w:t>
            </w:r>
            <w:r>
              <w:rPr>
                <w:rFonts w:hint="eastAsia"/>
                <w:sz w:val="24"/>
                <w:szCs w:val="24"/>
                <w:lang w:val="en-US" w:eastAsia="zh-CN"/>
              </w:rPr>
              <w:t>）规范施工</w:t>
            </w:r>
          </w:p>
          <w:p w14:paraId="4050EBD1">
            <w:pPr>
              <w:spacing w:line="360" w:lineRule="auto"/>
              <w:ind w:firstLine="480" w:firstLineChars="200"/>
              <w:rPr>
                <w:sz w:val="24"/>
                <w:szCs w:val="24"/>
              </w:rPr>
            </w:pPr>
            <w:r>
              <w:rPr>
                <w:rFonts w:hint="eastAsia"/>
                <w:sz w:val="24"/>
                <w:szCs w:val="24"/>
                <w:lang w:val="en-US" w:eastAsia="zh-CN"/>
              </w:rPr>
              <w:t>①加强对管理人员和施工人员的思想教育，增强其生态环保意识；</w:t>
            </w:r>
          </w:p>
          <w:p w14:paraId="601D1706">
            <w:pPr>
              <w:spacing w:line="360" w:lineRule="auto"/>
              <w:ind w:firstLine="480" w:firstLineChars="200"/>
              <w:rPr>
                <w:sz w:val="24"/>
                <w:szCs w:val="24"/>
              </w:rPr>
            </w:pPr>
            <w:r>
              <w:rPr>
                <w:rFonts w:hint="eastAsia"/>
                <w:sz w:val="24"/>
                <w:szCs w:val="24"/>
                <w:lang w:val="en-US" w:eastAsia="zh-CN"/>
              </w:rPr>
              <w:t>②严格要求施工人员注意保护当地植被，禁止随意砍伐灌木、割草等行为；</w:t>
            </w:r>
          </w:p>
          <w:p w14:paraId="0BDF2828">
            <w:pPr>
              <w:spacing w:line="360" w:lineRule="auto"/>
              <w:ind w:firstLine="480" w:firstLineChars="200"/>
              <w:rPr>
                <w:sz w:val="24"/>
                <w:szCs w:val="24"/>
              </w:rPr>
            </w:pPr>
            <w:r>
              <w:rPr>
                <w:rFonts w:hint="eastAsia"/>
                <w:sz w:val="24"/>
                <w:szCs w:val="24"/>
                <w:lang w:val="en-US" w:eastAsia="zh-CN"/>
              </w:rPr>
              <w:t>③施工人员和施工机械不得在规定区域范围外随意活动和行驶；</w:t>
            </w:r>
          </w:p>
          <w:p w14:paraId="458B21F8">
            <w:pPr>
              <w:spacing w:line="360" w:lineRule="auto"/>
              <w:ind w:firstLine="480" w:firstLineChars="200"/>
              <w:rPr>
                <w:sz w:val="24"/>
                <w:szCs w:val="24"/>
              </w:rPr>
            </w:pPr>
            <w:r>
              <w:rPr>
                <w:rFonts w:hint="eastAsia"/>
                <w:sz w:val="24"/>
                <w:szCs w:val="24"/>
                <w:lang w:val="en-US" w:eastAsia="zh-CN"/>
              </w:rPr>
              <w:t>④明确规定生活污水、生活垃圾和建筑垃圾集中收集、集中处理，不得随意外排或丢弃。</w:t>
            </w:r>
          </w:p>
          <w:p w14:paraId="5118E2CF">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2</w:t>
            </w:r>
            <w:r>
              <w:rPr>
                <w:rFonts w:hint="eastAsia"/>
                <w:sz w:val="24"/>
                <w:szCs w:val="24"/>
                <w:lang w:val="en-US" w:eastAsia="zh-CN"/>
              </w:rPr>
              <w:t>）表土保护</w:t>
            </w:r>
          </w:p>
          <w:p w14:paraId="793C88C8">
            <w:pPr>
              <w:spacing w:line="360" w:lineRule="auto"/>
              <w:ind w:firstLine="480" w:firstLineChars="200"/>
              <w:rPr>
                <w:sz w:val="24"/>
                <w:szCs w:val="24"/>
              </w:rPr>
            </w:pPr>
            <w:r>
              <w:rPr>
                <w:rFonts w:hint="eastAsia"/>
                <w:sz w:val="24"/>
                <w:szCs w:val="24"/>
                <w:lang w:val="en-US" w:eastAsia="zh-CN"/>
              </w:rPr>
              <w:t>①合理规划、设计施工便道，并要求各种机械和车辆固定行车路线。不能随意下道行驶或另开辟便道，以保证周围地表和植被不受破坏；</w:t>
            </w:r>
          </w:p>
          <w:p w14:paraId="34E78C65">
            <w:pPr>
              <w:spacing w:line="360" w:lineRule="auto"/>
              <w:ind w:firstLine="480" w:firstLineChars="200"/>
              <w:rPr>
                <w:sz w:val="24"/>
                <w:szCs w:val="24"/>
              </w:rPr>
            </w:pPr>
            <w:r>
              <w:rPr>
                <w:rFonts w:hint="eastAsia"/>
                <w:sz w:val="24"/>
                <w:szCs w:val="24"/>
                <w:lang w:val="en-US" w:eastAsia="zh-CN"/>
              </w:rPr>
              <w:t>②合理安排施工时间，避开雨季。施工前，对临时占地内表土进行剥离，与开挖的土石方分别堆放，并采用彩条布苫盖等防护措施；</w:t>
            </w:r>
          </w:p>
          <w:p w14:paraId="2644A843">
            <w:pPr>
              <w:spacing w:line="360" w:lineRule="auto"/>
              <w:ind w:firstLine="480" w:firstLineChars="200"/>
              <w:rPr>
                <w:sz w:val="24"/>
                <w:szCs w:val="24"/>
              </w:rPr>
            </w:pPr>
            <w:r>
              <w:rPr>
                <w:rFonts w:hint="eastAsia"/>
                <w:sz w:val="24"/>
                <w:szCs w:val="24"/>
                <w:lang w:val="en-US" w:eastAsia="zh-CN"/>
              </w:rPr>
              <w:t>③牵张场等临时占地在施工结束后，尽快恢复其原有土壤功能和植被形态。</w:t>
            </w:r>
          </w:p>
          <w:p w14:paraId="5E5B3EDD">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3</w:t>
            </w:r>
            <w:r>
              <w:rPr>
                <w:rFonts w:hint="eastAsia"/>
                <w:sz w:val="24"/>
                <w:szCs w:val="24"/>
                <w:lang w:val="en-US" w:eastAsia="zh-CN"/>
              </w:rPr>
              <w:t>）土地利用保护</w:t>
            </w:r>
          </w:p>
          <w:p w14:paraId="60D14BB5">
            <w:pPr>
              <w:spacing w:line="360" w:lineRule="auto"/>
              <w:ind w:firstLine="480" w:firstLineChars="200"/>
              <w:rPr>
                <w:sz w:val="24"/>
                <w:szCs w:val="24"/>
              </w:rPr>
            </w:pPr>
            <w:r>
              <w:rPr>
                <w:rFonts w:hint="eastAsia"/>
                <w:sz w:val="24"/>
                <w:szCs w:val="24"/>
                <w:lang w:val="en-US" w:eastAsia="zh-CN"/>
              </w:rPr>
              <w:t>①合理组织施工，施工区域相对集中，减少施工临时用地；缩小施工作业范围，避免大规模开挖；施工人员和机械不得在规定区域外活动；</w:t>
            </w:r>
          </w:p>
          <w:p w14:paraId="4CCF8E19">
            <w:pPr>
              <w:spacing w:line="360" w:lineRule="auto"/>
              <w:ind w:firstLine="480" w:firstLineChars="200"/>
              <w:rPr>
                <w:sz w:val="24"/>
                <w:szCs w:val="24"/>
              </w:rPr>
            </w:pPr>
            <w:r>
              <w:rPr>
                <w:rFonts w:hint="eastAsia"/>
                <w:sz w:val="24"/>
                <w:szCs w:val="24"/>
                <w:lang w:val="en-US" w:eastAsia="zh-CN"/>
              </w:rPr>
              <w:t>②施工开挖作业面及时平整，临时堆土合理堆放；加大土石方的调配力度，进行充分的移挖作填，减少弃土弃渣量；</w:t>
            </w:r>
          </w:p>
          <w:p w14:paraId="7B741C25">
            <w:pPr>
              <w:spacing w:line="360" w:lineRule="auto"/>
              <w:ind w:firstLine="480" w:firstLineChars="200"/>
              <w:rPr>
                <w:sz w:val="24"/>
                <w:szCs w:val="24"/>
              </w:rPr>
            </w:pPr>
            <w:r>
              <w:rPr>
                <w:rFonts w:hint="eastAsia"/>
                <w:sz w:val="24"/>
                <w:szCs w:val="24"/>
                <w:lang w:val="en-US" w:eastAsia="zh-CN"/>
              </w:rPr>
              <w:t>③施工材料有序堆放，减少对周围的生态破坏。排管沟槽挖土可采用人工挖土，减少施工机械进出场对周围环境的影响；</w:t>
            </w:r>
          </w:p>
          <w:p w14:paraId="22B7E759">
            <w:pPr>
              <w:spacing w:line="360" w:lineRule="auto"/>
              <w:ind w:firstLine="480" w:firstLineChars="200"/>
              <w:rPr>
                <w:sz w:val="24"/>
                <w:szCs w:val="24"/>
              </w:rPr>
            </w:pPr>
            <w:r>
              <w:rPr>
                <w:rFonts w:hint="eastAsia"/>
                <w:sz w:val="24"/>
                <w:szCs w:val="24"/>
                <w:lang w:val="en-US" w:eastAsia="zh-CN"/>
              </w:rPr>
              <w:t>④基础开挖时根据地形要素选择对应的基础减少对环境的不良影响；线路施工放线时优先采用无人机放线等新技术，减少施工临时占地；</w:t>
            </w:r>
          </w:p>
          <w:p w14:paraId="75D0ED25">
            <w:pPr>
              <w:spacing w:line="360" w:lineRule="auto"/>
              <w:ind w:firstLine="480" w:firstLineChars="200"/>
              <w:rPr>
                <w:sz w:val="24"/>
                <w:szCs w:val="24"/>
              </w:rPr>
            </w:pPr>
            <w:r>
              <w:rPr>
                <w:rFonts w:hint="eastAsia"/>
                <w:sz w:val="24"/>
                <w:szCs w:val="24"/>
                <w:lang w:val="en-US" w:eastAsia="zh-CN"/>
              </w:rPr>
              <w:t>⑤施工临时用地使用完毕，施工单位必须按土地原使用功能进行恢复，占用土地采取绿化、平整等措施恢复或改善原有的植被状况。</w:t>
            </w:r>
          </w:p>
          <w:p w14:paraId="514DBCF6">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4</w:t>
            </w:r>
            <w:r>
              <w:rPr>
                <w:rFonts w:hint="eastAsia"/>
                <w:sz w:val="24"/>
                <w:szCs w:val="24"/>
                <w:lang w:val="en-US" w:eastAsia="zh-CN"/>
              </w:rPr>
              <w:t>）水土流失</w:t>
            </w:r>
          </w:p>
          <w:p w14:paraId="42D14AEA">
            <w:pPr>
              <w:spacing w:line="360" w:lineRule="auto"/>
              <w:ind w:firstLine="480" w:firstLineChars="200"/>
              <w:rPr>
                <w:sz w:val="24"/>
                <w:szCs w:val="24"/>
              </w:rPr>
            </w:pPr>
            <w:r>
              <w:rPr>
                <w:rFonts w:hint="default"/>
                <w:sz w:val="24"/>
                <w:szCs w:val="24"/>
                <w:lang w:val="en-US" w:eastAsia="zh-CN"/>
              </w:rPr>
              <w:t>1</w:t>
            </w:r>
            <w:r>
              <w:rPr>
                <w:rFonts w:hint="eastAsia"/>
                <w:sz w:val="24"/>
                <w:szCs w:val="24"/>
                <w:lang w:val="en-US" w:eastAsia="zh-CN"/>
              </w:rPr>
              <w:t>）工程措施：</w:t>
            </w:r>
          </w:p>
          <w:p w14:paraId="7B3FECF9">
            <w:pPr>
              <w:spacing w:line="360" w:lineRule="auto"/>
              <w:ind w:firstLine="480" w:firstLineChars="200"/>
              <w:rPr>
                <w:sz w:val="24"/>
                <w:szCs w:val="24"/>
              </w:rPr>
            </w:pPr>
            <w:r>
              <w:rPr>
                <w:rFonts w:hint="eastAsia"/>
                <w:sz w:val="24"/>
                <w:szCs w:val="24"/>
                <w:lang w:val="en-US" w:eastAsia="zh-CN"/>
              </w:rPr>
              <w:t>①输电线路塔基施工区域施工前剥离表土，施工结束后进行场地清理、坑洼回填，土地整治后恢复表土。对泥浆池区域，待钻渣泥浆固化后，对占地区域进行土地平整并及时采取植被恢复等措施，防止因雨水冲刷造成水土流失。</w:t>
            </w:r>
          </w:p>
          <w:p w14:paraId="607F74B7">
            <w:pPr>
              <w:spacing w:line="360" w:lineRule="auto"/>
              <w:ind w:firstLine="480" w:firstLineChars="200"/>
              <w:rPr>
                <w:sz w:val="24"/>
                <w:szCs w:val="24"/>
              </w:rPr>
            </w:pPr>
            <w:r>
              <w:rPr>
                <w:rFonts w:hint="eastAsia"/>
                <w:sz w:val="24"/>
                <w:szCs w:val="24"/>
                <w:lang w:val="en-US" w:eastAsia="zh-CN"/>
              </w:rPr>
              <w:t>②对变电站施工生产内主要道路采取硬化措施，局部采取铺设草皮等植被覆盖措施，防止因雨水冲刷造成水土流失。</w:t>
            </w:r>
          </w:p>
          <w:p w14:paraId="617A0B35">
            <w:pPr>
              <w:spacing w:line="360" w:lineRule="auto"/>
              <w:ind w:firstLine="480" w:firstLineChars="200"/>
              <w:rPr>
                <w:rFonts w:hint="eastAsia"/>
                <w:sz w:val="24"/>
                <w:szCs w:val="24"/>
                <w:lang w:val="en-US" w:eastAsia="zh-CN"/>
              </w:rPr>
            </w:pPr>
            <w:r>
              <w:rPr>
                <w:rFonts w:hint="default"/>
                <w:sz w:val="24"/>
                <w:szCs w:val="24"/>
                <w:lang w:val="en-US" w:eastAsia="zh-CN"/>
              </w:rPr>
              <w:t>2</w:t>
            </w:r>
            <w:r>
              <w:rPr>
                <w:rFonts w:hint="eastAsia"/>
                <w:sz w:val="24"/>
                <w:szCs w:val="24"/>
                <w:lang w:val="en-US" w:eastAsia="zh-CN"/>
              </w:rPr>
              <w:t>）植物措施：施工结束后对施工营地及其他临时占地采取植被恢复或恢复耕种。</w:t>
            </w:r>
          </w:p>
          <w:p w14:paraId="2D6C9E31">
            <w:pPr>
              <w:spacing w:line="360" w:lineRule="auto"/>
              <w:ind w:firstLine="480" w:firstLineChars="200"/>
              <w:rPr>
                <w:sz w:val="24"/>
                <w:szCs w:val="24"/>
              </w:rPr>
            </w:pPr>
            <w:r>
              <w:rPr>
                <w:rFonts w:hint="default"/>
                <w:sz w:val="24"/>
                <w:szCs w:val="24"/>
                <w:lang w:val="en-US" w:eastAsia="zh-CN"/>
              </w:rPr>
              <w:t>3</w:t>
            </w:r>
            <w:r>
              <w:rPr>
                <w:rFonts w:hint="eastAsia"/>
                <w:sz w:val="24"/>
                <w:szCs w:val="24"/>
                <w:lang w:val="en-US" w:eastAsia="zh-CN"/>
              </w:rPr>
              <w:t>）临时措施：由于施工时对地表土壤扰动较大，因此需采取措施对塔基基础及开挖产生的泥浆进行处理，沉沙池采用深挖方式，边坡采取防水布进行苫盖，防止因施工场地内废水及雨水随意流淌造成水土流失。临时堆土夯实防护、塑料彩条布铺垫及苫盖，灌注桩施工前，先对塔基临时施工占地区剥离表层土，剥离的表层土全部装入编织袋内，根据需要围挡在灌注桩基础施工区域外围和泥浆沉淀池周围，施工结束后拆除编织袋拦挡，恢复塔基区表土。基础挖方土可临时堆放在塔基四周，表土与基础挖方土需用塑料彩条布进行隔离，堆放于塔基周围的土方边坡采用素土夯实即可，在暴雨或大风季节，用塑料彩条布苫盖。</w:t>
            </w:r>
          </w:p>
          <w:p w14:paraId="18C51D95">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5</w:t>
            </w:r>
            <w:r>
              <w:rPr>
                <w:rFonts w:hint="eastAsia"/>
                <w:sz w:val="24"/>
                <w:szCs w:val="24"/>
                <w:lang w:val="en-US" w:eastAsia="zh-CN"/>
              </w:rPr>
              <w:t>）临时用地生态保护恢复措施</w:t>
            </w:r>
          </w:p>
          <w:p w14:paraId="2BA2CA46">
            <w:pPr>
              <w:spacing w:line="360" w:lineRule="auto"/>
              <w:ind w:firstLine="480" w:firstLineChars="200"/>
              <w:rPr>
                <w:sz w:val="24"/>
                <w:szCs w:val="24"/>
              </w:rPr>
            </w:pPr>
            <w:r>
              <w:rPr>
                <w:rFonts w:hint="default"/>
                <w:sz w:val="24"/>
                <w:szCs w:val="24"/>
                <w:lang w:val="en-US" w:eastAsia="zh-CN"/>
              </w:rPr>
              <w:t>1</w:t>
            </w:r>
            <w:r>
              <w:rPr>
                <w:rFonts w:hint="eastAsia"/>
                <w:sz w:val="24"/>
                <w:szCs w:val="24"/>
                <w:lang w:val="en-US" w:eastAsia="zh-CN"/>
              </w:rPr>
              <w:t>）保护措施：划定作业边界，严禁超界占用和破坏沿线的其他植被；合理组织施工，缩短工期，避免雨季施工等措施减少水土流失；剥离和保存土方施工过程中耕植表土，注意表土堆场的防护。表土临时堆土场遇降雨采用彩条布进行临时苫盖，四周用沙袋或石块压脚；堆场四周修建临时截水沟和沉砂池。加强对开挖土石方的规范的管理和处理，充分利用土石方和建筑垃圾，尽量避免产生弃土、弃渣，将工程施工过程中的水土流失降低到最低限度。</w:t>
            </w:r>
          </w:p>
          <w:p w14:paraId="2DE8BD92">
            <w:pPr>
              <w:spacing w:line="360" w:lineRule="auto"/>
              <w:ind w:firstLine="480" w:firstLineChars="200"/>
              <w:rPr>
                <w:sz w:val="24"/>
                <w:szCs w:val="24"/>
              </w:rPr>
            </w:pPr>
            <w:r>
              <w:rPr>
                <w:rFonts w:hint="default"/>
                <w:sz w:val="24"/>
                <w:szCs w:val="24"/>
                <w:lang w:val="en-US" w:eastAsia="zh-CN"/>
              </w:rPr>
              <w:t>2</w:t>
            </w:r>
            <w:r>
              <w:rPr>
                <w:rFonts w:hint="eastAsia"/>
                <w:sz w:val="24"/>
                <w:szCs w:val="24"/>
                <w:lang w:val="en-US" w:eastAsia="zh-CN"/>
              </w:rPr>
              <w:t>）恢复利用方式：对临时施工场地按照原使用功能进行恢复即现状为耕地恢复为耕地，现状为植被的应采取植被恢复措施。施工结束后对迹地松土平整，其中临时堆土场周边应设置防护墙，四周采用袋装土防护。对于临时堆土场等临时场地利用前，首先对剥离的表土及场地内临建设施基坑开挖土方进行暂存，并采取防护措施，四周采用袋装土防护。在施工过程中需在场地周边开挖临时简易排水沟，排水沟不能直接与现有沟渠相连，应在其间设置沉沙池。场地裸露地表在雨水冲蚀下极易造成水土流失，需采取临时压盖等措施。</w:t>
            </w:r>
          </w:p>
          <w:p w14:paraId="32AF5628">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6</w:t>
            </w:r>
            <w:r>
              <w:rPr>
                <w:rFonts w:hint="eastAsia"/>
                <w:sz w:val="24"/>
                <w:szCs w:val="24"/>
                <w:lang w:val="en-US" w:eastAsia="zh-CN"/>
              </w:rPr>
              <w:t>）植被恢复措施</w:t>
            </w:r>
          </w:p>
          <w:p w14:paraId="6ED29468">
            <w:pPr>
              <w:spacing w:line="360" w:lineRule="auto"/>
              <w:ind w:firstLine="480" w:firstLineChars="200"/>
              <w:rPr>
                <w:sz w:val="24"/>
                <w:szCs w:val="24"/>
              </w:rPr>
            </w:pPr>
            <w:r>
              <w:rPr>
                <w:rFonts w:hint="default"/>
                <w:sz w:val="24"/>
                <w:szCs w:val="24"/>
                <w:lang w:val="en-US" w:eastAsia="zh-CN"/>
              </w:rPr>
              <w:t>1</w:t>
            </w:r>
            <w:r>
              <w:rPr>
                <w:rFonts w:hint="eastAsia"/>
                <w:sz w:val="24"/>
                <w:szCs w:val="24"/>
                <w:lang w:val="en-US" w:eastAsia="zh-CN"/>
              </w:rPr>
              <w:t>）施工前对施工临时占地选址进行多地比选，优先选择生态影响小，周边环境敏感目标较少的位置布置，场地布置要进行严格的审查，充分利用现有地形地势，合理布局，优化施工，既少占农田，又方便施工。</w:t>
            </w:r>
          </w:p>
          <w:p w14:paraId="57EFEA2E">
            <w:pPr>
              <w:spacing w:line="360" w:lineRule="auto"/>
              <w:ind w:firstLine="480" w:firstLineChars="200"/>
              <w:rPr>
                <w:sz w:val="24"/>
                <w:szCs w:val="24"/>
              </w:rPr>
            </w:pPr>
            <w:r>
              <w:rPr>
                <w:rFonts w:hint="default"/>
                <w:sz w:val="24"/>
                <w:szCs w:val="24"/>
                <w:lang w:val="en-US" w:eastAsia="zh-CN"/>
              </w:rPr>
              <w:t>2</w:t>
            </w:r>
            <w:r>
              <w:rPr>
                <w:rFonts w:hint="eastAsia"/>
                <w:sz w:val="24"/>
                <w:szCs w:val="24"/>
                <w:lang w:val="en-US" w:eastAsia="zh-CN"/>
              </w:rPr>
              <w:t>）严格按照设计文件确定征占土地范围，施工道路选择优先利用场地内现有道路，不得随意开辟施工便道；施工作业过程严格控制作业区域，减少不必要的碾压和破坏。</w:t>
            </w:r>
          </w:p>
          <w:p w14:paraId="350770F0">
            <w:pPr>
              <w:spacing w:line="360" w:lineRule="auto"/>
              <w:ind w:firstLine="480" w:firstLineChars="200"/>
              <w:rPr>
                <w:sz w:val="24"/>
                <w:szCs w:val="24"/>
              </w:rPr>
            </w:pPr>
            <w:r>
              <w:rPr>
                <w:rFonts w:hint="default"/>
                <w:sz w:val="24"/>
                <w:szCs w:val="24"/>
                <w:lang w:val="en-US" w:eastAsia="zh-CN"/>
              </w:rPr>
              <w:t>3</w:t>
            </w:r>
            <w:r>
              <w:rPr>
                <w:rFonts w:hint="eastAsia"/>
                <w:sz w:val="24"/>
                <w:szCs w:val="24"/>
                <w:lang w:val="en-US" w:eastAsia="zh-CN"/>
              </w:rPr>
              <w:t>）工程施工过程中，对固废堆放严格管理，不允许将工程临时废渣随处乱排。</w:t>
            </w:r>
          </w:p>
          <w:p w14:paraId="38C88021">
            <w:pPr>
              <w:spacing w:line="360" w:lineRule="auto"/>
              <w:ind w:firstLine="480" w:firstLineChars="200"/>
              <w:rPr>
                <w:sz w:val="24"/>
                <w:szCs w:val="24"/>
              </w:rPr>
            </w:pPr>
            <w:r>
              <w:rPr>
                <w:rFonts w:hint="default"/>
                <w:sz w:val="24"/>
                <w:szCs w:val="24"/>
                <w:lang w:val="en-US" w:eastAsia="zh-CN"/>
              </w:rPr>
              <w:t>4</w:t>
            </w:r>
            <w:r>
              <w:rPr>
                <w:rFonts w:hint="eastAsia"/>
                <w:sz w:val="24"/>
                <w:szCs w:val="24"/>
                <w:lang w:val="en-US" w:eastAsia="zh-CN"/>
              </w:rPr>
              <w:t>）基础等开挖时，表土剥离单独堆放，用于今后的回填及生态恢复；表土堆场采取临时防护措施：设土袋挡护、拍实、表层覆盖草垫或苫盖纤维布等其他覆盖物。</w:t>
            </w:r>
          </w:p>
          <w:p w14:paraId="5F484C11">
            <w:pPr>
              <w:spacing w:line="360" w:lineRule="auto"/>
              <w:ind w:firstLine="480" w:firstLineChars="200"/>
              <w:rPr>
                <w:sz w:val="24"/>
                <w:szCs w:val="24"/>
              </w:rPr>
            </w:pPr>
            <w:r>
              <w:rPr>
                <w:rFonts w:hint="default"/>
                <w:sz w:val="24"/>
                <w:szCs w:val="24"/>
                <w:lang w:val="en-US" w:eastAsia="zh-CN"/>
              </w:rPr>
              <w:t>5</w:t>
            </w:r>
            <w:r>
              <w:rPr>
                <w:rFonts w:hint="eastAsia"/>
                <w:sz w:val="24"/>
                <w:szCs w:val="24"/>
                <w:lang w:val="en-US" w:eastAsia="zh-CN"/>
              </w:rPr>
              <w:t>）杆塔基础施工而造成裸露的土地应在施工结束后立即整治利用，恢复植被，绿化恢复时尽量使用本地植物种类。</w:t>
            </w:r>
          </w:p>
          <w:p w14:paraId="4357E515">
            <w:pPr>
              <w:spacing w:line="360" w:lineRule="auto"/>
              <w:ind w:firstLine="480" w:firstLineChars="200"/>
              <w:rPr>
                <w:rFonts w:hint="eastAsia"/>
                <w:sz w:val="24"/>
                <w:szCs w:val="24"/>
                <w:lang w:val="en-US" w:eastAsia="zh-CN"/>
              </w:rPr>
            </w:pPr>
            <w:r>
              <w:rPr>
                <w:rFonts w:hint="default"/>
                <w:sz w:val="24"/>
                <w:szCs w:val="24"/>
                <w:lang w:val="en-US" w:eastAsia="zh-CN"/>
              </w:rPr>
              <w:t>6</w:t>
            </w:r>
            <w:r>
              <w:rPr>
                <w:rFonts w:hint="eastAsia"/>
                <w:sz w:val="24"/>
                <w:szCs w:val="24"/>
                <w:lang w:val="en-US" w:eastAsia="zh-CN"/>
              </w:rPr>
              <w:t>）要加强对施工人员的生态保护教育，增强其生态保护意识，杜绝施工人员随意破坏植被。</w:t>
            </w:r>
          </w:p>
          <w:p w14:paraId="5ECDD11F">
            <w:pPr>
              <w:spacing w:line="360" w:lineRule="auto"/>
              <w:ind w:firstLine="480" w:firstLineChars="200"/>
              <w:rPr>
                <w:rFonts w:hint="default"/>
                <w:sz w:val="24"/>
                <w:szCs w:val="24"/>
                <w:lang w:val="en-US" w:eastAsia="zh-CN"/>
              </w:rPr>
            </w:pPr>
            <w:r>
              <w:rPr>
                <w:rFonts w:hint="eastAsia"/>
                <w:sz w:val="24"/>
                <w:szCs w:val="24"/>
                <w:lang w:val="en-US" w:eastAsia="zh-CN"/>
              </w:rPr>
              <w:t>（7）生态敏感区保护措施</w:t>
            </w:r>
          </w:p>
          <w:p w14:paraId="69773BB1">
            <w:pPr>
              <w:spacing w:line="360" w:lineRule="auto"/>
              <w:ind w:firstLine="480" w:firstLineChars="200"/>
              <w:rPr>
                <w:rFonts w:hint="eastAsia"/>
                <w:sz w:val="24"/>
                <w:szCs w:val="24"/>
                <w:lang w:val="en-US" w:eastAsia="zh-CN"/>
              </w:rPr>
            </w:pPr>
            <w:r>
              <w:rPr>
                <w:rFonts w:hint="eastAsia"/>
                <w:sz w:val="24"/>
                <w:szCs w:val="24"/>
                <w:lang w:val="en-US" w:eastAsia="zh-CN"/>
              </w:rPr>
              <w:t>1）加强施工过程的管理，提醒施工人员要保护生态环境，严格控制施工影响范围，确定适宜的施工季节和施工方式，避开鸟类迁徙越冬季节，减少对环境保护对象的不利影响，减轻对沿线自然生态、生物资源的影响。</w:t>
            </w:r>
          </w:p>
          <w:p w14:paraId="68315A43">
            <w:pPr>
              <w:spacing w:line="360" w:lineRule="auto"/>
              <w:ind w:firstLine="480" w:firstLineChars="200"/>
              <w:rPr>
                <w:rFonts w:hint="eastAsia"/>
                <w:sz w:val="24"/>
                <w:szCs w:val="24"/>
                <w:lang w:val="en-US" w:eastAsia="zh-CN"/>
              </w:rPr>
            </w:pPr>
            <w:r>
              <w:rPr>
                <w:rFonts w:hint="eastAsia"/>
                <w:sz w:val="24"/>
                <w:szCs w:val="24"/>
                <w:lang w:val="en-US" w:eastAsia="zh-CN"/>
              </w:rPr>
              <w:t>2）优化工程设计，强化施工管理，合理控制施工范围，减少占用生态保护红线、公益林和永久基本农田，严禁在生态保护红线、公益林和永久基本农田范围内设置取土场、弃土场；生态红线、公益林和永久基本农田内优先采用人畜运输或无人机运输材料，架线施工优先利用无人机放线方式等施工工艺，以减少破坏植被；因地制宜选用合适的铁塔和基础，塔基施工主要采取人工开挖方式，塔基开挖后根据地形修建护坡和排水沟，防止雨水冲刷导致水土流失；工程建成后对塔基处进行绿化或恢复原有土地功能，以尽量减少对穿越生态保护红线、公益林和永久基本农田的影响；使用林地批准后，自觉接受主管部门监督，防止施工过程中扩大林地使用面积，加强对周边生态的保护，采用生物措施和工程护坡措施以减少水土流失对公益林的影响；加强项目段环境监测。</w:t>
            </w:r>
          </w:p>
          <w:p w14:paraId="2D5AB799">
            <w:pPr>
              <w:spacing w:line="360" w:lineRule="auto"/>
              <w:ind w:firstLine="480" w:firstLineChars="200"/>
              <w:rPr>
                <w:rFonts w:hint="eastAsia"/>
                <w:sz w:val="24"/>
                <w:szCs w:val="24"/>
                <w:lang w:val="en-US" w:eastAsia="zh-CN"/>
              </w:rPr>
            </w:pPr>
            <w:r>
              <w:rPr>
                <w:rFonts w:hint="eastAsia"/>
                <w:sz w:val="24"/>
                <w:szCs w:val="24"/>
                <w:lang w:val="en-US" w:eastAsia="zh-CN"/>
              </w:rPr>
              <w:t>3）对建设期剥离的表土，单独收集和存放，符合条件的用于后期土地复垦、改良、绿化等，施工完成后，采用当地树种、草种对施工便道等临时用地进行生态恢复，避免造成物种入侵，定期进行生态监测，及时掌握生态保护和恢复状态，建立生态环境风险应急预案。</w:t>
            </w:r>
          </w:p>
          <w:p w14:paraId="00DB1683">
            <w:pPr>
              <w:spacing w:line="360" w:lineRule="auto"/>
              <w:ind w:firstLine="480" w:firstLineChars="200"/>
              <w:rPr>
                <w:rFonts w:hint="eastAsia"/>
                <w:sz w:val="24"/>
                <w:szCs w:val="24"/>
                <w:lang w:val="en-US" w:eastAsia="zh-CN"/>
              </w:rPr>
            </w:pPr>
            <w:r>
              <w:rPr>
                <w:rFonts w:hint="eastAsia"/>
                <w:sz w:val="24"/>
                <w:szCs w:val="24"/>
                <w:lang w:val="en-US" w:eastAsia="zh-CN"/>
              </w:rPr>
              <w:t>4）优先选用跟开较小的杆塔型号，以减少塔基占地，优化塔基基础设计选型，在山丘区采用全方位长短腿与不等高基础设计，以减少土石方开挖；采用绿色施工工艺，合理设计高陡边坡支挡、加固措施，减少对脆弱生态的扰动，防治水土流失；线路跨越水体时，采用一档跨越方式，塔基设置远离水体。</w:t>
            </w:r>
          </w:p>
          <w:p w14:paraId="4344C3EB">
            <w:pPr>
              <w:spacing w:line="360" w:lineRule="auto"/>
              <w:ind w:firstLine="480" w:firstLineChars="200"/>
              <w:rPr>
                <w:rFonts w:hint="default"/>
                <w:sz w:val="24"/>
                <w:szCs w:val="24"/>
                <w:lang w:val="en-US" w:eastAsia="zh-CN"/>
              </w:rPr>
            </w:pPr>
            <w:r>
              <w:rPr>
                <w:rFonts w:hint="eastAsia"/>
                <w:sz w:val="24"/>
                <w:szCs w:val="24"/>
                <w:lang w:val="en-US" w:eastAsia="zh-CN"/>
              </w:rPr>
              <w:t>由于部分鸟类对噪声和电磁场具有一定的敏感性，可能会干扰鸟类的飞行方向及鸣叫信号的传递，建议设计阶段对杆塔及线路进一步采取降噪降电磁感应措施，以降低运行期噪声和电磁场对过往鸟类的侵扰。同时建议在杆塔塔顶处设置防鸟刺、小风车等防撞装置，尽量避免鸟类伤亡。</w:t>
            </w:r>
          </w:p>
          <w:p w14:paraId="2A7AE383">
            <w:pPr>
              <w:pStyle w:val="219"/>
              <w:spacing w:line="360" w:lineRule="auto"/>
              <w:ind w:firstLine="480"/>
              <w:rPr>
                <w:rFonts w:hint="eastAsia"/>
                <w:color w:val="auto"/>
                <w:szCs w:val="28"/>
                <w:highlight w:val="none"/>
              </w:rPr>
            </w:pPr>
            <w:r>
              <w:rPr>
                <w:rFonts w:hint="eastAsia"/>
                <w:sz w:val="24"/>
                <w:szCs w:val="24"/>
                <w:lang w:val="en-US" w:eastAsia="zh-CN"/>
              </w:rPr>
              <w:t>5）</w:t>
            </w:r>
            <w:r>
              <w:rPr>
                <w:rFonts w:hint="eastAsia"/>
                <w:color w:val="auto"/>
                <w:szCs w:val="28"/>
                <w:highlight w:val="none"/>
                <w:lang w:eastAsia="zh-CN"/>
              </w:rPr>
              <w:t>本工程</w:t>
            </w:r>
            <w:r>
              <w:rPr>
                <w:rFonts w:hint="eastAsia"/>
                <w:color w:val="auto"/>
                <w:szCs w:val="28"/>
                <w:highlight w:val="none"/>
              </w:rPr>
              <w:t>输电线路架空穿越大别山北麓中低山水源涵养及水土保持生态保护红线</w:t>
            </w:r>
            <w:r>
              <w:rPr>
                <w:rFonts w:hint="eastAsia"/>
                <w:color w:val="auto"/>
                <w:szCs w:val="28"/>
                <w:highlight w:val="none"/>
                <w:lang w:val="en-US" w:eastAsia="zh-CN"/>
              </w:rPr>
              <w:t>和</w:t>
            </w:r>
            <w:r>
              <w:rPr>
                <w:rFonts w:hint="eastAsia"/>
                <w:color w:val="auto"/>
                <w:spacing w:val="-3"/>
                <w:sz w:val="24"/>
                <w:highlight w:val="none"/>
                <w:lang w:val="en-US" w:eastAsia="zh-CN"/>
              </w:rPr>
              <w:t>大别山北麓山前丘陵岗地水土保持生态保护红线</w:t>
            </w:r>
            <w:r>
              <w:rPr>
                <w:rFonts w:hint="eastAsia"/>
                <w:color w:val="auto"/>
                <w:szCs w:val="28"/>
                <w:highlight w:val="none"/>
              </w:rPr>
              <w:t>，生态保护红线内立塔</w:t>
            </w:r>
            <w:r>
              <w:rPr>
                <w:rFonts w:hint="eastAsia"/>
                <w:color w:val="auto"/>
                <w:szCs w:val="28"/>
                <w:highlight w:val="none"/>
                <w:lang w:val="en-US" w:eastAsia="zh-CN"/>
              </w:rPr>
              <w:t>54</w:t>
            </w:r>
            <w:r>
              <w:rPr>
                <w:rFonts w:hint="eastAsia"/>
                <w:color w:val="auto"/>
                <w:szCs w:val="28"/>
                <w:highlight w:val="none"/>
              </w:rPr>
              <w:t>基，占地类型主要为林地。套合金寨县森林资源“一张图”数据库，</w:t>
            </w:r>
            <w:r>
              <w:rPr>
                <w:rFonts w:hint="eastAsia"/>
                <w:color w:val="auto"/>
                <w:highlight w:val="none"/>
                <w:lang w:eastAsia="zh-CN"/>
              </w:rPr>
              <w:t>本工程</w:t>
            </w:r>
            <w:r>
              <w:rPr>
                <w:rFonts w:hint="eastAsia"/>
                <w:color w:val="auto"/>
                <w:highlight w:val="none"/>
                <w:lang w:val="en-US" w:eastAsia="zh-CN"/>
              </w:rPr>
              <w:t>双河-钼矿</w:t>
            </w:r>
            <w:r>
              <w:rPr>
                <w:rFonts w:hint="eastAsia"/>
                <w:color w:val="auto"/>
                <w:highlight w:val="none"/>
              </w:rPr>
              <w:t>输电线路塔基涉及公益林地共37个，占公益林地总面积0.2660公顷</w:t>
            </w:r>
            <w:r>
              <w:rPr>
                <w:rFonts w:hint="eastAsia"/>
                <w:color w:val="auto"/>
                <w:highlight w:val="none"/>
                <w:lang w:eastAsia="zh-CN"/>
              </w:rPr>
              <w:t>，</w:t>
            </w:r>
            <w:r>
              <w:rPr>
                <w:rFonts w:hint="eastAsia"/>
                <w:color w:val="auto"/>
                <w:highlight w:val="none"/>
                <w:lang w:val="en-US" w:eastAsia="zh-CN"/>
              </w:rPr>
              <w:t>古碑-钼矿</w:t>
            </w:r>
            <w:r>
              <w:rPr>
                <w:rFonts w:hint="eastAsia"/>
                <w:color w:val="auto"/>
                <w:highlight w:val="none"/>
              </w:rPr>
              <w:t>输电线路</w:t>
            </w:r>
            <w:r>
              <w:rPr>
                <w:rFonts w:hint="eastAsia"/>
                <w:color w:val="auto"/>
                <w:highlight w:val="none"/>
                <w:lang w:val="en-US" w:eastAsia="zh-CN"/>
              </w:rPr>
              <w:t>塔基</w:t>
            </w:r>
            <w:r>
              <w:rPr>
                <w:rFonts w:hint="eastAsia"/>
                <w:color w:val="auto"/>
                <w:highlight w:val="none"/>
              </w:rPr>
              <w:t>涉及公益林地共48个，占公益林总面积0.36</w:t>
            </w:r>
            <w:r>
              <w:rPr>
                <w:rFonts w:hint="eastAsia"/>
                <w:color w:val="auto"/>
                <w:highlight w:val="none"/>
                <w:lang w:val="en-US" w:eastAsia="zh-CN"/>
              </w:rPr>
              <w:t>5</w:t>
            </w:r>
            <w:r>
              <w:rPr>
                <w:rFonts w:hint="eastAsia"/>
                <w:color w:val="auto"/>
                <w:highlight w:val="none"/>
              </w:rPr>
              <w:t>8公顷；</w:t>
            </w:r>
            <w:r>
              <w:rPr>
                <w:rFonts w:hint="eastAsia" w:cs="Times New Roman"/>
                <w:sz w:val="24"/>
                <w:szCs w:val="24"/>
                <w:lang w:val="en-US" w:eastAsia="zh-CN"/>
              </w:rPr>
              <w:t>双河110kV变电站110kV钼矿间隔扩建工程</w:t>
            </w:r>
            <w:r>
              <w:rPr>
                <w:rFonts w:hint="eastAsia"/>
                <w:color w:val="auto"/>
                <w:highlight w:val="none"/>
              </w:rPr>
              <w:t>位于现有变电站内，不涉及占用林地；</w:t>
            </w:r>
            <w:r>
              <w:rPr>
                <w:rFonts w:hint="default"/>
                <w:sz w:val="24"/>
                <w:szCs w:val="24"/>
                <w:lang w:val="en-US" w:eastAsia="zh-CN"/>
              </w:rPr>
              <w:t>110</w:t>
            </w:r>
            <w:r>
              <w:rPr>
                <w:rFonts w:hint="default" w:ascii="Times New Roman" w:hAnsi="Times New Roman" w:eastAsia="宋体" w:cs="Times New Roman"/>
                <w:snapToGrid w:val="0"/>
                <w:color w:val="000000"/>
                <w:spacing w:val="10"/>
                <w:kern w:val="0"/>
                <w:sz w:val="24"/>
                <w:szCs w:val="24"/>
              </w:rPr>
              <w:t>kV</w:t>
            </w:r>
            <w:r>
              <w:rPr>
                <w:rFonts w:hint="eastAsia" w:cs="Times New Roman"/>
                <w:snapToGrid w:val="0"/>
                <w:color w:val="000000"/>
                <w:spacing w:val="10"/>
                <w:kern w:val="0"/>
                <w:sz w:val="24"/>
                <w:szCs w:val="24"/>
                <w:lang w:val="en-US" w:eastAsia="zh-CN"/>
              </w:rPr>
              <w:t>变电站新建工程</w:t>
            </w:r>
            <w:r>
              <w:rPr>
                <w:rFonts w:hint="eastAsia"/>
                <w:color w:val="auto"/>
                <w:highlight w:val="none"/>
              </w:rPr>
              <w:t>涉及</w:t>
            </w:r>
            <w:r>
              <w:rPr>
                <w:rFonts w:hint="eastAsia"/>
                <w:color w:val="auto"/>
                <w:highlight w:val="none"/>
                <w:lang w:val="en-US" w:eastAsia="zh-CN"/>
              </w:rPr>
              <w:t>占用</w:t>
            </w:r>
            <w:r>
              <w:rPr>
                <w:rFonts w:hint="eastAsia"/>
                <w:color w:val="auto"/>
                <w:highlight w:val="none"/>
              </w:rPr>
              <w:t>公益林总面积0.36公顷。</w:t>
            </w:r>
            <w:r>
              <w:rPr>
                <w:rFonts w:hint="eastAsia"/>
                <w:color w:val="auto"/>
                <w:szCs w:val="28"/>
                <w:highlight w:val="none"/>
              </w:rPr>
              <w:t>项目建设单位将依法办理林地报批手续，坚持占用征收征用林地审核审批制度，严格控制使用林地规模。在施工期间，不得随意扩大使用林地规模，如需要增加使用林地时，必须按有关程序向当地林业主管部门申请办理使用林地手续。</w:t>
            </w:r>
          </w:p>
          <w:p w14:paraId="08F16655">
            <w:pPr>
              <w:spacing w:line="360" w:lineRule="auto"/>
              <w:ind w:firstLine="480" w:firstLineChars="200"/>
              <w:rPr>
                <w:rFonts w:hint="eastAsia"/>
                <w:sz w:val="24"/>
                <w:szCs w:val="24"/>
                <w:lang w:val="en-US" w:eastAsia="zh-CN"/>
              </w:rPr>
            </w:pPr>
            <w:r>
              <w:rPr>
                <w:rFonts w:hint="eastAsia" w:ascii="Times New Roman" w:hAnsi="Times New Roman" w:eastAsia="宋体" w:cs="Times New Roman"/>
                <w:color w:val="auto"/>
                <w:kern w:val="2"/>
                <w:sz w:val="24"/>
                <w:szCs w:val="28"/>
                <w:highlight w:val="none"/>
                <w:lang w:val="en-US" w:eastAsia="zh-CN" w:bidi="ar-SA"/>
              </w:rPr>
              <w:t>项目建设单位应按规定及时足额支付林地补偿费、林木补偿费、森林植被恢复费等，确保林地、林木所有者的合法权益。森林植被恢复费必须按国家有关规定上缴。按照规定收缴的森林植被恢复费，由政府部门专门用于森林植被的异地恢复，项目所在地林业主管部门在申报项目用地时应作出森林植被恢复承诺，承诺项目用地占一补一，确保林地总量保持平衡。</w:t>
            </w:r>
          </w:p>
          <w:p w14:paraId="6E73068A">
            <w:pPr>
              <w:numPr>
                <w:ilvl w:val="0"/>
                <w:numId w:val="5"/>
              </w:numPr>
              <w:spacing w:line="360" w:lineRule="auto"/>
              <w:ind w:firstLine="480" w:firstLineChars="200"/>
              <w:rPr>
                <w:rFonts w:hint="eastAsia"/>
                <w:sz w:val="24"/>
                <w:szCs w:val="24"/>
                <w:lang w:val="en-US" w:eastAsia="zh-CN"/>
              </w:rPr>
            </w:pPr>
            <w:r>
              <w:rPr>
                <w:rFonts w:hint="eastAsia"/>
                <w:sz w:val="24"/>
                <w:szCs w:val="24"/>
                <w:lang w:val="en-US" w:eastAsia="zh-CN"/>
              </w:rPr>
              <w:t>文明施工，严格控制施工作业范围，因地制宜合理选择塔基基础，避免大规模开挖，加大土石方的调配力度，减少弃土弃渣量，弃方合理利用，临时堆土合理堆放，严禁随意倾倒、堆放影响环境；开挖作业时采取先边坡防护后开挖、分层开挖、分层堆放、分层回填的方式，对可以利用的表土进行剥离，单独堆存，加强表土堆存防护及管理，施工结束后把原有表土回填到开挖区表层，以利于植被恢复；工程施工时，对塔基区等采取表土剥离、土地整治、表土回覆、设置护坡和挡土墙、排水沟等工程措施；对塔基区、施工临时道路区、牵张场区采取临时彩条布苫盖、临时排水沟、铺设钢板等临时措施，以减少水土流失；使用带油料的机械器具时采取措施防止油料跑、冒、滴、漏，以避免对土壤和水体造成污染。</w:t>
            </w:r>
          </w:p>
          <w:p w14:paraId="4A7C8DFF">
            <w:pPr>
              <w:numPr>
                <w:ilvl w:val="0"/>
                <w:numId w:val="0"/>
              </w:numPr>
              <w:spacing w:line="360" w:lineRule="auto"/>
              <w:ind w:firstLine="480" w:firstLineChars="200"/>
              <w:rPr>
                <w:rFonts w:hint="default"/>
                <w:sz w:val="24"/>
                <w:szCs w:val="24"/>
                <w:lang w:val="en-US" w:eastAsia="zh-CN"/>
              </w:rPr>
            </w:pPr>
            <w:r>
              <w:rPr>
                <w:rFonts w:hint="eastAsia"/>
                <w:sz w:val="24"/>
                <w:szCs w:val="24"/>
                <w:lang w:val="en-US" w:eastAsia="zh-CN"/>
              </w:rPr>
              <w:t>7）架空输电线路点状杆、塔确实难以避让永久基本农田的，应当在不妨碍机械化耕作的前提下，尽可能沿田间道路、沟渠、田坎铺设，以减少占用永久基本农田。</w:t>
            </w:r>
            <w:r>
              <w:rPr>
                <w:rFonts w:hint="default" w:ascii="Times New Roman" w:hAnsi="Times New Roman" w:eastAsia="宋体" w:cs="Times New Roman"/>
                <w:snapToGrid w:val="0"/>
                <w:color w:val="000000"/>
                <w:spacing w:val="6"/>
                <w:kern w:val="0"/>
                <w:sz w:val="24"/>
                <w:szCs w:val="24"/>
                <w:lang w:val="en-US" w:eastAsia="zh-CN"/>
              </w:rPr>
              <w:t>根据《永久基本农田保护红线管理办法》（2025年10月1日起施行）第二十一条规定，</w:t>
            </w:r>
            <w:r>
              <w:rPr>
                <w:rFonts w:hint="eastAsia" w:cs="Times New Roman"/>
                <w:snapToGrid w:val="0"/>
                <w:color w:val="000000"/>
                <w:spacing w:val="6"/>
                <w:kern w:val="0"/>
                <w:sz w:val="24"/>
                <w:szCs w:val="24"/>
                <w:lang w:val="en-US" w:eastAsia="zh-CN"/>
              </w:rPr>
              <w:t>本项目对永久基本农田的不可避让性以及对耕作的影响已经进行论证，并已报金寨县自然资源和规划局备案（详见附件41）。</w:t>
            </w:r>
          </w:p>
          <w:p w14:paraId="09832344">
            <w:pPr>
              <w:numPr>
                <w:ilvl w:val="0"/>
                <w:numId w:val="0"/>
              </w:numPr>
              <w:spacing w:line="360" w:lineRule="auto"/>
              <w:ind w:firstLine="480" w:firstLineChars="200"/>
              <w:rPr>
                <w:rFonts w:hint="default"/>
                <w:sz w:val="24"/>
                <w:szCs w:val="24"/>
                <w:lang w:val="en-US" w:eastAsia="zh-CN"/>
              </w:rPr>
            </w:pPr>
            <w:r>
              <w:rPr>
                <w:rFonts w:hint="eastAsia"/>
                <w:sz w:val="24"/>
                <w:szCs w:val="24"/>
                <w:lang w:val="en-US" w:eastAsia="zh-CN"/>
              </w:rPr>
              <w:t>8）工程开工前，建设单位应对工程涉及占用的土地做到应补尽补，切实做好群众的安抚工作以及舆情控制。</w:t>
            </w:r>
          </w:p>
          <w:p w14:paraId="77010074">
            <w:pPr>
              <w:spacing w:line="360" w:lineRule="auto"/>
              <w:ind w:firstLine="480" w:firstLineChars="200"/>
              <w:rPr>
                <w:rFonts w:hint="default"/>
                <w:sz w:val="24"/>
                <w:szCs w:val="24"/>
                <w:lang w:val="en-US" w:eastAsia="zh-CN"/>
              </w:rPr>
            </w:pPr>
            <w:r>
              <w:rPr>
                <w:rFonts w:hint="eastAsia"/>
                <w:sz w:val="24"/>
                <w:szCs w:val="24"/>
                <w:lang w:val="en-US" w:eastAsia="zh-CN"/>
              </w:rPr>
              <w:t>（8）野生动物保护</w:t>
            </w:r>
          </w:p>
          <w:p w14:paraId="68EA18D8">
            <w:pPr>
              <w:spacing w:line="360" w:lineRule="auto"/>
              <w:ind w:firstLine="480" w:firstLineChars="200"/>
              <w:rPr>
                <w:rFonts w:hint="default"/>
                <w:sz w:val="24"/>
                <w:szCs w:val="24"/>
                <w:lang w:val="en-US" w:eastAsia="zh-CN"/>
              </w:rPr>
            </w:pPr>
            <w:r>
              <w:rPr>
                <w:rFonts w:hint="eastAsia"/>
                <w:sz w:val="24"/>
                <w:szCs w:val="24"/>
                <w:lang w:val="en-US" w:eastAsia="zh-CN"/>
              </w:rPr>
              <w:t>1）</w:t>
            </w:r>
            <w:r>
              <w:rPr>
                <w:rFonts w:hint="default"/>
                <w:sz w:val="24"/>
                <w:szCs w:val="24"/>
                <w:lang w:val="en-US" w:eastAsia="zh-CN"/>
              </w:rPr>
              <w:t>避让措施：施工时间选择尽量避开当地河流汛期，临时施工场地设置远离水体。避开鸟类迁徙越冬季节，采用索道运输、无人机架线等绿色工艺，减少对野生动物的侵扰。在靠近保护区区域作业时不得采取震动和噪声突发性强的施工方法，优先采用低噪声施工机械，避免使周围野生动物受到惊吓</w:t>
            </w:r>
            <w:r>
              <w:rPr>
                <w:rFonts w:hint="eastAsia"/>
                <w:sz w:val="24"/>
                <w:szCs w:val="24"/>
                <w:lang w:val="en-US" w:eastAsia="zh-CN"/>
              </w:rPr>
              <w:t>；在</w:t>
            </w:r>
            <w:r>
              <w:rPr>
                <w:rFonts w:hint="default"/>
                <w:sz w:val="24"/>
                <w:szCs w:val="24"/>
                <w:lang w:val="en-US" w:eastAsia="zh-CN"/>
              </w:rPr>
              <w:t>水域附近施工时，注意保护水环境，避免破坏野生动物生境，同时避免傍晚作业，错开动物饮水时段，并尽可能缩短施工时间，减轻对野生动物的干扰。</w:t>
            </w:r>
          </w:p>
          <w:p w14:paraId="5B8DA143">
            <w:pPr>
              <w:spacing w:line="360" w:lineRule="auto"/>
              <w:ind w:firstLine="480" w:firstLineChars="200"/>
              <w:rPr>
                <w:rFonts w:hint="default"/>
                <w:sz w:val="24"/>
                <w:szCs w:val="24"/>
                <w:lang w:val="en-US" w:eastAsia="zh-CN"/>
              </w:rPr>
            </w:pPr>
            <w:r>
              <w:rPr>
                <w:rFonts w:hint="eastAsia"/>
                <w:sz w:val="24"/>
                <w:szCs w:val="24"/>
                <w:lang w:val="en-US" w:eastAsia="zh-CN"/>
              </w:rPr>
              <w:t>2）</w:t>
            </w:r>
            <w:r>
              <w:rPr>
                <w:rFonts w:hint="default"/>
                <w:sz w:val="24"/>
                <w:szCs w:val="24"/>
                <w:lang w:val="en-US" w:eastAsia="zh-CN"/>
              </w:rPr>
              <w:t>减缓和修复措施：禁止捕蛇捉蛙、猎杀兽类、鸟类等狩猎行为，施工过程中遇到鸟类、蛇等动物的卵应妥善移置到附近类似的环境中。禁止夜间施工，减少施工区车辆灯光和施工人员照明灯光的持续，严格控制光源使用量或者进行遮蔽，减少对外界的漏光量。工程建成后及时清理施工现场，对临时占地、塔基下方空地因地制宜进行绿化或恢复原有土地功能，尽量恢复原有生态条件，维持生境的连通性。</w:t>
            </w:r>
          </w:p>
          <w:p w14:paraId="5D7D9D76">
            <w:pPr>
              <w:spacing w:line="360" w:lineRule="auto"/>
              <w:ind w:firstLine="480" w:firstLineChars="200"/>
              <w:rPr>
                <w:rFonts w:hint="default"/>
                <w:sz w:val="24"/>
                <w:szCs w:val="24"/>
                <w:lang w:val="en-US" w:eastAsia="zh-CN"/>
              </w:rPr>
            </w:pPr>
            <w:r>
              <w:rPr>
                <w:rFonts w:hint="eastAsia"/>
                <w:sz w:val="24"/>
                <w:szCs w:val="24"/>
                <w:lang w:val="en-US" w:eastAsia="zh-CN"/>
              </w:rPr>
              <w:t>3）</w:t>
            </w:r>
            <w:r>
              <w:rPr>
                <w:rFonts w:hint="default"/>
                <w:sz w:val="24"/>
                <w:szCs w:val="24"/>
                <w:lang w:val="en-US" w:eastAsia="zh-CN"/>
              </w:rPr>
              <w:t>管理措施：加强施工人员管理教育，不得偷猎、伤害、恐吓、袭击野生动物，禁止垂钓。施工</w:t>
            </w:r>
            <w:r>
              <w:rPr>
                <w:rFonts w:hint="eastAsia"/>
                <w:sz w:val="24"/>
                <w:szCs w:val="24"/>
                <w:lang w:val="en-US" w:eastAsia="zh-CN"/>
              </w:rPr>
              <w:t>期间</w:t>
            </w:r>
            <w:r>
              <w:rPr>
                <w:rFonts w:hint="default"/>
                <w:sz w:val="24"/>
                <w:szCs w:val="24"/>
                <w:lang w:val="en-US" w:eastAsia="zh-CN"/>
              </w:rPr>
              <w:t>如发现珍稀保护动物应暂停施工，采取妥善措施进行保护，及时联系当地林业主管部门，不得杀害和损伤野生动物，对受伤的野生动物应及时联系野生动物保护部门，及时救治。</w:t>
            </w:r>
          </w:p>
          <w:p w14:paraId="43A7DA59">
            <w:pPr>
              <w:spacing w:line="360" w:lineRule="auto"/>
              <w:ind w:firstLine="480" w:firstLineChars="200"/>
              <w:rPr>
                <w:rFonts w:hint="default"/>
                <w:sz w:val="24"/>
                <w:szCs w:val="24"/>
                <w:lang w:val="en-US" w:eastAsia="zh-CN"/>
              </w:rPr>
            </w:pPr>
            <w:r>
              <w:rPr>
                <w:rFonts w:hint="eastAsia"/>
                <w:sz w:val="24"/>
                <w:szCs w:val="24"/>
                <w:lang w:val="en-US" w:eastAsia="zh-CN"/>
              </w:rPr>
              <w:t>（9）永久基本农田保护措施</w:t>
            </w:r>
          </w:p>
          <w:p w14:paraId="6C2672CA">
            <w:pPr>
              <w:spacing w:line="360" w:lineRule="auto"/>
              <w:ind w:firstLine="480" w:firstLineChars="200"/>
              <w:rPr>
                <w:rFonts w:hint="default"/>
                <w:sz w:val="24"/>
                <w:szCs w:val="24"/>
                <w:lang w:val="en-US" w:eastAsia="zh-CN"/>
              </w:rPr>
            </w:pPr>
            <w:r>
              <w:rPr>
                <w:rFonts w:hint="default"/>
                <w:sz w:val="24"/>
                <w:szCs w:val="24"/>
                <w:lang w:val="en-US" w:eastAsia="zh-CN"/>
              </w:rPr>
              <w:t>1</w:t>
            </w:r>
            <w:r>
              <w:rPr>
                <w:rFonts w:hint="eastAsia"/>
                <w:sz w:val="24"/>
                <w:szCs w:val="24"/>
                <w:lang w:val="en-US" w:eastAsia="zh-CN"/>
              </w:rPr>
              <w:t>）</w:t>
            </w:r>
            <w:r>
              <w:rPr>
                <w:rFonts w:hint="default"/>
                <w:sz w:val="24"/>
                <w:szCs w:val="24"/>
                <w:lang w:val="en-US" w:eastAsia="zh-CN"/>
              </w:rPr>
              <w:t>当前的线路路径是经过多方案综合比选后得出的最优解。虽然占用了部分农田，但该方案可能实现了总占用面积最小、对农田耕作影响最低</w:t>
            </w:r>
            <w:r>
              <w:rPr>
                <w:rFonts w:hint="eastAsia"/>
                <w:sz w:val="24"/>
                <w:szCs w:val="24"/>
                <w:lang w:val="en-US" w:eastAsia="zh-CN"/>
              </w:rPr>
              <w:t>且</w:t>
            </w:r>
            <w:r>
              <w:rPr>
                <w:rFonts w:hint="default"/>
                <w:sz w:val="24"/>
                <w:szCs w:val="24"/>
                <w:lang w:val="en-US" w:eastAsia="zh-CN"/>
              </w:rPr>
              <w:t>工程成本与安全性达到最佳平衡。在不得不占永久基本农田的区域，设计方案可能已尽力让线路沿永久基本农田地块边缘布设，或选择最窄处穿越，减少对永久基本农田大规模的破坏。</w:t>
            </w:r>
          </w:p>
          <w:p w14:paraId="4E605AD2">
            <w:pPr>
              <w:spacing w:line="360" w:lineRule="auto"/>
              <w:ind w:firstLine="480" w:firstLineChars="200"/>
              <w:rPr>
                <w:rFonts w:hint="default"/>
                <w:sz w:val="24"/>
                <w:szCs w:val="24"/>
                <w:lang w:val="en-US" w:eastAsia="zh-CN"/>
              </w:rPr>
            </w:pPr>
            <w:r>
              <w:rPr>
                <w:rFonts w:hint="default"/>
                <w:sz w:val="24"/>
                <w:szCs w:val="24"/>
                <w:lang w:val="en-US" w:eastAsia="zh-CN"/>
              </w:rPr>
              <w:t>2</w:t>
            </w:r>
            <w:r>
              <w:rPr>
                <w:rFonts w:hint="eastAsia"/>
                <w:sz w:val="24"/>
                <w:szCs w:val="24"/>
                <w:lang w:val="en-US" w:eastAsia="zh-CN"/>
              </w:rPr>
              <w:t>）</w:t>
            </w:r>
            <w:r>
              <w:rPr>
                <w:rFonts w:hint="default"/>
                <w:sz w:val="24"/>
                <w:szCs w:val="24"/>
                <w:lang w:val="en-US" w:eastAsia="zh-CN"/>
              </w:rPr>
              <w:t>采用新型节地型技术，通过向下挖掘深孔，替代大面积开挖基坑。塔基永久占地面积仅为四个塔腿，此技术开挖的土方量极少，对耕作层的扰动最小。</w:t>
            </w:r>
          </w:p>
          <w:p w14:paraId="24609AA9">
            <w:pPr>
              <w:spacing w:line="360" w:lineRule="auto"/>
              <w:ind w:firstLine="480" w:firstLineChars="200"/>
              <w:rPr>
                <w:rFonts w:hint="default"/>
                <w:sz w:val="24"/>
                <w:szCs w:val="24"/>
                <w:lang w:val="en-US" w:eastAsia="zh-CN"/>
              </w:rPr>
            </w:pPr>
            <w:r>
              <w:rPr>
                <w:rFonts w:hint="default"/>
                <w:sz w:val="24"/>
                <w:szCs w:val="24"/>
                <w:lang w:val="en-US" w:eastAsia="zh-CN"/>
              </w:rPr>
              <w:t>3</w:t>
            </w:r>
            <w:r>
              <w:rPr>
                <w:rFonts w:hint="eastAsia"/>
                <w:sz w:val="24"/>
                <w:szCs w:val="24"/>
                <w:lang w:val="en-US" w:eastAsia="zh-CN"/>
              </w:rPr>
              <w:t>）</w:t>
            </w:r>
            <w:r>
              <w:rPr>
                <w:rFonts w:hint="default"/>
                <w:sz w:val="24"/>
                <w:szCs w:val="24"/>
                <w:lang w:val="en-US" w:eastAsia="zh-CN"/>
              </w:rPr>
              <w:t>塔基进行高低腿设计，根据自然地形起伏，设计不同长度的塔腿，避免为了找平而进行大面积土地平整，保护原有地貌。从而</w:t>
            </w:r>
            <w:r>
              <w:rPr>
                <w:rFonts w:hint="eastAsia"/>
                <w:sz w:val="24"/>
                <w:szCs w:val="24"/>
                <w:lang w:val="en-US" w:eastAsia="zh-CN"/>
              </w:rPr>
              <w:t>极大地</w:t>
            </w:r>
            <w:r>
              <w:rPr>
                <w:rFonts w:hint="default"/>
                <w:sz w:val="24"/>
                <w:szCs w:val="24"/>
                <w:lang w:val="en-US" w:eastAsia="zh-CN"/>
              </w:rPr>
              <w:t>保护农田不被破坏。</w:t>
            </w:r>
          </w:p>
          <w:p w14:paraId="6B7B65E5">
            <w:pPr>
              <w:spacing w:line="360" w:lineRule="auto"/>
              <w:ind w:firstLine="480" w:firstLineChars="200"/>
              <w:rPr>
                <w:rFonts w:hint="default"/>
                <w:sz w:val="24"/>
                <w:szCs w:val="24"/>
                <w:lang w:val="en-US" w:eastAsia="zh-CN"/>
              </w:rPr>
            </w:pPr>
            <w:r>
              <w:rPr>
                <w:rFonts w:hint="eastAsia"/>
                <w:sz w:val="24"/>
                <w:szCs w:val="24"/>
                <w:lang w:val="en-US" w:eastAsia="zh-CN"/>
              </w:rPr>
              <w:t>4）</w:t>
            </w:r>
            <w:r>
              <w:rPr>
                <w:rFonts w:hint="default"/>
                <w:sz w:val="24"/>
                <w:szCs w:val="24"/>
                <w:lang w:val="en-US" w:eastAsia="zh-CN"/>
              </w:rPr>
              <w:t>在塔基和临时用地开挖前，必须将表层约 30-50 厘米的肥沃土壤小心剥离，并就近选择不影响耕作的地方规范堆放，做好苫盖和排水防止流失。施工结束后，将基坑用下层土回填压实，再将剥离的表土全部回覆到原处，恢复土地肥力。</w:t>
            </w:r>
          </w:p>
          <w:p w14:paraId="163B4674">
            <w:pPr>
              <w:spacing w:line="360" w:lineRule="auto"/>
              <w:ind w:firstLine="480" w:firstLineChars="200"/>
              <w:rPr>
                <w:rFonts w:hint="default"/>
                <w:sz w:val="24"/>
                <w:szCs w:val="24"/>
                <w:lang w:val="en-US" w:eastAsia="zh-CN"/>
              </w:rPr>
            </w:pPr>
            <w:r>
              <w:rPr>
                <w:rFonts w:hint="eastAsia"/>
                <w:sz w:val="24"/>
                <w:szCs w:val="24"/>
                <w:lang w:val="en-US" w:eastAsia="zh-CN"/>
              </w:rPr>
              <w:t>5）</w:t>
            </w:r>
            <w:r>
              <w:rPr>
                <w:rFonts w:hint="default"/>
                <w:sz w:val="24"/>
                <w:szCs w:val="24"/>
                <w:lang w:val="en-US" w:eastAsia="zh-CN"/>
              </w:rPr>
              <w:t>严格控制施工范围：用明显界线标识出作业区，严禁机械、材料和人员压占范围外的农田。</w:t>
            </w:r>
          </w:p>
          <w:p w14:paraId="4A52D08B">
            <w:pPr>
              <w:spacing w:line="360" w:lineRule="auto"/>
              <w:ind w:firstLine="480" w:firstLineChars="200"/>
              <w:rPr>
                <w:rFonts w:hint="default"/>
                <w:sz w:val="24"/>
                <w:szCs w:val="24"/>
                <w:lang w:val="en-US" w:eastAsia="zh-CN"/>
              </w:rPr>
            </w:pPr>
            <w:r>
              <w:rPr>
                <w:rFonts w:hint="eastAsia"/>
                <w:sz w:val="24"/>
                <w:szCs w:val="24"/>
                <w:lang w:val="en-US" w:eastAsia="zh-CN"/>
              </w:rPr>
              <w:t>6）</w:t>
            </w:r>
            <w:r>
              <w:rPr>
                <w:rFonts w:hint="default"/>
                <w:sz w:val="24"/>
                <w:szCs w:val="24"/>
                <w:lang w:val="en-US" w:eastAsia="zh-CN"/>
              </w:rPr>
              <w:t>施工过程中，保护耕作层需严格遵循“分层剥离、规范储存、高效回用”的原则。具体操作上：施工前精准放样，明确剥离范围与厚度（通常20-30厘米）；使用挖掘机进行“一刀准”式分层剥离，确保不超挖、不混杂；剥离的表土立即运至设有防流失措施的临时储存点，并苫盖养护；塔基施工结束后，优先将这些肥沃土壤回覆至复垦区域，并进行精细平整与培肥，以快速恢复地力。</w:t>
            </w:r>
          </w:p>
          <w:p w14:paraId="07F36E98">
            <w:pPr>
              <w:spacing w:line="360" w:lineRule="auto"/>
              <w:ind w:firstLine="480" w:firstLineChars="200"/>
              <w:rPr>
                <w:rFonts w:hint="default"/>
                <w:sz w:val="24"/>
                <w:szCs w:val="24"/>
                <w:lang w:val="en-US" w:eastAsia="zh-CN"/>
              </w:rPr>
            </w:pPr>
            <w:r>
              <w:rPr>
                <w:rFonts w:hint="eastAsia"/>
                <w:sz w:val="24"/>
                <w:szCs w:val="24"/>
                <w:lang w:val="en-US" w:eastAsia="zh-CN"/>
              </w:rPr>
              <w:t>7）</w:t>
            </w:r>
            <w:r>
              <w:rPr>
                <w:rFonts w:hint="default"/>
                <w:sz w:val="24"/>
                <w:szCs w:val="24"/>
                <w:lang w:val="en-US" w:eastAsia="zh-CN"/>
              </w:rPr>
              <w:t>施工单位必须编制《土地复垦方案》，并严格按照方案对所有临时占地进行复垦。复垦后的土地必须恢复农业种植条件，并通过自然资源部门的专项验收，确保其地力和产出能力达到周边农田的水平。</w:t>
            </w:r>
          </w:p>
          <w:p w14:paraId="59873EA6">
            <w:pPr>
              <w:spacing w:line="360" w:lineRule="auto"/>
              <w:ind w:firstLine="480" w:firstLineChars="200"/>
              <w:rPr>
                <w:rFonts w:hint="eastAsia" w:cs="Times New Roman"/>
                <w:snapToGrid w:val="0"/>
                <w:color w:val="000000"/>
                <w:spacing w:val="6"/>
                <w:kern w:val="0"/>
                <w:sz w:val="24"/>
                <w:szCs w:val="24"/>
                <w:lang w:val="en-US" w:eastAsia="zh-CN"/>
              </w:rPr>
            </w:pPr>
            <w:r>
              <w:rPr>
                <w:rFonts w:hint="eastAsia"/>
                <w:sz w:val="24"/>
                <w:szCs w:val="24"/>
                <w:lang w:val="en-US" w:eastAsia="zh-CN"/>
              </w:rPr>
              <w:t>8）</w:t>
            </w:r>
            <w:r>
              <w:rPr>
                <w:rFonts w:hint="default" w:ascii="Times New Roman" w:hAnsi="Times New Roman" w:eastAsia="宋体" w:cs="Times New Roman"/>
                <w:snapToGrid w:val="0"/>
                <w:color w:val="000000"/>
                <w:spacing w:val="6"/>
                <w:kern w:val="0"/>
                <w:sz w:val="24"/>
                <w:szCs w:val="24"/>
                <w:lang w:val="en-US" w:eastAsia="zh-CN"/>
              </w:rPr>
              <w:t>根据《永久基本农田保护红线管理办法》（2025年10月1日起施行）第二十一条规定，</w:t>
            </w:r>
            <w:r>
              <w:rPr>
                <w:rFonts w:hint="eastAsia" w:cs="Times New Roman"/>
                <w:snapToGrid w:val="0"/>
                <w:color w:val="000000"/>
                <w:spacing w:val="6"/>
                <w:kern w:val="0"/>
                <w:sz w:val="24"/>
                <w:szCs w:val="24"/>
                <w:lang w:val="en-US" w:eastAsia="zh-CN"/>
              </w:rPr>
              <w:t>本项目对永久基本农田的不可避让性以及对耕作的影响已经进行论证，并已报金寨县级自然资源和规划局备案（详见附件41）。</w:t>
            </w:r>
          </w:p>
          <w:p w14:paraId="6D220A9C">
            <w:pPr>
              <w:spacing w:line="360" w:lineRule="auto"/>
              <w:ind w:firstLine="504" w:firstLineChars="200"/>
              <w:rPr>
                <w:rFonts w:hint="default" w:cs="Times New Roman"/>
                <w:snapToGrid w:val="0"/>
                <w:color w:val="000000"/>
                <w:spacing w:val="6"/>
                <w:kern w:val="0"/>
                <w:sz w:val="24"/>
                <w:szCs w:val="24"/>
                <w:lang w:val="en-US" w:eastAsia="zh-CN"/>
              </w:rPr>
            </w:pPr>
            <w:r>
              <w:rPr>
                <w:rFonts w:hint="eastAsia" w:cs="Times New Roman"/>
                <w:snapToGrid w:val="0"/>
                <w:color w:val="000000"/>
                <w:spacing w:val="6"/>
                <w:kern w:val="0"/>
                <w:sz w:val="24"/>
                <w:szCs w:val="24"/>
                <w:lang w:val="en-US" w:eastAsia="zh-CN"/>
              </w:rPr>
              <w:t>（10）饮用水水源准保护区环境保护措施</w:t>
            </w:r>
          </w:p>
          <w:p w14:paraId="6AD33758">
            <w:pPr>
              <w:spacing w:line="360" w:lineRule="auto"/>
              <w:ind w:firstLine="480" w:firstLineChars="200"/>
              <w:rPr>
                <w:sz w:val="24"/>
                <w:szCs w:val="24"/>
              </w:rPr>
            </w:pPr>
            <w:r>
              <w:rPr>
                <w:rFonts w:hint="eastAsia"/>
                <w:sz w:val="24"/>
                <w:szCs w:val="24"/>
                <w:lang w:val="en-US" w:eastAsia="zh-CN"/>
              </w:rPr>
              <w:t>1）架空输电线路塔基基础开挖时在施工场地内设置沉砂池，塔基基础开挖产生的泥浆在沉砂池进行沉淀后，清水回用于基础养护。</w:t>
            </w:r>
          </w:p>
          <w:p w14:paraId="702218C3">
            <w:pPr>
              <w:spacing w:line="360" w:lineRule="auto"/>
              <w:ind w:firstLine="480" w:firstLineChars="200"/>
              <w:rPr>
                <w:sz w:val="24"/>
                <w:szCs w:val="24"/>
              </w:rPr>
            </w:pPr>
            <w:r>
              <w:rPr>
                <w:rFonts w:hint="eastAsia"/>
                <w:sz w:val="24"/>
                <w:szCs w:val="24"/>
                <w:lang w:val="en-US" w:eastAsia="zh-CN"/>
              </w:rPr>
              <w:t>2）本工程部分输电线路位于金寨县饮用水水源准保护区范围内，涉及在饮用水水源准保护区内立塔的塔基编号为A27、A28、A29、A30，线路均采用一档跨越不在水域范围内立塔，由于该部分塔基位于饮用水水源准保护区范围内，为避免施工期对饮用水水源准保护区的影响，提出以下施工期防治措施：</w:t>
            </w:r>
          </w:p>
          <w:p w14:paraId="19D72718">
            <w:pPr>
              <w:spacing w:line="360" w:lineRule="auto"/>
              <w:ind w:firstLine="480" w:firstLineChars="200"/>
              <w:rPr>
                <w:sz w:val="24"/>
                <w:szCs w:val="24"/>
              </w:rPr>
            </w:pPr>
            <w:r>
              <w:rPr>
                <w:rFonts w:hint="eastAsia"/>
                <w:sz w:val="24"/>
                <w:szCs w:val="24"/>
                <w:lang w:val="en-US" w:eastAsia="zh-CN"/>
              </w:rPr>
              <w:t>①塔基定位及杆塔设计要求：塔基定位时根据周边地形和地质条件，将塔基设置得尽可能地远离饮用水水源准保护区内的水体。</w:t>
            </w:r>
          </w:p>
          <w:p w14:paraId="0104C89D">
            <w:pPr>
              <w:spacing w:line="360" w:lineRule="auto"/>
              <w:ind w:firstLine="480" w:firstLineChars="200"/>
              <w:rPr>
                <w:sz w:val="24"/>
                <w:szCs w:val="24"/>
              </w:rPr>
            </w:pPr>
            <w:r>
              <w:rPr>
                <w:rFonts w:hint="eastAsia"/>
                <w:sz w:val="24"/>
                <w:szCs w:val="24"/>
                <w:lang w:val="en-US" w:eastAsia="zh-CN"/>
              </w:rPr>
              <w:t>②塔基基础施工要求：挖孔桩基础施工时采用泥浆澄清池，同时在塔基施工场地周边设置截排水沟，施工废水经截排水沟排入场地内沉淀池内，严禁施工废水排入饮用水水源准保护区内的水体影响水质。基础浇筑采用商品混凝土，无废水排放。</w:t>
            </w:r>
          </w:p>
          <w:p w14:paraId="1AA24245">
            <w:pPr>
              <w:spacing w:line="360" w:lineRule="auto"/>
              <w:ind w:firstLine="480" w:firstLineChars="200"/>
              <w:rPr>
                <w:sz w:val="24"/>
                <w:szCs w:val="24"/>
              </w:rPr>
            </w:pPr>
            <w:r>
              <w:rPr>
                <w:rFonts w:hint="eastAsia"/>
                <w:sz w:val="24"/>
                <w:szCs w:val="24"/>
                <w:lang w:val="en-US" w:eastAsia="zh-CN"/>
              </w:rPr>
              <w:t>③临时场地布设要求：施工场地远离饮用水水源准保护区内的水体，禁止将施工临时场地设置在河道漫滩范围内。</w:t>
            </w:r>
          </w:p>
          <w:p w14:paraId="331AA51E">
            <w:pPr>
              <w:spacing w:line="360" w:lineRule="auto"/>
              <w:ind w:firstLine="480" w:firstLineChars="200"/>
              <w:rPr>
                <w:sz w:val="24"/>
                <w:szCs w:val="24"/>
              </w:rPr>
            </w:pPr>
            <w:r>
              <w:rPr>
                <w:rFonts w:hint="eastAsia"/>
                <w:sz w:val="24"/>
                <w:szCs w:val="24"/>
                <w:lang w:val="en-US" w:eastAsia="zh-CN"/>
              </w:rPr>
              <w:t>④施工便道要求：合理选择施工临时道路，优先利用现有道路，在临近水体附近施工时，应采取人工运输的方式运至施工现场，严禁在饮用水水源准保护区内设置施工便道。</w:t>
            </w:r>
          </w:p>
          <w:p w14:paraId="3A659282">
            <w:pPr>
              <w:spacing w:line="360" w:lineRule="auto"/>
              <w:ind w:firstLine="480" w:firstLineChars="200"/>
              <w:rPr>
                <w:rFonts w:hint="eastAsia" w:cs="Times New Roman"/>
                <w:snapToGrid w:val="0"/>
                <w:color w:val="000000"/>
                <w:spacing w:val="6"/>
                <w:kern w:val="0"/>
                <w:sz w:val="24"/>
                <w:szCs w:val="24"/>
                <w:lang w:val="en-US" w:eastAsia="zh-CN"/>
              </w:rPr>
            </w:pPr>
            <w:r>
              <w:rPr>
                <w:rFonts w:hint="eastAsia"/>
                <w:sz w:val="24"/>
                <w:szCs w:val="24"/>
                <w:lang w:val="en-US" w:eastAsia="zh-CN"/>
              </w:rPr>
              <w:t>⑤文明施工要求：严禁漏油施工车辆和机械进入饮用水水源准保护区范围内；杜绝在饮用水水源准保护区内附近施工时随意倾倒废物、排放废污水及乱丢乱弃各类垃圾，不能回填利用的弃渣全部及时清运并进行集中处置。</w:t>
            </w:r>
          </w:p>
          <w:p w14:paraId="7035E3E7">
            <w:pPr>
              <w:spacing w:line="360" w:lineRule="auto"/>
              <w:rPr>
                <w:sz w:val="24"/>
                <w:szCs w:val="24"/>
              </w:rPr>
            </w:pPr>
            <w:r>
              <w:rPr>
                <w:rFonts w:hint="eastAsia"/>
                <w:b/>
                <w:bCs/>
                <w:sz w:val="24"/>
                <w:szCs w:val="24"/>
                <w:lang w:val="en-US" w:eastAsia="zh-CN"/>
              </w:rPr>
              <w:t>5.</w:t>
            </w:r>
            <w:r>
              <w:rPr>
                <w:b/>
                <w:bCs/>
                <w:sz w:val="24"/>
                <w:szCs w:val="24"/>
              </w:rPr>
              <w:t>2、施工噪声污染防治措施</w:t>
            </w:r>
          </w:p>
          <w:p w14:paraId="064478B7">
            <w:pPr>
              <w:spacing w:line="360" w:lineRule="auto"/>
              <w:ind w:firstLine="480" w:firstLineChars="200"/>
              <w:rPr>
                <w:rFonts w:hint="eastAsia"/>
                <w:sz w:val="24"/>
                <w:szCs w:val="24"/>
                <w:lang w:eastAsia="zh-CN"/>
              </w:rPr>
            </w:pPr>
            <w:r>
              <w:rPr>
                <w:rFonts w:hint="eastAsia"/>
                <w:sz w:val="24"/>
                <w:szCs w:val="24"/>
                <w:lang w:val="en-US" w:eastAsia="zh-CN"/>
              </w:rPr>
              <w:t>（1）加强施工管理，文明施工，合理安排施工作业时间；变电站建设时优先建设变电站围墙，高噪声设备施工时应在其周围设置掩蔽物以进行隔声；</w:t>
            </w:r>
          </w:p>
          <w:p w14:paraId="04A95D44">
            <w:pPr>
              <w:spacing w:line="360" w:lineRule="auto"/>
              <w:ind w:firstLine="480" w:firstLineChars="200"/>
              <w:rPr>
                <w:rFonts w:hint="eastAsia"/>
                <w:sz w:val="24"/>
                <w:szCs w:val="24"/>
                <w:lang w:eastAsia="zh-CN"/>
              </w:rPr>
            </w:pPr>
            <w:r>
              <w:rPr>
                <w:rFonts w:hint="eastAsia"/>
                <w:sz w:val="24"/>
                <w:szCs w:val="24"/>
                <w:lang w:val="en-US" w:eastAsia="zh-CN"/>
              </w:rPr>
              <w:t>（2）在施工设备选型时选用符合国家噪声标准的低噪声施工设备，将噪声级较高的设备工作安排在昼间进行，夜间禁止施工，如因施工工艺需要夜间施工的，应当取得地方人民政府住房和城乡建设、生态环境主管部门或者地方人民政府指定的部门的证明，并在施工现场显著位置公示或者以其他方式公告附近居民。</w:t>
            </w:r>
          </w:p>
          <w:p w14:paraId="274C0BCA">
            <w:pPr>
              <w:spacing w:line="360" w:lineRule="auto"/>
              <w:ind w:firstLine="480" w:firstLineChars="200"/>
              <w:rPr>
                <w:rFonts w:hint="eastAsia"/>
                <w:sz w:val="24"/>
                <w:szCs w:val="24"/>
                <w:lang w:eastAsia="zh-CN"/>
              </w:rPr>
            </w:pPr>
            <w:r>
              <w:rPr>
                <w:rFonts w:hint="eastAsia"/>
                <w:sz w:val="24"/>
                <w:szCs w:val="24"/>
                <w:lang w:val="en-US" w:eastAsia="zh-CN"/>
              </w:rPr>
              <w:t>（3）运输车辆应尽量避开噪声敏感区域和噪声敏感时段，禁止鸣笛；加强施工机械和运输车辆的保养，减小机械故障产生的噪声。</w:t>
            </w:r>
          </w:p>
          <w:p w14:paraId="61C7A131">
            <w:pPr>
              <w:spacing w:line="360" w:lineRule="auto"/>
              <w:ind w:firstLine="480" w:firstLineChars="200"/>
              <w:rPr>
                <w:rFonts w:hint="eastAsia"/>
                <w:sz w:val="24"/>
                <w:szCs w:val="24"/>
                <w:lang w:eastAsia="zh-CN"/>
              </w:rPr>
            </w:pPr>
            <w:r>
              <w:rPr>
                <w:rFonts w:hint="eastAsia"/>
                <w:sz w:val="24"/>
                <w:szCs w:val="24"/>
                <w:lang w:val="en-US" w:eastAsia="zh-CN"/>
              </w:rPr>
              <w:t>（4）涉及产生强噪声的成品、半成品加工、制作作业（如预制构件制作等），应尽量放在工厂、车间完成，减少因施工现场加工制作产生的噪声。</w:t>
            </w:r>
          </w:p>
          <w:p w14:paraId="25DF8094">
            <w:pPr>
              <w:spacing w:line="360" w:lineRule="auto"/>
              <w:ind w:firstLine="480" w:firstLineChars="200"/>
              <w:rPr>
                <w:rFonts w:hint="eastAsia"/>
                <w:sz w:val="24"/>
                <w:szCs w:val="24"/>
                <w:lang w:eastAsia="zh-CN"/>
              </w:rPr>
            </w:pPr>
            <w:r>
              <w:rPr>
                <w:rFonts w:hint="eastAsia"/>
                <w:sz w:val="24"/>
                <w:szCs w:val="24"/>
                <w:lang w:val="en-US" w:eastAsia="zh-CN"/>
              </w:rPr>
              <w:t>（5）在距离较近的民房附近施工时，优先采取人力或小型机械施工的方式，减少施工噪声影响，确保声环境保护目标处噪声达标。并及时与周边居民沟通，通过避开居民休息时间等方式降低施工噪声对周边居民的影响。</w:t>
            </w:r>
          </w:p>
          <w:p w14:paraId="036B12AD">
            <w:pPr>
              <w:spacing w:line="360" w:lineRule="auto"/>
              <w:rPr>
                <w:b/>
                <w:bCs/>
                <w:sz w:val="24"/>
                <w:szCs w:val="24"/>
              </w:rPr>
            </w:pPr>
            <w:r>
              <w:rPr>
                <w:rFonts w:hint="eastAsia"/>
                <w:b/>
                <w:bCs/>
                <w:sz w:val="24"/>
                <w:szCs w:val="24"/>
                <w:lang w:val="en-US" w:eastAsia="zh-CN"/>
              </w:rPr>
              <w:t>5.</w:t>
            </w:r>
            <w:r>
              <w:rPr>
                <w:b/>
                <w:bCs/>
                <w:sz w:val="24"/>
                <w:szCs w:val="24"/>
              </w:rPr>
              <w:t>3、施工扬尘污染防治措施</w:t>
            </w:r>
          </w:p>
          <w:p w14:paraId="4D9011AC">
            <w:pPr>
              <w:spacing w:line="360" w:lineRule="auto"/>
              <w:ind w:firstLine="480" w:firstLineChars="200"/>
              <w:rPr>
                <w:sz w:val="24"/>
                <w:szCs w:val="24"/>
              </w:rPr>
            </w:pPr>
            <w:r>
              <w:rPr>
                <w:sz w:val="24"/>
                <w:szCs w:val="24"/>
              </w:rPr>
              <w:t>施工期对大气环境的主要影响为施工扬尘，为尽量减少施工期扬尘对大气环境的影响，建议施工期采取如下扬尘污染防治措施：</w:t>
            </w:r>
          </w:p>
          <w:p w14:paraId="4FB5DD32">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1</w:t>
            </w:r>
            <w:r>
              <w:rPr>
                <w:rFonts w:hint="eastAsia"/>
                <w:sz w:val="24"/>
                <w:szCs w:val="24"/>
                <w:lang w:eastAsia="zh-CN"/>
              </w:rPr>
              <w:t>）施工场地</w:t>
            </w:r>
            <w:r>
              <w:rPr>
                <w:sz w:val="24"/>
                <w:szCs w:val="24"/>
              </w:rPr>
              <w:t>内作业区材料堆场地面应当进行硬化等防尘处理，并定期洒水。</w:t>
            </w:r>
          </w:p>
          <w:p w14:paraId="01367E94">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sz w:val="24"/>
                <w:szCs w:val="24"/>
              </w:rPr>
              <w:t>气象预报风力达到5级以上的天气，不得进行土方挖填和转运或者其他建</w:t>
            </w:r>
            <w:r>
              <w:rPr>
                <w:rFonts w:hint="eastAsia"/>
                <w:sz w:val="24"/>
                <w:szCs w:val="24"/>
                <w:lang w:eastAsia="zh-CN"/>
              </w:rPr>
              <w:t>（</w:t>
            </w:r>
            <w:r>
              <w:rPr>
                <w:sz w:val="24"/>
                <w:szCs w:val="24"/>
              </w:rPr>
              <w:t>构</w:t>
            </w:r>
            <w:r>
              <w:rPr>
                <w:rFonts w:hint="eastAsia"/>
                <w:sz w:val="24"/>
                <w:szCs w:val="24"/>
                <w:lang w:eastAsia="zh-CN"/>
              </w:rPr>
              <w:t>）</w:t>
            </w:r>
            <w:r>
              <w:rPr>
                <w:sz w:val="24"/>
                <w:szCs w:val="24"/>
              </w:rPr>
              <w:t>筑物拆除等作业。</w:t>
            </w:r>
          </w:p>
          <w:p w14:paraId="3B27C806">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3</w:t>
            </w:r>
            <w:r>
              <w:rPr>
                <w:rFonts w:hint="eastAsia"/>
                <w:sz w:val="24"/>
                <w:szCs w:val="24"/>
                <w:lang w:eastAsia="zh-CN"/>
              </w:rPr>
              <w:t>）</w:t>
            </w:r>
            <w:r>
              <w:rPr>
                <w:sz w:val="24"/>
                <w:szCs w:val="24"/>
              </w:rPr>
              <w:t>开挖出的基础等建</w:t>
            </w:r>
            <w:r>
              <w:rPr>
                <w:rFonts w:hint="eastAsia"/>
                <w:sz w:val="24"/>
                <w:szCs w:val="24"/>
                <w:lang w:eastAsia="zh-CN"/>
              </w:rPr>
              <w:t>（</w:t>
            </w:r>
            <w:r>
              <w:rPr>
                <w:sz w:val="24"/>
                <w:szCs w:val="24"/>
              </w:rPr>
              <w:t>构</w:t>
            </w:r>
            <w:r>
              <w:rPr>
                <w:rFonts w:hint="eastAsia"/>
                <w:sz w:val="24"/>
                <w:szCs w:val="24"/>
                <w:lang w:eastAsia="zh-CN"/>
              </w:rPr>
              <w:t>）</w:t>
            </w:r>
            <w:r>
              <w:rPr>
                <w:sz w:val="24"/>
                <w:szCs w:val="24"/>
              </w:rPr>
              <w:t>筑材料及垃圾，应及时妥善处理，禁止随意丢弃</w:t>
            </w:r>
            <w:r>
              <w:rPr>
                <w:rFonts w:hint="eastAsia"/>
                <w:sz w:val="24"/>
                <w:szCs w:val="24"/>
                <w:lang w:eastAsia="zh-CN"/>
              </w:rPr>
              <w:t>；</w:t>
            </w:r>
            <w:r>
              <w:rPr>
                <w:sz w:val="24"/>
                <w:szCs w:val="24"/>
              </w:rPr>
              <w:t>建筑垃圾等无法在48小时内清运完毕的，应当在施工工地内设置临时堆放场</w:t>
            </w:r>
            <w:r>
              <w:rPr>
                <w:rFonts w:hint="eastAsia"/>
                <w:sz w:val="24"/>
                <w:szCs w:val="24"/>
                <w:lang w:eastAsia="zh-CN"/>
              </w:rPr>
              <w:t>；</w:t>
            </w:r>
            <w:r>
              <w:rPr>
                <w:sz w:val="24"/>
                <w:szCs w:val="24"/>
              </w:rPr>
              <w:t>临时堆放场应当采取围挡、遮盖等防尘措施。</w:t>
            </w:r>
          </w:p>
          <w:p w14:paraId="6604314D">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4</w:t>
            </w:r>
            <w:r>
              <w:rPr>
                <w:rFonts w:hint="eastAsia"/>
                <w:sz w:val="24"/>
                <w:szCs w:val="24"/>
                <w:lang w:eastAsia="zh-CN"/>
              </w:rPr>
              <w:t>）</w:t>
            </w:r>
            <w:r>
              <w:rPr>
                <w:sz w:val="24"/>
                <w:szCs w:val="24"/>
              </w:rPr>
              <w:t>运输车辆应当在除泥、冲洗干净后方可驶出作业场所，不得使用空气压缩机等易产生扬尘污染的设备清理车辆、设备和物料的尘埃</w:t>
            </w:r>
            <w:r>
              <w:rPr>
                <w:rFonts w:hint="eastAsia"/>
                <w:sz w:val="24"/>
                <w:szCs w:val="24"/>
                <w:lang w:eastAsia="zh-CN"/>
              </w:rPr>
              <w:t>；</w:t>
            </w:r>
            <w:r>
              <w:rPr>
                <w:sz w:val="24"/>
                <w:szCs w:val="24"/>
              </w:rPr>
              <w:t>有条件的，可以设置冲洗槽、排水沟、沉淀池等设施。</w:t>
            </w:r>
          </w:p>
          <w:p w14:paraId="70CBFCEE">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5</w:t>
            </w:r>
            <w:r>
              <w:rPr>
                <w:rFonts w:hint="eastAsia"/>
                <w:sz w:val="24"/>
                <w:szCs w:val="24"/>
                <w:lang w:eastAsia="zh-CN"/>
              </w:rPr>
              <w:t>）</w:t>
            </w:r>
            <w:r>
              <w:rPr>
                <w:sz w:val="24"/>
                <w:szCs w:val="24"/>
              </w:rPr>
              <w:t>项目基础均采用商品混凝土，不在现场进行</w:t>
            </w:r>
            <w:r>
              <w:rPr>
                <w:rFonts w:hint="eastAsia"/>
                <w:sz w:val="24"/>
                <w:szCs w:val="24"/>
                <w:lang w:eastAsia="zh-CN"/>
              </w:rPr>
              <w:t>拌合</w:t>
            </w:r>
            <w:r>
              <w:rPr>
                <w:sz w:val="24"/>
                <w:szCs w:val="24"/>
              </w:rPr>
              <w:t>作业。施工现场总平面布置时应充分考虑扬尘污染防治需要。四周设置不低于</w:t>
            </w:r>
            <w:r>
              <w:rPr>
                <w:rFonts w:hint="eastAsia"/>
                <w:sz w:val="24"/>
                <w:szCs w:val="24"/>
                <w:lang w:val="en-US" w:eastAsia="zh-CN"/>
              </w:rPr>
              <w:t>2.5</w:t>
            </w:r>
            <w:r>
              <w:rPr>
                <w:sz w:val="24"/>
                <w:szCs w:val="24"/>
              </w:rPr>
              <w:t>m高围挡。施工现场车辆出入口应按有关规定设置车辆冲洗设施，包括冲洗平台、冲洗设备、排水沟、沉淀池等，可收集洗车过程中产生的废水和泥浆。冲洗设施宜采用自动冲洗平台及设立循环用水装置。施工现场场地硬化、绿化处理应符合以下要求：施工车辆出入口地面、场内运输通道、临时地面必须进行硬化抑尘处理</w:t>
            </w:r>
            <w:r>
              <w:rPr>
                <w:rFonts w:hint="eastAsia"/>
                <w:sz w:val="24"/>
                <w:szCs w:val="24"/>
                <w:lang w:eastAsia="zh-CN"/>
              </w:rPr>
              <w:t>；其他</w:t>
            </w:r>
            <w:r>
              <w:rPr>
                <w:sz w:val="24"/>
                <w:szCs w:val="24"/>
              </w:rPr>
              <w:t>一般道路</w:t>
            </w:r>
            <w:r>
              <w:rPr>
                <w:rFonts w:hint="eastAsia"/>
                <w:sz w:val="24"/>
                <w:szCs w:val="24"/>
                <w:lang w:eastAsia="zh-CN"/>
              </w:rPr>
              <w:t>、</w:t>
            </w:r>
            <w:r>
              <w:rPr>
                <w:sz w:val="24"/>
                <w:szCs w:val="24"/>
              </w:rPr>
              <w:t>材料堆场宜采用可重复利用的预制块材铺装，也可采用碎石铺装</w:t>
            </w:r>
            <w:r>
              <w:rPr>
                <w:rFonts w:hint="eastAsia"/>
                <w:sz w:val="24"/>
                <w:szCs w:val="24"/>
                <w:lang w:eastAsia="zh-CN"/>
              </w:rPr>
              <w:t>；</w:t>
            </w:r>
            <w:r>
              <w:rPr>
                <w:sz w:val="24"/>
                <w:szCs w:val="24"/>
              </w:rPr>
              <w:t>施工场地其余裸露场地应视情况采取覆盖、植被、洒水或固化等抑尘措施。</w:t>
            </w:r>
          </w:p>
          <w:p w14:paraId="5E2EF8EB">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6</w:t>
            </w:r>
            <w:r>
              <w:rPr>
                <w:rFonts w:hint="eastAsia"/>
                <w:sz w:val="24"/>
                <w:szCs w:val="24"/>
                <w:lang w:eastAsia="zh-CN"/>
              </w:rPr>
              <w:t>）</w:t>
            </w:r>
            <w:r>
              <w:rPr>
                <w:sz w:val="24"/>
                <w:szCs w:val="24"/>
              </w:rPr>
              <w:t>堆放水泥或者其他易飞扬的细颗粒建筑材料，应当密闭存放或者采取覆盖等措施。</w:t>
            </w:r>
          </w:p>
          <w:p w14:paraId="4748E438">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7</w:t>
            </w:r>
            <w:r>
              <w:rPr>
                <w:rFonts w:hint="eastAsia"/>
                <w:sz w:val="24"/>
                <w:szCs w:val="24"/>
                <w:lang w:eastAsia="zh-CN"/>
              </w:rPr>
              <w:t>）</w:t>
            </w:r>
            <w:r>
              <w:rPr>
                <w:sz w:val="24"/>
                <w:szCs w:val="24"/>
              </w:rPr>
              <w:t>建</w:t>
            </w:r>
            <w:r>
              <w:rPr>
                <w:rFonts w:hint="eastAsia"/>
                <w:sz w:val="24"/>
                <w:szCs w:val="24"/>
                <w:lang w:eastAsia="zh-CN"/>
              </w:rPr>
              <w:t>（</w:t>
            </w:r>
            <w:r>
              <w:rPr>
                <w:sz w:val="24"/>
                <w:szCs w:val="24"/>
              </w:rPr>
              <w:t>构</w:t>
            </w:r>
            <w:r>
              <w:rPr>
                <w:rFonts w:hint="eastAsia"/>
                <w:sz w:val="24"/>
                <w:szCs w:val="24"/>
                <w:lang w:eastAsia="zh-CN"/>
              </w:rPr>
              <w:t>）</w:t>
            </w:r>
            <w:r>
              <w:rPr>
                <w:sz w:val="24"/>
                <w:szCs w:val="24"/>
              </w:rPr>
              <w:t>筑物内施工材料及垃圾清运，应当采用容器或者管道运输，禁止凌空</w:t>
            </w:r>
            <w:r>
              <w:rPr>
                <w:rFonts w:hint="eastAsia"/>
                <w:sz w:val="24"/>
                <w:szCs w:val="24"/>
                <w:lang w:eastAsia="zh-CN"/>
              </w:rPr>
              <w:t>抛洒</w:t>
            </w:r>
            <w:r>
              <w:rPr>
                <w:sz w:val="24"/>
                <w:szCs w:val="24"/>
              </w:rPr>
              <w:t>。运输过程中的土石方等应采用密闭式防尘布</w:t>
            </w:r>
            <w:r>
              <w:rPr>
                <w:rFonts w:hint="eastAsia"/>
                <w:sz w:val="24"/>
                <w:szCs w:val="24"/>
                <w:lang w:eastAsia="zh-CN"/>
              </w:rPr>
              <w:t>（</w:t>
            </w:r>
            <w:r>
              <w:rPr>
                <w:sz w:val="24"/>
                <w:szCs w:val="24"/>
              </w:rPr>
              <w:t>网</w:t>
            </w:r>
            <w:r>
              <w:rPr>
                <w:rFonts w:hint="eastAsia"/>
                <w:sz w:val="24"/>
                <w:szCs w:val="24"/>
                <w:lang w:eastAsia="zh-CN"/>
              </w:rPr>
              <w:t>）</w:t>
            </w:r>
            <w:r>
              <w:rPr>
                <w:sz w:val="24"/>
                <w:szCs w:val="24"/>
              </w:rPr>
              <w:t>进行苫盖。</w:t>
            </w:r>
          </w:p>
          <w:p w14:paraId="1AD14578">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8</w:t>
            </w:r>
            <w:r>
              <w:rPr>
                <w:rFonts w:hint="eastAsia"/>
                <w:sz w:val="24"/>
                <w:szCs w:val="24"/>
                <w:lang w:eastAsia="zh-CN"/>
              </w:rPr>
              <w:t>）</w:t>
            </w:r>
            <w:r>
              <w:rPr>
                <w:sz w:val="24"/>
                <w:szCs w:val="24"/>
              </w:rPr>
              <w:t>施工现场禁止将包装物、可燃垃圾等固体废弃物就地焚烧。</w:t>
            </w:r>
          </w:p>
          <w:p w14:paraId="1F39967C">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9</w:t>
            </w:r>
            <w:r>
              <w:rPr>
                <w:rFonts w:hint="eastAsia"/>
                <w:sz w:val="24"/>
                <w:szCs w:val="24"/>
                <w:lang w:eastAsia="zh-CN"/>
              </w:rPr>
              <w:t>）</w:t>
            </w:r>
            <w:r>
              <w:rPr>
                <w:sz w:val="24"/>
                <w:szCs w:val="24"/>
              </w:rPr>
              <w:t>加强运输车辆的管理，对进出场地的车辆进行限速。</w:t>
            </w:r>
          </w:p>
          <w:p w14:paraId="10107C11">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10</w:t>
            </w:r>
            <w:r>
              <w:rPr>
                <w:rFonts w:hint="eastAsia"/>
                <w:sz w:val="24"/>
                <w:szCs w:val="24"/>
                <w:lang w:eastAsia="zh-CN"/>
              </w:rPr>
              <w:t>）</w:t>
            </w:r>
            <w:r>
              <w:rPr>
                <w:sz w:val="24"/>
                <w:szCs w:val="24"/>
              </w:rPr>
              <w:t>施工现场应结合季节特点、不同施工阶段实际情况等，贯彻落实施工扬尘污染防治技术措施或专项方案，并进行动态调整。</w:t>
            </w:r>
          </w:p>
          <w:p w14:paraId="0E40B595">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11</w:t>
            </w:r>
            <w:r>
              <w:rPr>
                <w:rFonts w:hint="eastAsia"/>
                <w:sz w:val="24"/>
                <w:szCs w:val="24"/>
                <w:lang w:eastAsia="zh-CN"/>
              </w:rPr>
              <w:t>）</w:t>
            </w:r>
            <w:r>
              <w:rPr>
                <w:sz w:val="24"/>
                <w:szCs w:val="24"/>
              </w:rPr>
              <w:t>施工现场可采取淋湿地面、设置高压喷雾水系统、搭设防尘排栅等综合降尘措施。</w:t>
            </w:r>
          </w:p>
          <w:p w14:paraId="6DE8133F">
            <w:pPr>
              <w:spacing w:line="360" w:lineRule="auto"/>
              <w:ind w:firstLine="480" w:firstLineChars="200"/>
              <w:rPr>
                <w:sz w:val="24"/>
                <w:szCs w:val="24"/>
              </w:rPr>
            </w:pPr>
            <w:r>
              <w:rPr>
                <w:rFonts w:hint="eastAsia"/>
                <w:sz w:val="24"/>
                <w:szCs w:val="24"/>
                <w:lang w:eastAsia="zh-CN"/>
              </w:rPr>
              <w:t>（</w:t>
            </w:r>
            <w:r>
              <w:rPr>
                <w:rFonts w:hint="eastAsia"/>
                <w:sz w:val="24"/>
                <w:szCs w:val="24"/>
                <w:lang w:val="en-US" w:eastAsia="zh-CN"/>
              </w:rPr>
              <w:t>12</w:t>
            </w:r>
            <w:r>
              <w:rPr>
                <w:rFonts w:hint="eastAsia"/>
                <w:sz w:val="24"/>
                <w:szCs w:val="24"/>
                <w:lang w:eastAsia="zh-CN"/>
              </w:rPr>
              <w:t>）</w:t>
            </w:r>
            <w:r>
              <w:rPr>
                <w:sz w:val="24"/>
                <w:szCs w:val="24"/>
              </w:rPr>
              <w:t>加强建筑施工工地监管，严格落实</w:t>
            </w:r>
            <w:r>
              <w:rPr>
                <w:rFonts w:hint="eastAsia" w:ascii="宋体" w:hAnsi="宋体" w:eastAsia="宋体" w:cs="宋体"/>
                <w:sz w:val="24"/>
                <w:szCs w:val="24"/>
              </w:rPr>
              <w:t>“</w:t>
            </w:r>
            <w:r>
              <w:rPr>
                <w:rFonts w:hint="eastAsia" w:ascii="宋体" w:hAnsi="宋体" w:cs="宋体"/>
                <w:sz w:val="24"/>
                <w:szCs w:val="24"/>
                <w:lang w:eastAsia="zh-CN"/>
              </w:rPr>
              <w:t>七</w:t>
            </w:r>
            <w:r>
              <w:rPr>
                <w:rFonts w:hint="eastAsia" w:ascii="宋体" w:hAnsi="宋体" w:eastAsia="宋体" w:cs="宋体"/>
                <w:sz w:val="24"/>
                <w:szCs w:val="24"/>
              </w:rPr>
              <w:t>个百分之百”</w:t>
            </w:r>
            <w:r>
              <w:rPr>
                <w:sz w:val="24"/>
                <w:szCs w:val="24"/>
              </w:rPr>
              <w:t>扬尘防治要求，即建筑施工现场100%围挡，工地裸土100%覆盖，工地主要路面100%硬化，拆除工程100%洒水抑尘，出工地车辆100%冲净无撒漏，</w:t>
            </w:r>
            <w:r>
              <w:rPr>
                <w:rFonts w:hint="eastAsia"/>
                <w:sz w:val="24"/>
                <w:szCs w:val="24"/>
              </w:rPr>
              <w:t>扬尘监督牌</w:t>
            </w:r>
            <w:r>
              <w:rPr>
                <w:sz w:val="24"/>
                <w:szCs w:val="24"/>
              </w:rPr>
              <w:t>100%</w:t>
            </w:r>
            <w:r>
              <w:rPr>
                <w:rFonts w:hint="eastAsia"/>
                <w:sz w:val="24"/>
                <w:szCs w:val="24"/>
              </w:rPr>
              <w:t>设置</w:t>
            </w:r>
            <w:r>
              <w:rPr>
                <w:rFonts w:hint="eastAsia"/>
                <w:sz w:val="24"/>
                <w:szCs w:val="24"/>
                <w:lang w:eastAsia="zh-CN"/>
              </w:rPr>
              <w:t>、</w:t>
            </w:r>
            <w:r>
              <w:rPr>
                <w:rFonts w:hint="eastAsia"/>
                <w:sz w:val="24"/>
                <w:szCs w:val="24"/>
              </w:rPr>
              <w:t>一定规模的施工工地扬尘监控系统安装率以及</w:t>
            </w:r>
            <w:r>
              <w:rPr>
                <w:rFonts w:hint="eastAsia"/>
                <w:sz w:val="24"/>
                <w:szCs w:val="24"/>
                <w:lang w:val="en-US" w:eastAsia="zh-CN"/>
              </w:rPr>
              <w:t>PM</w:t>
            </w:r>
            <w:r>
              <w:rPr>
                <w:rFonts w:hint="eastAsia"/>
                <w:sz w:val="24"/>
                <w:szCs w:val="24"/>
                <w:vertAlign w:val="subscript"/>
              </w:rPr>
              <w:t>2.5</w:t>
            </w:r>
            <w:r>
              <w:rPr>
                <w:rFonts w:hint="eastAsia"/>
                <w:sz w:val="24"/>
                <w:szCs w:val="24"/>
              </w:rPr>
              <w:t>、</w:t>
            </w:r>
            <w:r>
              <w:rPr>
                <w:rFonts w:hint="eastAsia"/>
                <w:sz w:val="24"/>
                <w:szCs w:val="24"/>
                <w:lang w:val="en-US" w:eastAsia="zh-CN"/>
              </w:rPr>
              <w:t>PM</w:t>
            </w:r>
            <w:r>
              <w:rPr>
                <w:rFonts w:hint="eastAsia"/>
                <w:sz w:val="24"/>
                <w:szCs w:val="24"/>
                <w:vertAlign w:val="subscript"/>
              </w:rPr>
              <w:t>10</w:t>
            </w:r>
            <w:r>
              <w:rPr>
                <w:rFonts w:hint="eastAsia"/>
                <w:sz w:val="24"/>
                <w:szCs w:val="24"/>
              </w:rPr>
              <w:t>在线监测仪安装率均达100%。</w:t>
            </w:r>
          </w:p>
          <w:p w14:paraId="446B6039">
            <w:pPr>
              <w:spacing w:line="360" w:lineRule="auto"/>
              <w:rPr>
                <w:sz w:val="24"/>
                <w:szCs w:val="24"/>
              </w:rPr>
            </w:pPr>
            <w:r>
              <w:rPr>
                <w:rFonts w:hint="eastAsia"/>
                <w:b/>
                <w:bCs/>
                <w:sz w:val="24"/>
                <w:szCs w:val="24"/>
                <w:lang w:val="en-US" w:eastAsia="zh-CN"/>
              </w:rPr>
              <w:t>5.</w:t>
            </w:r>
            <w:r>
              <w:rPr>
                <w:b/>
                <w:bCs/>
                <w:sz w:val="24"/>
                <w:szCs w:val="24"/>
              </w:rPr>
              <w:t>4、施工废水污染防治措施</w:t>
            </w:r>
          </w:p>
          <w:p w14:paraId="62115AEC">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1</w:t>
            </w:r>
            <w:r>
              <w:rPr>
                <w:rFonts w:hint="eastAsia"/>
                <w:sz w:val="24"/>
                <w:szCs w:val="24"/>
                <w:lang w:val="en-US" w:eastAsia="zh-CN"/>
              </w:rPr>
              <w:t>）新建变电站施工人员产生的生活污水排入施工营地内设置的临时化粪池中，施工营地内的临时化粪池优先接入周边的污水管网内，在不具备接入的情况下，应定期委托环卫部门进行清理，严禁生活污水随意排放。线路施工人员居住在施工点附近租住的民房内，生活污水排入居住点已有的化粪池中。</w:t>
            </w:r>
          </w:p>
          <w:p w14:paraId="280F17DD">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2</w:t>
            </w:r>
            <w:r>
              <w:rPr>
                <w:rFonts w:hint="eastAsia"/>
                <w:sz w:val="24"/>
                <w:szCs w:val="24"/>
                <w:lang w:val="en-US" w:eastAsia="zh-CN"/>
              </w:rPr>
              <w:t>）变电站施工期间，施工场地设置沉砂池，生产废水通过沉砂池沉淀后回用，用于施工营地洒水及喷淋。</w:t>
            </w:r>
          </w:p>
          <w:p w14:paraId="51AB2871">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3</w:t>
            </w:r>
            <w:r>
              <w:rPr>
                <w:rFonts w:hint="eastAsia"/>
                <w:sz w:val="24"/>
                <w:szCs w:val="24"/>
                <w:lang w:val="en-US" w:eastAsia="zh-CN"/>
              </w:rPr>
              <w:t>）架空输电线路塔基基础开挖时在施工场地内设置沉砂池，塔基基础开挖产生的泥浆在沉砂池进行沉淀后，清水回用于基础养护。</w:t>
            </w:r>
          </w:p>
          <w:p w14:paraId="783F663B">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4</w:t>
            </w:r>
            <w:r>
              <w:rPr>
                <w:rFonts w:hint="eastAsia"/>
                <w:sz w:val="24"/>
                <w:szCs w:val="24"/>
                <w:lang w:val="en-US" w:eastAsia="zh-CN"/>
              </w:rPr>
              <w:t>）塔基基础浇筑优先采用成品商砼，无生产废水产生。</w:t>
            </w:r>
          </w:p>
          <w:p w14:paraId="5CBCBA26">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5</w:t>
            </w:r>
            <w:r>
              <w:rPr>
                <w:rFonts w:hint="eastAsia"/>
                <w:sz w:val="24"/>
                <w:szCs w:val="24"/>
                <w:lang w:val="en-US" w:eastAsia="zh-CN"/>
              </w:rPr>
              <w:t>）本工程输电线路跨越梅山水库、白水河等地表水体，线路均采用一档跨越不在水域范围内立塔，由于输电线路塔基距梅山水库水体较近，为避免施工期对地表水体的影响，本评价提出以下施工期防治措施：</w:t>
            </w:r>
          </w:p>
          <w:p w14:paraId="1B9D44F0">
            <w:pPr>
              <w:spacing w:line="360" w:lineRule="auto"/>
              <w:ind w:firstLine="480" w:firstLineChars="200"/>
              <w:rPr>
                <w:sz w:val="24"/>
                <w:szCs w:val="24"/>
              </w:rPr>
            </w:pPr>
            <w:r>
              <w:rPr>
                <w:rFonts w:hint="eastAsia"/>
                <w:sz w:val="24"/>
                <w:szCs w:val="24"/>
                <w:lang w:val="en-US" w:eastAsia="zh-CN"/>
              </w:rPr>
              <w:t>①塔基定位及杆塔设计要求：塔基定位时根据周边地形和地质条件，将塔基设置得尽可能地远离周边梅山水库、白水河等水体。</w:t>
            </w:r>
          </w:p>
          <w:p w14:paraId="21DF5939">
            <w:pPr>
              <w:spacing w:line="360" w:lineRule="auto"/>
              <w:ind w:firstLine="480" w:firstLineChars="200"/>
              <w:rPr>
                <w:sz w:val="24"/>
                <w:szCs w:val="24"/>
              </w:rPr>
            </w:pPr>
            <w:r>
              <w:rPr>
                <w:rFonts w:hint="eastAsia"/>
                <w:sz w:val="24"/>
                <w:szCs w:val="24"/>
                <w:lang w:val="en-US" w:eastAsia="zh-CN"/>
              </w:rPr>
              <w:t>②塔基基础施工要求：挖孔桩基础施工时采用泥浆澄清池，同时在塔基施工场地周边设置截排水沟，施工废水经截排水沟排入场地内沉淀池内，严禁施工废水排入梅山水库、白水河等水体影响受纳水体的水质。基础浇筑采用商品混凝土，无废水排放。</w:t>
            </w:r>
          </w:p>
          <w:p w14:paraId="170A2DF5">
            <w:pPr>
              <w:spacing w:line="360" w:lineRule="auto"/>
              <w:ind w:firstLine="480" w:firstLineChars="200"/>
              <w:rPr>
                <w:sz w:val="24"/>
                <w:szCs w:val="24"/>
              </w:rPr>
            </w:pPr>
            <w:r>
              <w:rPr>
                <w:rFonts w:hint="eastAsia"/>
                <w:sz w:val="24"/>
                <w:szCs w:val="24"/>
                <w:lang w:val="en-US" w:eastAsia="zh-CN"/>
              </w:rPr>
              <w:t>③临时场地布设要求：施工场地远离梅山水库、白水河等水体，禁止将施工临时场地设置在河道漫滩范围内。</w:t>
            </w:r>
          </w:p>
          <w:p w14:paraId="6E53B491">
            <w:pPr>
              <w:spacing w:line="360" w:lineRule="auto"/>
              <w:ind w:firstLine="480" w:firstLineChars="200"/>
              <w:rPr>
                <w:sz w:val="24"/>
                <w:szCs w:val="24"/>
              </w:rPr>
            </w:pPr>
            <w:r>
              <w:rPr>
                <w:rFonts w:hint="eastAsia"/>
                <w:sz w:val="24"/>
                <w:szCs w:val="24"/>
                <w:lang w:val="en-US" w:eastAsia="zh-CN"/>
              </w:rPr>
              <w:t>④施工便道要求：合理选择施工临时道路，优先利用现有道路，在临近水体附近施工时，应采取人工运输的方式运至施工现场，严禁在水体周边设置施工便道。</w:t>
            </w:r>
          </w:p>
          <w:p w14:paraId="3B826C49">
            <w:pPr>
              <w:spacing w:line="360" w:lineRule="auto"/>
              <w:ind w:firstLine="480" w:firstLineChars="200"/>
              <w:rPr>
                <w:sz w:val="24"/>
                <w:szCs w:val="24"/>
              </w:rPr>
            </w:pPr>
            <w:r>
              <w:rPr>
                <w:rFonts w:hint="eastAsia"/>
                <w:sz w:val="24"/>
                <w:szCs w:val="24"/>
                <w:lang w:val="en-US" w:eastAsia="zh-CN"/>
              </w:rPr>
              <w:t>⑤文明施工要求：严禁漏油施工车辆和机械进入跨越水体附近，严禁在跨越水体附近清洗施工车辆和机械；杜绝在跨越水体附近施工时随意倾倒废物、排放废污水及乱丢乱弃各类垃圾，不能回填利用的弃渣全部及时清运并进行集中处置。</w:t>
            </w:r>
          </w:p>
          <w:p w14:paraId="00D0A064">
            <w:pPr>
              <w:spacing w:line="360" w:lineRule="auto"/>
              <w:rPr>
                <w:b/>
                <w:bCs/>
                <w:sz w:val="24"/>
                <w:szCs w:val="24"/>
              </w:rPr>
            </w:pPr>
            <w:r>
              <w:rPr>
                <w:rFonts w:hint="eastAsia"/>
                <w:b/>
                <w:bCs/>
                <w:sz w:val="24"/>
                <w:szCs w:val="24"/>
                <w:lang w:val="en-US" w:eastAsia="zh-CN"/>
              </w:rPr>
              <w:t>5.</w:t>
            </w:r>
            <w:r>
              <w:rPr>
                <w:b/>
                <w:bCs/>
                <w:sz w:val="24"/>
                <w:szCs w:val="24"/>
              </w:rPr>
              <w:t>5、施工固体废物污染防治措施</w:t>
            </w:r>
          </w:p>
          <w:p w14:paraId="15CBA005">
            <w:pPr>
              <w:spacing w:line="360" w:lineRule="auto"/>
              <w:ind w:firstLine="480" w:firstLineChars="200"/>
              <w:rPr>
                <w:sz w:val="24"/>
                <w:szCs w:val="24"/>
              </w:rPr>
            </w:pPr>
            <w:r>
              <w:rPr>
                <w:rFonts w:hint="eastAsia"/>
                <w:sz w:val="24"/>
                <w:szCs w:val="24"/>
                <w:lang w:val="en-US" w:eastAsia="zh-CN"/>
              </w:rPr>
              <w:t>（</w:t>
            </w:r>
            <w:r>
              <w:rPr>
                <w:rFonts w:hint="default"/>
                <w:sz w:val="24"/>
                <w:szCs w:val="24"/>
                <w:lang w:val="en-US" w:eastAsia="zh-CN"/>
              </w:rPr>
              <w:t>1</w:t>
            </w:r>
            <w:r>
              <w:rPr>
                <w:rFonts w:hint="eastAsia"/>
                <w:sz w:val="24"/>
                <w:szCs w:val="24"/>
                <w:lang w:val="en-US" w:eastAsia="zh-CN"/>
              </w:rPr>
              <w:t>）变电站及输电线路施工人员产生的生活垃圾集中收集、集中处理后纳入当地垃圾处理系统，不得随意外排或丢弃。</w:t>
            </w:r>
          </w:p>
          <w:p w14:paraId="60BF30AD">
            <w:pPr>
              <w:spacing w:line="360" w:lineRule="auto"/>
              <w:ind w:firstLine="480" w:firstLineChars="200"/>
              <w:rPr>
                <w:rFonts w:hint="eastAsia"/>
                <w:sz w:val="24"/>
                <w:szCs w:val="24"/>
                <w:lang w:val="en-US" w:eastAsia="zh-CN"/>
              </w:rPr>
            </w:pPr>
            <w:r>
              <w:rPr>
                <w:rFonts w:hint="eastAsia"/>
                <w:sz w:val="24"/>
                <w:szCs w:val="24"/>
                <w:lang w:val="en-US" w:eastAsia="zh-CN"/>
              </w:rPr>
              <w:t>（</w:t>
            </w:r>
            <w:r>
              <w:rPr>
                <w:rFonts w:hint="default"/>
                <w:sz w:val="24"/>
                <w:szCs w:val="24"/>
                <w:lang w:val="en-US" w:eastAsia="zh-CN"/>
              </w:rPr>
              <w:t>2</w:t>
            </w:r>
            <w:r>
              <w:rPr>
                <w:rFonts w:hint="eastAsia"/>
                <w:sz w:val="24"/>
                <w:szCs w:val="24"/>
                <w:lang w:val="en-US" w:eastAsia="zh-CN"/>
              </w:rPr>
              <w:t>）施工过程中产生的施工废物料应分类集中堆放，尽可能回收利用，不能回收利用的及时清运交由相关部门进行处理。</w:t>
            </w:r>
          </w:p>
          <w:p w14:paraId="3651E85D">
            <w:pPr>
              <w:spacing w:line="360" w:lineRule="auto"/>
              <w:ind w:firstLine="480" w:firstLineChars="200"/>
              <w:rPr>
                <w:rFonts w:hint="eastAsia"/>
                <w:sz w:val="24"/>
                <w:szCs w:val="24"/>
                <w:lang w:val="en-US" w:eastAsia="zh-CN"/>
              </w:rPr>
            </w:pPr>
            <w:r>
              <w:rPr>
                <w:rFonts w:hint="eastAsia"/>
                <w:sz w:val="24"/>
                <w:szCs w:val="24"/>
                <w:lang w:val="en-US" w:eastAsia="zh-CN"/>
              </w:rPr>
              <w:t>（3）电缆排管及架空线路基础开挖产生的余土分别在各占地范围内就地回填压实、综合利用；施工剥离表土按规范要求集中堆放，施工完毕后用于复垦或植被恢复。</w:t>
            </w:r>
          </w:p>
          <w:p w14:paraId="3AFB2506">
            <w:pPr>
              <w:spacing w:line="360" w:lineRule="auto"/>
              <w:ind w:firstLine="480" w:firstLineChars="200"/>
              <w:rPr>
                <w:rFonts w:hint="eastAsia"/>
                <w:sz w:val="24"/>
                <w:szCs w:val="24"/>
                <w:lang w:val="en-US" w:eastAsia="zh-CN"/>
              </w:rPr>
            </w:pPr>
            <w:r>
              <w:rPr>
                <w:rFonts w:hint="eastAsia"/>
                <w:sz w:val="24"/>
                <w:szCs w:val="24"/>
                <w:lang w:val="en-US" w:eastAsia="zh-CN"/>
              </w:rPr>
              <w:t>（4）变电站站址需回填的土方，应按照《生产建设项目水土保持方案管理办法》的有关规定，签订购土协议，运输过程中严格采取密闭运输，防止沿途遗撒。</w:t>
            </w:r>
          </w:p>
          <w:p w14:paraId="531AD70D">
            <w:pPr>
              <w:spacing w:line="360" w:lineRule="auto"/>
              <w:ind w:firstLine="480" w:firstLineChars="200"/>
              <w:rPr>
                <w:rFonts w:hint="eastAsia"/>
                <w:sz w:val="24"/>
                <w:szCs w:val="24"/>
                <w:lang w:val="en-US" w:eastAsia="zh-CN"/>
              </w:rPr>
            </w:pPr>
            <w:r>
              <w:rPr>
                <w:rFonts w:hint="eastAsia"/>
                <w:sz w:val="24"/>
                <w:szCs w:val="24"/>
                <w:lang w:val="en-US" w:eastAsia="zh-CN"/>
              </w:rPr>
              <w:t>（5）变电站开挖产生的外弃土方不可随意丢弃，按照《生产建设项目水土保持方案管理办法》的有关规定，用于城市综合利用，土石方运输应委托有运输处置资质的单位外运。</w:t>
            </w:r>
          </w:p>
          <w:p w14:paraId="5B88D9D4">
            <w:pPr>
              <w:spacing w:line="360" w:lineRule="auto"/>
              <w:ind w:firstLine="0" w:firstLineChars="0"/>
              <w:rPr>
                <w:rFonts w:hint="eastAsia"/>
                <w:b/>
                <w:bCs/>
                <w:sz w:val="24"/>
                <w:szCs w:val="24"/>
                <w:lang w:val="en-US" w:eastAsia="zh-CN"/>
              </w:rPr>
            </w:pPr>
            <w:r>
              <w:rPr>
                <w:rFonts w:hint="eastAsia"/>
                <w:b/>
                <w:bCs/>
                <w:sz w:val="24"/>
                <w:szCs w:val="24"/>
                <w:lang w:val="en-US" w:eastAsia="zh-CN"/>
              </w:rPr>
              <w:t>5.6、施工期措施的责任主体及实施效果</w:t>
            </w:r>
          </w:p>
          <w:p w14:paraId="27E805A1">
            <w:pPr>
              <w:spacing w:line="360" w:lineRule="auto"/>
              <w:ind w:firstLine="480" w:firstLineChars="200"/>
              <w:rPr>
                <w:sz w:val="24"/>
                <w:szCs w:val="24"/>
              </w:rPr>
            </w:pPr>
            <w:r>
              <w:rPr>
                <w:rFonts w:hint="eastAsia"/>
                <w:sz w:val="24"/>
                <w:szCs w:val="24"/>
                <w:lang w:val="en-US" w:eastAsia="zh-CN"/>
              </w:rPr>
              <w:t>本工程施工期采取的生态环境保护措施和大气、地表水、噪声、固废污染防治措施的责任主体为施工单位，建设单位具体负责监督，确保措施有效落实；经分析，以上措施具有技术可行性、经济合理性、运行稳定性、生态保护的可达性，在认真落实各项污染防治措施后，本工程施工期对生态、大气、地表水、声环境影响较小，固体废弃物能妥善处理，对周围环境影响较小。</w:t>
            </w:r>
          </w:p>
          <w:p w14:paraId="3150D781">
            <w:pPr>
              <w:spacing w:line="360" w:lineRule="auto"/>
              <w:ind w:firstLine="402" w:firstLineChars="200"/>
              <w:rPr>
                <w:rFonts w:ascii="Times New Roman" w:hAnsi="Times New Roman"/>
                <w:b/>
                <w:szCs w:val="24"/>
              </w:rPr>
            </w:pPr>
          </w:p>
        </w:tc>
      </w:tr>
      <w:bookmarkEnd w:id="113"/>
      <w:tr w14:paraId="7FCF91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6" w:type="pct"/>
            <w:vAlign w:val="center"/>
          </w:tcPr>
          <w:p w14:paraId="00C5A17D">
            <w:pPr>
              <w:rPr>
                <w:b/>
                <w:bCs/>
                <w:sz w:val="24"/>
                <w:szCs w:val="24"/>
              </w:rPr>
            </w:pPr>
            <w:r>
              <w:rPr>
                <w:b/>
                <w:bCs/>
                <w:sz w:val="24"/>
                <w:szCs w:val="24"/>
              </w:rPr>
              <w:t>运营期生态环境保护措施</w:t>
            </w:r>
          </w:p>
        </w:tc>
        <w:tc>
          <w:tcPr>
            <w:tcW w:w="4763" w:type="pct"/>
          </w:tcPr>
          <w:p w14:paraId="6F84B0FA">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5.7</w:t>
            </w:r>
            <w:r>
              <w:rPr>
                <w:rFonts w:hint="default" w:ascii="Times New Roman" w:hAnsi="Times New Roman" w:eastAsia="宋体" w:cs="Times New Roman"/>
                <w:b/>
                <w:bCs/>
                <w:sz w:val="24"/>
                <w:szCs w:val="24"/>
              </w:rPr>
              <w:t>、电磁环境影响防治措施</w:t>
            </w:r>
          </w:p>
          <w:p w14:paraId="6938F2D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（1）变电站</w:t>
            </w:r>
          </w:p>
          <w:p w14:paraId="4A8B76E2">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对变电站的电气设备进行合理布局，保证导体和电气设备安全距离，选用具有抗干扰能力的设备，设置防雷接地保护装置。</w:t>
            </w:r>
          </w:p>
          <w:p w14:paraId="686F16C6">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w:t>
            </w:r>
            <w:r>
              <w:rPr>
                <w:rFonts w:hint="eastAsia" w:cs="Times New Roman"/>
                <w:sz w:val="24"/>
                <w:szCs w:val="24"/>
                <w:lang w:val="en-US" w:eastAsia="zh-CN"/>
              </w:rPr>
              <w:t>2</w:t>
            </w:r>
            <w:r>
              <w:rPr>
                <w:rFonts w:hint="default" w:ascii="Times New Roman" w:hAnsi="Times New Roman" w:eastAsia="宋体" w:cs="Times New Roman"/>
                <w:sz w:val="24"/>
                <w:szCs w:val="24"/>
                <w:lang w:val="en-US" w:eastAsia="zh-CN"/>
              </w:rPr>
              <w:t>）架空线路</w:t>
            </w:r>
          </w:p>
          <w:p w14:paraId="4908DBA5">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1）在施工阶段，进一步优化线路路径，对沿线居民点进行合理避让；</w:t>
            </w:r>
          </w:p>
          <w:p w14:paraId="1D2AE73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2）线路需严格按照《110kV～750kV架空输电线路设计规范》（GB50545-2010）设计高度进行设计施工；</w:t>
            </w:r>
          </w:p>
          <w:p w14:paraId="0A81C97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3）根据电磁预测结果，线路架设需严格按照本次环评提出的导线对地高度和导线与建筑物相对距离要求实施；</w:t>
            </w:r>
          </w:p>
          <w:p w14:paraId="4675D628">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4）输电线路穿越耕地等场所时，在工频电场强度大于4000V/m且小于10kV/m的耕地、园地等公众容易到达的场所区域内设置警示和防护指示标志。</w:t>
            </w:r>
          </w:p>
          <w:p w14:paraId="4C6E32D4">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5）本工程110kV线路经过非居民区时，输电线路下相导线对地高度不小于6m；经过居民区时，输电线路下相导线对地高度不小于</w:t>
            </w:r>
            <w:r>
              <w:rPr>
                <w:rFonts w:hint="eastAsia" w:cs="Times New Roman"/>
                <w:sz w:val="24"/>
                <w:szCs w:val="24"/>
                <w:lang w:val="en-US" w:eastAsia="zh-CN"/>
              </w:rPr>
              <w:t>7</w:t>
            </w:r>
            <w:r>
              <w:rPr>
                <w:rFonts w:hint="default" w:ascii="Times New Roman" w:hAnsi="Times New Roman" w:eastAsia="宋体" w:cs="Times New Roman"/>
                <w:sz w:val="24"/>
                <w:szCs w:val="24"/>
                <w:lang w:val="en-US" w:eastAsia="zh-CN"/>
              </w:rPr>
              <w:t>m；</w:t>
            </w:r>
          </w:p>
          <w:p w14:paraId="25F7318F">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6）本工程110kV</w:t>
            </w:r>
            <w:r>
              <w:rPr>
                <w:rFonts w:hint="eastAsia" w:cs="Times New Roman"/>
                <w:sz w:val="24"/>
                <w:szCs w:val="24"/>
                <w:lang w:val="en-US" w:eastAsia="zh-CN"/>
              </w:rPr>
              <w:t>单回</w:t>
            </w:r>
            <w:r>
              <w:rPr>
                <w:rFonts w:hint="default" w:ascii="Times New Roman" w:hAnsi="Times New Roman" w:eastAsia="宋体" w:cs="Times New Roman"/>
                <w:sz w:val="24"/>
                <w:szCs w:val="24"/>
                <w:lang w:val="en-US" w:eastAsia="zh-CN"/>
              </w:rPr>
              <w:t>线路跨越民房时，输电线路下相导线距离建筑物的净空高度需不小于</w:t>
            </w:r>
            <w:r>
              <w:rPr>
                <w:rFonts w:hint="eastAsia" w:cs="Times New Roman"/>
                <w:sz w:val="24"/>
                <w:szCs w:val="24"/>
                <w:lang w:val="en-US" w:eastAsia="zh-CN"/>
              </w:rPr>
              <w:t>5</w:t>
            </w:r>
            <w:r>
              <w:rPr>
                <w:rFonts w:hint="default" w:ascii="Times New Roman" w:hAnsi="Times New Roman" w:eastAsia="宋体" w:cs="Times New Roman"/>
                <w:sz w:val="24"/>
                <w:szCs w:val="24"/>
                <w:lang w:val="en-US" w:eastAsia="zh-CN"/>
              </w:rPr>
              <w:t>m</w:t>
            </w:r>
            <w:r>
              <w:rPr>
                <w:rFonts w:hint="eastAsia" w:cs="Times New Roman"/>
                <w:sz w:val="24"/>
                <w:szCs w:val="24"/>
                <w:lang w:val="en-US" w:eastAsia="zh-CN"/>
              </w:rPr>
              <w:t>；</w:t>
            </w:r>
          </w:p>
          <w:p w14:paraId="63F76D94">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7）本工程线路设计选线阶段已尽量避让居民密集区，施工阶段应严格执行《电力设施保护条例》中相关要求，新建架空电力线路一般不得跨越房屋，对于110kV线路边导线2m内的房屋，原则上按照拆迁处理，若不同意拆迁时，需与被跨越方签订跨越协议</w:t>
            </w:r>
            <w:r>
              <w:rPr>
                <w:rFonts w:hint="eastAsia" w:cs="Times New Roman"/>
                <w:sz w:val="24"/>
                <w:szCs w:val="24"/>
                <w:lang w:val="en-US" w:eastAsia="zh-CN"/>
              </w:rPr>
              <w:t>，本项目涉及的一户位于</w:t>
            </w:r>
            <w:r>
              <w:rPr>
                <w:rFonts w:hint="default" w:ascii="Times New Roman" w:hAnsi="Times New Roman" w:eastAsia="宋体" w:cs="Times New Roman"/>
                <w:sz w:val="24"/>
                <w:szCs w:val="24"/>
                <w:lang w:val="en-US" w:eastAsia="zh-CN"/>
              </w:rPr>
              <w:t>110kV线路边导线2m内</w:t>
            </w:r>
            <w:r>
              <w:rPr>
                <w:rFonts w:hint="eastAsia" w:ascii="Times New Roman" w:hAnsi="Times New Roman" w:eastAsia="宋体" w:cs="Times New Roman"/>
                <w:sz w:val="24"/>
                <w:szCs w:val="24"/>
                <w:lang w:val="en-US" w:eastAsia="zh-CN"/>
              </w:rPr>
              <w:t>的房屋现已拆迁</w:t>
            </w:r>
            <w:r>
              <w:rPr>
                <w:rFonts w:hint="default" w:ascii="Times New Roman" w:hAnsi="Times New Roman" w:eastAsia="宋体" w:cs="Times New Roman"/>
                <w:sz w:val="24"/>
                <w:szCs w:val="24"/>
                <w:lang w:val="en-US" w:eastAsia="zh-CN"/>
              </w:rPr>
              <w:t>。</w:t>
            </w:r>
          </w:p>
          <w:p w14:paraId="421CD6E7">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5.8</w:t>
            </w:r>
            <w:r>
              <w:rPr>
                <w:rFonts w:hint="default" w:ascii="Times New Roman" w:hAnsi="Times New Roman" w:eastAsia="宋体" w:cs="Times New Roman"/>
                <w:b/>
                <w:bCs/>
                <w:sz w:val="24"/>
                <w:szCs w:val="24"/>
              </w:rPr>
              <w:t>、声环境影响防治措施</w:t>
            </w:r>
          </w:p>
          <w:p w14:paraId="256077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变电站选用低噪声主变，降低其对厂界噪声的影响贡献值；运行期加强变电站内主变及相关设备等高噪声设备的管理，减少设备陈旧产生的噪声。</w:t>
            </w:r>
          </w:p>
          <w:p w14:paraId="0261C0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架空线路建设时通过选用加工工艺水平高、表面光滑的导线减少电晕放电，并采取提高导线对地高度等措施，以降低对周围敏感目标的声环境影响。</w:t>
            </w:r>
          </w:p>
          <w:p w14:paraId="6ED21A04">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5.9</w:t>
            </w:r>
            <w:r>
              <w:rPr>
                <w:rFonts w:hint="default" w:ascii="Times New Roman" w:hAnsi="Times New Roman" w:eastAsia="宋体" w:cs="Times New Roman"/>
                <w:b/>
                <w:bCs/>
                <w:sz w:val="24"/>
                <w:szCs w:val="24"/>
              </w:rPr>
              <w:t>、水环境影响防治措施</w:t>
            </w:r>
          </w:p>
          <w:p w14:paraId="59E086B5">
            <w:pPr>
              <w:spacing w:line="360" w:lineRule="auto"/>
              <w:ind w:firstLine="480" w:firstLineChars="200"/>
              <w:rPr>
                <w:rFonts w:hint="eastAsia" w:cs="Times New Roman"/>
                <w:color w:val="auto"/>
                <w:sz w:val="24"/>
                <w:szCs w:val="24"/>
                <w:lang w:eastAsia="zh-CN"/>
              </w:rPr>
            </w:pPr>
            <w:r>
              <w:rPr>
                <w:rFonts w:hint="eastAsia" w:cs="Times New Roman"/>
                <w:color w:val="auto"/>
                <w:sz w:val="24"/>
                <w:szCs w:val="24"/>
                <w:lang w:val="en-US" w:eastAsia="zh-CN"/>
              </w:rPr>
              <w:t>金沙钼矿110kV变电站正常运行时，仅检修人员产生少量生活污水，生活污水经化粪池收集后排入厂区生活排水管道，最终排入矿区内地埋式生活污水处理装置（生物接触氧化+砂滤+消毒工艺）收集处理后泵至选矿生产。</w:t>
            </w:r>
          </w:p>
          <w:p w14:paraId="5014B975">
            <w:pPr>
              <w:spacing w:line="360" w:lineRule="auto"/>
              <w:ind w:firstLine="480" w:firstLineChars="200"/>
              <w:rPr>
                <w:rFonts w:hint="eastAsia" w:cs="Times New Roman"/>
                <w:color w:val="auto"/>
                <w:sz w:val="24"/>
                <w:szCs w:val="24"/>
                <w:lang w:eastAsia="zh-CN"/>
              </w:rPr>
            </w:pPr>
            <w:r>
              <w:rPr>
                <w:rFonts w:hint="eastAsia" w:cs="Times New Roman"/>
                <w:color w:val="auto"/>
                <w:sz w:val="24"/>
                <w:szCs w:val="24"/>
                <w:lang w:val="en-US" w:eastAsia="zh-CN"/>
              </w:rPr>
              <w:t>输电线路运行期间无废水产生。</w:t>
            </w:r>
          </w:p>
          <w:p w14:paraId="0D8BBEF0">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5.10</w:t>
            </w:r>
            <w:r>
              <w:rPr>
                <w:rFonts w:hint="default" w:ascii="Times New Roman" w:hAnsi="Times New Roman" w:eastAsia="宋体" w:cs="Times New Roman"/>
                <w:b/>
                <w:bCs/>
                <w:sz w:val="24"/>
                <w:szCs w:val="24"/>
              </w:rPr>
              <w:t>、</w:t>
            </w:r>
            <w:r>
              <w:rPr>
                <w:rFonts w:hint="eastAsia" w:ascii="Times New Roman" w:hAnsi="Times New Roman" w:cs="Times New Roman"/>
                <w:b/>
                <w:bCs/>
                <w:sz w:val="24"/>
                <w:szCs w:val="24"/>
                <w:lang w:eastAsia="zh-CN"/>
              </w:rPr>
              <w:t>废气</w:t>
            </w:r>
            <w:r>
              <w:rPr>
                <w:rFonts w:hint="default" w:ascii="Times New Roman" w:hAnsi="Times New Roman" w:eastAsia="宋体" w:cs="Times New Roman"/>
                <w:b/>
                <w:bCs/>
                <w:sz w:val="24"/>
                <w:szCs w:val="24"/>
              </w:rPr>
              <w:t>影响防治措施</w:t>
            </w:r>
          </w:p>
          <w:p w14:paraId="069A6003">
            <w:pPr>
              <w:spacing w:line="360" w:lineRule="auto"/>
              <w:ind w:firstLine="480" w:firstLineChars="200"/>
              <w:rPr>
                <w:rFonts w:hint="eastAsia"/>
                <w:sz w:val="24"/>
                <w:szCs w:val="24"/>
                <w:lang w:val="en-US" w:eastAsia="zh-CN"/>
              </w:rPr>
            </w:pPr>
            <w:r>
              <w:rPr>
                <w:rFonts w:hint="eastAsia"/>
                <w:sz w:val="24"/>
                <w:szCs w:val="24"/>
                <w:lang w:val="en-US" w:eastAsia="zh-CN"/>
              </w:rPr>
              <w:t>项目运营期无废气产生。</w:t>
            </w:r>
          </w:p>
          <w:p w14:paraId="14E4A576">
            <w:pPr>
              <w:spacing w:line="360" w:lineRule="auto"/>
              <w:ind w:firstLine="0" w:firstLineChars="0"/>
              <w:rPr>
                <w:rFonts w:hint="eastAsia"/>
                <w:b/>
                <w:bCs/>
                <w:sz w:val="24"/>
                <w:szCs w:val="24"/>
                <w:lang w:val="en-US" w:eastAsia="zh-CN"/>
              </w:rPr>
            </w:pPr>
            <w:r>
              <w:rPr>
                <w:rFonts w:hint="eastAsia"/>
                <w:b/>
                <w:bCs/>
                <w:sz w:val="24"/>
                <w:szCs w:val="24"/>
                <w:lang w:val="en-US" w:eastAsia="zh-CN"/>
              </w:rPr>
              <w:t>5.11生态环境影响保护措施</w:t>
            </w:r>
          </w:p>
          <w:p w14:paraId="08C2F092">
            <w:pPr>
              <w:spacing w:line="360" w:lineRule="auto"/>
              <w:ind w:firstLine="480" w:firstLineChars="200"/>
              <w:rPr>
                <w:rFonts w:hint="default" w:cs="Times New Roman"/>
                <w:color w:val="auto"/>
                <w:sz w:val="24"/>
                <w:szCs w:val="24"/>
                <w:lang w:eastAsia="zh-CN"/>
              </w:rPr>
            </w:pPr>
            <w:r>
              <w:rPr>
                <w:rFonts w:hint="eastAsia"/>
                <w:sz w:val="24"/>
                <w:szCs w:val="24"/>
                <w:lang w:val="en-US" w:eastAsia="zh-CN"/>
              </w:rPr>
              <w:t>运行期做好环境保护设施的维护和运行管理，进行线路巡检和维护时，避免过多人员和车辆进入，以减少对当地地表土壤结构和植被的破坏，避免过多干扰野生动物的生存环境；强化设备检修维护人员的生态环境保护意识教育，并严格管理，避免对项目周边的生态系统的破坏。</w:t>
            </w:r>
          </w:p>
          <w:p w14:paraId="17E0BD45">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5.12</w:t>
            </w:r>
            <w:r>
              <w:rPr>
                <w:rFonts w:hint="default" w:ascii="Times New Roman" w:hAnsi="Times New Roman" w:eastAsia="宋体" w:cs="Times New Roman"/>
                <w:b/>
                <w:bCs/>
                <w:sz w:val="24"/>
                <w:szCs w:val="24"/>
              </w:rPr>
              <w:t>、固体废物污染防治措施</w:t>
            </w:r>
          </w:p>
          <w:p w14:paraId="613D2C5F">
            <w:pPr>
              <w:spacing w:line="360" w:lineRule="auto"/>
              <w:ind w:firstLine="480" w:firstLineChars="200"/>
              <w:rPr>
                <w:rFonts w:hint="default"/>
                <w:sz w:val="24"/>
                <w:szCs w:val="24"/>
              </w:rPr>
            </w:pPr>
            <w:r>
              <w:rPr>
                <w:rFonts w:hint="default"/>
                <w:sz w:val="24"/>
                <w:szCs w:val="24"/>
              </w:rPr>
              <w:t>项目运营期产生的固体废物主要为</w:t>
            </w:r>
            <w:r>
              <w:rPr>
                <w:rFonts w:hint="eastAsia"/>
                <w:sz w:val="24"/>
                <w:szCs w:val="24"/>
                <w:lang w:eastAsia="zh-CN"/>
              </w:rPr>
              <w:t>变电站</w:t>
            </w:r>
            <w:r>
              <w:rPr>
                <w:rFonts w:hint="default"/>
                <w:sz w:val="24"/>
                <w:szCs w:val="24"/>
              </w:rPr>
              <w:t>工作人员产生的生活垃圾、废</w:t>
            </w:r>
            <w:r>
              <w:rPr>
                <w:rFonts w:hint="eastAsia"/>
                <w:sz w:val="24"/>
                <w:szCs w:val="24"/>
                <w:lang w:val="en-US" w:eastAsia="zh-CN"/>
              </w:rPr>
              <w:t>旧铅酸蓄</w:t>
            </w:r>
            <w:r>
              <w:rPr>
                <w:rFonts w:hint="default"/>
                <w:sz w:val="24"/>
                <w:szCs w:val="24"/>
              </w:rPr>
              <w:t>电池、</w:t>
            </w:r>
            <w:r>
              <w:rPr>
                <w:rFonts w:hint="default"/>
                <w:sz w:val="24"/>
                <w:szCs w:val="24"/>
                <w:lang w:eastAsia="zh-CN"/>
              </w:rPr>
              <w:t>废变压器油</w:t>
            </w:r>
            <w:r>
              <w:rPr>
                <w:rFonts w:hint="eastAsia"/>
                <w:sz w:val="24"/>
                <w:szCs w:val="24"/>
                <w:lang w:eastAsia="zh-CN"/>
              </w:rPr>
              <w:t>、</w:t>
            </w:r>
            <w:r>
              <w:rPr>
                <w:rFonts w:hint="default" w:cs="Times New Roman"/>
                <w:sz w:val="24"/>
                <w:szCs w:val="24"/>
                <w:vertAlign w:val="baseline"/>
                <w:lang w:val="en-US" w:eastAsia="zh-CN"/>
              </w:rPr>
              <w:t>维护检修废物</w:t>
            </w:r>
            <w:r>
              <w:rPr>
                <w:rFonts w:hint="default"/>
                <w:sz w:val="24"/>
                <w:szCs w:val="24"/>
              </w:rPr>
              <w:t>。</w:t>
            </w:r>
          </w:p>
          <w:p w14:paraId="3D5E218E">
            <w:pPr>
              <w:spacing w:line="360" w:lineRule="auto"/>
              <w:ind w:firstLine="480" w:firstLineChars="200"/>
              <w:rPr>
                <w:rFonts w:hint="default" w:ascii="Times New Roman" w:hAnsi="Times New Roman" w:eastAsia="宋体" w:cs="Times New Roman"/>
                <w:sz w:val="24"/>
                <w:szCs w:val="24"/>
              </w:rPr>
            </w:pPr>
            <w:r>
              <w:rPr>
                <w:rFonts w:hint="eastAsia"/>
                <w:sz w:val="24"/>
                <w:szCs w:val="24"/>
                <w:lang w:eastAsia="zh-CN"/>
              </w:rPr>
              <w:t>员工</w:t>
            </w:r>
            <w:r>
              <w:rPr>
                <w:rFonts w:hint="default"/>
                <w:sz w:val="24"/>
                <w:szCs w:val="24"/>
              </w:rPr>
              <w:t>生活垃圾分类收集后交由当地环卫部门统一清运处理</w:t>
            </w:r>
            <w:r>
              <w:rPr>
                <w:rFonts w:hint="eastAsia"/>
                <w:sz w:val="24"/>
                <w:szCs w:val="24"/>
                <w:lang w:eastAsia="zh-CN"/>
              </w:rPr>
              <w:t>；</w:t>
            </w:r>
            <w:r>
              <w:rPr>
                <w:rFonts w:hint="eastAsia"/>
                <w:sz w:val="24"/>
                <w:szCs w:val="24"/>
                <w:lang w:val="en-US" w:eastAsia="zh-CN"/>
              </w:rPr>
              <w:t>废铅酸蓄电池由电池厂家更换后带走，废变压器油、维护检修废物等危险废物由维修厂家带走，厂内不暂存和处置危险废物，</w:t>
            </w:r>
            <w:r>
              <w:rPr>
                <w:rFonts w:hint="eastAsia"/>
                <w:sz w:val="24"/>
                <w:szCs w:val="24"/>
                <w:lang w:eastAsia="zh-CN"/>
              </w:rPr>
              <w:t>不会对周围环境造成影响。</w:t>
            </w:r>
          </w:p>
          <w:p w14:paraId="042FD0D1">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5.13</w:t>
            </w:r>
            <w:r>
              <w:rPr>
                <w:rFonts w:hint="default" w:ascii="Times New Roman" w:hAnsi="Times New Roman" w:eastAsia="宋体" w:cs="Times New Roman"/>
                <w:b/>
                <w:bCs/>
                <w:sz w:val="24"/>
                <w:szCs w:val="24"/>
              </w:rPr>
              <w:t>、环境风险防控措施</w:t>
            </w:r>
          </w:p>
          <w:p w14:paraId="263B9FB6">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事故油池</w:t>
            </w:r>
          </w:p>
          <w:p w14:paraId="6D7C535C">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eastAsia="zh-CN"/>
              </w:rPr>
              <w:t>本工程</w:t>
            </w:r>
            <w:r>
              <w:rPr>
                <w:rFonts w:hint="eastAsia" w:ascii="Times New Roman" w:hAnsi="Times New Roman" w:eastAsia="宋体" w:cs="Times New Roman"/>
                <w:sz w:val="24"/>
                <w:szCs w:val="24"/>
                <w:lang w:eastAsia="zh-CN"/>
              </w:rPr>
              <w:t>拟建设一座</w:t>
            </w:r>
            <w:r>
              <w:rPr>
                <w:rFonts w:hint="eastAsia" w:cs="Times New Roman"/>
                <w:sz w:val="24"/>
                <w:szCs w:val="24"/>
                <w:lang w:eastAsia="zh-CN"/>
              </w:rPr>
              <w:t>有效</w:t>
            </w:r>
            <w:r>
              <w:rPr>
                <w:rFonts w:hint="default" w:ascii="Times New Roman" w:hAnsi="Times New Roman" w:eastAsia="宋体" w:cs="Times New Roman"/>
                <w:sz w:val="24"/>
                <w:szCs w:val="24"/>
              </w:rPr>
              <w:t>容积为</w:t>
            </w:r>
            <w:r>
              <w:rPr>
                <w:rFonts w:hint="eastAsia" w:cs="Times New Roman"/>
                <w:color w:val="auto"/>
                <w:sz w:val="24"/>
                <w:szCs w:val="24"/>
                <w:highlight w:val="none"/>
                <w:lang w:val="en-US" w:eastAsia="zh-CN"/>
              </w:rPr>
              <w:t>34</w:t>
            </w:r>
            <w:r>
              <w:rPr>
                <w:rFonts w:hint="default" w:ascii="Times New Roman" w:hAnsi="Times New Roman" w:eastAsia="宋体" w:cs="Times New Roman"/>
                <w:color w:val="auto"/>
                <w:sz w:val="24"/>
                <w:szCs w:val="24"/>
              </w:rPr>
              <w:t>m</w:t>
            </w:r>
            <w:r>
              <w:rPr>
                <w:rFonts w:hint="eastAsia"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sz w:val="24"/>
                <w:szCs w:val="24"/>
              </w:rPr>
              <w:t>的事故油池，</w:t>
            </w:r>
            <w:r>
              <w:rPr>
                <w:rFonts w:hint="eastAsia" w:ascii="Times New Roman" w:hAnsi="Times New Roman" w:eastAsia="宋体" w:cs="Times New Roman"/>
                <w:sz w:val="24"/>
                <w:szCs w:val="24"/>
                <w:lang w:eastAsia="zh-CN"/>
              </w:rPr>
              <w:t>位于</w:t>
            </w:r>
            <w:r>
              <w:rPr>
                <w:rFonts w:hint="eastAsia" w:cs="Times New Roman"/>
                <w:sz w:val="24"/>
                <w:szCs w:val="24"/>
                <w:lang w:eastAsia="zh-CN"/>
              </w:rPr>
              <w:t>站区</w:t>
            </w:r>
            <w:r>
              <w:rPr>
                <w:rFonts w:hint="eastAsia" w:ascii="Times New Roman" w:hAnsi="Times New Roman" w:eastAsia="宋体" w:cs="Times New Roman"/>
                <w:sz w:val="24"/>
                <w:szCs w:val="24"/>
                <w:lang w:eastAsia="zh-CN"/>
              </w:rPr>
              <w:t>的</w:t>
            </w:r>
            <w:r>
              <w:rPr>
                <w:rFonts w:hint="eastAsia" w:cs="Times New Roman"/>
                <w:sz w:val="24"/>
                <w:szCs w:val="24"/>
                <w:lang w:val="en-US" w:eastAsia="zh-CN"/>
              </w:rPr>
              <w:t>西南侧</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能够满足事故状况下主变压器油的收集和暂存。</w:t>
            </w:r>
          </w:p>
          <w:p w14:paraId="2602B4B7">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2</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分区防渗</w:t>
            </w:r>
          </w:p>
          <w:p w14:paraId="2F23D4B0">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①重点防渗区</w:t>
            </w:r>
          </w:p>
          <w:p w14:paraId="674D0A40">
            <w:pPr>
              <w:spacing w:line="360" w:lineRule="auto"/>
              <w:ind w:firstLine="480" w:firstLineChars="200"/>
              <w:rPr>
                <w:rFonts w:hint="eastAsia" w:ascii="Times New Roman" w:hAnsi="Times New Roman" w:eastAsia="宋体" w:cs="Times New Roman"/>
                <w:sz w:val="24"/>
                <w:szCs w:val="24"/>
                <w:lang w:eastAsia="zh-CN"/>
              </w:rPr>
            </w:pPr>
            <w:r>
              <w:rPr>
                <w:rFonts w:hint="eastAsia" w:ascii="Times New Roman" w:hAnsi="Times New Roman" w:eastAsia="宋体" w:cs="Times New Roman"/>
                <w:sz w:val="24"/>
                <w:szCs w:val="24"/>
                <w:lang w:eastAsia="zh-CN"/>
              </w:rPr>
              <w:t>主要区域：事故油池、主变区。</w:t>
            </w:r>
          </w:p>
          <w:p w14:paraId="3B2F5F92">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重点防渗措施要求：</w:t>
            </w:r>
            <w:r>
              <w:rPr>
                <w:rFonts w:hint="default" w:ascii="Times New Roman" w:hAnsi="Times New Roman" w:eastAsia="宋体" w:cs="Times New Roman"/>
                <w:sz w:val="24"/>
                <w:szCs w:val="24"/>
              </w:rPr>
              <w:t>采用人工材料构筑防渗层，或2mm厚高密度聚乙烯，或至少2mm厚的</w:t>
            </w:r>
            <w:r>
              <w:rPr>
                <w:rFonts w:hint="eastAsia" w:cs="Times New Roman"/>
                <w:sz w:val="24"/>
                <w:szCs w:val="24"/>
                <w:lang w:eastAsia="zh-CN"/>
              </w:rPr>
              <w:t>其他人工</w:t>
            </w:r>
            <w:r>
              <w:rPr>
                <w:rFonts w:hint="default" w:ascii="Times New Roman" w:hAnsi="Times New Roman" w:eastAsia="宋体" w:cs="Times New Roman"/>
                <w:sz w:val="24"/>
                <w:szCs w:val="24"/>
              </w:rPr>
              <w:t>材料，或参照《危险废物贮存污染控制标准》</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GB18597-2023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中的有关规定执行。</w:t>
            </w:r>
          </w:p>
          <w:p w14:paraId="426EAF05">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防渗措施：采用复合防渗结构用压实粘土</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厚度不小于1m</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渗透系数≤10</w:t>
            </w:r>
            <w:r>
              <w:rPr>
                <w:rFonts w:hint="eastAsia" w:cs="Times New Roman"/>
                <w:sz w:val="24"/>
                <w:szCs w:val="24"/>
                <w:vertAlign w:val="superscript"/>
                <w:lang w:val="en-US" w:eastAsia="zh-CN"/>
              </w:rPr>
              <w:t>-</w:t>
            </w:r>
            <w:r>
              <w:rPr>
                <w:rFonts w:hint="default" w:ascii="Times New Roman" w:hAnsi="Times New Roman" w:eastAsia="宋体" w:cs="Times New Roman"/>
                <w:sz w:val="24"/>
                <w:szCs w:val="24"/>
                <w:vertAlign w:val="superscript"/>
              </w:rPr>
              <w:t>7</w:t>
            </w:r>
            <w:r>
              <w:rPr>
                <w:rFonts w:hint="default" w:ascii="Times New Roman" w:hAnsi="Times New Roman" w:eastAsia="宋体" w:cs="Times New Roman"/>
                <w:sz w:val="24"/>
                <w:szCs w:val="24"/>
              </w:rPr>
              <w:t>cm/s</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+600g/m²无纺土工布复合基础为地基，其上铺设2mm厚HDPE膜</w:t>
            </w:r>
            <w:r>
              <w:rPr>
                <w:rFonts w:hint="eastAsia" w:cs="Times New Roman"/>
                <w:sz w:val="24"/>
                <w:szCs w:val="24"/>
                <w:lang w:eastAsia="zh-CN"/>
              </w:rPr>
              <w:t>（</w:t>
            </w:r>
            <w:r>
              <w:rPr>
                <w:rFonts w:hint="default" w:ascii="Times New Roman" w:hAnsi="Times New Roman" w:eastAsia="宋体" w:cs="Times New Roman"/>
                <w:sz w:val="24"/>
                <w:szCs w:val="24"/>
              </w:rPr>
              <w:t>渗透系数≤10</w:t>
            </w:r>
            <w:r>
              <w:rPr>
                <w:rFonts w:hint="default" w:ascii="Times New Roman" w:hAnsi="Times New Roman" w:eastAsia="宋体" w:cs="Times New Roman"/>
                <w:sz w:val="24"/>
                <w:szCs w:val="24"/>
                <w:vertAlign w:val="superscript"/>
              </w:rPr>
              <w:t>-1</w:t>
            </w:r>
            <w:r>
              <w:rPr>
                <w:rFonts w:hint="eastAsia" w:ascii="Times New Roman" w:hAnsi="Times New Roman" w:eastAsia="宋体" w:cs="Times New Roman"/>
                <w:sz w:val="24"/>
                <w:szCs w:val="24"/>
                <w:vertAlign w:val="superscript"/>
                <w:lang w:val="en-US" w:eastAsia="zh-CN"/>
              </w:rPr>
              <w:t>0</w:t>
            </w:r>
            <w:r>
              <w:rPr>
                <w:rFonts w:hint="default" w:ascii="Times New Roman" w:hAnsi="Times New Roman" w:eastAsia="宋体" w:cs="Times New Roman"/>
                <w:sz w:val="24"/>
                <w:szCs w:val="24"/>
              </w:rPr>
              <w:t>cm/s</w:t>
            </w:r>
            <w:r>
              <w:rPr>
                <w:rFonts w:hint="eastAsia" w:cs="Times New Roman"/>
                <w:sz w:val="24"/>
                <w:szCs w:val="24"/>
                <w:lang w:eastAsia="zh-CN"/>
              </w:rPr>
              <w:t>）</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池体采用抗渗混凝土</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厚度不小于250mm</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渗透系数≤10</w:t>
            </w:r>
            <w:r>
              <w:rPr>
                <w:rFonts w:hint="default" w:ascii="Times New Roman" w:hAnsi="Times New Roman" w:eastAsia="宋体" w:cs="Times New Roman"/>
                <w:sz w:val="24"/>
                <w:szCs w:val="24"/>
                <w:vertAlign w:val="superscript"/>
              </w:rPr>
              <w:t>-8</w:t>
            </w:r>
            <w:r>
              <w:rPr>
                <w:rFonts w:hint="default" w:ascii="Times New Roman" w:hAnsi="Times New Roman" w:eastAsia="宋体" w:cs="Times New Roman"/>
                <w:sz w:val="24"/>
                <w:szCs w:val="24"/>
              </w:rPr>
              <w:t>cm/s</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浇筑。</w:t>
            </w:r>
          </w:p>
          <w:p w14:paraId="3C31241D">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②一般防渗区</w:t>
            </w:r>
          </w:p>
          <w:p w14:paraId="2DA3327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主要区域</w:t>
            </w:r>
            <w:r>
              <w:rPr>
                <w:rFonts w:hint="eastAsia" w:ascii="Times New Roman" w:hAnsi="Times New Roman" w:eastAsia="宋体" w:cs="Times New Roman"/>
                <w:sz w:val="24"/>
                <w:szCs w:val="24"/>
                <w:lang w:eastAsia="zh-CN"/>
              </w:rPr>
              <w:t>：除事故油池</w:t>
            </w:r>
            <w:r>
              <w:rPr>
                <w:rFonts w:hint="eastAsia" w:cs="Times New Roman"/>
                <w:sz w:val="24"/>
                <w:szCs w:val="24"/>
                <w:lang w:eastAsia="zh-CN"/>
              </w:rPr>
              <w:t>、</w:t>
            </w:r>
            <w:r>
              <w:rPr>
                <w:rFonts w:hint="eastAsia" w:ascii="Times New Roman" w:hAnsi="Times New Roman" w:eastAsia="宋体" w:cs="Times New Roman"/>
                <w:sz w:val="24"/>
                <w:szCs w:val="24"/>
                <w:lang w:eastAsia="zh-CN"/>
              </w:rPr>
              <w:t>主变区的其他</w:t>
            </w:r>
            <w:r>
              <w:rPr>
                <w:rFonts w:hint="eastAsia" w:cs="Times New Roman"/>
                <w:sz w:val="24"/>
                <w:szCs w:val="24"/>
                <w:lang w:val="en-US" w:eastAsia="zh-CN"/>
              </w:rPr>
              <w:t>变电站</w:t>
            </w:r>
            <w:r>
              <w:rPr>
                <w:rFonts w:hint="eastAsia" w:ascii="Times New Roman" w:hAnsi="Times New Roman" w:eastAsia="宋体" w:cs="Times New Roman"/>
                <w:sz w:val="24"/>
                <w:szCs w:val="24"/>
                <w:lang w:eastAsia="zh-CN"/>
              </w:rPr>
              <w:t>场区。</w:t>
            </w:r>
          </w:p>
          <w:p w14:paraId="4E4C8D41">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一般污染防渗措施要求：等效粘土防渗层Mb≥</w:t>
            </w:r>
            <w:r>
              <w:rPr>
                <w:rFonts w:hint="eastAsia" w:cs="Times New Roman"/>
                <w:sz w:val="24"/>
                <w:szCs w:val="24"/>
                <w:lang w:val="en-US" w:eastAsia="zh-CN"/>
              </w:rPr>
              <w:t>0.75</w:t>
            </w:r>
            <w:r>
              <w:rPr>
                <w:rFonts w:hint="default" w:ascii="Times New Roman" w:hAnsi="Times New Roman" w:eastAsia="宋体" w:cs="Times New Roman"/>
                <w:sz w:val="24"/>
                <w:szCs w:val="24"/>
              </w:rPr>
              <w:t>m</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K≤1×10</w:t>
            </w:r>
            <w:r>
              <w:rPr>
                <w:rFonts w:hint="default" w:ascii="Times New Roman" w:hAnsi="Times New Roman" w:eastAsia="宋体" w:cs="Times New Roman"/>
                <w:sz w:val="24"/>
                <w:szCs w:val="24"/>
                <w:vertAlign w:val="superscript"/>
              </w:rPr>
              <w:t>-</w:t>
            </w:r>
            <w:r>
              <w:rPr>
                <w:rFonts w:hint="eastAsia" w:ascii="Times New Roman" w:hAnsi="Times New Roman" w:eastAsia="宋体" w:cs="Times New Roman"/>
                <w:sz w:val="24"/>
                <w:szCs w:val="24"/>
                <w:vertAlign w:val="superscript"/>
                <w:lang w:val="en-US" w:eastAsia="zh-CN"/>
              </w:rPr>
              <w:t>7</w:t>
            </w:r>
            <w:r>
              <w:rPr>
                <w:rFonts w:hint="default" w:ascii="Times New Roman" w:hAnsi="Times New Roman" w:eastAsia="宋体" w:cs="Times New Roman"/>
                <w:sz w:val="24"/>
                <w:szCs w:val="24"/>
              </w:rPr>
              <w:t>cm/s。</w:t>
            </w:r>
          </w:p>
          <w:p w14:paraId="431F137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防渗措施：可采用防渗混凝土</w:t>
            </w:r>
            <w:r>
              <w:rPr>
                <w:rFonts w:hint="eastAsia" w:cs="Times New Roman"/>
                <w:sz w:val="24"/>
                <w:szCs w:val="24"/>
                <w:lang w:eastAsia="zh-CN"/>
              </w:rPr>
              <w:t>做</w:t>
            </w:r>
            <w:r>
              <w:rPr>
                <w:rFonts w:hint="default" w:ascii="Times New Roman" w:hAnsi="Times New Roman" w:eastAsia="宋体" w:cs="Times New Roman"/>
                <w:sz w:val="24"/>
                <w:szCs w:val="24"/>
              </w:rPr>
              <w:t>面层，面层厚度不小于100mm</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渗透系数≤10</w:t>
            </w:r>
            <w:r>
              <w:rPr>
                <w:rFonts w:hint="default" w:ascii="Times New Roman" w:hAnsi="Times New Roman" w:eastAsia="宋体" w:cs="Times New Roman"/>
                <w:sz w:val="24"/>
                <w:szCs w:val="24"/>
                <w:vertAlign w:val="superscript"/>
              </w:rPr>
              <w:t>-7</w:t>
            </w:r>
            <w:r>
              <w:rPr>
                <w:rFonts w:hint="default" w:ascii="Times New Roman" w:hAnsi="Times New Roman" w:eastAsia="宋体" w:cs="Times New Roman"/>
                <w:sz w:val="24"/>
                <w:szCs w:val="24"/>
              </w:rPr>
              <w:t>cm/s</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其下铺砌砂石基层，原土夯实达到防渗目的。或采用至少0.75m厚粘土层</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渗透系数≤10</w:t>
            </w:r>
            <w:r>
              <w:rPr>
                <w:rFonts w:hint="default" w:ascii="Times New Roman" w:hAnsi="Times New Roman" w:eastAsia="宋体" w:cs="Times New Roman"/>
                <w:sz w:val="24"/>
                <w:szCs w:val="24"/>
                <w:vertAlign w:val="superscript"/>
              </w:rPr>
              <w:t>-7</w:t>
            </w:r>
            <w:r>
              <w:rPr>
                <w:rFonts w:hint="default" w:ascii="Times New Roman" w:hAnsi="Times New Roman" w:eastAsia="宋体" w:cs="Times New Roman"/>
                <w:sz w:val="24"/>
                <w:szCs w:val="24"/>
              </w:rPr>
              <w:t>cm/s</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进行防渗。</w:t>
            </w:r>
          </w:p>
          <w:p w14:paraId="725C3748">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③简单防渗区</w:t>
            </w:r>
          </w:p>
          <w:p w14:paraId="601F55A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主要区域：</w:t>
            </w:r>
            <w:r>
              <w:rPr>
                <w:rFonts w:hint="default" w:ascii="Times New Roman" w:hAnsi="Times New Roman" w:eastAsia="宋体" w:cs="Times New Roman"/>
                <w:sz w:val="24"/>
                <w:szCs w:val="24"/>
              </w:rPr>
              <w:t>除重点防渗区和一般防渗区、绿化区域以外的区域，该区域只要做一般地面硬化即可。</w:t>
            </w:r>
          </w:p>
          <w:p w14:paraId="1E4939DA">
            <w:pPr>
              <w:numPr>
                <w:ilvl w:val="0"/>
                <w:numId w:val="0"/>
              </w:numPr>
              <w:spacing w:line="360" w:lineRule="auto"/>
              <w:ind w:leftChars="200"/>
              <w:rPr>
                <w:rFonts w:hint="eastAsia"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3</w:t>
            </w:r>
            <w:r>
              <w:rPr>
                <w:rFonts w:hint="eastAsia" w:cs="Times New Roman"/>
                <w:sz w:val="24"/>
                <w:szCs w:val="24"/>
                <w:lang w:eastAsia="zh-CN"/>
              </w:rPr>
              <w:t>）风险防控措施</w:t>
            </w:r>
          </w:p>
          <w:p w14:paraId="510765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w:t>
            </w:r>
            <w:r>
              <w:rPr>
                <w:rFonts w:hint="eastAsia" w:cs="Times New Roman"/>
                <w:sz w:val="24"/>
                <w:szCs w:val="24"/>
                <w:lang w:eastAsia="zh-CN"/>
              </w:rPr>
              <w:t>生态环境部</w:t>
            </w:r>
            <w:r>
              <w:rPr>
                <w:rFonts w:hint="default" w:ascii="Times New Roman" w:hAnsi="Times New Roman" w:eastAsia="宋体" w:cs="Times New Roman"/>
                <w:sz w:val="24"/>
                <w:szCs w:val="24"/>
              </w:rPr>
              <w:t>的相关要求，通过对污染事故的风险评价，建设单位应加强安全生产管理，制订重大环境事故发生的应急工作计划，消除事故隐患的实施及突发性事故应急办法等。</w:t>
            </w:r>
          </w:p>
          <w:p w14:paraId="101B05D8">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围绕变压器油使用过</w:t>
            </w:r>
            <w:r>
              <w:rPr>
                <w:rFonts w:hint="eastAsia" w:cs="Times New Roman"/>
                <w:sz w:val="24"/>
                <w:szCs w:val="24"/>
                <w:lang w:eastAsia="zh-CN"/>
              </w:rPr>
              <w:t>程中</w:t>
            </w:r>
            <w:r>
              <w:rPr>
                <w:rFonts w:hint="default" w:ascii="Times New Roman" w:hAnsi="Times New Roman" w:eastAsia="宋体" w:cs="Times New Roman"/>
                <w:sz w:val="24"/>
                <w:szCs w:val="24"/>
              </w:rPr>
              <w:t>存</w:t>
            </w:r>
            <w:r>
              <w:rPr>
                <w:rFonts w:hint="eastAsia" w:cs="Times New Roman"/>
                <w:sz w:val="24"/>
                <w:szCs w:val="24"/>
                <w:lang w:eastAsia="zh-CN"/>
              </w:rPr>
              <w:t>在的</w:t>
            </w:r>
            <w:r>
              <w:rPr>
                <w:rFonts w:hint="default" w:ascii="Times New Roman" w:hAnsi="Times New Roman" w:eastAsia="宋体" w:cs="Times New Roman"/>
                <w:sz w:val="24"/>
                <w:szCs w:val="24"/>
              </w:rPr>
              <w:t>风险进行管理，具体措施有：</w:t>
            </w:r>
          </w:p>
          <w:p w14:paraId="2E757697">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①落实总图布置和建筑安全防范措施；</w:t>
            </w:r>
          </w:p>
          <w:p w14:paraId="1E6C21A7">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②落实工艺技术装备和自动控制</w:t>
            </w:r>
            <w:r>
              <w:rPr>
                <w:rFonts w:hint="eastAsia" w:cs="Times New Roman"/>
                <w:sz w:val="24"/>
                <w:szCs w:val="24"/>
                <w:lang w:eastAsia="zh-CN"/>
              </w:rPr>
              <w:t>设备</w:t>
            </w:r>
            <w:r>
              <w:rPr>
                <w:rFonts w:hint="default" w:ascii="Times New Roman" w:hAnsi="Times New Roman" w:eastAsia="宋体" w:cs="Times New Roman"/>
                <w:sz w:val="24"/>
                <w:szCs w:val="24"/>
              </w:rPr>
              <w:t>安全防范措施；</w:t>
            </w:r>
          </w:p>
          <w:p w14:paraId="7513FFF6">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③落实火灾应急措施、中毒应急措施和</w:t>
            </w:r>
            <w:r>
              <w:rPr>
                <w:rFonts w:hint="eastAsia" w:cs="Times New Roman"/>
                <w:sz w:val="24"/>
                <w:szCs w:val="24"/>
                <w:lang w:eastAsia="zh-CN"/>
              </w:rPr>
              <w:t>泄漏</w:t>
            </w:r>
            <w:r>
              <w:rPr>
                <w:rFonts w:hint="default" w:ascii="Times New Roman" w:hAnsi="Times New Roman" w:eastAsia="宋体" w:cs="Times New Roman"/>
                <w:sz w:val="24"/>
                <w:szCs w:val="24"/>
              </w:rPr>
              <w:t>应急措施；</w:t>
            </w:r>
          </w:p>
          <w:p w14:paraId="0CB0AFE5">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④设置收集装置和消防设施；</w:t>
            </w:r>
          </w:p>
          <w:p w14:paraId="5B672E4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⑤认真贯彻落实有关法规，不断完善企业管理制度，切实加强安全管理宣传、教育和培训工作，</w:t>
            </w:r>
            <w:r>
              <w:rPr>
                <w:rFonts w:hint="eastAsia" w:cs="Times New Roman"/>
                <w:sz w:val="24"/>
                <w:szCs w:val="24"/>
                <w:lang w:eastAsia="zh-CN"/>
              </w:rPr>
              <w:t>增强</w:t>
            </w:r>
            <w:r>
              <w:rPr>
                <w:rFonts w:hint="default" w:ascii="Times New Roman" w:hAnsi="Times New Roman" w:eastAsia="宋体" w:cs="Times New Roman"/>
                <w:sz w:val="24"/>
                <w:szCs w:val="24"/>
              </w:rPr>
              <w:t>安全防范风险的意识，完善处置事故队伍，建立安全生产机构，严格按安全操作规程进行操作，尽量杜绝事故</w:t>
            </w:r>
            <w:r>
              <w:rPr>
                <w:rFonts w:hint="eastAsia" w:cs="Times New Roman"/>
                <w:sz w:val="24"/>
                <w:szCs w:val="24"/>
                <w:lang w:eastAsia="zh-CN"/>
              </w:rPr>
              <w:t>发生</w:t>
            </w:r>
            <w:r>
              <w:rPr>
                <w:rFonts w:hint="default" w:ascii="Times New Roman" w:hAnsi="Times New Roman" w:eastAsia="宋体" w:cs="Times New Roman"/>
                <w:sz w:val="24"/>
                <w:szCs w:val="24"/>
              </w:rPr>
              <w:t>，设置合理可行的技术措施，制定严格的操作规程；</w:t>
            </w:r>
          </w:p>
          <w:p w14:paraId="65371A92">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⑥设置事故</w:t>
            </w:r>
            <w:r>
              <w:rPr>
                <w:rFonts w:hint="eastAsia" w:cs="Times New Roman"/>
                <w:sz w:val="24"/>
                <w:szCs w:val="24"/>
                <w:lang w:eastAsia="zh-CN"/>
              </w:rPr>
              <w:t>油</w:t>
            </w:r>
            <w:r>
              <w:rPr>
                <w:rFonts w:hint="default" w:ascii="Times New Roman" w:hAnsi="Times New Roman" w:eastAsia="宋体" w:cs="Times New Roman"/>
                <w:sz w:val="24"/>
                <w:szCs w:val="24"/>
              </w:rPr>
              <w:t>池</w:t>
            </w:r>
            <w:r>
              <w:rPr>
                <w:rFonts w:hint="default" w:ascii="Times New Roman" w:hAnsi="Times New Roman" w:eastAsia="宋体" w:cs="Times New Roman"/>
                <w:sz w:val="24"/>
                <w:szCs w:val="24"/>
                <w:highlight w:val="none"/>
              </w:rPr>
              <w:t>（</w:t>
            </w:r>
            <w:r>
              <w:rPr>
                <w:rFonts w:hint="eastAsia" w:cs="Times New Roman"/>
                <w:sz w:val="24"/>
                <w:szCs w:val="24"/>
                <w:highlight w:val="none"/>
                <w:lang w:eastAsia="zh-CN"/>
              </w:rPr>
              <w:t>有效容积</w:t>
            </w:r>
            <w:r>
              <w:rPr>
                <w:rFonts w:hint="eastAsia" w:cs="Times New Roman"/>
                <w:sz w:val="24"/>
                <w:szCs w:val="24"/>
                <w:highlight w:val="none"/>
                <w:lang w:val="en-US" w:eastAsia="zh-CN"/>
              </w:rPr>
              <w:t>34</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rPr>
              <w:t>3</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rPr>
              <w:t>。</w:t>
            </w:r>
          </w:p>
          <w:p w14:paraId="7DDB606F">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综上所述，</w:t>
            </w:r>
            <w:r>
              <w:rPr>
                <w:rFonts w:hint="default" w:ascii="Times New Roman" w:hAnsi="Times New Roman" w:eastAsia="宋体" w:cs="Times New Roman"/>
                <w:sz w:val="24"/>
                <w:szCs w:val="24"/>
              </w:rPr>
              <w:t>该项目环境风险处于可接受水平</w:t>
            </w:r>
            <w:r>
              <w:rPr>
                <w:rFonts w:hint="eastAsia" w:cs="Times New Roman"/>
                <w:sz w:val="24"/>
                <w:szCs w:val="24"/>
                <w:lang w:eastAsia="zh-CN"/>
              </w:rPr>
              <w:t>，</w:t>
            </w:r>
            <w:r>
              <w:rPr>
                <w:rFonts w:hint="default" w:ascii="Times New Roman" w:hAnsi="Times New Roman" w:eastAsia="宋体" w:cs="Times New Roman"/>
                <w:sz w:val="24"/>
                <w:szCs w:val="24"/>
              </w:rPr>
              <w:t>在采取有效的风险管理措施的前提下，从</w:t>
            </w:r>
            <w:r>
              <w:rPr>
                <w:rFonts w:hint="eastAsia" w:cs="Times New Roman"/>
                <w:sz w:val="24"/>
                <w:szCs w:val="24"/>
                <w:lang w:eastAsia="zh-CN"/>
              </w:rPr>
              <w:t>环境</w:t>
            </w:r>
            <w:r>
              <w:rPr>
                <w:rFonts w:hint="default" w:ascii="Times New Roman" w:hAnsi="Times New Roman" w:eastAsia="宋体" w:cs="Times New Roman"/>
                <w:sz w:val="24"/>
                <w:szCs w:val="24"/>
              </w:rPr>
              <w:t>风险角度分析该项目建设可行。</w:t>
            </w:r>
          </w:p>
          <w:p w14:paraId="0CAF7813">
            <w:pPr>
              <w:spacing w:line="360" w:lineRule="auto"/>
              <w:rPr>
                <w:rFonts w:hint="default" w:ascii="Times New Roman" w:hAnsi="Times New Roman" w:eastAsia="宋体" w:cs="Times New Roman"/>
                <w:b/>
                <w:bCs/>
                <w:sz w:val="24"/>
                <w:szCs w:val="24"/>
              </w:rPr>
            </w:pPr>
            <w:r>
              <w:rPr>
                <w:rFonts w:hint="eastAsia" w:cs="Times New Roman"/>
                <w:b/>
                <w:bCs/>
                <w:sz w:val="24"/>
                <w:szCs w:val="24"/>
                <w:lang w:val="en-US" w:eastAsia="zh-CN"/>
              </w:rPr>
              <w:t>5.14</w:t>
            </w:r>
            <w:r>
              <w:rPr>
                <w:rFonts w:hint="default" w:ascii="Times New Roman" w:hAnsi="Times New Roman" w:eastAsia="宋体" w:cs="Times New Roman"/>
                <w:b/>
                <w:bCs/>
                <w:sz w:val="24"/>
                <w:szCs w:val="24"/>
              </w:rPr>
              <w:t>、</w:t>
            </w:r>
            <w:r>
              <w:rPr>
                <w:rFonts w:hint="default" w:ascii="Times New Roman" w:hAnsi="Times New Roman" w:eastAsia="宋体" w:cs="Times New Roman"/>
                <w:b/>
                <w:bCs/>
                <w:sz w:val="24"/>
                <w:szCs w:val="24"/>
                <w:lang w:val="en-US" w:eastAsia="zh-CN"/>
              </w:rPr>
              <w:t>运营期措施的责任主体及实施效果</w:t>
            </w:r>
          </w:p>
          <w:p w14:paraId="4C8609BD">
            <w:pPr>
              <w:spacing w:line="360" w:lineRule="auto"/>
              <w:ind w:firstLine="480" w:firstLineChars="200"/>
              <w:rPr>
                <w:rFonts w:hint="eastAsia" w:ascii="宋体" w:hAnsi="宋体" w:cs="宋体"/>
                <w:sz w:val="24"/>
                <w:szCs w:val="24"/>
              </w:rPr>
            </w:pPr>
            <w:r>
              <w:rPr>
                <w:rFonts w:hint="eastAsia" w:ascii="宋体" w:hAnsi="宋体" w:cs="宋体"/>
                <w:sz w:val="24"/>
                <w:szCs w:val="24"/>
                <w:lang w:val="en-US" w:eastAsia="zh-CN"/>
              </w:rPr>
              <w:t>本工程运营期采取的生态环境保护措施和噪声、电磁、地表水、固废污染防治措施及环境风险防范措施的责任主体为</w:t>
            </w:r>
            <w:r>
              <w:rPr>
                <w:rFonts w:hint="default"/>
                <w:sz w:val="24"/>
                <w:szCs w:val="24"/>
                <w:lang w:val="en-US" w:eastAsia="zh-CN"/>
              </w:rPr>
              <w:t>安徽金沙钼业有限公司</w:t>
            </w:r>
            <w:r>
              <w:rPr>
                <w:rFonts w:hint="eastAsia" w:ascii="宋体" w:hAnsi="宋体" w:cs="宋体"/>
                <w:sz w:val="24"/>
                <w:szCs w:val="24"/>
                <w:lang w:val="en-US" w:eastAsia="zh-CN"/>
              </w:rPr>
              <w:t>，</w:t>
            </w:r>
            <w:r>
              <w:rPr>
                <w:rFonts w:hint="default"/>
                <w:sz w:val="24"/>
                <w:szCs w:val="24"/>
                <w:lang w:val="en-US" w:eastAsia="zh-CN"/>
              </w:rPr>
              <w:t>安徽金沙钼业有限公司</w:t>
            </w:r>
            <w:r>
              <w:rPr>
                <w:rFonts w:hint="eastAsia" w:ascii="宋体" w:hAnsi="宋体" w:cs="宋体"/>
                <w:sz w:val="24"/>
                <w:szCs w:val="24"/>
                <w:lang w:val="en-US" w:eastAsia="zh-CN"/>
              </w:rPr>
              <w:t>应严格依照相关要求确保措施有效落实；经分析，以上措施具有技术可行性、经济合理性、运行稳定性、生态保护的可达性，在认真落实各项污染防治措施后，本工程运营期对生态、地表水环境影响较小，电磁及声环境影响能满足标准要求，固体废弃物能妥善处理，环境风险可控。</w:t>
            </w:r>
          </w:p>
          <w:p w14:paraId="75DEBDBC">
            <w:pPr>
              <w:spacing w:line="360" w:lineRule="auto"/>
              <w:ind w:firstLine="0" w:firstLineChars="0"/>
            </w:pPr>
          </w:p>
        </w:tc>
      </w:tr>
      <w:tr w14:paraId="56FCBC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6" w:type="pct"/>
            <w:vAlign w:val="center"/>
          </w:tcPr>
          <w:p w14:paraId="7EB18EBB">
            <w:pPr>
              <w:rPr>
                <w:b/>
                <w:bCs/>
                <w:sz w:val="24"/>
                <w:szCs w:val="24"/>
              </w:rPr>
            </w:pPr>
            <w:r>
              <w:rPr>
                <w:b/>
                <w:bCs/>
                <w:sz w:val="24"/>
                <w:szCs w:val="24"/>
              </w:rPr>
              <w:t>其他</w:t>
            </w:r>
          </w:p>
        </w:tc>
        <w:tc>
          <w:tcPr>
            <w:tcW w:w="4763" w:type="pct"/>
          </w:tcPr>
          <w:p w14:paraId="18A2EE6B">
            <w:pPr>
              <w:spacing w:line="360" w:lineRule="auto"/>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环境管理与</w:t>
            </w:r>
            <w:r>
              <w:rPr>
                <w:rFonts w:hint="eastAsia" w:ascii="Times New Roman" w:hAnsi="Times New Roman" w:eastAsia="宋体" w:cs="Times New Roman"/>
                <w:b/>
                <w:bCs/>
                <w:sz w:val="24"/>
                <w:szCs w:val="24"/>
                <w:lang w:eastAsia="zh-CN"/>
              </w:rPr>
              <w:t>监</w:t>
            </w:r>
            <w:r>
              <w:rPr>
                <w:rFonts w:hint="default" w:ascii="Times New Roman" w:hAnsi="Times New Roman" w:eastAsia="宋体" w:cs="Times New Roman"/>
                <w:b/>
                <w:bCs/>
                <w:sz w:val="24"/>
                <w:szCs w:val="24"/>
              </w:rPr>
              <w:t>测计划</w:t>
            </w:r>
          </w:p>
          <w:p w14:paraId="6748EFC9">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本工程建设期和运行期应加强环境管理，执行环境管理和监测计划，掌握项目工程建设前后、运行前后产生的环境影响变化情况，确保各项环保防治措施的有效落实，并根据管理、监测中发现的信息及时解决相关问题，尽可能降低、减少工程建设及工程运行对环境带来的负面影响，力争做到经济、社会、环境效益的统一和可持续发展。</w:t>
            </w:r>
          </w:p>
          <w:p w14:paraId="44AA28EE">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（1）环境管理机构</w:t>
            </w:r>
          </w:p>
          <w:p w14:paraId="57038BA3">
            <w:pPr>
              <w:spacing w:line="360" w:lineRule="auto"/>
              <w:ind w:firstLine="480" w:firstLineChars="200"/>
              <w:rPr>
                <w:rFonts w:hint="default" w:ascii="Times New Roman" w:hAnsi="Times New Roman" w:eastAsia="宋体" w:cs="Times New Roman"/>
                <w:sz w:val="24"/>
                <w:szCs w:val="24"/>
              </w:rPr>
            </w:pPr>
            <w:r>
              <w:rPr>
                <w:rFonts w:hint="eastAsia" w:cs="Times New Roman"/>
                <w:sz w:val="24"/>
                <w:szCs w:val="24"/>
                <w:lang w:val="en-US" w:eastAsia="zh-CN"/>
              </w:rPr>
              <w:t>本工程</w:t>
            </w:r>
            <w:r>
              <w:rPr>
                <w:rFonts w:hint="default" w:ascii="Times New Roman" w:hAnsi="Times New Roman" w:eastAsia="宋体" w:cs="Times New Roman"/>
                <w:sz w:val="24"/>
                <w:szCs w:val="24"/>
                <w:lang w:val="en-US" w:eastAsia="zh-CN"/>
              </w:rPr>
              <w:t>施工期和运行期环境管理机构是</w:t>
            </w:r>
            <w:r>
              <w:rPr>
                <w:rFonts w:hint="default"/>
                <w:sz w:val="24"/>
                <w:szCs w:val="24"/>
                <w:lang w:val="en-US" w:eastAsia="zh-CN"/>
              </w:rPr>
              <w:t>安徽金沙钼业有限公司</w:t>
            </w:r>
            <w:r>
              <w:rPr>
                <w:rFonts w:hint="default" w:ascii="Times New Roman" w:hAnsi="Times New Roman" w:eastAsia="宋体" w:cs="Times New Roman"/>
                <w:sz w:val="24"/>
                <w:szCs w:val="24"/>
                <w:lang w:val="en-US" w:eastAsia="zh-CN"/>
              </w:rPr>
              <w:t>，其主要职责是：</w:t>
            </w:r>
          </w:p>
          <w:p w14:paraId="66C03E1A">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①贯彻执行国家、安徽省及所在辖区内各项环境保护方针、政策和法规；</w:t>
            </w:r>
          </w:p>
          <w:p w14:paraId="6D165F82">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②制定本工程施工中的环境保护计划，负责工程施工过程中各项环境保护措施实施的监督和日常管理；</w:t>
            </w:r>
          </w:p>
          <w:p w14:paraId="6277C258">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③组织制定污染事故处理计划，并对事故进行调查处理；</w:t>
            </w:r>
          </w:p>
          <w:p w14:paraId="6563C7FC">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④收集、整理、推广和实施工程建设中各项环境保护的先进工作经验和技术；</w:t>
            </w:r>
          </w:p>
          <w:p w14:paraId="6F789B21">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⑤组织和开展对施工人员进行施工活动中应遵循的环保法规、知识的培训，提高全体员工文明施工的认识；</w:t>
            </w:r>
          </w:p>
          <w:p w14:paraId="654C4528">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⑥负责日常施工活动中的环境监理工作，做好工程用地区域的环境特征调查，对于环境保护目标要</w:t>
            </w:r>
            <w:r>
              <w:rPr>
                <w:rFonts w:hint="eastAsia" w:cs="Times New Roman"/>
                <w:sz w:val="24"/>
                <w:szCs w:val="24"/>
                <w:lang w:val="en-US" w:eastAsia="zh-CN"/>
              </w:rPr>
              <w:t>做到</w:t>
            </w:r>
            <w:r>
              <w:rPr>
                <w:rFonts w:hint="default" w:ascii="Times New Roman" w:hAnsi="Times New Roman" w:eastAsia="宋体" w:cs="Times New Roman"/>
                <w:sz w:val="24"/>
                <w:szCs w:val="24"/>
                <w:lang w:val="en-US" w:eastAsia="zh-CN"/>
              </w:rPr>
              <w:t>心中有数；</w:t>
            </w:r>
          </w:p>
          <w:p w14:paraId="38AE281B">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⑦做好施工中各种环境问题的收集、记录、建档和处理工作；</w:t>
            </w:r>
          </w:p>
          <w:p w14:paraId="26EC20D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⑧监督施工单位，使施工工作完成后的生态恢复和补偿，水保设施、环保设施等各项保护工程同时完成；</w:t>
            </w:r>
          </w:p>
          <w:p w14:paraId="0878F9C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⑨工程竣工后，将各项环保措施落实完成情况上报当地生态环境部门。</w:t>
            </w:r>
          </w:p>
          <w:p w14:paraId="29A9DA31">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（2）环境管理要点</w:t>
            </w:r>
          </w:p>
          <w:p w14:paraId="0DE637CF">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1）设计阶段：设计单位应将环境影响报告表中提出的环保措施落实到设计中；</w:t>
            </w:r>
          </w:p>
          <w:p w14:paraId="691C5F30">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2）招标阶段：建设单位在投标中应有环境保护的内容，中标后的合同应有实施环境保护措施的条款；</w:t>
            </w:r>
          </w:p>
          <w:p w14:paraId="5B50E2AC">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3）严格要求施工单位按设计文件施工，特别是按环保设计要求和水土保持方案提出的措施要求进行施工，具体要求如下：</w:t>
            </w:r>
          </w:p>
          <w:p w14:paraId="062EF776">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w:t>
            </w:r>
            <w:r>
              <w:rPr>
                <w:rFonts w:hint="eastAsia" w:cs="Times New Roman"/>
                <w:sz w:val="24"/>
                <w:szCs w:val="24"/>
                <w:lang w:val="en-US" w:eastAsia="zh-CN"/>
              </w:rPr>
              <w:t>工程</w:t>
            </w:r>
            <w:r>
              <w:rPr>
                <w:rFonts w:hint="default" w:ascii="Times New Roman" w:hAnsi="Times New Roman" w:eastAsia="宋体" w:cs="Times New Roman"/>
                <w:sz w:val="24"/>
                <w:szCs w:val="24"/>
                <w:lang w:val="en-US" w:eastAsia="zh-CN"/>
              </w:rPr>
              <w:t>施工人员应严格执行设计和环境影响评价中提出的影响防治措施，遵守环保法规。</w:t>
            </w:r>
          </w:p>
          <w:p w14:paraId="5BCC136C">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②施工单位应组织施工人员学习《中华人民共和国水土保持法</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土地法</w:t>
            </w:r>
            <w:r>
              <w:rPr>
                <w:rFonts w:hint="eastAsia" w:cs="Times New Roman"/>
                <w:sz w:val="24"/>
                <w:szCs w:val="24"/>
                <w:lang w:val="en-US" w:eastAsia="zh-CN"/>
              </w:rPr>
              <w:t>》《中华人民共和国环境保护法</w:t>
            </w:r>
            <w:r>
              <w:rPr>
                <w:rFonts w:hint="default" w:ascii="Times New Roman" w:hAnsi="Times New Roman" w:eastAsia="宋体" w:cs="Times New Roman"/>
                <w:sz w:val="24"/>
                <w:szCs w:val="24"/>
                <w:lang w:val="en-US" w:eastAsia="zh-CN"/>
              </w:rPr>
              <w:t>》等有关环保法规，做到施工人员知法、懂法和守法。</w:t>
            </w:r>
          </w:p>
          <w:p w14:paraId="36173EAE">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③环境管理机构人员及环境监理人员应对施工活动进行全过程环境监督，以保证施工期环境保护措施的全面落实。</w:t>
            </w:r>
          </w:p>
          <w:p w14:paraId="70E9A481">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④设计单位应遵守有关环保法规、严格按有关规程和法规进行设计，在设计阶段即贯彻环保精神。</w:t>
            </w:r>
          </w:p>
          <w:p w14:paraId="392841B5">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⑤采用低噪声的施工设备，夜间施工禁止使用高噪声设备。</w:t>
            </w:r>
          </w:p>
          <w:p w14:paraId="76E851DD">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⑥施工过</w:t>
            </w:r>
            <w:r>
              <w:rPr>
                <w:rFonts w:hint="eastAsia" w:cs="Times New Roman"/>
                <w:sz w:val="24"/>
                <w:szCs w:val="24"/>
                <w:lang w:val="en-US" w:eastAsia="zh-CN"/>
              </w:rPr>
              <w:t>程中</w:t>
            </w:r>
            <w:r>
              <w:rPr>
                <w:rFonts w:hint="default" w:ascii="Times New Roman" w:hAnsi="Times New Roman" w:eastAsia="宋体" w:cs="Times New Roman"/>
                <w:sz w:val="24"/>
                <w:szCs w:val="24"/>
                <w:lang w:val="en-US" w:eastAsia="zh-CN"/>
              </w:rPr>
              <w:t>要严格执行扬尘控制的6个100%的规定，防止扬尘破坏环境。</w:t>
            </w:r>
          </w:p>
          <w:p w14:paraId="75CB5A5E">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⑦施工中产生的生活污水要设置相应的处理设施。</w:t>
            </w:r>
          </w:p>
          <w:p w14:paraId="78D541FE">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⑧施工中少占耕地、临时用地施工中少破坏农作物，对破坏的农作物按规定进行赔偿。</w:t>
            </w:r>
          </w:p>
          <w:p w14:paraId="295FB785">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⑨建设单位对施工人员进行适当的环境保护法律法规和有关安全知识的教育和培训。</w:t>
            </w:r>
          </w:p>
          <w:p w14:paraId="7A0E247B">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⑩施工期需要监测工程建设时的水土流失情况，及时掌握工程区水土流失情况，了解工程区各项水土保持措施的实施效果，为水土保持方案的实施服务，并做相应的监测记录。</w:t>
            </w:r>
          </w:p>
          <w:p w14:paraId="4991C295">
            <w:pPr>
              <w:spacing w:line="360" w:lineRule="auto"/>
              <w:ind w:firstLine="480" w:firstLineChars="200"/>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cs="Times New Roman"/>
                <w:sz w:val="24"/>
                <w:szCs w:val="24"/>
                <w:lang w:val="en-US" w:eastAsia="zh-CN"/>
              </w:rPr>
              <w:t>3</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监测计划</w:t>
            </w:r>
          </w:p>
          <w:p w14:paraId="5B05A743">
            <w:p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运行期的</w:t>
            </w:r>
            <w:r>
              <w:rPr>
                <w:rFonts w:hint="eastAsia" w:ascii="Times New Roman" w:hAnsi="Times New Roman" w:eastAsia="宋体" w:cs="Times New Roman"/>
                <w:sz w:val="24"/>
                <w:szCs w:val="24"/>
                <w:lang w:eastAsia="zh-CN"/>
              </w:rPr>
              <w:t>监</w:t>
            </w:r>
            <w:r>
              <w:rPr>
                <w:rFonts w:hint="default" w:ascii="Times New Roman" w:hAnsi="Times New Roman" w:eastAsia="宋体" w:cs="Times New Roman"/>
                <w:sz w:val="24"/>
                <w:szCs w:val="24"/>
              </w:rPr>
              <w:t>测主要是对</w:t>
            </w:r>
            <w:r>
              <w:rPr>
                <w:rFonts w:hint="eastAsia" w:ascii="Times New Roman" w:hAnsi="Times New Roman" w:eastAsia="宋体" w:cs="Times New Roman"/>
                <w:sz w:val="24"/>
                <w:szCs w:val="24"/>
                <w:lang w:eastAsia="zh-CN"/>
              </w:rPr>
              <w:t>运行</w:t>
            </w:r>
            <w:r>
              <w:rPr>
                <w:rFonts w:hint="default" w:ascii="Times New Roman" w:hAnsi="Times New Roman" w:eastAsia="宋体" w:cs="Times New Roman"/>
                <w:sz w:val="24"/>
                <w:szCs w:val="24"/>
              </w:rPr>
              <w:t>后的</w:t>
            </w:r>
            <w:r>
              <w:rPr>
                <w:rFonts w:hint="eastAsia" w:cs="Times New Roman"/>
                <w:sz w:val="24"/>
                <w:szCs w:val="24"/>
                <w:lang w:val="en-US" w:eastAsia="zh-CN"/>
              </w:rPr>
              <w:t>变电站和输电线路</w:t>
            </w:r>
            <w:r>
              <w:rPr>
                <w:rFonts w:hint="default" w:ascii="Times New Roman" w:hAnsi="Times New Roman" w:eastAsia="宋体" w:cs="Times New Roman"/>
                <w:sz w:val="24"/>
                <w:szCs w:val="24"/>
              </w:rPr>
              <w:t>产生的工频电磁场、噪声对环境的影响，与原先的背景</w:t>
            </w:r>
            <w:r>
              <w:rPr>
                <w:rFonts w:hint="eastAsia" w:cs="Times New Roman"/>
                <w:sz w:val="24"/>
                <w:szCs w:val="24"/>
                <w:lang w:eastAsia="zh-CN"/>
              </w:rPr>
              <w:t>监测</w:t>
            </w:r>
            <w:r>
              <w:rPr>
                <w:rFonts w:hint="default" w:ascii="Times New Roman" w:hAnsi="Times New Roman" w:eastAsia="宋体" w:cs="Times New Roman"/>
                <w:sz w:val="24"/>
                <w:szCs w:val="24"/>
              </w:rPr>
              <w:t>值进行比较。</w:t>
            </w:r>
            <w:r>
              <w:rPr>
                <w:rFonts w:hint="eastAsia" w:cs="Times New Roman"/>
                <w:sz w:val="24"/>
                <w:szCs w:val="24"/>
                <w:lang w:val="en-US" w:eastAsia="zh-CN"/>
              </w:rPr>
              <w:t>变电站</w:t>
            </w:r>
            <w:r>
              <w:rPr>
                <w:rFonts w:hint="default" w:ascii="Times New Roman" w:hAnsi="Times New Roman" w:eastAsia="宋体" w:cs="Times New Roman"/>
                <w:sz w:val="24"/>
                <w:szCs w:val="24"/>
              </w:rPr>
              <w:t>投产运行后，建设单位需自行进行环保验收，检查环保设施及效果，并提出改进措施。正常运行后建设单位可委托具有资质的单位负责运行期环境检测。具体检测计划见</w:t>
            </w:r>
            <w:r>
              <w:rPr>
                <w:rFonts w:hint="eastAsia" w:ascii="Times New Roman" w:hAnsi="Times New Roman" w:eastAsia="宋体" w:cs="Times New Roman"/>
                <w:sz w:val="24"/>
                <w:szCs w:val="24"/>
                <w:lang w:eastAsia="zh-CN"/>
              </w:rPr>
              <w:t>下</w:t>
            </w:r>
            <w:r>
              <w:rPr>
                <w:rFonts w:hint="default" w:ascii="Times New Roman" w:hAnsi="Times New Roman" w:eastAsia="宋体" w:cs="Times New Roman"/>
                <w:sz w:val="24"/>
                <w:szCs w:val="24"/>
              </w:rPr>
              <w:t>表。</w:t>
            </w:r>
          </w:p>
          <w:p w14:paraId="2594966F">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
                <w:bCs/>
                <w:sz w:val="21"/>
                <w:szCs w:val="21"/>
              </w:rPr>
              <w:t>表5-</w:t>
            </w:r>
            <w:r>
              <w:rPr>
                <w:rFonts w:hint="eastAsia" w:ascii="Times New Roman" w:hAnsi="Times New Roman" w:eastAsia="宋体" w:cs="Times New Roman"/>
                <w:b/>
                <w:bCs/>
                <w:sz w:val="21"/>
                <w:szCs w:val="21"/>
                <w:lang w:val="en-US" w:eastAsia="zh-CN"/>
              </w:rPr>
              <w:t>1</w:t>
            </w:r>
            <w:r>
              <w:rPr>
                <w:rFonts w:hint="default" w:ascii="Times New Roman" w:hAnsi="Times New Roman" w:eastAsia="宋体" w:cs="Times New Roman"/>
                <w:b/>
                <w:bCs/>
                <w:sz w:val="21"/>
                <w:szCs w:val="21"/>
              </w:rPr>
              <w:t>运行期环境监测计划</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433"/>
              <w:gridCol w:w="1234"/>
              <w:gridCol w:w="5559"/>
            </w:tblGrid>
            <w:tr w14:paraId="57E87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Align w:val="center"/>
                </w:tcPr>
                <w:p w14:paraId="0BB7959C">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序号</w:t>
                  </w:r>
                </w:p>
              </w:tc>
              <w:tc>
                <w:tcPr>
                  <w:tcW w:w="1485" w:type="pct"/>
                  <w:gridSpan w:val="2"/>
                  <w:vAlign w:val="center"/>
                </w:tcPr>
                <w:p w14:paraId="439B1F56">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eastAsia="zh-CN"/>
                    </w:rPr>
                    <w:t>名称</w:t>
                  </w:r>
                </w:p>
              </w:tc>
              <w:tc>
                <w:tcPr>
                  <w:tcW w:w="3095" w:type="pct"/>
                  <w:vAlign w:val="center"/>
                </w:tcPr>
                <w:p w14:paraId="13660EA4">
                  <w:pPr>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内容</w:t>
                  </w:r>
                </w:p>
              </w:tc>
            </w:tr>
            <w:tr w14:paraId="60B99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restart"/>
                  <w:vAlign w:val="center"/>
                </w:tcPr>
                <w:p w14:paraId="4389E44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98" w:type="pct"/>
                  <w:vMerge w:val="restart"/>
                  <w:vAlign w:val="center"/>
                </w:tcPr>
                <w:p w14:paraId="0CF7EFA0">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工频电场、工频磁场</w:t>
                  </w:r>
                </w:p>
              </w:tc>
              <w:tc>
                <w:tcPr>
                  <w:tcW w:w="687" w:type="pct"/>
                  <w:vAlign w:val="center"/>
                </w:tcPr>
                <w:p w14:paraId="2B9007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点位布设</w:t>
                  </w:r>
                </w:p>
              </w:tc>
              <w:tc>
                <w:tcPr>
                  <w:tcW w:w="3095" w:type="pct"/>
                  <w:vAlign w:val="center"/>
                </w:tcPr>
                <w:p w14:paraId="7141B09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变电站厂界四周；变电站评价范围内环境保护目标建筑前；变电站、架空线路沿线设置衰减监测断面；输电线路评价范围内敏感目标建筑前</w:t>
                  </w:r>
                </w:p>
              </w:tc>
            </w:tr>
            <w:tr w14:paraId="45062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51DA5A29">
                  <w:pPr>
                    <w:jc w:val="center"/>
                    <w:rPr>
                      <w:rFonts w:hint="default" w:ascii="Times New Roman" w:hAnsi="Times New Roman" w:eastAsia="宋体" w:cs="Times New Roman"/>
                      <w:sz w:val="21"/>
                      <w:szCs w:val="21"/>
                    </w:rPr>
                  </w:pPr>
                </w:p>
              </w:tc>
              <w:tc>
                <w:tcPr>
                  <w:tcW w:w="798" w:type="pct"/>
                  <w:vMerge w:val="continue"/>
                  <w:vAlign w:val="center"/>
                </w:tcPr>
                <w:p w14:paraId="6BDE7D40">
                  <w:pPr>
                    <w:jc w:val="center"/>
                    <w:rPr>
                      <w:rFonts w:hint="default" w:ascii="Times New Roman" w:hAnsi="Times New Roman" w:eastAsia="宋体" w:cs="Times New Roman"/>
                      <w:sz w:val="21"/>
                      <w:szCs w:val="21"/>
                    </w:rPr>
                  </w:pPr>
                </w:p>
              </w:tc>
              <w:tc>
                <w:tcPr>
                  <w:tcW w:w="687" w:type="pct"/>
                  <w:vAlign w:val="center"/>
                </w:tcPr>
                <w:p w14:paraId="33B382B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监测项目</w:t>
                  </w:r>
                </w:p>
              </w:tc>
              <w:tc>
                <w:tcPr>
                  <w:tcW w:w="3095" w:type="pct"/>
                  <w:vAlign w:val="center"/>
                </w:tcPr>
                <w:p w14:paraId="63888B7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工频电场、工频磁场</w:t>
                  </w:r>
                </w:p>
              </w:tc>
            </w:tr>
            <w:tr w14:paraId="0877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0698747A">
                  <w:pPr>
                    <w:jc w:val="center"/>
                    <w:rPr>
                      <w:rFonts w:hint="default" w:ascii="Times New Roman" w:hAnsi="Times New Roman" w:eastAsia="宋体" w:cs="Times New Roman"/>
                      <w:sz w:val="21"/>
                      <w:szCs w:val="21"/>
                    </w:rPr>
                  </w:pPr>
                </w:p>
              </w:tc>
              <w:tc>
                <w:tcPr>
                  <w:tcW w:w="798" w:type="pct"/>
                  <w:vMerge w:val="continue"/>
                  <w:vAlign w:val="center"/>
                </w:tcPr>
                <w:p w14:paraId="0DDC47BD">
                  <w:pPr>
                    <w:jc w:val="center"/>
                    <w:rPr>
                      <w:rFonts w:hint="default" w:ascii="Times New Roman" w:hAnsi="Times New Roman" w:eastAsia="宋体" w:cs="Times New Roman"/>
                      <w:sz w:val="21"/>
                      <w:szCs w:val="21"/>
                    </w:rPr>
                  </w:pPr>
                </w:p>
              </w:tc>
              <w:tc>
                <w:tcPr>
                  <w:tcW w:w="687" w:type="pct"/>
                  <w:vAlign w:val="center"/>
                </w:tcPr>
                <w:p w14:paraId="45B74C1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监测方法</w:t>
                  </w:r>
                </w:p>
              </w:tc>
              <w:tc>
                <w:tcPr>
                  <w:tcW w:w="3095" w:type="pct"/>
                  <w:vAlign w:val="center"/>
                </w:tcPr>
                <w:p w14:paraId="4D3AEA3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《交流输变电工程电磁环境监测方法</w:t>
                  </w:r>
                  <w:r>
                    <w:rPr>
                      <w:rFonts w:hint="eastAsia" w:cs="Times New Roman"/>
                      <w:sz w:val="21"/>
                      <w:szCs w:val="21"/>
                      <w:lang w:eastAsia="zh-CN"/>
                    </w:rPr>
                    <w:t>（</w:t>
                  </w:r>
                  <w:r>
                    <w:rPr>
                      <w:rFonts w:hint="default" w:ascii="Times New Roman" w:hAnsi="Times New Roman" w:eastAsia="宋体" w:cs="Times New Roman"/>
                      <w:sz w:val="21"/>
                      <w:szCs w:val="21"/>
                    </w:rPr>
                    <w:t>试行</w:t>
                  </w:r>
                  <w:r>
                    <w:rPr>
                      <w:rFonts w:hint="eastAsia" w:cs="Times New Roman"/>
                      <w:sz w:val="21"/>
                      <w:szCs w:val="21"/>
                      <w:lang w:eastAsia="zh-CN"/>
                    </w:rPr>
                    <w:t>）</w:t>
                  </w:r>
                  <w:r>
                    <w:rPr>
                      <w:rFonts w:hint="default" w:ascii="Times New Roman" w:hAnsi="Times New Roman" w:eastAsia="宋体" w:cs="Times New Roman"/>
                      <w:sz w:val="21"/>
                      <w:szCs w:val="21"/>
                    </w:rPr>
                    <w:t>》</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HJ681-2013</w:t>
                  </w:r>
                  <w:r>
                    <w:rPr>
                      <w:rFonts w:hint="eastAsia" w:ascii="Times New Roman" w:hAnsi="Times New Roman" w:eastAsia="宋体" w:cs="Times New Roman"/>
                      <w:sz w:val="21"/>
                      <w:szCs w:val="21"/>
                      <w:lang w:eastAsia="zh-CN"/>
                    </w:rPr>
                    <w:t>）</w:t>
                  </w:r>
                </w:p>
              </w:tc>
            </w:tr>
            <w:tr w14:paraId="38478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723E36D0">
                  <w:pPr>
                    <w:jc w:val="center"/>
                    <w:rPr>
                      <w:rFonts w:hint="default" w:ascii="Times New Roman" w:hAnsi="Times New Roman" w:eastAsia="宋体" w:cs="Times New Roman"/>
                      <w:sz w:val="21"/>
                      <w:szCs w:val="21"/>
                    </w:rPr>
                  </w:pPr>
                </w:p>
              </w:tc>
              <w:tc>
                <w:tcPr>
                  <w:tcW w:w="798" w:type="pct"/>
                  <w:vMerge w:val="continue"/>
                  <w:vAlign w:val="center"/>
                </w:tcPr>
                <w:p w14:paraId="1D823284">
                  <w:pPr>
                    <w:jc w:val="center"/>
                    <w:rPr>
                      <w:rFonts w:hint="default" w:ascii="Times New Roman" w:hAnsi="Times New Roman" w:eastAsia="宋体" w:cs="Times New Roman"/>
                      <w:sz w:val="21"/>
                      <w:szCs w:val="21"/>
                    </w:rPr>
                  </w:pPr>
                </w:p>
              </w:tc>
              <w:tc>
                <w:tcPr>
                  <w:tcW w:w="687" w:type="pct"/>
                  <w:vAlign w:val="center"/>
                </w:tcPr>
                <w:p w14:paraId="61258F2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监测频次和时间</w:t>
                  </w:r>
                </w:p>
              </w:tc>
              <w:tc>
                <w:tcPr>
                  <w:tcW w:w="3095" w:type="pct"/>
                  <w:vAlign w:val="center"/>
                </w:tcPr>
                <w:p w14:paraId="5CB02BE0">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本工程</w:t>
                  </w:r>
                  <w:r>
                    <w:rPr>
                      <w:rFonts w:hint="default" w:ascii="Times New Roman" w:hAnsi="Times New Roman" w:eastAsia="宋体" w:cs="Times New Roman"/>
                      <w:sz w:val="21"/>
                      <w:szCs w:val="21"/>
                      <w:lang w:val="en-US" w:eastAsia="zh-CN"/>
                    </w:rPr>
                    <w:t>变电站正式投产后监测一次，投运后每4年1次；投诉纠纷时加强监测。线路正式投产后监测一次，投诉纠纷时加强监测。</w:t>
                  </w:r>
                </w:p>
              </w:tc>
            </w:tr>
            <w:tr w14:paraId="1CFEB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restart"/>
                  <w:vAlign w:val="center"/>
                </w:tcPr>
                <w:p w14:paraId="6A96E965">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798" w:type="pct"/>
                  <w:vMerge w:val="restart"/>
                  <w:vAlign w:val="center"/>
                </w:tcPr>
                <w:p w14:paraId="195C570C">
                  <w:pPr>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噪声</w:t>
                  </w:r>
                </w:p>
              </w:tc>
              <w:tc>
                <w:tcPr>
                  <w:tcW w:w="687" w:type="pct"/>
                  <w:vAlign w:val="center"/>
                </w:tcPr>
                <w:p w14:paraId="4592EE6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点位布设</w:t>
                  </w:r>
                </w:p>
              </w:tc>
              <w:tc>
                <w:tcPr>
                  <w:tcW w:w="3095" w:type="pct"/>
                  <w:vAlign w:val="center"/>
                </w:tcPr>
                <w:p w14:paraId="1D24B3FB">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变电站厂界四周、变电站及输电线路评价范围内的环境保护目标建筑前。</w:t>
                  </w:r>
                </w:p>
              </w:tc>
            </w:tr>
            <w:tr w14:paraId="01DD3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5B5C4F08">
                  <w:pPr>
                    <w:jc w:val="center"/>
                    <w:rPr>
                      <w:rFonts w:hint="default" w:ascii="Times New Roman" w:hAnsi="Times New Roman" w:eastAsia="宋体" w:cs="Times New Roman"/>
                      <w:sz w:val="21"/>
                      <w:szCs w:val="21"/>
                    </w:rPr>
                  </w:pPr>
                </w:p>
              </w:tc>
              <w:tc>
                <w:tcPr>
                  <w:tcW w:w="798" w:type="pct"/>
                  <w:vMerge w:val="continue"/>
                  <w:vAlign w:val="center"/>
                </w:tcPr>
                <w:p w14:paraId="2858EC4D">
                  <w:pPr>
                    <w:jc w:val="center"/>
                    <w:rPr>
                      <w:rFonts w:hint="default" w:ascii="Times New Roman" w:hAnsi="Times New Roman" w:eastAsia="宋体" w:cs="Times New Roman"/>
                      <w:sz w:val="21"/>
                      <w:szCs w:val="21"/>
                    </w:rPr>
                  </w:pPr>
                </w:p>
              </w:tc>
              <w:tc>
                <w:tcPr>
                  <w:tcW w:w="687" w:type="pct"/>
                  <w:vAlign w:val="center"/>
                </w:tcPr>
                <w:p w14:paraId="28D1A50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监测项目</w:t>
                  </w:r>
                </w:p>
              </w:tc>
              <w:tc>
                <w:tcPr>
                  <w:tcW w:w="3095" w:type="pct"/>
                  <w:vAlign w:val="center"/>
                </w:tcPr>
                <w:p w14:paraId="6EBCE35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连续等效A声级</w:t>
                  </w:r>
                </w:p>
              </w:tc>
            </w:tr>
            <w:tr w14:paraId="0563A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7ECBB0A1">
                  <w:pPr>
                    <w:jc w:val="center"/>
                    <w:rPr>
                      <w:rFonts w:hint="default" w:ascii="Times New Roman" w:hAnsi="Times New Roman" w:eastAsia="宋体" w:cs="Times New Roman"/>
                      <w:sz w:val="21"/>
                      <w:szCs w:val="21"/>
                    </w:rPr>
                  </w:pPr>
                </w:p>
              </w:tc>
              <w:tc>
                <w:tcPr>
                  <w:tcW w:w="798" w:type="pct"/>
                  <w:vMerge w:val="continue"/>
                  <w:vAlign w:val="center"/>
                </w:tcPr>
                <w:p w14:paraId="08AACDD8">
                  <w:pPr>
                    <w:jc w:val="center"/>
                    <w:rPr>
                      <w:rFonts w:hint="default" w:ascii="Times New Roman" w:hAnsi="Times New Roman" w:eastAsia="宋体" w:cs="Times New Roman"/>
                      <w:sz w:val="21"/>
                      <w:szCs w:val="21"/>
                    </w:rPr>
                  </w:pPr>
                </w:p>
              </w:tc>
              <w:tc>
                <w:tcPr>
                  <w:tcW w:w="687" w:type="pct"/>
                  <w:vAlign w:val="center"/>
                </w:tcPr>
                <w:p w14:paraId="1995F86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监测方法</w:t>
                  </w:r>
                </w:p>
              </w:tc>
              <w:tc>
                <w:tcPr>
                  <w:tcW w:w="3095" w:type="pct"/>
                  <w:vAlign w:val="center"/>
                </w:tcPr>
                <w:p w14:paraId="1A98D92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《声环境质量标准》</w:t>
                  </w:r>
                  <w:r>
                    <w:rPr>
                      <w:rFonts w:hint="eastAsia" w:cs="Times New Roman"/>
                      <w:sz w:val="21"/>
                      <w:szCs w:val="21"/>
                      <w:lang w:eastAsia="zh-CN"/>
                    </w:rPr>
                    <w:t>（</w:t>
                  </w:r>
                  <w:r>
                    <w:rPr>
                      <w:rFonts w:hint="default" w:ascii="Times New Roman" w:hAnsi="Times New Roman" w:eastAsia="宋体" w:cs="Times New Roman"/>
                      <w:sz w:val="21"/>
                      <w:szCs w:val="21"/>
                    </w:rPr>
                    <w:t>GB3096-2008</w:t>
                  </w:r>
                  <w:r>
                    <w:rPr>
                      <w:rFonts w:hint="eastAsia" w:cs="Times New Roman"/>
                      <w:sz w:val="21"/>
                      <w:szCs w:val="21"/>
                      <w:lang w:eastAsia="zh-CN"/>
                    </w:rPr>
                    <w:t>）</w:t>
                  </w:r>
                  <w:r>
                    <w:rPr>
                      <w:rFonts w:hint="default" w:ascii="Times New Roman" w:hAnsi="Times New Roman" w:eastAsia="宋体" w:cs="Times New Roman"/>
                      <w:sz w:val="21"/>
                      <w:szCs w:val="21"/>
                    </w:rPr>
                    <w:t>及《工业企业厂界环境噪声排放标准》</w:t>
                  </w:r>
                  <w:r>
                    <w:rPr>
                      <w:rFonts w:hint="eastAsia" w:cs="Times New Roman"/>
                      <w:sz w:val="21"/>
                      <w:szCs w:val="21"/>
                      <w:lang w:eastAsia="zh-CN"/>
                    </w:rPr>
                    <w:t>（</w:t>
                  </w:r>
                  <w:r>
                    <w:rPr>
                      <w:rFonts w:hint="default" w:ascii="Times New Roman" w:hAnsi="Times New Roman" w:eastAsia="宋体" w:cs="Times New Roman"/>
                      <w:sz w:val="21"/>
                      <w:szCs w:val="21"/>
                    </w:rPr>
                    <w:t>GB12348-2008)</w:t>
                  </w:r>
                </w:p>
              </w:tc>
            </w:tr>
            <w:tr w14:paraId="61A33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418" w:type="pct"/>
                  <w:vMerge w:val="continue"/>
                  <w:vAlign w:val="center"/>
                </w:tcPr>
                <w:p w14:paraId="25EB36DE">
                  <w:pPr>
                    <w:jc w:val="center"/>
                    <w:rPr>
                      <w:rFonts w:hint="default" w:ascii="Times New Roman" w:hAnsi="Times New Roman" w:eastAsia="宋体" w:cs="Times New Roman"/>
                      <w:sz w:val="21"/>
                      <w:szCs w:val="21"/>
                    </w:rPr>
                  </w:pPr>
                </w:p>
              </w:tc>
              <w:tc>
                <w:tcPr>
                  <w:tcW w:w="798" w:type="pct"/>
                  <w:vMerge w:val="continue"/>
                  <w:vAlign w:val="center"/>
                </w:tcPr>
                <w:p w14:paraId="2D78877F">
                  <w:pPr>
                    <w:jc w:val="center"/>
                    <w:rPr>
                      <w:rFonts w:hint="default" w:ascii="Times New Roman" w:hAnsi="Times New Roman" w:eastAsia="宋体" w:cs="Times New Roman"/>
                      <w:sz w:val="21"/>
                      <w:szCs w:val="21"/>
                    </w:rPr>
                  </w:pPr>
                </w:p>
              </w:tc>
              <w:tc>
                <w:tcPr>
                  <w:tcW w:w="687" w:type="pct"/>
                  <w:vAlign w:val="center"/>
                </w:tcPr>
                <w:p w14:paraId="09A4420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监测频次和时间</w:t>
                  </w:r>
                </w:p>
              </w:tc>
              <w:tc>
                <w:tcPr>
                  <w:tcW w:w="3095" w:type="pct"/>
                  <w:vAlign w:val="center"/>
                </w:tcPr>
                <w:p w14:paraId="7E63ED2D">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变电站竣工环保验收1次，投运后每4年1次；涉及投诉纠纷加强监测</w:t>
                  </w:r>
                </w:p>
              </w:tc>
            </w:tr>
          </w:tbl>
          <w:p w14:paraId="5C704456">
            <w:pPr>
              <w:spacing w:line="360" w:lineRule="auto"/>
              <w:rPr>
                <w:rFonts w:ascii="Times New Roman" w:hAnsi="Times New Roman"/>
              </w:rPr>
            </w:pPr>
          </w:p>
        </w:tc>
      </w:tr>
      <w:tr w14:paraId="568153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48" w:hRule="atLeast"/>
          <w:jc w:val="center"/>
        </w:trPr>
        <w:tc>
          <w:tcPr>
            <w:tcW w:w="236" w:type="pct"/>
            <w:vAlign w:val="center"/>
          </w:tcPr>
          <w:p w14:paraId="77CCFBF4">
            <w:pPr>
              <w:rPr>
                <w:b/>
                <w:bCs/>
                <w:sz w:val="24"/>
                <w:szCs w:val="24"/>
              </w:rPr>
            </w:pPr>
            <w:r>
              <w:rPr>
                <w:b/>
                <w:bCs/>
                <w:sz w:val="24"/>
                <w:szCs w:val="24"/>
              </w:rPr>
              <w:t>环保投资</w:t>
            </w:r>
          </w:p>
        </w:tc>
        <w:tc>
          <w:tcPr>
            <w:tcW w:w="4763" w:type="pct"/>
          </w:tcPr>
          <w:p w14:paraId="32D9CE87">
            <w:pPr>
              <w:pStyle w:val="21"/>
              <w:spacing w:line="360" w:lineRule="auto"/>
              <w:ind w:firstLine="496" w:firstLineChars="200"/>
              <w:rPr>
                <w:rFonts w:hint="default" w:ascii="Times New Roman" w:hAnsi="Times New Roman" w:cs="Times New Roman"/>
              </w:rPr>
            </w:pPr>
            <w:r>
              <w:rPr>
                <w:rFonts w:hint="eastAsia" w:ascii="Times New Roman" w:hAnsi="Times New Roman" w:cs="Times New Roman"/>
                <w:lang w:eastAsia="zh-CN"/>
              </w:rPr>
              <w:t>本工程</w:t>
            </w:r>
            <w:r>
              <w:rPr>
                <w:rFonts w:hint="default" w:ascii="Times New Roman" w:hAnsi="Times New Roman" w:cs="Times New Roman"/>
              </w:rPr>
              <w:t>投资估算总额</w:t>
            </w:r>
            <w:r>
              <w:rPr>
                <w:rFonts w:hint="eastAsia" w:ascii="Times New Roman" w:hAnsi="Times New Roman" w:cs="Times New Roman"/>
                <w:lang w:val="en-US" w:eastAsia="zh-CN"/>
              </w:rPr>
              <w:t>17899</w:t>
            </w:r>
            <w:r>
              <w:rPr>
                <w:rFonts w:hint="default" w:ascii="Times New Roman" w:hAnsi="Times New Roman" w:cs="Times New Roman"/>
              </w:rPr>
              <w:t>万元，</w:t>
            </w:r>
            <w:r>
              <w:rPr>
                <w:rFonts w:hint="eastAsia" w:ascii="Times New Roman" w:hAnsi="Times New Roman" w:cs="Times New Roman"/>
                <w:lang w:eastAsia="zh-CN"/>
              </w:rPr>
              <w:t>其中</w:t>
            </w:r>
            <w:r>
              <w:rPr>
                <w:rFonts w:hint="default" w:ascii="Times New Roman" w:hAnsi="Times New Roman" w:cs="Times New Roman"/>
              </w:rPr>
              <w:t>环保投资</w:t>
            </w:r>
            <w:r>
              <w:rPr>
                <w:rFonts w:hint="eastAsia" w:ascii="Times New Roman" w:hAnsi="Times New Roman" w:cs="Times New Roman"/>
                <w:lang w:val="en-US" w:eastAsia="zh-CN"/>
              </w:rPr>
              <w:t>150</w:t>
            </w:r>
            <w:r>
              <w:rPr>
                <w:rFonts w:hint="default" w:ascii="Times New Roman" w:hAnsi="Times New Roman" w:cs="Times New Roman"/>
              </w:rPr>
              <w:t>万元，环保投资占工程总投资的</w:t>
            </w:r>
            <w:r>
              <w:rPr>
                <w:rFonts w:hint="eastAsia" w:ascii="Times New Roman" w:hAnsi="Times New Roman" w:cs="Times New Roman"/>
                <w:lang w:val="en-US" w:eastAsia="zh-CN"/>
              </w:rPr>
              <w:t>0.84</w:t>
            </w:r>
            <w:r>
              <w:rPr>
                <w:rFonts w:hint="default" w:ascii="Times New Roman" w:hAnsi="Times New Roman" w:cs="Times New Roman"/>
              </w:rPr>
              <w:t>%。</w:t>
            </w:r>
          </w:p>
          <w:p w14:paraId="46B5BE5D">
            <w:pPr>
              <w:pStyle w:val="21"/>
              <w:spacing w:line="240" w:lineRule="auto"/>
              <w:ind w:firstLine="0" w:firstLineChars="0"/>
              <w:jc w:val="center"/>
              <w:rPr>
                <w:rFonts w:hint="default" w:ascii="Times New Roman" w:hAnsi="Times New Roman" w:cs="Times New Roman"/>
                <w:sz w:val="21"/>
                <w:szCs w:val="16"/>
              </w:rPr>
            </w:pPr>
            <w:r>
              <w:rPr>
                <w:rFonts w:hint="default" w:ascii="Times New Roman" w:hAnsi="Times New Roman" w:cs="Times New Roman"/>
                <w:b/>
                <w:bCs/>
                <w:sz w:val="21"/>
                <w:szCs w:val="16"/>
              </w:rPr>
              <w:t>表5-</w:t>
            </w:r>
            <w:r>
              <w:rPr>
                <w:rFonts w:hint="default" w:ascii="Times New Roman" w:hAnsi="Times New Roman" w:cs="Times New Roman"/>
                <w:b/>
                <w:bCs/>
                <w:sz w:val="21"/>
                <w:szCs w:val="16"/>
                <w:lang w:val="en-US" w:eastAsia="zh-CN"/>
              </w:rPr>
              <w:t>2</w:t>
            </w:r>
            <w:r>
              <w:rPr>
                <w:rFonts w:hint="eastAsia" w:ascii="Times New Roman" w:hAnsi="Times New Roman" w:cs="Times New Roman"/>
                <w:b/>
                <w:bCs/>
                <w:sz w:val="21"/>
                <w:szCs w:val="16"/>
                <w:lang w:val="en-US" w:eastAsia="zh-CN"/>
              </w:rPr>
              <w:t xml:space="preserve">  </w:t>
            </w:r>
            <w:r>
              <w:rPr>
                <w:rFonts w:hint="default" w:ascii="Times New Roman" w:hAnsi="Times New Roman" w:cs="Times New Roman"/>
                <w:b/>
                <w:bCs/>
                <w:sz w:val="21"/>
                <w:szCs w:val="16"/>
              </w:rPr>
              <w:t>环保措施和投资一览表</w:t>
            </w:r>
            <w:r>
              <w:rPr>
                <w:rFonts w:hint="default" w:ascii="Times New Roman" w:hAnsi="Times New Roman" w:cs="Times New Roman"/>
                <w:b/>
                <w:bCs/>
                <w:sz w:val="21"/>
                <w:szCs w:val="16"/>
                <w:lang w:val="en-US" w:eastAsia="zh-CN"/>
              </w:rPr>
              <w:t xml:space="preserve">    </w:t>
            </w:r>
            <w:r>
              <w:rPr>
                <w:rFonts w:hint="default" w:ascii="Times New Roman" w:hAnsi="Times New Roman" w:cs="Times New Roman"/>
                <w:b/>
                <w:bCs/>
                <w:sz w:val="21"/>
                <w:szCs w:val="16"/>
              </w:rPr>
              <w:t>单位：万元</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538"/>
              <w:gridCol w:w="5325"/>
              <w:gridCol w:w="1463"/>
            </w:tblGrid>
            <w:tr w14:paraId="38378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Align w:val="center"/>
                </w:tcPr>
                <w:p w14:paraId="19DF0B7B">
                  <w:pPr>
                    <w:jc w:val="center"/>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工段</w:t>
                  </w:r>
                </w:p>
              </w:tc>
              <w:tc>
                <w:tcPr>
                  <w:tcW w:w="857" w:type="pct"/>
                  <w:vAlign w:val="center"/>
                </w:tcPr>
                <w:p w14:paraId="2ADC73F5">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项目</w:t>
                  </w:r>
                </w:p>
              </w:tc>
              <w:tc>
                <w:tcPr>
                  <w:tcW w:w="2966" w:type="pct"/>
                  <w:vAlign w:val="center"/>
                </w:tcPr>
                <w:p w14:paraId="78A3EC31">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环保措施</w:t>
                  </w:r>
                </w:p>
              </w:tc>
              <w:tc>
                <w:tcPr>
                  <w:tcW w:w="815" w:type="pct"/>
                  <w:vAlign w:val="center"/>
                </w:tcPr>
                <w:p w14:paraId="28C91A86">
                  <w:pPr>
                    <w:jc w:val="center"/>
                    <w:rPr>
                      <w:rFonts w:hint="eastAsia"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rPr>
                    <w:t>投资额</w:t>
                  </w:r>
                  <w:r>
                    <w:rPr>
                      <w:rFonts w:hint="eastAsia" w:cs="Times New Roman"/>
                      <w:b/>
                      <w:bCs/>
                      <w:sz w:val="21"/>
                      <w:szCs w:val="21"/>
                      <w:lang w:eastAsia="zh-CN"/>
                    </w:rPr>
                    <w:t>（</w:t>
                  </w:r>
                  <w:r>
                    <w:rPr>
                      <w:rFonts w:hint="eastAsia" w:cs="Times New Roman"/>
                      <w:b/>
                      <w:bCs/>
                      <w:sz w:val="21"/>
                      <w:szCs w:val="21"/>
                      <w:lang w:val="en-US" w:eastAsia="zh-CN"/>
                    </w:rPr>
                    <w:t>万元</w:t>
                  </w:r>
                  <w:r>
                    <w:rPr>
                      <w:rFonts w:hint="eastAsia" w:cs="Times New Roman"/>
                      <w:b/>
                      <w:bCs/>
                      <w:sz w:val="21"/>
                      <w:szCs w:val="21"/>
                      <w:lang w:eastAsia="zh-CN"/>
                    </w:rPr>
                    <w:t>）</w:t>
                  </w:r>
                </w:p>
              </w:tc>
            </w:tr>
            <w:tr w14:paraId="3D84A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restart"/>
                  <w:vAlign w:val="center"/>
                </w:tcPr>
                <w:p w14:paraId="216BA3F2">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施工期</w:t>
                  </w:r>
                </w:p>
              </w:tc>
              <w:tc>
                <w:tcPr>
                  <w:tcW w:w="857" w:type="pct"/>
                  <w:vAlign w:val="center"/>
                </w:tcPr>
                <w:p w14:paraId="19BFBF25">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生态环境</w:t>
                  </w:r>
                </w:p>
              </w:tc>
              <w:tc>
                <w:tcPr>
                  <w:tcW w:w="2966" w:type="pct"/>
                  <w:vAlign w:val="center"/>
                </w:tcPr>
                <w:p w14:paraId="135B198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表土保护、控制用地、土地平整、植被恢复及补偿等费用</w:t>
                  </w:r>
                </w:p>
              </w:tc>
              <w:tc>
                <w:tcPr>
                  <w:tcW w:w="1463" w:type="dxa"/>
                  <w:vAlign w:val="center"/>
                </w:tcPr>
                <w:p w14:paraId="1D9901C6">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28</w:t>
                  </w:r>
                </w:p>
              </w:tc>
            </w:tr>
            <w:tr w14:paraId="624C2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1C496A75">
                  <w:pPr>
                    <w:jc w:val="center"/>
                    <w:rPr>
                      <w:rFonts w:hint="default" w:ascii="Times New Roman" w:hAnsi="Times New Roman" w:eastAsia="宋体" w:cs="Times New Roman"/>
                      <w:sz w:val="21"/>
                      <w:szCs w:val="21"/>
                    </w:rPr>
                  </w:pPr>
                </w:p>
              </w:tc>
              <w:tc>
                <w:tcPr>
                  <w:tcW w:w="857" w:type="pct"/>
                  <w:vAlign w:val="center"/>
                </w:tcPr>
                <w:p w14:paraId="62D4A13A">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大气环境</w:t>
                  </w:r>
                </w:p>
              </w:tc>
              <w:tc>
                <w:tcPr>
                  <w:tcW w:w="2966" w:type="pct"/>
                  <w:vAlign w:val="center"/>
                </w:tcPr>
                <w:p w14:paraId="7AE31A31">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施工期围挡、场地洒水、土工布等费用</w:t>
                  </w:r>
                </w:p>
              </w:tc>
              <w:tc>
                <w:tcPr>
                  <w:tcW w:w="1463" w:type="dxa"/>
                  <w:vAlign w:val="center"/>
                </w:tcPr>
                <w:p w14:paraId="460C74D6">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9</w:t>
                  </w:r>
                </w:p>
              </w:tc>
            </w:tr>
            <w:tr w14:paraId="3E5FC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41C018F1">
                  <w:pPr>
                    <w:jc w:val="center"/>
                    <w:rPr>
                      <w:rFonts w:hint="default" w:ascii="Times New Roman" w:hAnsi="Times New Roman" w:eastAsia="宋体" w:cs="Times New Roman"/>
                      <w:sz w:val="21"/>
                      <w:szCs w:val="21"/>
                    </w:rPr>
                  </w:pPr>
                </w:p>
              </w:tc>
              <w:tc>
                <w:tcPr>
                  <w:tcW w:w="857" w:type="pct"/>
                  <w:vAlign w:val="center"/>
                </w:tcPr>
                <w:p w14:paraId="133D19D3">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水环境</w:t>
                  </w:r>
                </w:p>
              </w:tc>
              <w:tc>
                <w:tcPr>
                  <w:tcW w:w="2966" w:type="pct"/>
                  <w:vAlign w:val="center"/>
                </w:tcPr>
                <w:p w14:paraId="0085CF0A">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施工期设置临时隔油池、沉淀池、临时化粪池等</w:t>
                  </w:r>
                </w:p>
              </w:tc>
              <w:tc>
                <w:tcPr>
                  <w:tcW w:w="1463" w:type="dxa"/>
                  <w:vAlign w:val="center"/>
                </w:tcPr>
                <w:p w14:paraId="141388B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r>
            <w:tr w14:paraId="59B47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0B8606A2">
                  <w:pPr>
                    <w:jc w:val="center"/>
                    <w:rPr>
                      <w:rFonts w:hint="default" w:ascii="Times New Roman" w:hAnsi="Times New Roman" w:eastAsia="宋体" w:cs="Times New Roman"/>
                      <w:sz w:val="21"/>
                      <w:szCs w:val="21"/>
                    </w:rPr>
                  </w:pPr>
                </w:p>
              </w:tc>
              <w:tc>
                <w:tcPr>
                  <w:tcW w:w="857" w:type="pct"/>
                  <w:vAlign w:val="center"/>
                </w:tcPr>
                <w:p w14:paraId="0F28DFFC">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固体废物处置</w:t>
                  </w:r>
                </w:p>
              </w:tc>
              <w:tc>
                <w:tcPr>
                  <w:tcW w:w="2966" w:type="pct"/>
                  <w:vAlign w:val="center"/>
                </w:tcPr>
                <w:p w14:paraId="76F9791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w:t>
                  </w:r>
                  <w:r>
                    <w:rPr>
                      <w:rFonts w:hint="eastAsia" w:cs="Times New Roman"/>
                      <w:sz w:val="21"/>
                      <w:szCs w:val="21"/>
                      <w:lang w:val="en-US" w:eastAsia="zh-CN"/>
                    </w:rPr>
                    <w:t>建筑垃圾</w:t>
                  </w:r>
                  <w:r>
                    <w:rPr>
                      <w:rFonts w:hint="default" w:ascii="Times New Roman" w:hAnsi="Times New Roman" w:eastAsia="宋体" w:cs="Times New Roman"/>
                      <w:sz w:val="21"/>
                      <w:szCs w:val="21"/>
                      <w:lang w:val="en-US" w:eastAsia="zh-CN"/>
                    </w:rPr>
                    <w:t>收集及废弃材料清运费的处置，生活垃圾清运</w:t>
                  </w:r>
                </w:p>
              </w:tc>
              <w:tc>
                <w:tcPr>
                  <w:tcW w:w="1463" w:type="dxa"/>
                  <w:vAlign w:val="center"/>
                </w:tcPr>
                <w:p w14:paraId="09F1AE7E">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5</w:t>
                  </w:r>
                </w:p>
              </w:tc>
            </w:tr>
            <w:tr w14:paraId="12DC7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7F9663BA">
                  <w:pPr>
                    <w:jc w:val="center"/>
                    <w:rPr>
                      <w:rFonts w:hint="default" w:ascii="Times New Roman" w:hAnsi="Times New Roman" w:eastAsia="宋体" w:cs="Times New Roman"/>
                      <w:sz w:val="21"/>
                      <w:szCs w:val="21"/>
                    </w:rPr>
                  </w:pPr>
                </w:p>
              </w:tc>
              <w:tc>
                <w:tcPr>
                  <w:tcW w:w="857" w:type="pct"/>
                  <w:vAlign w:val="center"/>
                </w:tcPr>
                <w:p w14:paraId="650741BC">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声环境</w:t>
                  </w:r>
                </w:p>
              </w:tc>
              <w:tc>
                <w:tcPr>
                  <w:tcW w:w="2966" w:type="pct"/>
                  <w:vAlign w:val="center"/>
                </w:tcPr>
                <w:p w14:paraId="79E9B35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选用低噪声施工设备等降噪措施</w:t>
                  </w:r>
                </w:p>
              </w:tc>
              <w:tc>
                <w:tcPr>
                  <w:tcW w:w="1463" w:type="dxa"/>
                  <w:vAlign w:val="center"/>
                </w:tcPr>
                <w:p w14:paraId="59B318A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6</w:t>
                  </w:r>
                </w:p>
              </w:tc>
            </w:tr>
            <w:tr w14:paraId="21778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60" w:type="pct"/>
                  <w:vMerge w:val="restart"/>
                  <w:vAlign w:val="center"/>
                </w:tcPr>
                <w:p w14:paraId="3CD52037">
                  <w:pPr>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运营期</w:t>
                  </w:r>
                </w:p>
              </w:tc>
              <w:tc>
                <w:tcPr>
                  <w:tcW w:w="857" w:type="pct"/>
                  <w:vAlign w:val="center"/>
                </w:tcPr>
                <w:p w14:paraId="4D5E26E8">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声环境</w:t>
                  </w:r>
                </w:p>
              </w:tc>
              <w:tc>
                <w:tcPr>
                  <w:tcW w:w="2966" w:type="pct"/>
                  <w:vAlign w:val="center"/>
                </w:tcPr>
                <w:p w14:paraId="7F03CBAB">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选用低噪声主变、选用加工工艺水平高、表面光滑的导线</w:t>
                  </w:r>
                  <w:r>
                    <w:rPr>
                      <w:rFonts w:hint="eastAsia" w:cs="Times New Roman"/>
                      <w:sz w:val="21"/>
                      <w:szCs w:val="21"/>
                      <w:lang w:val="en-US" w:eastAsia="zh-CN"/>
                    </w:rPr>
                    <w:t>、</w:t>
                  </w:r>
                  <w:r>
                    <w:rPr>
                      <w:rFonts w:hint="default" w:ascii="Times New Roman" w:hAnsi="Times New Roman" w:eastAsia="宋体" w:cs="Times New Roman"/>
                      <w:sz w:val="21"/>
                      <w:szCs w:val="21"/>
                      <w:lang w:val="en-US" w:eastAsia="zh-CN"/>
                    </w:rPr>
                    <w:t>主变压器室采用隔声降噪材料等</w:t>
                  </w:r>
                </w:p>
              </w:tc>
              <w:tc>
                <w:tcPr>
                  <w:tcW w:w="1463" w:type="dxa"/>
                  <w:vAlign w:val="center"/>
                </w:tcPr>
                <w:p w14:paraId="530C9DEF">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eastAsia" w:cs="Times New Roman"/>
                      <w:i w:val="0"/>
                      <w:iCs w:val="0"/>
                      <w:color w:val="000000"/>
                      <w:kern w:val="0"/>
                      <w:sz w:val="21"/>
                      <w:szCs w:val="21"/>
                      <w:u w:val="none"/>
                      <w:lang w:val="en-US" w:eastAsia="zh-CN" w:bidi="ar"/>
                    </w:rPr>
                    <w:t>46</w:t>
                  </w:r>
                </w:p>
              </w:tc>
            </w:tr>
            <w:tr w14:paraId="0E1F9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10456259">
                  <w:pPr>
                    <w:jc w:val="center"/>
                    <w:rPr>
                      <w:rFonts w:hint="default" w:ascii="Times New Roman" w:hAnsi="Times New Roman" w:eastAsia="宋体" w:cs="Times New Roman"/>
                      <w:sz w:val="21"/>
                      <w:szCs w:val="21"/>
                    </w:rPr>
                  </w:pPr>
                </w:p>
              </w:tc>
              <w:tc>
                <w:tcPr>
                  <w:tcW w:w="857" w:type="pct"/>
                  <w:vAlign w:val="center"/>
                </w:tcPr>
                <w:p w14:paraId="1623DAA1">
                  <w:pPr>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水环境</w:t>
                  </w:r>
                </w:p>
              </w:tc>
              <w:tc>
                <w:tcPr>
                  <w:tcW w:w="2966" w:type="pct"/>
                  <w:vAlign w:val="center"/>
                </w:tcPr>
                <w:p w14:paraId="233603D3">
                  <w:pPr>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化粪池设置等费用</w:t>
                  </w:r>
                </w:p>
              </w:tc>
              <w:tc>
                <w:tcPr>
                  <w:tcW w:w="1463" w:type="dxa"/>
                  <w:vAlign w:val="center"/>
                </w:tcPr>
                <w:p w14:paraId="26566FD4">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eastAsia" w:cs="Times New Roman"/>
                      <w:i w:val="0"/>
                      <w:iCs w:val="0"/>
                      <w:color w:val="000000"/>
                      <w:kern w:val="0"/>
                      <w:sz w:val="21"/>
                      <w:szCs w:val="21"/>
                      <w:u w:val="none"/>
                      <w:lang w:val="en-US" w:eastAsia="zh-CN" w:bidi="ar"/>
                    </w:rPr>
                    <w:t>2</w:t>
                  </w:r>
                </w:p>
              </w:tc>
            </w:tr>
            <w:tr w14:paraId="100F3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5792FC0A">
                  <w:pPr>
                    <w:jc w:val="center"/>
                    <w:rPr>
                      <w:rFonts w:hint="default" w:ascii="Times New Roman" w:hAnsi="Times New Roman" w:eastAsia="宋体" w:cs="Times New Roman"/>
                      <w:sz w:val="21"/>
                      <w:szCs w:val="21"/>
                    </w:rPr>
                  </w:pPr>
                </w:p>
              </w:tc>
              <w:tc>
                <w:tcPr>
                  <w:tcW w:w="857" w:type="pct"/>
                  <w:vAlign w:val="center"/>
                </w:tcPr>
                <w:p w14:paraId="77E8E22D">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电磁环境</w:t>
                  </w:r>
                </w:p>
              </w:tc>
              <w:tc>
                <w:tcPr>
                  <w:tcW w:w="2966" w:type="pct"/>
                  <w:vAlign w:val="center"/>
                </w:tcPr>
                <w:p w14:paraId="0CA013D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变电站优化布局、提高导线对地高度等</w:t>
                  </w:r>
                </w:p>
              </w:tc>
              <w:tc>
                <w:tcPr>
                  <w:tcW w:w="1463" w:type="dxa"/>
                  <w:vAlign w:val="center"/>
                </w:tcPr>
                <w:p w14:paraId="7865CB8B">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w:t>
                  </w:r>
                </w:p>
              </w:tc>
            </w:tr>
            <w:tr w14:paraId="2F44D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293526E2">
                  <w:pPr>
                    <w:jc w:val="center"/>
                    <w:rPr>
                      <w:rFonts w:hint="default" w:ascii="Times New Roman" w:hAnsi="Times New Roman" w:eastAsia="宋体" w:cs="Times New Roman"/>
                      <w:sz w:val="21"/>
                      <w:szCs w:val="21"/>
                    </w:rPr>
                  </w:pPr>
                </w:p>
              </w:tc>
              <w:tc>
                <w:tcPr>
                  <w:tcW w:w="857" w:type="pct"/>
                  <w:vAlign w:val="center"/>
                </w:tcPr>
                <w:p w14:paraId="1CCC02B7">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环境风险</w:t>
                  </w:r>
                </w:p>
              </w:tc>
              <w:tc>
                <w:tcPr>
                  <w:tcW w:w="2966" w:type="pct"/>
                  <w:vAlign w:val="center"/>
                </w:tcPr>
                <w:p w14:paraId="6191E262">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事故油池设置，重点防渗设置等费用</w:t>
                  </w:r>
                </w:p>
              </w:tc>
              <w:tc>
                <w:tcPr>
                  <w:tcW w:w="1463" w:type="dxa"/>
                  <w:vAlign w:val="center"/>
                </w:tcPr>
                <w:p w14:paraId="2FD981A6">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w:t>
                  </w:r>
                </w:p>
              </w:tc>
            </w:tr>
            <w:tr w14:paraId="36C10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0" w:type="pct"/>
                  <w:vMerge w:val="continue"/>
                  <w:vAlign w:val="center"/>
                </w:tcPr>
                <w:p w14:paraId="44BD4107">
                  <w:pPr>
                    <w:jc w:val="center"/>
                    <w:rPr>
                      <w:rFonts w:hint="default" w:ascii="Times New Roman" w:hAnsi="Times New Roman" w:eastAsia="宋体" w:cs="Times New Roman"/>
                      <w:sz w:val="21"/>
                      <w:szCs w:val="21"/>
                    </w:rPr>
                  </w:pPr>
                </w:p>
              </w:tc>
              <w:tc>
                <w:tcPr>
                  <w:tcW w:w="857" w:type="pct"/>
                  <w:vAlign w:val="center"/>
                </w:tcPr>
                <w:p w14:paraId="05BD4F48">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危废处置</w:t>
                  </w:r>
                </w:p>
              </w:tc>
              <w:tc>
                <w:tcPr>
                  <w:tcW w:w="2966" w:type="pct"/>
                  <w:vAlign w:val="center"/>
                </w:tcPr>
                <w:p w14:paraId="3F833A4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废铅酸蓄电池由电池厂家更换后带走，废变压器油、维护检修废物等危险废物由维修厂家带走</w:t>
                  </w:r>
                  <w:r>
                    <w:rPr>
                      <w:rFonts w:hint="eastAsia" w:cs="Times New Roman"/>
                      <w:sz w:val="21"/>
                      <w:szCs w:val="21"/>
                      <w:lang w:val="en-US" w:eastAsia="zh-CN"/>
                    </w:rPr>
                    <w:t>处置</w:t>
                  </w:r>
                </w:p>
              </w:tc>
              <w:tc>
                <w:tcPr>
                  <w:tcW w:w="1463" w:type="dxa"/>
                  <w:vAlign w:val="center"/>
                </w:tcPr>
                <w:p w14:paraId="71891752">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eastAsia" w:cs="Times New Roman"/>
                      <w:i w:val="0"/>
                      <w:iCs w:val="0"/>
                      <w:color w:val="000000"/>
                      <w:kern w:val="0"/>
                      <w:sz w:val="21"/>
                      <w:szCs w:val="21"/>
                      <w:u w:val="none"/>
                      <w:lang w:val="en-US" w:eastAsia="zh-CN" w:bidi="ar"/>
                    </w:rPr>
                    <w:t>6</w:t>
                  </w:r>
                </w:p>
              </w:tc>
            </w:tr>
            <w:tr w14:paraId="51999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7" w:type="pct"/>
                  <w:gridSpan w:val="2"/>
                  <w:vAlign w:val="center"/>
                </w:tcPr>
                <w:p w14:paraId="25678C58">
                  <w:pPr>
                    <w:jc w:val="center"/>
                    <w:rPr>
                      <w:rFonts w:hint="default" w:cs="Times New Roman"/>
                      <w:sz w:val="21"/>
                      <w:szCs w:val="21"/>
                      <w:lang w:val="en-US" w:eastAsia="zh-CN"/>
                    </w:rPr>
                  </w:pPr>
                  <w:r>
                    <w:rPr>
                      <w:rFonts w:hint="eastAsia" w:cs="Times New Roman"/>
                      <w:sz w:val="21"/>
                      <w:szCs w:val="21"/>
                      <w:lang w:val="en-US" w:eastAsia="zh-CN"/>
                    </w:rPr>
                    <w:t>环境管理费用</w:t>
                  </w:r>
                </w:p>
              </w:tc>
              <w:tc>
                <w:tcPr>
                  <w:tcW w:w="2966" w:type="pct"/>
                  <w:vAlign w:val="center"/>
                </w:tcPr>
                <w:p w14:paraId="419AB2F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环境影响评价及竣工环保验收、监测等费用</w:t>
                  </w:r>
                </w:p>
              </w:tc>
              <w:tc>
                <w:tcPr>
                  <w:tcW w:w="1463" w:type="dxa"/>
                  <w:vAlign w:val="center"/>
                </w:tcPr>
                <w:p w14:paraId="3E2DE9EC">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eastAsia" w:cs="Times New Roman"/>
                      <w:i w:val="0"/>
                      <w:iCs w:val="0"/>
                      <w:color w:val="000000"/>
                      <w:kern w:val="0"/>
                      <w:sz w:val="21"/>
                      <w:szCs w:val="21"/>
                      <w:u w:val="none"/>
                      <w:lang w:val="en-US" w:eastAsia="zh-CN" w:bidi="ar"/>
                    </w:rPr>
                    <w:t>18</w:t>
                  </w:r>
                </w:p>
              </w:tc>
            </w:tr>
            <w:tr w14:paraId="7E28C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84" w:type="pct"/>
                  <w:gridSpan w:val="3"/>
                  <w:vAlign w:val="center"/>
                </w:tcPr>
                <w:p w14:paraId="5F6BEE33">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合计</w:t>
                  </w:r>
                </w:p>
              </w:tc>
              <w:tc>
                <w:tcPr>
                  <w:tcW w:w="815" w:type="pct"/>
                  <w:vAlign w:val="center"/>
                </w:tcPr>
                <w:p w14:paraId="0870DDEA">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150</w:t>
                  </w:r>
                </w:p>
              </w:tc>
            </w:tr>
          </w:tbl>
          <w:p w14:paraId="6D255F59">
            <w:pPr>
              <w:pStyle w:val="36"/>
              <w:rPr>
                <w:rFonts w:hint="default" w:ascii="Times New Roman" w:hAnsi="Times New Roman" w:cs="Times New Roman"/>
              </w:rPr>
            </w:pPr>
          </w:p>
          <w:p w14:paraId="3A9D8274">
            <w:pPr>
              <w:pStyle w:val="54"/>
              <w:rPr>
                <w:rFonts w:hint="default" w:ascii="Times New Roman" w:hAnsi="Times New Roman" w:cs="Times New Roman"/>
              </w:rPr>
            </w:pPr>
          </w:p>
          <w:p w14:paraId="66A853A4">
            <w:pPr>
              <w:rPr>
                <w:rFonts w:hint="default" w:ascii="Times New Roman" w:hAnsi="Times New Roman" w:cs="Times New Roman"/>
              </w:rPr>
            </w:pPr>
          </w:p>
          <w:p w14:paraId="5718150F">
            <w:pPr>
              <w:pStyle w:val="54"/>
              <w:rPr>
                <w:rFonts w:hint="default" w:ascii="Times New Roman" w:hAnsi="Times New Roman" w:cs="Times New Roman"/>
              </w:rPr>
            </w:pPr>
          </w:p>
          <w:p w14:paraId="05D3275A">
            <w:pPr>
              <w:rPr>
                <w:rFonts w:hint="default" w:ascii="Times New Roman" w:hAnsi="Times New Roman" w:cs="Times New Roman"/>
              </w:rPr>
            </w:pPr>
          </w:p>
          <w:p w14:paraId="79DEE6FF">
            <w:pPr>
              <w:rPr>
                <w:rFonts w:hint="default" w:ascii="Times New Roman" w:hAnsi="Times New Roman" w:cs="Times New Roman"/>
              </w:rPr>
            </w:pPr>
          </w:p>
          <w:p w14:paraId="3F525575">
            <w:pPr>
              <w:rPr>
                <w:rFonts w:hint="default" w:ascii="Times New Roman" w:hAnsi="Times New Roman" w:cs="Times New Roman"/>
              </w:rPr>
            </w:pPr>
          </w:p>
          <w:p w14:paraId="514C4054">
            <w:pPr>
              <w:rPr>
                <w:rFonts w:hint="default" w:ascii="Times New Roman" w:hAnsi="Times New Roman" w:cs="Times New Roman"/>
              </w:rPr>
            </w:pPr>
          </w:p>
          <w:p w14:paraId="5EFC48F4">
            <w:pPr>
              <w:rPr>
                <w:rFonts w:hint="default" w:ascii="Times New Roman" w:hAnsi="Times New Roman" w:cs="Times New Roman"/>
              </w:rPr>
            </w:pPr>
          </w:p>
          <w:p w14:paraId="69C5147C">
            <w:pPr>
              <w:rPr>
                <w:rFonts w:hint="default" w:ascii="Times New Roman" w:hAnsi="Times New Roman" w:cs="Times New Roman"/>
              </w:rPr>
            </w:pPr>
          </w:p>
          <w:p w14:paraId="5F18EDA9">
            <w:pPr>
              <w:pStyle w:val="54"/>
              <w:rPr>
                <w:rFonts w:hint="default"/>
              </w:rPr>
            </w:pPr>
          </w:p>
          <w:p w14:paraId="2DEBD41E">
            <w:pPr>
              <w:rPr>
                <w:rFonts w:hint="default" w:ascii="Times New Roman" w:hAnsi="Times New Roman" w:cs="Times New Roman"/>
              </w:rPr>
            </w:pPr>
          </w:p>
          <w:p w14:paraId="38F4F5CF"/>
        </w:tc>
      </w:tr>
    </w:tbl>
    <w:p w14:paraId="701D42FE">
      <w:pPr>
        <w:tabs>
          <w:tab w:val="center" w:pos="4252"/>
        </w:tabs>
        <w:sectPr>
          <w:pgSz w:w="11906" w:h="16838"/>
          <w:pgMar w:top="1440" w:right="1134" w:bottom="1440" w:left="1134" w:header="851" w:footer="992" w:gutter="0"/>
          <w:pgNumType w:fmt="decimal"/>
          <w:cols w:space="720" w:num="1"/>
          <w:docGrid w:linePitch="312" w:charSpace="0"/>
        </w:sectPr>
      </w:pPr>
      <w:r>
        <w:tab/>
      </w:r>
    </w:p>
    <w:p w14:paraId="4BB21CF6">
      <w:pPr>
        <w:pStyle w:val="107"/>
        <w:jc w:val="center"/>
        <w:rPr>
          <w:rFonts w:eastAsia="宋体"/>
        </w:rPr>
      </w:pPr>
      <w:bookmarkStart w:id="114" w:name="_Toc101454272"/>
      <w:bookmarkStart w:id="115" w:name="_Toc79511877"/>
      <w:bookmarkStart w:id="116" w:name="_Toc15514"/>
      <w:bookmarkStart w:id="117" w:name="_Toc85013639"/>
      <w:bookmarkStart w:id="118" w:name="_Toc3490"/>
      <w:bookmarkStart w:id="119" w:name="_Toc108987312"/>
      <w:bookmarkStart w:id="120" w:name="_Toc31364"/>
      <w:bookmarkStart w:id="121" w:name="_Toc73547125"/>
      <w:bookmarkStart w:id="122" w:name="_Toc77769260"/>
      <w:bookmarkStart w:id="123" w:name="_Toc24888"/>
      <w:r>
        <w:rPr>
          <w:rFonts w:eastAsia="宋体"/>
        </w:rPr>
        <w:t>六、生态环境保护措施监督检查清单</w:t>
      </w:r>
      <w:bookmarkEnd w:id="114"/>
      <w:bookmarkEnd w:id="115"/>
      <w:bookmarkEnd w:id="116"/>
      <w:bookmarkEnd w:id="117"/>
      <w:bookmarkEnd w:id="118"/>
      <w:bookmarkEnd w:id="119"/>
      <w:bookmarkEnd w:id="120"/>
      <w:bookmarkEnd w:id="121"/>
      <w:bookmarkEnd w:id="122"/>
      <w:bookmarkEnd w:id="123"/>
    </w:p>
    <w:tbl>
      <w:tblPr>
        <w:tblStyle w:val="37"/>
        <w:tblW w:w="49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5185"/>
        <w:gridCol w:w="1578"/>
        <w:gridCol w:w="4686"/>
        <w:gridCol w:w="2061"/>
      </w:tblGrid>
      <w:tr w14:paraId="63EE5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377" w:type="pct"/>
            <w:vMerge w:val="restart"/>
            <w:tcBorders>
              <w:tl2br w:val="single" w:color="auto" w:sz="4" w:space="0"/>
            </w:tcBorders>
            <w:vAlign w:val="center"/>
          </w:tcPr>
          <w:p w14:paraId="31DB4258">
            <w:pPr>
              <w:pStyle w:val="32"/>
              <w:widowControl w:val="0"/>
              <w:overflowPunct w:val="0"/>
              <w:spacing w:before="0" w:line="240" w:lineRule="auto"/>
              <w:ind w:firstLine="0"/>
              <w:contextualSpacing/>
              <w:jc w:val="right"/>
              <w:rPr>
                <w:b/>
                <w:bCs/>
                <w:kern w:val="2"/>
                <w:sz w:val="21"/>
                <w:szCs w:val="21"/>
              </w:rPr>
            </w:pPr>
            <w:bookmarkStart w:id="124" w:name="_Toc7494"/>
            <w:r>
              <w:rPr>
                <w:b/>
                <w:bCs/>
                <w:kern w:val="2"/>
                <w:sz w:val="21"/>
                <w:szCs w:val="21"/>
              </w:rPr>
              <w:t>内容</w:t>
            </w:r>
            <w:bookmarkEnd w:id="124"/>
          </w:p>
          <w:p w14:paraId="5C1C72F4">
            <w:pPr>
              <w:pStyle w:val="32"/>
              <w:keepNext w:val="0"/>
              <w:keepLines w:val="0"/>
              <w:pageBreakBefore w:val="0"/>
              <w:widowControl w:val="0"/>
              <w:kinsoku/>
              <w:wordWrap/>
              <w:overflowPunct w:val="0"/>
              <w:topLinePunct w:val="0"/>
              <w:autoSpaceDE/>
              <w:autoSpaceDN/>
              <w:bidi w:val="0"/>
              <w:adjustRightInd/>
              <w:snapToGrid/>
              <w:spacing w:before="0" w:line="240" w:lineRule="auto"/>
              <w:ind w:firstLine="0"/>
              <w:contextualSpacing/>
              <w:textAlignment w:val="auto"/>
              <w:rPr>
                <w:b/>
                <w:bCs/>
                <w:kern w:val="2"/>
                <w:sz w:val="21"/>
                <w:szCs w:val="21"/>
              </w:rPr>
            </w:pPr>
            <w:bookmarkStart w:id="125" w:name="_Toc22701"/>
            <w:r>
              <w:rPr>
                <w:b/>
                <w:bCs/>
                <w:kern w:val="2"/>
                <w:sz w:val="21"/>
                <w:szCs w:val="21"/>
              </w:rPr>
              <w:t>要素</w:t>
            </w:r>
            <w:bookmarkEnd w:id="125"/>
          </w:p>
        </w:tc>
        <w:tc>
          <w:tcPr>
            <w:tcW w:w="2314" w:type="pct"/>
            <w:gridSpan w:val="2"/>
            <w:vAlign w:val="center"/>
          </w:tcPr>
          <w:p w14:paraId="699B05BB">
            <w:pPr>
              <w:pStyle w:val="32"/>
              <w:widowControl w:val="0"/>
              <w:overflowPunct w:val="0"/>
              <w:spacing w:before="0" w:line="240" w:lineRule="auto"/>
              <w:ind w:firstLine="0"/>
              <w:contextualSpacing/>
              <w:jc w:val="center"/>
              <w:rPr>
                <w:b/>
                <w:bCs/>
                <w:kern w:val="2"/>
                <w:sz w:val="21"/>
                <w:szCs w:val="21"/>
              </w:rPr>
            </w:pPr>
            <w:bookmarkStart w:id="126" w:name="_Toc21495"/>
            <w:r>
              <w:rPr>
                <w:b/>
                <w:bCs/>
                <w:kern w:val="2"/>
                <w:sz w:val="21"/>
                <w:szCs w:val="21"/>
              </w:rPr>
              <w:t>施工期</w:t>
            </w:r>
            <w:bookmarkEnd w:id="126"/>
          </w:p>
        </w:tc>
        <w:tc>
          <w:tcPr>
            <w:tcW w:w="2308" w:type="pct"/>
            <w:gridSpan w:val="2"/>
            <w:vAlign w:val="center"/>
          </w:tcPr>
          <w:p w14:paraId="4B790D9F">
            <w:pPr>
              <w:pStyle w:val="32"/>
              <w:widowControl w:val="0"/>
              <w:overflowPunct w:val="0"/>
              <w:spacing w:before="0" w:line="240" w:lineRule="auto"/>
              <w:ind w:firstLine="0"/>
              <w:contextualSpacing/>
              <w:jc w:val="center"/>
              <w:rPr>
                <w:b/>
                <w:bCs/>
                <w:kern w:val="2"/>
                <w:sz w:val="21"/>
                <w:szCs w:val="21"/>
              </w:rPr>
            </w:pPr>
            <w:bookmarkStart w:id="127" w:name="_Toc16908"/>
            <w:r>
              <w:rPr>
                <w:b/>
                <w:bCs/>
                <w:kern w:val="2"/>
                <w:sz w:val="21"/>
                <w:szCs w:val="21"/>
              </w:rPr>
              <w:t>运营期</w:t>
            </w:r>
            <w:bookmarkEnd w:id="127"/>
          </w:p>
        </w:tc>
      </w:tr>
      <w:tr w14:paraId="1F0F4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blHeader/>
          <w:jc w:val="center"/>
        </w:trPr>
        <w:tc>
          <w:tcPr>
            <w:tcW w:w="377" w:type="pct"/>
            <w:vMerge w:val="continue"/>
            <w:tcBorders>
              <w:tl2br w:val="single" w:color="auto" w:sz="4" w:space="0"/>
            </w:tcBorders>
            <w:vAlign w:val="center"/>
          </w:tcPr>
          <w:p w14:paraId="43B49CE5">
            <w:pPr>
              <w:pStyle w:val="32"/>
              <w:widowControl w:val="0"/>
              <w:overflowPunct w:val="0"/>
              <w:spacing w:before="0" w:line="240" w:lineRule="auto"/>
              <w:ind w:firstLine="0"/>
              <w:contextualSpacing/>
              <w:jc w:val="center"/>
              <w:rPr>
                <w:b/>
                <w:bCs/>
                <w:kern w:val="2"/>
                <w:sz w:val="21"/>
                <w:szCs w:val="21"/>
              </w:rPr>
            </w:pPr>
          </w:p>
        </w:tc>
        <w:tc>
          <w:tcPr>
            <w:tcW w:w="1774" w:type="pct"/>
            <w:vAlign w:val="center"/>
          </w:tcPr>
          <w:p w14:paraId="5CA28A93">
            <w:pPr>
              <w:pStyle w:val="32"/>
              <w:widowControl w:val="0"/>
              <w:overflowPunct w:val="0"/>
              <w:spacing w:before="0" w:line="240" w:lineRule="auto"/>
              <w:ind w:firstLine="0"/>
              <w:contextualSpacing/>
              <w:jc w:val="center"/>
              <w:rPr>
                <w:b/>
                <w:bCs/>
                <w:kern w:val="2"/>
                <w:sz w:val="21"/>
                <w:szCs w:val="21"/>
              </w:rPr>
            </w:pPr>
            <w:bookmarkStart w:id="128" w:name="_Toc24231"/>
            <w:r>
              <w:rPr>
                <w:b/>
                <w:bCs/>
                <w:kern w:val="2"/>
                <w:sz w:val="21"/>
                <w:szCs w:val="21"/>
              </w:rPr>
              <w:t>环境保护措施</w:t>
            </w:r>
            <w:bookmarkEnd w:id="128"/>
          </w:p>
        </w:tc>
        <w:tc>
          <w:tcPr>
            <w:tcW w:w="539" w:type="pct"/>
            <w:vAlign w:val="center"/>
          </w:tcPr>
          <w:p w14:paraId="189D8B50">
            <w:pPr>
              <w:pStyle w:val="32"/>
              <w:widowControl w:val="0"/>
              <w:overflowPunct w:val="0"/>
              <w:spacing w:before="0" w:line="240" w:lineRule="auto"/>
              <w:ind w:firstLine="0"/>
              <w:contextualSpacing/>
              <w:jc w:val="center"/>
              <w:rPr>
                <w:b/>
                <w:bCs/>
                <w:kern w:val="2"/>
                <w:sz w:val="21"/>
                <w:szCs w:val="21"/>
              </w:rPr>
            </w:pPr>
            <w:bookmarkStart w:id="129" w:name="_Toc55"/>
            <w:r>
              <w:rPr>
                <w:b/>
                <w:bCs/>
                <w:kern w:val="2"/>
                <w:sz w:val="21"/>
                <w:szCs w:val="21"/>
              </w:rPr>
              <w:t>验收要求</w:t>
            </w:r>
            <w:bookmarkEnd w:id="129"/>
          </w:p>
        </w:tc>
        <w:tc>
          <w:tcPr>
            <w:tcW w:w="1603" w:type="pct"/>
            <w:vAlign w:val="center"/>
          </w:tcPr>
          <w:p w14:paraId="50F36C2C">
            <w:pPr>
              <w:pStyle w:val="32"/>
              <w:widowControl w:val="0"/>
              <w:overflowPunct w:val="0"/>
              <w:spacing w:before="0" w:line="240" w:lineRule="auto"/>
              <w:ind w:firstLine="0"/>
              <w:contextualSpacing/>
              <w:jc w:val="center"/>
              <w:rPr>
                <w:b/>
                <w:bCs/>
                <w:kern w:val="2"/>
                <w:sz w:val="21"/>
                <w:szCs w:val="21"/>
              </w:rPr>
            </w:pPr>
            <w:bookmarkStart w:id="130" w:name="_Toc29074"/>
            <w:r>
              <w:rPr>
                <w:b/>
                <w:bCs/>
                <w:kern w:val="2"/>
                <w:sz w:val="21"/>
                <w:szCs w:val="21"/>
              </w:rPr>
              <w:t>环境保护措施</w:t>
            </w:r>
            <w:bookmarkEnd w:id="130"/>
          </w:p>
        </w:tc>
        <w:tc>
          <w:tcPr>
            <w:tcW w:w="705" w:type="pct"/>
            <w:vAlign w:val="center"/>
          </w:tcPr>
          <w:p w14:paraId="0CA52A38">
            <w:pPr>
              <w:pStyle w:val="32"/>
              <w:widowControl w:val="0"/>
              <w:overflowPunct w:val="0"/>
              <w:spacing w:before="0" w:line="240" w:lineRule="auto"/>
              <w:ind w:firstLine="0"/>
              <w:contextualSpacing/>
              <w:jc w:val="center"/>
              <w:rPr>
                <w:b/>
                <w:bCs/>
                <w:kern w:val="2"/>
                <w:sz w:val="21"/>
                <w:szCs w:val="21"/>
              </w:rPr>
            </w:pPr>
            <w:bookmarkStart w:id="131" w:name="_Toc9933"/>
            <w:r>
              <w:rPr>
                <w:b/>
                <w:bCs/>
                <w:kern w:val="2"/>
                <w:sz w:val="21"/>
                <w:szCs w:val="21"/>
              </w:rPr>
              <w:t>验收要求</w:t>
            </w:r>
            <w:bookmarkEnd w:id="131"/>
          </w:p>
        </w:tc>
      </w:tr>
      <w:tr w14:paraId="4B3D2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3BC33208">
            <w:pPr>
              <w:overflowPunct w:val="0"/>
              <w:contextualSpacing/>
              <w:jc w:val="center"/>
              <w:rPr>
                <w:sz w:val="21"/>
                <w:szCs w:val="21"/>
              </w:rPr>
            </w:pPr>
            <w:r>
              <w:rPr>
                <w:sz w:val="21"/>
                <w:szCs w:val="21"/>
              </w:rPr>
              <w:t>陆生生态</w:t>
            </w:r>
          </w:p>
        </w:tc>
        <w:tc>
          <w:tcPr>
            <w:tcW w:w="1774" w:type="pct"/>
            <w:vAlign w:val="center"/>
          </w:tcPr>
          <w:p w14:paraId="229FDCF7">
            <w:pPr>
              <w:jc w:val="both"/>
              <w:rPr>
                <w:rFonts w:hint="eastAsia" w:ascii="宋体" w:hAnsi="宋体" w:eastAsia="宋体" w:cs="宋体"/>
                <w:sz w:val="21"/>
                <w:szCs w:val="21"/>
              </w:rPr>
            </w:pPr>
            <w:r>
              <w:rPr>
                <w:rFonts w:hint="eastAsia" w:ascii="宋体" w:hAnsi="宋体" w:eastAsia="宋体" w:cs="宋体"/>
                <w:sz w:val="21"/>
                <w:szCs w:val="21"/>
                <w:lang w:val="en-US" w:eastAsia="zh-CN"/>
              </w:rPr>
              <w:t>（1）规范施工：加强对管理人员和施工人员的思想教育，</w:t>
            </w:r>
            <w:r>
              <w:rPr>
                <w:rFonts w:hint="eastAsia" w:ascii="宋体" w:hAnsi="宋体" w:cs="宋体"/>
                <w:sz w:val="21"/>
                <w:szCs w:val="21"/>
                <w:lang w:val="en-US" w:eastAsia="zh-CN"/>
              </w:rPr>
              <w:t>增强</w:t>
            </w:r>
            <w:r>
              <w:rPr>
                <w:rFonts w:hint="eastAsia" w:ascii="宋体" w:hAnsi="宋体" w:eastAsia="宋体" w:cs="宋体"/>
                <w:sz w:val="21"/>
                <w:szCs w:val="21"/>
                <w:lang w:val="en-US" w:eastAsia="zh-CN"/>
              </w:rPr>
              <w:t>其生态环保意识；严格要求施工人员注意保护当地植被，禁止随意砍伐；施工人员和施工机械不得在规定区域范围外随意活动和行驶；明确规定生活污水、生活垃圾和建筑垃圾集中收集处理，不得随意外排或丢弃。</w:t>
            </w:r>
          </w:p>
          <w:p w14:paraId="7A69A0F6">
            <w:pPr>
              <w:jc w:val="both"/>
              <w:rPr>
                <w:rFonts w:hint="eastAsia" w:ascii="宋体" w:hAnsi="宋体" w:eastAsia="宋体" w:cs="宋体"/>
                <w:sz w:val="21"/>
                <w:szCs w:val="21"/>
              </w:rPr>
            </w:pPr>
            <w:r>
              <w:rPr>
                <w:rFonts w:hint="eastAsia" w:ascii="宋体" w:hAnsi="宋体" w:eastAsia="宋体" w:cs="宋体"/>
                <w:sz w:val="21"/>
                <w:szCs w:val="21"/>
                <w:lang w:val="en-US" w:eastAsia="zh-CN"/>
              </w:rPr>
              <w:t>（2）表土保护：合理规划、设计施工便道，并要求各种机械和车辆固定行车路线；合理安排施工时间，避开雨季。施工前，对临时占地内表土进行剥离，并采用彩条布苫盖等防护措施；牵张场等临时占地在施工结束后，尽快恢复其原有土壤功能和植被形态。</w:t>
            </w:r>
          </w:p>
          <w:p w14:paraId="1031F5CF">
            <w:pPr>
              <w:jc w:val="both"/>
              <w:rPr>
                <w:rFonts w:hint="eastAsia" w:ascii="宋体" w:hAnsi="宋体" w:eastAsia="宋体" w:cs="宋体"/>
                <w:sz w:val="21"/>
                <w:szCs w:val="21"/>
              </w:rPr>
            </w:pPr>
            <w:r>
              <w:rPr>
                <w:rFonts w:hint="eastAsia" w:ascii="宋体" w:hAnsi="宋体" w:eastAsia="宋体" w:cs="宋体"/>
                <w:sz w:val="21"/>
                <w:szCs w:val="21"/>
                <w:lang w:val="en-US" w:eastAsia="zh-CN"/>
              </w:rPr>
              <w:t>（3）土地利用保护：合理组织施工减少施工临时用地；施工开挖作业面及时平整，临时堆土合理堆放；</w:t>
            </w:r>
            <w:r>
              <w:rPr>
                <w:rFonts w:hint="eastAsia" w:ascii="宋体" w:hAnsi="宋体" w:cs="宋体"/>
                <w:sz w:val="21"/>
                <w:szCs w:val="21"/>
                <w:lang w:val="en-US" w:eastAsia="zh-CN"/>
              </w:rPr>
              <w:t>加大</w:t>
            </w:r>
            <w:r>
              <w:rPr>
                <w:rFonts w:hint="eastAsia" w:ascii="宋体" w:hAnsi="宋体" w:eastAsia="宋体" w:cs="宋体"/>
                <w:sz w:val="21"/>
                <w:szCs w:val="21"/>
                <w:lang w:val="en-US" w:eastAsia="zh-CN"/>
              </w:rPr>
              <w:t>土石方的调配力度，减少弃土弃渣量；施工材料有序堆放，排管沟槽挖土可采用人工挖土，减少施工机械进出场对周围环境的影响；基础开挖时根据地形要素选择对应的基础，线路施工放线时优先采用无人机放线等新技术；施工临时用地使用完毕按土地原使用功能进行恢复。</w:t>
            </w:r>
          </w:p>
          <w:p w14:paraId="0EB64E33">
            <w:pPr>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水土流失：输电线路塔基施工前剥离表土，施工结束后进行场地清理、坑洼回填，土地整治后恢复表土。对泥浆池区域，待钻渣泥浆固化后，对占地区域进行土地平整并及时采取植被恢复等措施。对变电站施工生产生活区内主要道路采取硬化措施。对塔基基础及开挖产生的泥浆进行处理，沉沙池采用深挖方式，边坡采取防水布进行苫盖。临时堆土夯实防护、塑料彩条布铺垫及苫盖。</w:t>
            </w:r>
          </w:p>
          <w:p w14:paraId="7708A0C0">
            <w:pPr>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临时用地生态保护恢复措施：划定作业边界，严禁超界占用和破坏沿线的其他植被；合理组织施工，缩短工期，避免雨季施工等措施减少水土流失；剥离和保存土方施工过程中耕植表土，注意表土堆场的防护。充分利用土石方和建筑垃圾，尽量避免产生弃土、弃渣，将工程施工过程中的水土流失</w:t>
            </w:r>
            <w:r>
              <w:rPr>
                <w:rFonts w:hint="eastAsia" w:ascii="宋体" w:hAnsi="宋体" w:cs="宋体"/>
                <w:sz w:val="21"/>
                <w:szCs w:val="21"/>
                <w:lang w:val="en-US" w:eastAsia="zh-CN"/>
              </w:rPr>
              <w:t>降低</w:t>
            </w:r>
            <w:r>
              <w:rPr>
                <w:rFonts w:hint="eastAsia" w:ascii="宋体" w:hAnsi="宋体" w:eastAsia="宋体" w:cs="宋体"/>
                <w:sz w:val="21"/>
                <w:szCs w:val="21"/>
                <w:lang w:val="en-US" w:eastAsia="zh-CN"/>
              </w:rPr>
              <w:t>到最低限度。对临时施工场地按照原使用功能进行恢复即现状为耕地恢复为耕地，场地裸露地表在雨水冲蚀下极易造成水土流失，需采取临时压盖等措施。</w:t>
            </w:r>
          </w:p>
          <w:p w14:paraId="0A5835DD">
            <w:pPr>
              <w:jc w:val="both"/>
              <w:rPr>
                <w:rFonts w:hint="default" w:ascii="Times New Roman" w:hAnsi="Times New Roman" w:eastAsia="宋体" w:cs="Times New Roman"/>
                <w:sz w:val="21"/>
                <w:szCs w:val="21"/>
                <w:lang w:val="en-US" w:eastAsia="zh-CN"/>
              </w:rPr>
            </w:pPr>
            <w:r>
              <w:rPr>
                <w:rFonts w:hint="eastAsia" w:ascii="宋体" w:hAnsi="宋体" w:eastAsia="宋体" w:cs="宋体"/>
                <w:sz w:val="21"/>
                <w:szCs w:val="21"/>
                <w:lang w:val="en-US" w:eastAsia="zh-CN"/>
              </w:rPr>
              <w:t>（6）植被恢复措施：施工前对施工临时占地选址进行多地比选，优先选择生态影响小，充分利用现有地形地势，合理布局。严格按照设计文件确定征占土地范围，施工道路选择优先利用场地内现有道路，不得随意开辟施工便道；施工作业过</w:t>
            </w:r>
            <w:r>
              <w:rPr>
                <w:rFonts w:hint="eastAsia" w:ascii="宋体" w:hAnsi="宋体" w:cs="宋体"/>
                <w:sz w:val="21"/>
                <w:szCs w:val="21"/>
                <w:lang w:val="en-US" w:eastAsia="zh-CN"/>
              </w:rPr>
              <w:t>程中</w:t>
            </w:r>
            <w:r>
              <w:rPr>
                <w:rFonts w:hint="eastAsia" w:ascii="宋体" w:hAnsi="宋体" w:eastAsia="宋体" w:cs="宋体"/>
                <w:sz w:val="21"/>
                <w:szCs w:val="21"/>
                <w:lang w:val="en-US" w:eastAsia="zh-CN"/>
              </w:rPr>
              <w:t>严格控制作业区域。工程施工过程中，对固废堆放严格管理，不允许将工程临时废渣随处乱排。基础等开挖时，表土剥离单独堆放，用于今后的回填及生态恢复；杆塔基础施工而造成裸露的土地应在施工结束后立即整治利用，恢复植被。要加强对施工人员的生态保护教育，增强其生态保护意识，杜绝施工人员随意破坏植被。</w:t>
            </w:r>
          </w:p>
        </w:tc>
        <w:tc>
          <w:tcPr>
            <w:tcW w:w="539" w:type="pct"/>
            <w:vAlign w:val="center"/>
          </w:tcPr>
          <w:p w14:paraId="1D072DCD">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施工过程采取了</w:t>
            </w:r>
            <w:r>
              <w:rPr>
                <w:rFonts w:hint="eastAsia" w:cs="Times New Roman"/>
                <w:sz w:val="21"/>
                <w:szCs w:val="21"/>
                <w:lang w:val="en-US" w:eastAsia="zh-CN"/>
              </w:rPr>
              <w:t>围挡、</w:t>
            </w:r>
            <w:r>
              <w:rPr>
                <w:rFonts w:hint="default" w:ascii="Times New Roman" w:hAnsi="Times New Roman" w:eastAsia="宋体" w:cs="Times New Roman"/>
                <w:sz w:val="21"/>
                <w:szCs w:val="21"/>
                <w:lang w:val="en-US" w:eastAsia="zh-CN"/>
              </w:rPr>
              <w:t>遮盖等表土防护措施；</w:t>
            </w:r>
            <w:r>
              <w:rPr>
                <w:rFonts w:hint="eastAsia" w:ascii="宋体" w:hAnsi="宋体" w:eastAsia="宋体" w:cs="宋体"/>
                <w:sz w:val="21"/>
                <w:szCs w:val="21"/>
                <w:lang w:val="en-US" w:eastAsia="zh-CN"/>
              </w:rPr>
              <w:t>临时堆土夯实防护、塑料彩条布铺垫及苫盖</w:t>
            </w:r>
            <w:r>
              <w:rPr>
                <w:rFonts w:hint="eastAsia" w:ascii="宋体" w:hAnsi="宋体" w:cs="宋体"/>
                <w:sz w:val="21"/>
                <w:szCs w:val="21"/>
                <w:lang w:val="en-US" w:eastAsia="zh-CN"/>
              </w:rPr>
              <w:t>；</w:t>
            </w:r>
            <w:r>
              <w:rPr>
                <w:rFonts w:hint="eastAsia" w:ascii="宋体" w:hAnsi="宋体" w:eastAsia="宋体" w:cs="宋体"/>
                <w:sz w:val="21"/>
                <w:szCs w:val="21"/>
                <w:lang w:val="en-US" w:eastAsia="zh-CN"/>
              </w:rPr>
              <w:t>划定作业边界，严禁超界占用和破坏沿线的其他植被</w:t>
            </w:r>
            <w:r>
              <w:rPr>
                <w:rFonts w:hint="eastAsia" w:ascii="宋体" w:hAnsi="宋体" w:cs="宋体"/>
                <w:sz w:val="21"/>
                <w:szCs w:val="21"/>
                <w:lang w:val="en-US" w:eastAsia="zh-CN"/>
              </w:rPr>
              <w:t>；</w:t>
            </w:r>
            <w:r>
              <w:rPr>
                <w:rFonts w:hint="default" w:ascii="Times New Roman" w:hAnsi="Times New Roman" w:eastAsia="宋体" w:cs="Times New Roman"/>
                <w:sz w:val="21"/>
                <w:szCs w:val="21"/>
                <w:lang w:val="en-US" w:eastAsia="zh-CN"/>
              </w:rPr>
              <w:t>施工结束后，迹地恢复良好。</w:t>
            </w:r>
          </w:p>
        </w:tc>
        <w:tc>
          <w:tcPr>
            <w:tcW w:w="1603" w:type="pct"/>
            <w:vAlign w:val="center"/>
          </w:tcPr>
          <w:p w14:paraId="63E2764B">
            <w:pPr>
              <w:jc w:val="left"/>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做好设施运维管理，强化运维人员环保意识。</w:t>
            </w:r>
          </w:p>
        </w:tc>
        <w:tc>
          <w:tcPr>
            <w:tcW w:w="705" w:type="pct"/>
            <w:vAlign w:val="center"/>
          </w:tcPr>
          <w:p w14:paraId="474F3E8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项目运行过程中，未发现原有陆生生态系统发生显著功能性改变。</w:t>
            </w:r>
          </w:p>
        </w:tc>
      </w:tr>
      <w:tr w14:paraId="295BE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7E5D1FC2">
            <w:pPr>
              <w:overflowPunct w:val="0"/>
              <w:contextualSpacing/>
              <w:jc w:val="center"/>
              <w:rPr>
                <w:sz w:val="21"/>
                <w:szCs w:val="21"/>
              </w:rPr>
            </w:pPr>
            <w:r>
              <w:rPr>
                <w:sz w:val="21"/>
                <w:szCs w:val="21"/>
              </w:rPr>
              <w:t>水生生态</w:t>
            </w:r>
          </w:p>
        </w:tc>
        <w:tc>
          <w:tcPr>
            <w:tcW w:w="1774" w:type="pct"/>
            <w:vAlign w:val="center"/>
          </w:tcPr>
          <w:p w14:paraId="484A55B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39" w:type="pct"/>
            <w:vAlign w:val="center"/>
          </w:tcPr>
          <w:p w14:paraId="3CAC81A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1603" w:type="pct"/>
            <w:vAlign w:val="center"/>
          </w:tcPr>
          <w:p w14:paraId="68EC6B96">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705" w:type="pct"/>
            <w:vAlign w:val="center"/>
          </w:tcPr>
          <w:p w14:paraId="6D496A3C">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r>
      <w:tr w14:paraId="7E7EE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42EDFDE1">
            <w:pPr>
              <w:overflowPunct w:val="0"/>
              <w:contextualSpacing/>
              <w:jc w:val="center"/>
              <w:rPr>
                <w:sz w:val="21"/>
                <w:szCs w:val="21"/>
              </w:rPr>
            </w:pPr>
            <w:r>
              <w:rPr>
                <w:sz w:val="21"/>
                <w:szCs w:val="21"/>
              </w:rPr>
              <w:t>地表水环境</w:t>
            </w:r>
          </w:p>
        </w:tc>
        <w:tc>
          <w:tcPr>
            <w:tcW w:w="1774" w:type="pct"/>
            <w:vAlign w:val="center"/>
          </w:tcPr>
          <w:p w14:paraId="5A7F1ACB">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新建变电站施工人员产生的生活污水排入施工营地内设置的临时化粪池中，施工营地内的临时化粪池优先接入周边的污水管网内，在不具备接入的情况下，应定期委托环卫部门进行清理，严禁生活污水随意排放。线路施工人员居住在施工点附近租住的民房内，生活污水排入居住点已有的化粪池中。变电站施工期间，施工场地设置沉砂池，生产废水通过沉砂池沉淀后回用，用于施工营地洒水及喷淋。架空输电线路塔基基础开挖时在施工场地内设置沉砂池，灌注桩基础开挖产生的泥浆在沉砂池进行沉淀后，清水回用于基础养护。塔基基础浇筑优先采用成品商砼。本工程输电线路跨越</w:t>
            </w:r>
            <w:r>
              <w:rPr>
                <w:rFonts w:hint="eastAsia" w:cs="Times New Roman"/>
                <w:sz w:val="21"/>
                <w:szCs w:val="21"/>
                <w:lang w:val="en-US" w:eastAsia="zh-CN"/>
              </w:rPr>
              <w:t>梅山水库</w:t>
            </w:r>
            <w:r>
              <w:rPr>
                <w:rFonts w:hint="default" w:ascii="Times New Roman" w:hAnsi="Times New Roman" w:eastAsia="宋体" w:cs="Times New Roman"/>
                <w:sz w:val="21"/>
                <w:szCs w:val="21"/>
                <w:lang w:val="en-US" w:eastAsia="zh-CN"/>
              </w:rPr>
              <w:t>等地表水体，线路均采用一档跨越不在水域范围内立塔，将塔基设置</w:t>
            </w:r>
            <w:r>
              <w:rPr>
                <w:rFonts w:hint="eastAsia" w:cs="Times New Roman"/>
                <w:sz w:val="21"/>
                <w:szCs w:val="21"/>
                <w:lang w:val="en-US" w:eastAsia="zh-CN"/>
              </w:rPr>
              <w:t>得</w:t>
            </w:r>
            <w:r>
              <w:rPr>
                <w:rFonts w:hint="default" w:ascii="Times New Roman" w:hAnsi="Times New Roman" w:eastAsia="宋体" w:cs="Times New Roman"/>
                <w:sz w:val="21"/>
                <w:szCs w:val="21"/>
                <w:lang w:val="en-US" w:eastAsia="zh-CN"/>
              </w:rPr>
              <w:t>尽可能</w:t>
            </w:r>
            <w:r>
              <w:rPr>
                <w:rFonts w:hint="eastAsia" w:cs="Times New Roman"/>
                <w:sz w:val="21"/>
                <w:szCs w:val="21"/>
                <w:lang w:val="en-US" w:eastAsia="zh-CN"/>
              </w:rPr>
              <w:t>地</w:t>
            </w:r>
            <w:r>
              <w:rPr>
                <w:rFonts w:hint="default" w:ascii="Times New Roman" w:hAnsi="Times New Roman" w:eastAsia="宋体" w:cs="Times New Roman"/>
                <w:sz w:val="21"/>
                <w:szCs w:val="21"/>
                <w:lang w:val="en-US" w:eastAsia="zh-CN"/>
              </w:rPr>
              <w:t>远离周边</w:t>
            </w:r>
            <w:r>
              <w:rPr>
                <w:rFonts w:hint="eastAsia" w:cs="Times New Roman"/>
                <w:sz w:val="21"/>
                <w:szCs w:val="21"/>
                <w:lang w:val="en-US" w:eastAsia="zh-CN"/>
              </w:rPr>
              <w:t>梅山水库</w:t>
            </w:r>
            <w:r>
              <w:rPr>
                <w:rFonts w:hint="default" w:ascii="Times New Roman" w:hAnsi="Times New Roman" w:eastAsia="宋体" w:cs="Times New Roman"/>
                <w:sz w:val="21"/>
                <w:szCs w:val="21"/>
                <w:lang w:val="en-US" w:eastAsia="zh-CN"/>
              </w:rPr>
              <w:t>水体。钻孔灌注桩基础施工时采用泥浆澄清池，同时在塔基施工场地周边设置截排水沟，施工废水经截排水沟排入场地内沉淀池内，严禁施工废水排入</w:t>
            </w:r>
            <w:r>
              <w:rPr>
                <w:rFonts w:hint="eastAsia" w:cs="Times New Roman"/>
                <w:sz w:val="21"/>
                <w:szCs w:val="21"/>
                <w:lang w:val="en-US" w:eastAsia="zh-CN"/>
              </w:rPr>
              <w:t>梅山水库</w:t>
            </w:r>
            <w:r>
              <w:rPr>
                <w:rFonts w:hint="default" w:ascii="Times New Roman" w:hAnsi="Times New Roman" w:eastAsia="宋体" w:cs="Times New Roman"/>
                <w:sz w:val="21"/>
                <w:szCs w:val="21"/>
                <w:lang w:val="en-US" w:eastAsia="zh-CN"/>
              </w:rPr>
              <w:t>水体，基础浇筑采用商品混凝土。施工场地远离</w:t>
            </w:r>
            <w:r>
              <w:rPr>
                <w:rFonts w:hint="eastAsia" w:cs="Times New Roman"/>
                <w:sz w:val="21"/>
                <w:szCs w:val="21"/>
                <w:lang w:val="en-US" w:eastAsia="zh-CN"/>
              </w:rPr>
              <w:t>梅山水库</w:t>
            </w:r>
            <w:r>
              <w:rPr>
                <w:rFonts w:hint="default" w:ascii="Times New Roman" w:hAnsi="Times New Roman" w:eastAsia="宋体" w:cs="Times New Roman"/>
                <w:sz w:val="21"/>
                <w:szCs w:val="21"/>
                <w:lang w:val="en-US" w:eastAsia="zh-CN"/>
              </w:rPr>
              <w:t>水体，合理选择施工临时道路，优先利用现有道路，在临近水体附近施工时严禁在水体周边设置施工便道。严禁漏油施工车辆和机械进入跨越水体附近，严禁在跨越水体附近清洗施工车辆和机械；杜绝在跨越水体附近施工时随意倾倒废物、排放废污水及乱丢乱弃各类垃圾，不能回填利用的弃渣全部及时清运并进行集中处置。</w:t>
            </w:r>
          </w:p>
        </w:tc>
        <w:tc>
          <w:tcPr>
            <w:tcW w:w="539" w:type="pct"/>
            <w:vAlign w:val="center"/>
          </w:tcPr>
          <w:p w14:paraId="6DD99FC8">
            <w:pPr>
              <w:jc w:val="both"/>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生活污水经化粪池收集后排入厂区生活排水管道，最终排入矿区内地埋式生活污水处理装置（生物接触氧化+砂滤+消毒工艺）收集处理后泵至选矿生产。</w:t>
            </w:r>
            <w:r>
              <w:rPr>
                <w:rFonts w:hint="default" w:ascii="Times New Roman" w:hAnsi="Times New Roman" w:eastAsia="宋体" w:cs="Times New Roman"/>
                <w:sz w:val="21"/>
                <w:szCs w:val="21"/>
                <w:lang w:val="en-US" w:eastAsia="zh-CN"/>
              </w:rPr>
              <w:t>不影响周围水环境。</w:t>
            </w:r>
          </w:p>
        </w:tc>
        <w:tc>
          <w:tcPr>
            <w:tcW w:w="1603" w:type="pct"/>
            <w:vAlign w:val="center"/>
          </w:tcPr>
          <w:p w14:paraId="154FDA25">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变电站内巡检人员产生的</w:t>
            </w:r>
            <w:r>
              <w:rPr>
                <w:rFonts w:hint="eastAsia" w:cs="Times New Roman"/>
                <w:sz w:val="21"/>
                <w:szCs w:val="21"/>
                <w:lang w:val="en-US" w:eastAsia="zh-CN"/>
              </w:rPr>
              <w:t>生活污水经化粪池收集后排入厂区生活排水管道，最终排入矿区内地埋式生活污水处理装置（生物接触氧化+砂滤+消毒工艺）收集处理后泵至选矿生产。</w:t>
            </w:r>
          </w:p>
        </w:tc>
        <w:tc>
          <w:tcPr>
            <w:tcW w:w="705" w:type="pct"/>
            <w:vAlign w:val="center"/>
          </w:tcPr>
          <w:p w14:paraId="08FB025F">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不影响周围水环境。</w:t>
            </w:r>
          </w:p>
        </w:tc>
      </w:tr>
      <w:tr w14:paraId="0E816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79CEA2A1">
            <w:pPr>
              <w:overflowPunct w:val="0"/>
              <w:contextualSpacing/>
              <w:jc w:val="center"/>
              <w:rPr>
                <w:sz w:val="21"/>
                <w:szCs w:val="21"/>
              </w:rPr>
            </w:pPr>
            <w:r>
              <w:rPr>
                <w:sz w:val="21"/>
                <w:szCs w:val="21"/>
              </w:rPr>
              <w:t>地下水及土壤环境</w:t>
            </w:r>
          </w:p>
        </w:tc>
        <w:tc>
          <w:tcPr>
            <w:tcW w:w="1774" w:type="pct"/>
            <w:vAlign w:val="center"/>
          </w:tcPr>
          <w:p w14:paraId="52795F6E">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539" w:type="pct"/>
            <w:vAlign w:val="center"/>
          </w:tcPr>
          <w:p w14:paraId="3531562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1603" w:type="pct"/>
            <w:vAlign w:val="center"/>
          </w:tcPr>
          <w:p w14:paraId="7429CD50">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705" w:type="pct"/>
            <w:vAlign w:val="center"/>
          </w:tcPr>
          <w:p w14:paraId="5D7EAFF1">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r>
      <w:tr w14:paraId="6CC92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5077AA36">
            <w:pPr>
              <w:overflowPunct w:val="0"/>
              <w:contextualSpacing/>
              <w:jc w:val="center"/>
              <w:rPr>
                <w:sz w:val="21"/>
                <w:szCs w:val="21"/>
              </w:rPr>
            </w:pPr>
            <w:r>
              <w:rPr>
                <w:sz w:val="21"/>
                <w:szCs w:val="21"/>
              </w:rPr>
              <w:t>声环境</w:t>
            </w:r>
          </w:p>
        </w:tc>
        <w:tc>
          <w:tcPr>
            <w:tcW w:w="1774" w:type="pct"/>
            <w:vAlign w:val="center"/>
          </w:tcPr>
          <w:p w14:paraId="2780E562">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加强施工管理，文明施工，合理安排施工作业时间；变电站建设时优先建设变电站围墙，高噪声设备施工时应在其周围设置掩蔽物以进行隔声；在施工设备选型时选用符合国家噪声标准的低噪声施工设备，将噪声级较高的设备工作安排在昼间进行，夜间禁止施工。运输车辆应尽量避开噪声敏感区域和噪声敏感时段，禁止鸣笛；加强施工机械和运输车辆的保养，减小机械故障产生的噪声。</w:t>
            </w:r>
            <w:r>
              <w:rPr>
                <w:rFonts w:hint="eastAsia" w:cs="Times New Roman"/>
                <w:sz w:val="21"/>
                <w:szCs w:val="21"/>
                <w:lang w:val="en-US" w:eastAsia="zh-CN"/>
              </w:rPr>
              <w:t>涉及</w:t>
            </w:r>
            <w:r>
              <w:rPr>
                <w:rFonts w:hint="default" w:ascii="Times New Roman" w:hAnsi="Times New Roman" w:eastAsia="宋体" w:cs="Times New Roman"/>
                <w:sz w:val="21"/>
                <w:szCs w:val="21"/>
                <w:lang w:val="en-US" w:eastAsia="zh-CN"/>
              </w:rPr>
              <w:t>产生强噪声的成品、半成品加工、制作作业应尽量放在工厂、车间完成，减少因施工现场加工制作产生的噪声。在距离较近的民房附近施工时，优先采取人力或小型机械施工的方式，减少施工噪声影响，确保声环境保护目标处噪声达标。并及时与周边居民沟通，通过避开居民休息时间等方式降低施工噪声对周边居民的影响。</w:t>
            </w:r>
          </w:p>
        </w:tc>
        <w:tc>
          <w:tcPr>
            <w:tcW w:w="539" w:type="pct"/>
            <w:vAlign w:val="center"/>
          </w:tcPr>
          <w:p w14:paraId="05FCC886">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调查施工期是否有噪声方面投诉，场界噪声达标。</w:t>
            </w:r>
          </w:p>
        </w:tc>
        <w:tc>
          <w:tcPr>
            <w:tcW w:w="1603" w:type="pct"/>
            <w:vAlign w:val="center"/>
          </w:tcPr>
          <w:p w14:paraId="1C682C0A">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选取低噪声主变。架空线路建设时通过选用加工工艺水平高、表面光滑的导线减少电晕放电，并采取提高导线对地高度等措施</w:t>
            </w:r>
            <w:r>
              <w:rPr>
                <w:rFonts w:hint="eastAsia" w:cs="Times New Roman"/>
                <w:sz w:val="21"/>
                <w:szCs w:val="21"/>
                <w:lang w:val="en-US" w:eastAsia="zh-CN"/>
              </w:rPr>
              <w:t>。</w:t>
            </w:r>
          </w:p>
          <w:p w14:paraId="76D47641">
            <w:pPr>
              <w:jc w:val="both"/>
              <w:rPr>
                <w:rFonts w:hint="default" w:ascii="Times New Roman" w:hAnsi="Times New Roman" w:eastAsia="宋体" w:cs="Times New Roman"/>
                <w:sz w:val="21"/>
                <w:szCs w:val="21"/>
                <w:lang w:val="en-US" w:eastAsia="zh-CN"/>
              </w:rPr>
            </w:pPr>
          </w:p>
        </w:tc>
        <w:tc>
          <w:tcPr>
            <w:tcW w:w="705" w:type="pct"/>
            <w:vAlign w:val="center"/>
          </w:tcPr>
          <w:p w14:paraId="6AFDEF52">
            <w:pPr>
              <w:jc w:val="both"/>
              <w:rPr>
                <w:rFonts w:hint="default" w:ascii="Times New Roman" w:hAnsi="Times New Roman" w:eastAsia="宋体" w:cs="Times New Roman"/>
                <w:sz w:val="21"/>
                <w:szCs w:val="21"/>
                <w:lang w:val="en-US" w:eastAsia="zh-CN"/>
              </w:rPr>
            </w:pPr>
            <w:r>
              <w:rPr>
                <w:rFonts w:hint="eastAsia" w:cs="Times New Roman"/>
                <w:sz w:val="21"/>
                <w:szCs w:val="21"/>
                <w:lang w:val="en-US" w:eastAsia="zh-CN"/>
              </w:rPr>
              <w:t>厂界及敏感目标处噪声达标</w:t>
            </w:r>
          </w:p>
        </w:tc>
      </w:tr>
      <w:tr w14:paraId="23C4F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3FFEF7BF">
            <w:pPr>
              <w:overflowPunct w:val="0"/>
              <w:contextualSpacing/>
              <w:jc w:val="center"/>
              <w:rPr>
                <w:sz w:val="21"/>
                <w:szCs w:val="21"/>
              </w:rPr>
            </w:pPr>
            <w:r>
              <w:rPr>
                <w:sz w:val="21"/>
                <w:szCs w:val="21"/>
              </w:rPr>
              <w:t>振动</w:t>
            </w:r>
          </w:p>
        </w:tc>
        <w:tc>
          <w:tcPr>
            <w:tcW w:w="1774" w:type="pct"/>
            <w:vAlign w:val="center"/>
          </w:tcPr>
          <w:p w14:paraId="5437FE8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539" w:type="pct"/>
            <w:vAlign w:val="center"/>
          </w:tcPr>
          <w:p w14:paraId="2EC92392">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1603" w:type="pct"/>
            <w:vAlign w:val="center"/>
          </w:tcPr>
          <w:p w14:paraId="47671EA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705" w:type="pct"/>
            <w:vAlign w:val="center"/>
          </w:tcPr>
          <w:p w14:paraId="4335551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r>
      <w:tr w14:paraId="10E0C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03C67E86">
            <w:pPr>
              <w:overflowPunct w:val="0"/>
              <w:contextualSpacing/>
              <w:jc w:val="center"/>
              <w:rPr>
                <w:sz w:val="21"/>
                <w:szCs w:val="21"/>
              </w:rPr>
            </w:pPr>
            <w:r>
              <w:rPr>
                <w:sz w:val="21"/>
                <w:szCs w:val="21"/>
              </w:rPr>
              <w:t>大气环境</w:t>
            </w:r>
          </w:p>
        </w:tc>
        <w:tc>
          <w:tcPr>
            <w:tcW w:w="1774" w:type="pct"/>
            <w:vAlign w:val="center"/>
          </w:tcPr>
          <w:p w14:paraId="2B32DDBF">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（1）施工场地内作业区材料堆场地面应当进行硬化等防尘处理，并定期洒水。</w:t>
            </w:r>
          </w:p>
          <w:p w14:paraId="19044FF4">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（2）气象预报风力达到5级以上的天气，不得进行土方挖填和转运或者其他建（构）筑物拆除等作业。</w:t>
            </w:r>
          </w:p>
          <w:p w14:paraId="2500F65A">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（3）开挖出的基础等建（构）筑材料及垃圾，应及时妥善处理，禁止随意丢弃；建筑垃圾等无法在48小时内清运完毕的，应当在施工工地内设置临时堆放场；临时堆放场应当采取围挡、遮盖等防尘措施。</w:t>
            </w:r>
          </w:p>
          <w:p w14:paraId="12D674DD">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（4）运输车辆应当在除泥、冲洗干净后方可驶出作业场所，不得使用空气压缩机等易产生扬尘污染的设备清理车辆、设备和物料的尘埃；有条件的，可以设置冲洗槽、排水沟、沉淀池等设施。</w:t>
            </w:r>
          </w:p>
          <w:p w14:paraId="76BA7D10">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项目基础均采用商品混凝土，不在现场进行拌合作业。施工现场总平面布置时应充分考虑扬尘污染防治需要。四周设置不低于2.5m高围挡。施工现场车辆出入口应按有关规定设置车辆冲洗设施，包括冲洗平台、冲洗设备、排水沟、沉淀池等，可收集洗车过程中产生的废水和泥浆。冲洗设施宜采用自动冲洗平台及设立循环用水装置。施工现场场地硬化、绿化处理应符合以下要求：施工车辆出入口地面、场内运输通道、临时地面必须进行硬化抑尘处理；其他一般道路、材料堆场宜采用可重复利用的预制块材铺装，也可采用碎石铺装；施工场地其余裸露场地应视情况采取覆盖、植被、洒水或固化等抑尘措施。</w:t>
            </w:r>
          </w:p>
          <w:p w14:paraId="6D6D09AA">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（6）堆放水泥或者其他易飞扬的细颗粒建筑材料，应当密闭存放或者采取覆盖等措施。</w:t>
            </w:r>
          </w:p>
          <w:p w14:paraId="3CC781D5">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（7）建（构）筑物内施工材料及垃圾清运，应当采用容器或者管道运输，禁止凌空</w:t>
            </w:r>
            <w:r>
              <w:rPr>
                <w:rFonts w:hint="eastAsia" w:cs="Times New Roman"/>
                <w:sz w:val="21"/>
                <w:szCs w:val="21"/>
                <w:lang w:val="en-US" w:eastAsia="zh-CN"/>
              </w:rPr>
              <w:t>抛洒</w:t>
            </w:r>
            <w:r>
              <w:rPr>
                <w:rFonts w:hint="eastAsia" w:ascii="Times New Roman" w:hAnsi="Times New Roman" w:eastAsia="宋体" w:cs="Times New Roman"/>
                <w:sz w:val="21"/>
                <w:szCs w:val="21"/>
                <w:lang w:val="en-US" w:eastAsia="zh-CN"/>
              </w:rPr>
              <w:t>。运输过程中的土石方等应采用密闭式防尘布（网）进行苫盖。</w:t>
            </w:r>
          </w:p>
          <w:p w14:paraId="257B0EB3">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（8）施工现场禁止将包装物、可燃垃圾等固体废弃物就地焚烧。</w:t>
            </w:r>
          </w:p>
          <w:p w14:paraId="4D11743C">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（9）加强运输车辆的管理，对进出场地的车辆进行限速。</w:t>
            </w:r>
          </w:p>
          <w:p w14:paraId="505ACCD3">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（10）施工现场应结合季节特点、不同施工阶段实际情况等，贯彻落实施工扬尘污染防治技术措施或专项方案，并进行动态调整。</w:t>
            </w:r>
          </w:p>
          <w:p w14:paraId="77EB7C42">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（11）施工现场可采取淋湿地面、设置高压喷雾水系统、搭设防尘排栅等综合降尘措施。</w:t>
            </w:r>
          </w:p>
          <w:p w14:paraId="4994E4C5">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加强建筑施工工地监管，严格落实“七个百分之百”扬尘防治要求，即建筑施工现场100%围挡，工地裸土100%覆盖，工地主要路面100%硬化，拆除工程100%洒水抑尘，出工地车辆100%冲净无撒漏，扬尘监督牌100%设置、一定规模的施工工地扬尘监控系统安装率以及PM2.5、PM10在线监测仪安装率均达100%。</w:t>
            </w:r>
          </w:p>
        </w:tc>
        <w:tc>
          <w:tcPr>
            <w:tcW w:w="539" w:type="pct"/>
            <w:vAlign w:val="center"/>
          </w:tcPr>
          <w:p w14:paraId="791E9EFF">
            <w:pPr>
              <w:jc w:val="both"/>
              <w:rPr>
                <w:rFonts w:hint="default" w:ascii="Times New Roman" w:hAnsi="Times New Roman" w:eastAsia="宋体" w:cs="Times New Roman"/>
                <w:sz w:val="21"/>
                <w:szCs w:val="21"/>
                <w:lang w:val="en-US" w:eastAsia="zh-CN"/>
              </w:rPr>
            </w:pPr>
            <w:r>
              <w:rPr>
                <w:rFonts w:hint="eastAsia" w:cs="Times New Roman"/>
                <w:sz w:val="21"/>
                <w:szCs w:val="21"/>
                <w:lang w:val="en-US" w:eastAsia="zh-CN"/>
              </w:rPr>
              <w:t>施工期需采取围挡、遮盖、洒水等措施</w:t>
            </w:r>
            <w:r>
              <w:rPr>
                <w:rFonts w:hint="default" w:ascii="Times New Roman" w:hAnsi="Times New Roman" w:eastAsia="宋体" w:cs="Times New Roman"/>
                <w:sz w:val="21"/>
                <w:szCs w:val="21"/>
                <w:lang w:val="en-US" w:eastAsia="zh-CN"/>
              </w:rPr>
              <w:t>有效抑制扬尘</w:t>
            </w:r>
            <w:r>
              <w:rPr>
                <w:rFonts w:hint="eastAsia" w:cs="Times New Roman"/>
                <w:sz w:val="21"/>
                <w:szCs w:val="21"/>
                <w:lang w:val="en-US" w:eastAsia="zh-CN"/>
              </w:rPr>
              <w:t>。</w:t>
            </w:r>
          </w:p>
        </w:tc>
        <w:tc>
          <w:tcPr>
            <w:tcW w:w="1603" w:type="pct"/>
            <w:vAlign w:val="center"/>
          </w:tcPr>
          <w:p w14:paraId="637F43AC">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705" w:type="pct"/>
            <w:vAlign w:val="center"/>
          </w:tcPr>
          <w:p w14:paraId="4A045FCC">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14:paraId="32910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30381C54">
            <w:pPr>
              <w:overflowPunct w:val="0"/>
              <w:contextualSpacing/>
              <w:jc w:val="center"/>
              <w:rPr>
                <w:sz w:val="21"/>
                <w:szCs w:val="21"/>
              </w:rPr>
            </w:pPr>
            <w:r>
              <w:rPr>
                <w:sz w:val="21"/>
                <w:szCs w:val="21"/>
              </w:rPr>
              <w:t>固体废物</w:t>
            </w:r>
          </w:p>
        </w:tc>
        <w:tc>
          <w:tcPr>
            <w:tcW w:w="1774" w:type="pct"/>
            <w:vAlign w:val="center"/>
          </w:tcPr>
          <w:p w14:paraId="1C27F28F">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（1）变电站及输电线路施工人员产生的生活垃圾集中收集、集中处理后纳入当地垃圾处理系统，不得随意外排或丢弃。</w:t>
            </w:r>
          </w:p>
          <w:p w14:paraId="43159070">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（2）施工过程中产生的施工废物料应分类集中堆放，尽可能回收利用，不能回收利用的及时清运交由相关部门进行处理。</w:t>
            </w:r>
          </w:p>
          <w:p w14:paraId="4984AF52">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（3）架空线路基础开挖产生的余土分别在各占地范围内就地回填压实、综合利用；施工剥离表土按规范要求集中堆放，施工完毕后用于复垦或植被恢复。</w:t>
            </w:r>
          </w:p>
          <w:p w14:paraId="0237E266">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（4）变电站站址需回填的土方，应按照《生产建设项目水土保持方案管理办法》的有关规定，签订购土协议，运输过</w:t>
            </w:r>
            <w:r>
              <w:rPr>
                <w:rFonts w:hint="eastAsia" w:cs="Times New Roman"/>
                <w:sz w:val="21"/>
                <w:szCs w:val="21"/>
                <w:lang w:val="en-US" w:eastAsia="zh-CN"/>
              </w:rPr>
              <w:t>程中</w:t>
            </w:r>
            <w:r>
              <w:rPr>
                <w:rFonts w:hint="eastAsia" w:ascii="Times New Roman" w:hAnsi="Times New Roman" w:eastAsia="宋体" w:cs="Times New Roman"/>
                <w:sz w:val="21"/>
                <w:szCs w:val="21"/>
                <w:lang w:val="en-US" w:eastAsia="zh-CN"/>
              </w:rPr>
              <w:t>严格采取密闭运输，防止沿途遗</w:t>
            </w:r>
            <w:r>
              <w:rPr>
                <w:rFonts w:hint="eastAsia" w:cs="Times New Roman"/>
                <w:sz w:val="21"/>
                <w:szCs w:val="21"/>
                <w:lang w:val="en-US" w:eastAsia="zh-CN"/>
              </w:rPr>
              <w:t>撒</w:t>
            </w:r>
            <w:r>
              <w:rPr>
                <w:rFonts w:hint="eastAsia" w:ascii="Times New Roman" w:hAnsi="Times New Roman" w:eastAsia="宋体" w:cs="Times New Roman"/>
                <w:sz w:val="21"/>
                <w:szCs w:val="21"/>
                <w:lang w:val="en-US" w:eastAsia="zh-CN"/>
              </w:rPr>
              <w:t>。</w:t>
            </w:r>
          </w:p>
          <w:p w14:paraId="17FF206A">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（5）变电站开挖产生的外弃土方不可随意丢弃，按照《生产建设项目水土保持方案管理办法》的有关规定，用于城市综合利用，土石方运输应委托有运输处置资质的单位外运。</w:t>
            </w:r>
          </w:p>
        </w:tc>
        <w:tc>
          <w:tcPr>
            <w:tcW w:w="539" w:type="pct"/>
            <w:vAlign w:val="center"/>
          </w:tcPr>
          <w:p w14:paraId="588108D0">
            <w:pPr>
              <w:jc w:val="both"/>
              <w:rPr>
                <w:rFonts w:hint="default" w:ascii="Times New Roman" w:hAnsi="Times New Roman" w:eastAsia="宋体" w:cs="Times New Roman"/>
                <w:sz w:val="21"/>
                <w:szCs w:val="21"/>
                <w:lang w:val="en-US" w:eastAsia="zh-CN"/>
              </w:rPr>
            </w:pPr>
            <w:r>
              <w:rPr>
                <w:rFonts w:hint="eastAsia" w:cs="Times New Roman"/>
                <w:sz w:val="21"/>
                <w:szCs w:val="21"/>
                <w:lang w:val="en-US" w:eastAsia="zh-CN"/>
              </w:rPr>
              <w:t>事故油池满足设计要求；</w:t>
            </w:r>
            <w:r>
              <w:rPr>
                <w:rFonts w:hint="default" w:ascii="Times New Roman" w:hAnsi="Times New Roman" w:eastAsia="宋体" w:cs="Times New Roman"/>
                <w:sz w:val="21"/>
                <w:szCs w:val="21"/>
              </w:rPr>
              <w:t>固体废物按要求处理处置</w:t>
            </w:r>
          </w:p>
        </w:tc>
        <w:tc>
          <w:tcPr>
            <w:tcW w:w="1603" w:type="pct"/>
            <w:shd w:val="clear" w:color="auto" w:fill="auto"/>
            <w:vAlign w:val="center"/>
          </w:tcPr>
          <w:p w14:paraId="27976E9D">
            <w:pPr>
              <w:jc w:val="both"/>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生活垃圾定期清运，变电站内废铅酸蓄电池由电池厂家更换后带走，废变压器油、维护检修废物等危险废物由维修厂家带走，厂内不暂存和处置危险废物。</w:t>
            </w:r>
          </w:p>
        </w:tc>
        <w:tc>
          <w:tcPr>
            <w:tcW w:w="705" w:type="pct"/>
            <w:shd w:val="clear" w:color="auto" w:fill="auto"/>
            <w:vAlign w:val="center"/>
          </w:tcPr>
          <w:p w14:paraId="0494E713">
            <w:pPr>
              <w:jc w:val="both"/>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固体废物按要求处理处置，不产生二次污染</w:t>
            </w:r>
            <w:r>
              <w:rPr>
                <w:rFonts w:hint="eastAsia" w:ascii="Times New Roman" w:hAnsi="Times New Roman" w:eastAsia="宋体" w:cs="Times New Roman"/>
                <w:sz w:val="21"/>
                <w:szCs w:val="21"/>
                <w:lang w:eastAsia="zh-CN"/>
              </w:rPr>
              <w:t>。</w:t>
            </w:r>
          </w:p>
        </w:tc>
      </w:tr>
      <w:tr w14:paraId="41021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2" w:hRule="atLeast"/>
          <w:jc w:val="center"/>
        </w:trPr>
        <w:tc>
          <w:tcPr>
            <w:tcW w:w="377" w:type="pct"/>
            <w:vAlign w:val="center"/>
          </w:tcPr>
          <w:p w14:paraId="7B26EAAC">
            <w:pPr>
              <w:overflowPunct w:val="0"/>
              <w:contextualSpacing/>
              <w:jc w:val="center"/>
              <w:rPr>
                <w:sz w:val="21"/>
                <w:szCs w:val="21"/>
              </w:rPr>
            </w:pPr>
            <w:r>
              <w:rPr>
                <w:sz w:val="21"/>
                <w:szCs w:val="21"/>
              </w:rPr>
              <w:t>电磁环境</w:t>
            </w:r>
          </w:p>
        </w:tc>
        <w:tc>
          <w:tcPr>
            <w:tcW w:w="1774" w:type="pct"/>
            <w:vAlign w:val="center"/>
          </w:tcPr>
          <w:p w14:paraId="55E275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539" w:type="pct"/>
            <w:vAlign w:val="center"/>
          </w:tcPr>
          <w:p w14:paraId="7C0D13BA">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1603" w:type="pct"/>
            <w:vAlign w:val="center"/>
          </w:tcPr>
          <w:p w14:paraId="05A309FF">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对变电站的电气设备进行合理布局，保证导体和电气设备安全距离，选用具有抗干扰能力的设备。架空线路建设时线路采用提高导线对地高度、优化导线相间距离以及导线布置方式，以降低输电线路对周围电磁环境的影响。确保线路周围的工频电场、工频磁场满足相应的限值要求。</w:t>
            </w:r>
          </w:p>
        </w:tc>
        <w:tc>
          <w:tcPr>
            <w:tcW w:w="705" w:type="pct"/>
            <w:vAlign w:val="center"/>
          </w:tcPr>
          <w:p w14:paraId="62F24941">
            <w:pPr>
              <w:jc w:val="both"/>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《电磁环境控制限值》（GB8702-2014）表1中频率为50Hz所对应的公众</w:t>
            </w:r>
            <w:r>
              <w:rPr>
                <w:rFonts w:hint="eastAsia" w:cs="Times New Roman"/>
                <w:sz w:val="21"/>
                <w:szCs w:val="21"/>
                <w:lang w:eastAsia="zh-CN"/>
              </w:rPr>
              <w:t>暴露</w:t>
            </w:r>
            <w:r>
              <w:rPr>
                <w:rFonts w:hint="default" w:ascii="Times New Roman" w:hAnsi="Times New Roman" w:eastAsia="宋体" w:cs="Times New Roman"/>
                <w:sz w:val="21"/>
                <w:szCs w:val="21"/>
              </w:rPr>
              <w:t>区（</w:t>
            </w:r>
            <w:r>
              <w:rPr>
                <w:rFonts w:hint="eastAsia" w:cs="Times New Roman"/>
                <w:sz w:val="21"/>
                <w:szCs w:val="21"/>
                <w:lang w:eastAsia="zh-CN"/>
              </w:rPr>
              <w:t>即</w:t>
            </w:r>
            <w:r>
              <w:rPr>
                <w:rFonts w:hint="default" w:ascii="Times New Roman" w:hAnsi="Times New Roman" w:eastAsia="宋体" w:cs="Times New Roman"/>
                <w:sz w:val="21"/>
                <w:szCs w:val="21"/>
              </w:rPr>
              <w:t>住宅、学校、医院、办公楼、工厂等有公众居住、工作或学习的建筑物）工频电场强度控制限值为4000V/m，磁感应强度控制限值为100μT</w:t>
            </w:r>
            <w:r>
              <w:rPr>
                <w:rFonts w:hint="eastAsia" w:cs="Times New Roman"/>
                <w:sz w:val="21"/>
                <w:szCs w:val="21"/>
                <w:lang w:eastAsia="zh-CN"/>
              </w:rPr>
              <w:t>。</w:t>
            </w:r>
          </w:p>
        </w:tc>
      </w:tr>
      <w:tr w14:paraId="7AAD1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3F87C6CC">
            <w:pPr>
              <w:overflowPunct w:val="0"/>
              <w:contextualSpacing/>
              <w:jc w:val="center"/>
              <w:rPr>
                <w:sz w:val="21"/>
                <w:szCs w:val="21"/>
              </w:rPr>
            </w:pPr>
            <w:r>
              <w:rPr>
                <w:sz w:val="21"/>
                <w:szCs w:val="21"/>
              </w:rPr>
              <w:t>环境风险</w:t>
            </w:r>
          </w:p>
        </w:tc>
        <w:tc>
          <w:tcPr>
            <w:tcW w:w="1774" w:type="pct"/>
            <w:vAlign w:val="center"/>
          </w:tcPr>
          <w:p w14:paraId="042C6938">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539" w:type="pct"/>
            <w:vAlign w:val="center"/>
          </w:tcPr>
          <w:p w14:paraId="4935C5B7">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w:t>
            </w:r>
          </w:p>
        </w:tc>
        <w:tc>
          <w:tcPr>
            <w:tcW w:w="1603" w:type="pct"/>
            <w:vAlign w:val="center"/>
          </w:tcPr>
          <w:p w14:paraId="3FE6A8C0">
            <w:pPr>
              <w:jc w:val="both"/>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①落实总图布置和建筑安全防范措施；②落实工艺技术装备和自动控制设计安全防范措施；③落实火灾应急措施、中毒应急措施和</w:t>
            </w:r>
            <w:r>
              <w:rPr>
                <w:rFonts w:hint="eastAsia" w:cs="Times New Roman"/>
                <w:sz w:val="21"/>
                <w:szCs w:val="21"/>
                <w:lang w:eastAsia="zh-CN"/>
              </w:rPr>
              <w:t>泄漏</w:t>
            </w:r>
            <w:r>
              <w:rPr>
                <w:rFonts w:hint="default" w:ascii="Times New Roman" w:hAnsi="Times New Roman" w:eastAsia="宋体" w:cs="Times New Roman"/>
                <w:sz w:val="21"/>
                <w:szCs w:val="21"/>
              </w:rPr>
              <w:t>应急措施；④设置收集装置和消防设施；⑤认真贯彻落实有关法规，不断完善企业管理制度，切实加强安全管理宣传、教育和培训工作，</w:t>
            </w:r>
            <w:r>
              <w:rPr>
                <w:rFonts w:hint="eastAsia" w:cs="Times New Roman"/>
                <w:sz w:val="21"/>
                <w:szCs w:val="21"/>
                <w:lang w:eastAsia="zh-CN"/>
              </w:rPr>
              <w:t>增强</w:t>
            </w:r>
            <w:r>
              <w:rPr>
                <w:rFonts w:hint="default" w:ascii="Times New Roman" w:hAnsi="Times New Roman" w:eastAsia="宋体" w:cs="Times New Roman"/>
                <w:sz w:val="21"/>
                <w:szCs w:val="21"/>
              </w:rPr>
              <w:t>安全防范风险的意识，完善处置事故队伍，建立安全生产机构，严格按安全操作规程进行操作，尽量杜绝事故</w:t>
            </w:r>
            <w:r>
              <w:rPr>
                <w:rFonts w:hint="eastAsia" w:cs="Times New Roman"/>
                <w:sz w:val="21"/>
                <w:szCs w:val="21"/>
                <w:lang w:eastAsia="zh-CN"/>
              </w:rPr>
              <w:t>发生</w:t>
            </w:r>
            <w:r>
              <w:rPr>
                <w:rFonts w:hint="default" w:ascii="Times New Roman" w:hAnsi="Times New Roman" w:eastAsia="宋体" w:cs="Times New Roman"/>
                <w:sz w:val="21"/>
                <w:szCs w:val="21"/>
              </w:rPr>
              <w:t>，设置合理可行的技术措施，制定严格的操作规程；⑥设置</w:t>
            </w:r>
            <w:r>
              <w:rPr>
                <w:rFonts w:hint="eastAsia" w:cs="Times New Roman"/>
                <w:sz w:val="21"/>
                <w:szCs w:val="21"/>
                <w:lang w:val="en-US" w:eastAsia="zh-CN"/>
              </w:rPr>
              <w:t>事故油池</w:t>
            </w:r>
            <w:r>
              <w:rPr>
                <w:rFonts w:hint="default" w:ascii="Times New Roman" w:hAnsi="Times New Roman" w:eastAsia="宋体" w:cs="Times New Roman"/>
                <w:sz w:val="21"/>
                <w:szCs w:val="21"/>
              </w:rPr>
              <w:t>（</w:t>
            </w:r>
            <w:r>
              <w:rPr>
                <w:rFonts w:hint="eastAsia" w:cs="Times New Roman"/>
                <w:sz w:val="21"/>
                <w:szCs w:val="21"/>
                <w:lang w:val="en-US" w:eastAsia="zh-CN"/>
              </w:rPr>
              <w:t>34</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r>
              <w:rPr>
                <w:rFonts w:hint="eastAsia" w:cs="Times New Roman"/>
                <w:sz w:val="21"/>
                <w:szCs w:val="21"/>
                <w:lang w:eastAsia="zh-CN"/>
              </w:rPr>
              <w:t>。</w:t>
            </w:r>
          </w:p>
        </w:tc>
        <w:tc>
          <w:tcPr>
            <w:tcW w:w="705" w:type="pct"/>
            <w:vAlign w:val="center"/>
          </w:tcPr>
          <w:p w14:paraId="6B83B3E6">
            <w:pPr>
              <w:jc w:val="both"/>
              <w:rPr>
                <w:rFonts w:hint="default" w:ascii="Times New Roman" w:hAnsi="Times New Roman" w:eastAsia="宋体" w:cs="Times New Roman"/>
                <w:sz w:val="21"/>
                <w:szCs w:val="21"/>
                <w:lang w:val="en-US" w:eastAsia="zh-CN"/>
              </w:rPr>
            </w:pPr>
            <w:r>
              <w:rPr>
                <w:rFonts w:hint="eastAsia" w:cs="Times New Roman"/>
                <w:sz w:val="21"/>
                <w:szCs w:val="21"/>
                <w:lang w:val="en-US" w:eastAsia="zh-CN"/>
              </w:rPr>
              <w:t>事故油池</w:t>
            </w:r>
            <w:r>
              <w:rPr>
                <w:rFonts w:hint="default" w:ascii="Times New Roman" w:hAnsi="Times New Roman" w:eastAsia="宋体" w:cs="Times New Roman"/>
                <w:sz w:val="21"/>
                <w:szCs w:val="21"/>
              </w:rPr>
              <w:t>设防渗措施，容量满足相应要求，环境风险可控。</w:t>
            </w:r>
          </w:p>
        </w:tc>
      </w:tr>
      <w:tr w14:paraId="6F923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43A04684">
            <w:pPr>
              <w:overflowPunct w:val="0"/>
              <w:contextualSpacing/>
              <w:jc w:val="center"/>
              <w:rPr>
                <w:sz w:val="21"/>
                <w:szCs w:val="21"/>
              </w:rPr>
            </w:pPr>
            <w:r>
              <w:rPr>
                <w:sz w:val="21"/>
                <w:szCs w:val="21"/>
              </w:rPr>
              <w:t>环境监测</w:t>
            </w:r>
          </w:p>
        </w:tc>
        <w:tc>
          <w:tcPr>
            <w:tcW w:w="1774" w:type="pct"/>
            <w:vAlign w:val="center"/>
          </w:tcPr>
          <w:p w14:paraId="487ED3D9">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施工期如有群众对施工噪声投诉，需由建设单位委托第三方开展施工期噪声监测</w:t>
            </w:r>
          </w:p>
        </w:tc>
        <w:tc>
          <w:tcPr>
            <w:tcW w:w="539" w:type="pct"/>
            <w:vAlign w:val="center"/>
          </w:tcPr>
          <w:p w14:paraId="7252CA2F">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确保噪声等符合国家标准要求，并及时解决公众合理的环境保护诉求。</w:t>
            </w:r>
          </w:p>
        </w:tc>
        <w:tc>
          <w:tcPr>
            <w:tcW w:w="1603" w:type="pct"/>
            <w:vAlign w:val="center"/>
          </w:tcPr>
          <w:p w14:paraId="2195822A">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按照监测计划开展。</w:t>
            </w:r>
          </w:p>
        </w:tc>
        <w:tc>
          <w:tcPr>
            <w:tcW w:w="705" w:type="pct"/>
            <w:vAlign w:val="center"/>
          </w:tcPr>
          <w:p w14:paraId="61E98201">
            <w:pPr>
              <w:jc w:val="both"/>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确保电磁、噪声等符合国家标准要求，并及时解决公众合理的环境保护诉求。</w:t>
            </w:r>
          </w:p>
        </w:tc>
      </w:tr>
      <w:tr w14:paraId="30FA4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377" w:type="pct"/>
            <w:vAlign w:val="center"/>
          </w:tcPr>
          <w:p w14:paraId="3C291907">
            <w:pPr>
              <w:overflowPunct w:val="0"/>
              <w:contextualSpacing/>
              <w:jc w:val="center"/>
              <w:rPr>
                <w:sz w:val="21"/>
                <w:szCs w:val="21"/>
              </w:rPr>
            </w:pPr>
            <w:r>
              <w:rPr>
                <w:sz w:val="21"/>
                <w:szCs w:val="21"/>
              </w:rPr>
              <w:t>其他</w:t>
            </w:r>
          </w:p>
        </w:tc>
        <w:tc>
          <w:tcPr>
            <w:tcW w:w="1774" w:type="pct"/>
            <w:vAlign w:val="center"/>
          </w:tcPr>
          <w:p w14:paraId="7421B0F9">
            <w:pPr>
              <w:overflowPunct w:val="0"/>
              <w:contextualSpacing/>
              <w:jc w:val="center"/>
              <w:rPr>
                <w:sz w:val="21"/>
                <w:szCs w:val="21"/>
              </w:rPr>
            </w:pPr>
            <w:r>
              <w:rPr>
                <w:rFonts w:hint="default" w:ascii="Times New Roman" w:hAnsi="Times New Roman" w:eastAsia="宋体" w:cs="Times New Roman"/>
                <w:sz w:val="21"/>
                <w:szCs w:val="21"/>
              </w:rPr>
              <w:t>/</w:t>
            </w:r>
          </w:p>
        </w:tc>
        <w:tc>
          <w:tcPr>
            <w:tcW w:w="539" w:type="pct"/>
            <w:vAlign w:val="center"/>
          </w:tcPr>
          <w:p w14:paraId="26361FC9">
            <w:pPr>
              <w:overflowPunct w:val="0"/>
              <w:contextualSpacing/>
              <w:jc w:val="center"/>
              <w:rPr>
                <w:sz w:val="21"/>
                <w:szCs w:val="21"/>
              </w:rPr>
            </w:pPr>
            <w:r>
              <w:rPr>
                <w:rFonts w:hint="default" w:ascii="Times New Roman" w:hAnsi="Times New Roman" w:eastAsia="宋体" w:cs="Times New Roman"/>
                <w:sz w:val="21"/>
                <w:szCs w:val="21"/>
              </w:rPr>
              <w:t>/</w:t>
            </w:r>
          </w:p>
        </w:tc>
        <w:tc>
          <w:tcPr>
            <w:tcW w:w="1603" w:type="pct"/>
            <w:vAlign w:val="center"/>
          </w:tcPr>
          <w:p w14:paraId="0E884DEA">
            <w:pPr>
              <w:overflowPunct w:val="0"/>
              <w:contextualSpacing/>
              <w:jc w:val="center"/>
              <w:rPr>
                <w:sz w:val="21"/>
                <w:szCs w:val="21"/>
              </w:rPr>
            </w:pPr>
            <w:r>
              <w:rPr>
                <w:rFonts w:hint="default" w:ascii="Times New Roman" w:hAnsi="Times New Roman" w:eastAsia="宋体" w:cs="Times New Roman"/>
                <w:sz w:val="21"/>
                <w:szCs w:val="21"/>
              </w:rPr>
              <w:t>/</w:t>
            </w:r>
          </w:p>
        </w:tc>
        <w:tc>
          <w:tcPr>
            <w:tcW w:w="705" w:type="pct"/>
            <w:vAlign w:val="center"/>
          </w:tcPr>
          <w:p w14:paraId="5CFDA2CB">
            <w:pPr>
              <w:overflowPunct w:val="0"/>
              <w:contextualSpacing/>
              <w:jc w:val="center"/>
              <w:rPr>
                <w:sz w:val="21"/>
                <w:szCs w:val="21"/>
              </w:rPr>
            </w:pPr>
            <w:r>
              <w:rPr>
                <w:rFonts w:hint="default" w:ascii="Times New Roman" w:hAnsi="Times New Roman" w:eastAsia="宋体" w:cs="Times New Roman"/>
                <w:sz w:val="21"/>
                <w:szCs w:val="21"/>
              </w:rPr>
              <w:t>/</w:t>
            </w:r>
          </w:p>
        </w:tc>
      </w:tr>
    </w:tbl>
    <w:p w14:paraId="47091AD8">
      <w:pPr>
        <w:spacing w:line="100" w:lineRule="exact"/>
        <w:jc w:val="left"/>
        <w:sectPr>
          <w:pgSz w:w="16838" w:h="11906" w:orient="landscape"/>
          <w:pgMar w:top="1440" w:right="1134" w:bottom="1440" w:left="1134" w:header="851" w:footer="992" w:gutter="0"/>
          <w:pgNumType w:fmt="decimal"/>
          <w:cols w:space="720" w:num="1"/>
          <w:docGrid w:linePitch="312" w:charSpace="0"/>
        </w:sectPr>
      </w:pPr>
      <w:r>
        <w:br w:type="page"/>
      </w:r>
    </w:p>
    <w:bookmarkEnd w:id="50"/>
    <w:bookmarkEnd w:id="112"/>
    <w:p w14:paraId="6E3748BC">
      <w:pPr>
        <w:pStyle w:val="107"/>
        <w:jc w:val="center"/>
        <w:rPr>
          <w:rFonts w:eastAsia="宋体"/>
        </w:rPr>
      </w:pPr>
      <w:bookmarkStart w:id="132" w:name="_Toc73547126"/>
      <w:bookmarkStart w:id="133" w:name="_Toc101454273"/>
      <w:bookmarkStart w:id="134" w:name="_Toc8086"/>
      <w:bookmarkStart w:id="135" w:name="_Toc9179"/>
      <w:bookmarkStart w:id="136" w:name="_Toc85013640"/>
      <w:bookmarkStart w:id="137" w:name="_Toc8366"/>
      <w:bookmarkStart w:id="138" w:name="_Toc77769261"/>
      <w:bookmarkStart w:id="139" w:name="_Toc18290"/>
      <w:bookmarkStart w:id="140" w:name="_Toc79511878"/>
      <w:bookmarkStart w:id="141" w:name="_Toc68622119"/>
      <w:bookmarkStart w:id="142" w:name="_Toc108987313"/>
      <w:r>
        <w:rPr>
          <w:rFonts w:eastAsia="宋体"/>
        </w:rPr>
        <w:t>七、结论</w:t>
      </w:r>
      <w:bookmarkEnd w:id="51"/>
      <w:bookmarkEnd w:id="132"/>
      <w:bookmarkEnd w:id="133"/>
      <w:bookmarkEnd w:id="134"/>
      <w:bookmarkEnd w:id="135"/>
      <w:bookmarkEnd w:id="136"/>
      <w:bookmarkEnd w:id="137"/>
      <w:bookmarkEnd w:id="138"/>
      <w:bookmarkEnd w:id="139"/>
      <w:bookmarkEnd w:id="140"/>
      <w:bookmarkEnd w:id="141"/>
      <w:bookmarkEnd w:id="142"/>
    </w:p>
    <w:tbl>
      <w:tblPr>
        <w:tblStyle w:val="37"/>
        <w:tblW w:w="5389" w:type="pct"/>
        <w:jc w:val="center"/>
        <w:tblBorders>
          <w:top w:val="single" w:color="auto" w:sz="6"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9521"/>
      </w:tblGrid>
      <w:tr w14:paraId="166A1161">
        <w:tblPrEx>
          <w:tblBorders>
            <w:top w:val="single" w:color="auto" w:sz="6" w:space="0"/>
            <w:left w:val="single" w:color="auto" w:sz="8" w:space="0"/>
            <w:bottom w:val="single" w:color="auto" w:sz="8" w:space="0"/>
            <w:right w:val="single" w:color="auto" w:sz="8" w:space="0"/>
            <w:insideH w:val="none" w:color="auto" w:sz="0" w:space="0"/>
            <w:insideV w:val="none" w:color="auto" w:sz="0" w:space="0"/>
          </w:tblBorders>
          <w:tblCellMar>
            <w:top w:w="0" w:type="dxa"/>
            <w:left w:w="108" w:type="dxa"/>
            <w:bottom w:w="0" w:type="dxa"/>
            <w:right w:w="108" w:type="dxa"/>
          </w:tblCellMar>
        </w:tblPrEx>
        <w:trPr>
          <w:trHeight w:val="13042" w:hRule="atLeast"/>
          <w:jc w:val="center"/>
        </w:trPr>
        <w:tc>
          <w:tcPr>
            <w:tcW w:w="8931" w:type="dxa"/>
          </w:tcPr>
          <w:p w14:paraId="19FB6EC3">
            <w:pPr>
              <w:snapToGrid w:val="0"/>
              <w:spacing w:line="360" w:lineRule="auto"/>
              <w:rPr>
                <w:b/>
                <w:bCs/>
                <w:sz w:val="24"/>
                <w:szCs w:val="24"/>
              </w:rPr>
            </w:pPr>
            <w:r>
              <w:rPr>
                <w:b/>
                <w:bCs/>
                <w:sz w:val="24"/>
                <w:szCs w:val="24"/>
              </w:rPr>
              <w:t>一、结论</w:t>
            </w:r>
          </w:p>
          <w:p w14:paraId="4185E1A7">
            <w:pPr>
              <w:snapToGrid w:val="0"/>
              <w:spacing w:line="360" w:lineRule="auto"/>
              <w:ind w:firstLine="480" w:firstLineChars="200"/>
              <w:rPr>
                <w:sz w:val="24"/>
                <w:szCs w:val="24"/>
              </w:rPr>
            </w:pPr>
            <w:r>
              <w:rPr>
                <w:rFonts w:hint="default"/>
                <w:sz w:val="24"/>
                <w:szCs w:val="24"/>
                <w:lang w:val="en-US" w:eastAsia="zh-CN"/>
              </w:rPr>
              <w:t>安徽金沙钼业有限公司110</w:t>
            </w:r>
            <w:r>
              <w:rPr>
                <w:rFonts w:hint="eastAsia"/>
                <w:sz w:val="24"/>
                <w:szCs w:val="24"/>
                <w:lang w:val="en-US" w:eastAsia="zh-CN"/>
              </w:rPr>
              <w:t>k</w:t>
            </w:r>
            <w:r>
              <w:rPr>
                <w:rFonts w:hint="default"/>
                <w:sz w:val="24"/>
                <w:szCs w:val="24"/>
                <w:lang w:val="en-US" w:eastAsia="zh-CN"/>
              </w:rPr>
              <w:t>V输变电工程</w:t>
            </w:r>
            <w:r>
              <w:rPr>
                <w:rFonts w:hint="eastAsia"/>
                <w:sz w:val="24"/>
                <w:szCs w:val="24"/>
              </w:rPr>
              <w:t>属于</w:t>
            </w:r>
            <w:r>
              <w:rPr>
                <w:rFonts w:ascii="Times New Roman" w:hAnsi="Times New Roman" w:eastAsia="宋体" w:cs="Times New Roman"/>
                <w:color w:val="000000"/>
                <w:kern w:val="0"/>
                <w:sz w:val="24"/>
                <w:szCs w:val="24"/>
                <w:highlight w:val="none"/>
                <w:lang w:val="en-US" w:eastAsia="zh-CN" w:bidi="ar-SA"/>
              </w:rPr>
              <w:t>《产业结构调整指导目录</w:t>
            </w:r>
            <w:r>
              <w:rPr>
                <w:rFonts w:hint="eastAsia" w:ascii="Times New Roman" w:hAnsi="Times New Roman" w:eastAsia="宋体" w:cs="Times New Roman"/>
                <w:color w:val="000000"/>
                <w:kern w:val="0"/>
                <w:sz w:val="24"/>
                <w:szCs w:val="24"/>
                <w:highlight w:val="none"/>
                <w:lang w:val="en-US" w:eastAsia="zh-CN" w:bidi="ar-SA"/>
              </w:rPr>
              <w:t>（</w:t>
            </w:r>
            <w:r>
              <w:rPr>
                <w:rFonts w:ascii="Times New Roman" w:hAnsi="Times New Roman" w:eastAsia="宋体" w:cs="Times New Roman"/>
                <w:color w:val="000000"/>
                <w:kern w:val="0"/>
                <w:sz w:val="24"/>
                <w:szCs w:val="24"/>
                <w:highlight w:val="none"/>
                <w:lang w:val="en-US" w:eastAsia="zh-CN" w:bidi="ar-SA"/>
              </w:rPr>
              <w:t>20</w:t>
            </w:r>
            <w:r>
              <w:rPr>
                <w:rFonts w:hint="eastAsia" w:cs="Times New Roman"/>
                <w:color w:val="000000"/>
                <w:kern w:val="0"/>
                <w:sz w:val="24"/>
                <w:szCs w:val="24"/>
                <w:highlight w:val="none"/>
                <w:lang w:val="en-US" w:eastAsia="zh-CN" w:bidi="ar-SA"/>
              </w:rPr>
              <w:t>24</w:t>
            </w:r>
            <w:r>
              <w:rPr>
                <w:rFonts w:ascii="Times New Roman" w:hAnsi="Times New Roman" w:eastAsia="宋体" w:cs="Times New Roman"/>
                <w:color w:val="000000"/>
                <w:kern w:val="0"/>
                <w:sz w:val="24"/>
                <w:szCs w:val="24"/>
                <w:highlight w:val="none"/>
                <w:lang w:val="en-US" w:eastAsia="zh-CN" w:bidi="ar-SA"/>
              </w:rPr>
              <w:t>年本</w:t>
            </w:r>
            <w:r>
              <w:rPr>
                <w:rFonts w:hint="eastAsia" w:ascii="Times New Roman" w:hAnsi="Times New Roman" w:eastAsia="宋体" w:cs="Times New Roman"/>
                <w:color w:val="000000"/>
                <w:kern w:val="0"/>
                <w:sz w:val="24"/>
                <w:szCs w:val="24"/>
                <w:highlight w:val="none"/>
                <w:lang w:val="en-US" w:eastAsia="zh-CN" w:bidi="ar-SA"/>
              </w:rPr>
              <w:t>）</w:t>
            </w:r>
            <w:r>
              <w:rPr>
                <w:rFonts w:ascii="Times New Roman" w:hAnsi="Times New Roman" w:eastAsia="宋体" w:cs="Times New Roman"/>
                <w:color w:val="000000"/>
                <w:kern w:val="0"/>
                <w:sz w:val="24"/>
                <w:szCs w:val="24"/>
                <w:highlight w:val="none"/>
                <w:lang w:val="en-US" w:eastAsia="zh-CN" w:bidi="ar-SA"/>
              </w:rPr>
              <w:t>》</w:t>
            </w:r>
            <w:r>
              <w:rPr>
                <w:rFonts w:hint="eastAsia"/>
                <w:sz w:val="24"/>
                <w:szCs w:val="24"/>
              </w:rPr>
              <w:t>中的鼓励类</w:t>
            </w:r>
            <w:r>
              <w:rPr>
                <w:rFonts w:hint="eastAsia"/>
                <w:sz w:val="24"/>
                <w:szCs w:val="24"/>
                <w:lang w:val="en-US" w:eastAsia="zh-CN"/>
              </w:rPr>
              <w:t>项目</w:t>
            </w:r>
            <w:r>
              <w:rPr>
                <w:rFonts w:hint="eastAsia"/>
                <w:sz w:val="24"/>
                <w:szCs w:val="24"/>
              </w:rPr>
              <w:t>；项目建设符合国家和地方产业政策，符合当地的环境功能区要求，项目选址具有规划合理性和环境可行性。项目在建设和运营过程中对所在地的水环境、声环境、大气环境、电磁环境和生态环境会产生一定的不利影响，但只要落实报告中提出的各项环境保护措施，可以做到污染物达标排放，环境影响较小</w:t>
            </w:r>
            <w:r>
              <w:rPr>
                <w:sz w:val="24"/>
                <w:szCs w:val="24"/>
              </w:rPr>
              <w:t>。</w:t>
            </w:r>
          </w:p>
          <w:p w14:paraId="2F00A4F4">
            <w:pPr>
              <w:snapToGrid w:val="0"/>
              <w:spacing w:line="360" w:lineRule="auto"/>
              <w:ind w:firstLine="480" w:firstLineChars="200"/>
              <w:rPr>
                <w:sz w:val="24"/>
                <w:szCs w:val="24"/>
              </w:rPr>
            </w:pPr>
            <w:r>
              <w:rPr>
                <w:rFonts w:hint="eastAsia"/>
                <w:sz w:val="24"/>
                <w:szCs w:val="24"/>
                <w:lang w:eastAsia="zh-CN"/>
              </w:rPr>
              <w:t>因此，</w:t>
            </w:r>
            <w:r>
              <w:rPr>
                <w:sz w:val="24"/>
                <w:szCs w:val="24"/>
              </w:rPr>
              <w:t>在</w:t>
            </w:r>
            <w:r>
              <w:rPr>
                <w:rFonts w:hint="eastAsia"/>
                <w:sz w:val="24"/>
                <w:szCs w:val="24"/>
                <w:lang w:eastAsia="zh-CN"/>
              </w:rPr>
              <w:t>本工程</w:t>
            </w:r>
            <w:r>
              <w:rPr>
                <w:sz w:val="24"/>
                <w:szCs w:val="24"/>
              </w:rPr>
              <w:t>进行建设及运营时，只要充分落实本环评中所提出的建议以及各项污染防治对策，从环境影响角度而言，</w:t>
            </w:r>
            <w:r>
              <w:rPr>
                <w:rFonts w:hint="eastAsia"/>
                <w:sz w:val="24"/>
                <w:szCs w:val="24"/>
                <w:lang w:eastAsia="zh-CN"/>
              </w:rPr>
              <w:t>本工程</w:t>
            </w:r>
            <w:r>
              <w:rPr>
                <w:sz w:val="24"/>
                <w:szCs w:val="24"/>
              </w:rPr>
              <w:t>建设可行。</w:t>
            </w:r>
          </w:p>
          <w:p w14:paraId="2A49FE90">
            <w:pPr>
              <w:snapToGrid w:val="0"/>
              <w:spacing w:line="360" w:lineRule="auto"/>
              <w:rPr>
                <w:b/>
                <w:bCs/>
                <w:sz w:val="24"/>
                <w:szCs w:val="24"/>
              </w:rPr>
            </w:pPr>
            <w:r>
              <w:rPr>
                <w:b/>
                <w:bCs/>
                <w:sz w:val="24"/>
                <w:szCs w:val="24"/>
              </w:rPr>
              <w:t>二、建议和要求</w:t>
            </w:r>
          </w:p>
          <w:p w14:paraId="13D88F43">
            <w:pPr>
              <w:snapToGrid w:val="0"/>
              <w:spacing w:line="360" w:lineRule="auto"/>
              <w:ind w:firstLine="480" w:firstLineChars="200"/>
              <w:rPr>
                <w:sz w:val="24"/>
                <w:szCs w:val="24"/>
              </w:rPr>
            </w:pPr>
            <w:r>
              <w:rPr>
                <w:sz w:val="24"/>
                <w:szCs w:val="24"/>
              </w:rPr>
              <w:t>1.建设单位应认真贯彻执行有关建设项目环境保护</w:t>
            </w:r>
            <w:r>
              <w:rPr>
                <w:rFonts w:hint="eastAsia"/>
                <w:sz w:val="24"/>
                <w:szCs w:val="24"/>
                <w:lang w:eastAsia="zh-CN"/>
              </w:rPr>
              <w:t>管理文件</w:t>
            </w:r>
            <w:r>
              <w:rPr>
                <w:sz w:val="24"/>
                <w:szCs w:val="24"/>
              </w:rPr>
              <w:t>精神，建立健全各项环保规章制度，严格执</w:t>
            </w:r>
            <w:r>
              <w:rPr>
                <w:rFonts w:hint="eastAsia" w:ascii="宋体" w:hAnsi="宋体" w:eastAsia="宋体" w:cs="宋体"/>
                <w:sz w:val="24"/>
                <w:szCs w:val="24"/>
              </w:rPr>
              <w:t>行“三同时”</w:t>
            </w:r>
            <w:r>
              <w:rPr>
                <w:sz w:val="24"/>
                <w:szCs w:val="24"/>
              </w:rPr>
              <w:t>制度。</w:t>
            </w:r>
          </w:p>
          <w:p w14:paraId="01F5D417">
            <w:pPr>
              <w:snapToGrid w:val="0"/>
              <w:spacing w:line="360" w:lineRule="auto"/>
              <w:ind w:firstLine="480" w:firstLineChars="200"/>
              <w:rPr>
                <w:sz w:val="24"/>
                <w:szCs w:val="24"/>
              </w:rPr>
            </w:pPr>
            <w:r>
              <w:rPr>
                <w:sz w:val="24"/>
                <w:szCs w:val="24"/>
              </w:rPr>
              <w:t>2.在施工期间加强施工管理，合理安排作业时间，以减轻施工作业噪声对周围环境的影响。</w:t>
            </w:r>
          </w:p>
          <w:p w14:paraId="63384566">
            <w:pPr>
              <w:snapToGrid w:val="0"/>
              <w:spacing w:line="360" w:lineRule="auto"/>
              <w:ind w:firstLine="480" w:firstLineChars="200"/>
              <w:rPr>
                <w:sz w:val="24"/>
                <w:szCs w:val="24"/>
              </w:rPr>
            </w:pPr>
            <w:r>
              <w:rPr>
                <w:sz w:val="24"/>
                <w:szCs w:val="24"/>
              </w:rPr>
              <w:t>3.绿化是保护环境的措施之一，绿化可以调节气候、美化环境、防尘、降噪。绿化应以边角结合部的绿化，采取立体绿化。</w:t>
            </w:r>
          </w:p>
          <w:p w14:paraId="5FBC8E03">
            <w:pPr>
              <w:snapToGrid w:val="0"/>
              <w:spacing w:line="360" w:lineRule="auto"/>
              <w:ind w:firstLine="480" w:firstLineChars="200"/>
              <w:rPr>
                <w:sz w:val="24"/>
                <w:szCs w:val="24"/>
              </w:rPr>
            </w:pPr>
            <w:r>
              <w:rPr>
                <w:sz w:val="24"/>
                <w:szCs w:val="24"/>
              </w:rPr>
              <w:t>4.加强环境管理，保证各项环保投资和措施落实。</w:t>
            </w:r>
          </w:p>
        </w:tc>
      </w:tr>
    </w:tbl>
    <w:p w14:paraId="06C3B9E8"/>
    <w:sectPr>
      <w:headerReference r:id="rId8" w:type="default"/>
      <w:footerReference r:id="rId9" w:type="default"/>
      <w:pgSz w:w="11906" w:h="16838"/>
      <w:pgMar w:top="1440" w:right="1644" w:bottom="1440" w:left="1644" w:header="851" w:footer="992" w:gutter="0"/>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embedRegular r:id="rId1" w:fontKey="{8B413C09-10FB-4E09-BD23-C221350C708D}"/>
  </w:font>
  <w:font w:name="Consolas">
    <w:panose1 w:val="020B0609020204030204"/>
    <w:charset w:val="00"/>
    <w:family w:val="modern"/>
    <w:pitch w:val="default"/>
    <w:sig w:usb0="E00006FF" w:usb1="0000FCFF" w:usb2="00000001" w:usb3="00000000" w:csb0="6000019F" w:csb1="DFD70000"/>
  </w:font>
  <w:font w:name="Arial Black">
    <w:panose1 w:val="020B0A04020102020204"/>
    <w:charset w:val="00"/>
    <w:family w:val="swiss"/>
    <w:pitch w:val="default"/>
    <w:sig w:usb0="A00002AF" w:usb1="400078FB" w:usb2="00000000" w:usb3="00000000" w:csb0="6000009F" w:csb1="DFD70000"/>
  </w:font>
  <w:font w:name="楷体_GB2312">
    <w:panose1 w:val="02010609030101010101"/>
    <w:charset w:val="86"/>
    <w:family w:val="modern"/>
    <w:pitch w:val="default"/>
    <w:sig w:usb0="00000001" w:usb1="080E0000" w:usb2="00000000" w:usb3="00000000" w:csb0="00040000" w:csb1="00000000"/>
    <w:embedRegular r:id="rId2" w:fontKey="{12A18F29-761F-4B09-99A4-C1CD998C4967}"/>
  </w:font>
  <w:font w:name="Sim Sun+ 2">
    <w:altName w:val="黑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ˎ̥">
    <w:altName w:val="Times New Roman"/>
    <w:panose1 w:val="00000000000000000000"/>
    <w:charset w:val="00"/>
    <w:family w:val="auto"/>
    <w:pitch w:val="default"/>
    <w:sig w:usb0="00000000" w:usb1="00000000" w:usb2="00000000" w:usb3="00000000" w:csb0="00040001" w:csb1="00000000"/>
  </w:font>
  <w:font w:name="方正小标宋_GBK">
    <w:panose1 w:val="02000000000000000000"/>
    <w:charset w:val="86"/>
    <w:family w:val="auto"/>
    <w:pitch w:val="default"/>
    <w:sig w:usb0="A00002BF" w:usb1="38CF7CFA" w:usb2="00082016" w:usb3="00000000" w:csb0="00040001" w:csb1="00000000"/>
    <w:embedRegular r:id="rId3" w:fontKey="{B1CA35FB-510C-4054-A11A-DED84FC3C56A}"/>
  </w:font>
  <w:font w:name="仿宋">
    <w:panose1 w:val="02010609060101010101"/>
    <w:charset w:val="86"/>
    <w:family w:val="auto"/>
    <w:pitch w:val="default"/>
    <w:sig w:usb0="800002BF" w:usb1="38CF7CFA" w:usb2="00000016" w:usb3="00000000" w:csb0="00040001" w:csb1="00000000"/>
    <w:embedRegular r:id="rId4" w:fontKey="{3E1BA667-F9BC-451C-8DFB-6607CD586B80}"/>
  </w:font>
  <w:font w:name="Wingdings 2">
    <w:panose1 w:val="05020102010507070707"/>
    <w:charset w:val="02"/>
    <w:family w:val="roman"/>
    <w:pitch w:val="default"/>
    <w:sig w:usb0="00000000" w:usb1="00000000" w:usb2="00000000" w:usb3="00000000" w:csb0="80000000" w:csb1="00000000"/>
    <w:embedRegular r:id="rId5" w:fontKey="{2C3F667B-95B8-4845-95F4-1AA9E21FDF32}"/>
  </w:font>
  <w:font w:name="Segoe UI Symbol">
    <w:panose1 w:val="020B0502040204020203"/>
    <w:charset w:val="00"/>
    <w:family w:val="swiss"/>
    <w:pitch w:val="default"/>
    <w:sig w:usb0="800001E3" w:usb1="1200FFEF" w:usb2="00040000" w:usb3="04000000" w:csb0="00000001" w:csb1="40000000"/>
    <w:embedRegular r:id="rId6" w:fontKey="{CB79EF9B-3CC3-49C4-8C18-AF2146AA0C15}"/>
  </w:font>
  <w:font w:name="MS Gothic">
    <w:panose1 w:val="020B0609070205080204"/>
    <w:charset w:val="80"/>
    <w:family w:val="modern"/>
    <w:pitch w:val="default"/>
    <w:sig w:usb0="E00002FF" w:usb1="6AC7FDFB" w:usb2="08000012" w:usb3="00000000" w:csb0="4002009F" w:csb1="DFD70000"/>
    <w:embedRegular r:id="rId7" w:fontKey="{B8C4B93D-4B63-4BDC-8AC6-812FAB5D6FFC}"/>
  </w:font>
  <w:font w:name="方正仿宋_GB2312">
    <w:panose1 w:val="02000000000000000000"/>
    <w:charset w:val="86"/>
    <w:family w:val="auto"/>
    <w:pitch w:val="default"/>
    <w:sig w:usb0="A00002BF" w:usb1="184F6CFA" w:usb2="00000012" w:usb3="00000000" w:csb0="00040001" w:csb1="00000000"/>
    <w:embedRegular r:id="rId8" w:fontKey="{325F4A55-6C95-4A14-A648-748454D741C2}"/>
  </w:font>
  <w:font w:name="Segoe UI">
    <w:panose1 w:val="020B0502040204020203"/>
    <w:charset w:val="00"/>
    <w:family w:val="auto"/>
    <w:pitch w:val="default"/>
    <w:sig w:usb0="E4002EFF" w:usb1="C000E47F" w:usb2="00000009" w:usb3="00000000" w:csb0="200001FF" w:csb1="00000000"/>
    <w:embedRegular r:id="rId9" w:fontKey="{1830C61A-9A76-4421-B3A8-3C457B8AD527}"/>
  </w:font>
  <w:font w:name="Helvetica">
    <w:altName w:val="Arial"/>
    <w:panose1 w:val="00000000000000000000"/>
    <w:charset w:val="00"/>
    <w:family w:val="auto"/>
    <w:pitch w:val="default"/>
    <w:sig w:usb0="00000000" w:usb1="00000000" w:usb2="00000000" w:usb3="00000000" w:csb0="00000000" w:csb1="00000000"/>
    <w:embedRegular r:id="rId10" w:fontKey="{1FA3D349-7EDF-4D5B-B884-AB95EB22D5C7}"/>
  </w:font>
  <w:font w:name="Cambria Math">
    <w:panose1 w:val="02040503050406030204"/>
    <w:charset w:val="00"/>
    <w:family w:val="auto"/>
    <w:pitch w:val="default"/>
    <w:sig w:usb0="E00006FF" w:usb1="420024FF" w:usb2="02000000" w:usb3="00000000" w:csb0="2000019F" w:csb1="00000000"/>
    <w:embedRegular r:id="rId11" w:fontKey="{8160D4BC-6FA7-4333-BABB-72D2FCDA936E}"/>
  </w:font>
  <w:font w:name="WPSEMBED19">
    <w:panose1 w:val="02000000000000000000"/>
    <w:charset w:val="86"/>
    <w:family w:val="auto"/>
    <w:pitch w:val="default"/>
    <w:sig w:usb0="A00002BF" w:usb1="38CF7CFA" w:usb2="00082016" w:usb3="00000000" w:csb0="00040001" w:csb1="00000000"/>
  </w:font>
  <w:font w:name="WPSEMBED17">
    <w:panose1 w:val="02010609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WPSEMBED18">
    <w:panose1 w:val="02010609030101010101"/>
    <w:charset w:val="86"/>
    <w:family w:val="auto"/>
    <w:pitch w:val="default"/>
    <w:sig w:usb0="00000001" w:usb1="080E0000" w:usb2="00000000" w:usb3="00000000" w:csb0="00040000" w:csb1="00000000"/>
  </w:font>
  <w:font w:name="WPSEMBED20">
    <w:panose1 w:val="02000000000000000000"/>
    <w:charset w:val="86"/>
    <w:family w:val="auto"/>
    <w:pitch w:val="default"/>
    <w:sig w:usb0="A00002BF" w:usb1="184F6CFA" w:usb2="00000012" w:usb3="00000000" w:csb0="00040001" w:csb1="00000000"/>
  </w:font>
  <w:font w:name="Tahoma">
    <w:panose1 w:val="020B0604030504040204"/>
    <w:charset w:val="00"/>
    <w:family w:val="auto"/>
    <w:pitch w:val="default"/>
    <w:sig w:usb0="E1002EFF" w:usb1="C000605B" w:usb2="00000029" w:usb3="00000000" w:csb0="200101FF" w:csb1="20280000"/>
  </w:font>
  <w:font w:name="KSOF7FC4CF2A">
    <w:panose1 w:val="020B0604020202020204"/>
    <w:charset w:val="00"/>
    <w:family w:val="auto"/>
    <w:pitch w:val="default"/>
    <w:sig w:usb0="00000001"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0CB2B7">
    <w:pPr>
      <w:pStyle w:val="2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11980">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D2751E">
    <w:pPr>
      <w:pStyle w:val="2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031E6">
    <w:pPr>
      <w:pStyle w:val="23"/>
      <w:jc w:val="center"/>
    </w:pPr>
    <w:r>
      <w:rPr>
        <w:sz w:val="20"/>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620415741"/>
                          </w:sdtPr>
                          <w:sdtContent>
                            <w:p w14:paraId="0C80F120">
                              <w:pPr>
                                <w:pStyle w:val="23"/>
                                <w:jc w:val="center"/>
                              </w:pPr>
                              <w:r>
                                <w:fldChar w:fldCharType="begin"/>
                              </w:r>
                              <w:r>
                                <w:instrText xml:space="preserve">PAGE   \* MERGEFORMAT</w:instrText>
                              </w:r>
                              <w:r>
                                <w:fldChar w:fldCharType="separate"/>
                              </w:r>
                              <w:r>
                                <w:rPr>
                                  <w:lang w:val="zh-CN"/>
                                </w:rPr>
                                <w:t>49</w:t>
                              </w:r>
                              <w:r>
                                <w:fldChar w:fldCharType="end"/>
                              </w:r>
                            </w:p>
                          </w:sdtContent>
                        </w:sdt>
                        <w:p w14:paraId="417ACF8E">
                          <w:pPr>
                            <w:pStyle w:val="5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sdt>
                    <w:sdtPr>
                      <w:id w:val="620415741"/>
                    </w:sdtPr>
                    <w:sdtContent>
                      <w:p w14:paraId="0C80F120">
                        <w:pPr>
                          <w:pStyle w:val="23"/>
                          <w:jc w:val="center"/>
                        </w:pPr>
                        <w:r>
                          <w:fldChar w:fldCharType="begin"/>
                        </w:r>
                        <w:r>
                          <w:instrText xml:space="preserve">PAGE   \* MERGEFORMAT</w:instrText>
                        </w:r>
                        <w:r>
                          <w:fldChar w:fldCharType="separate"/>
                        </w:r>
                        <w:r>
                          <w:rPr>
                            <w:lang w:val="zh-CN"/>
                          </w:rPr>
                          <w:t>49</w:t>
                        </w:r>
                        <w:r>
                          <w:fldChar w:fldCharType="end"/>
                        </w:r>
                      </w:p>
                    </w:sdtContent>
                  </w:sdt>
                  <w:p w14:paraId="417ACF8E">
                    <w:pPr>
                      <w:pStyle w:val="57"/>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AB4E8E">
    <w:pPr>
      <w:pStyle w:val="23"/>
      <w:jc w:val="center"/>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943758507"/>
                          </w:sdtPr>
                          <w:sdtContent>
                            <w:p w14:paraId="5D3FD36B">
                              <w:pPr>
                                <w:pStyle w:val="23"/>
                                <w:jc w:val="center"/>
                              </w:pPr>
                              <w:r>
                                <w:fldChar w:fldCharType="begin"/>
                              </w:r>
                              <w:r>
                                <w:instrText xml:space="preserve">PAGE   \* MERGEFORMAT</w:instrText>
                              </w:r>
                              <w:r>
                                <w:fldChar w:fldCharType="separate"/>
                              </w:r>
                              <w:r>
                                <w:rPr>
                                  <w:lang w:val="zh-CN"/>
                                </w:rPr>
                                <w:t>22</w:t>
                              </w:r>
                              <w:r>
                                <w:fldChar w:fldCharType="end"/>
                              </w:r>
                            </w:p>
                          </w:sdtContent>
                        </w:sdt>
                        <w:p w14:paraId="41EC91F7">
                          <w:pPr>
                            <w:pStyle w:val="5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sdt>
                    <w:sdtPr>
                      <w:id w:val="-943758507"/>
                    </w:sdtPr>
                    <w:sdtContent>
                      <w:p w14:paraId="5D3FD36B">
                        <w:pPr>
                          <w:pStyle w:val="23"/>
                          <w:jc w:val="center"/>
                        </w:pPr>
                        <w:r>
                          <w:fldChar w:fldCharType="begin"/>
                        </w:r>
                        <w:r>
                          <w:instrText xml:space="preserve">PAGE   \* MERGEFORMAT</w:instrText>
                        </w:r>
                        <w:r>
                          <w:fldChar w:fldCharType="separate"/>
                        </w:r>
                        <w:r>
                          <w:rPr>
                            <w:lang w:val="zh-CN"/>
                          </w:rPr>
                          <w:t>22</w:t>
                        </w:r>
                        <w:r>
                          <w:fldChar w:fldCharType="end"/>
                        </w:r>
                      </w:p>
                    </w:sdtContent>
                  </w:sdt>
                  <w:p w14:paraId="41EC91F7">
                    <w:pPr>
                      <w:pStyle w:val="57"/>
                    </w:pP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1AA8E">
    <w:pPr>
      <w:pStyle w:val="24"/>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DE91F">
    <w:pPr>
      <w:pStyle w:val="24"/>
      <w:pBdr>
        <w:bottom w:val="none" w:color="auto" w:sz="0" w:space="1"/>
      </w:pBdr>
      <w:jc w:val="both"/>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4690A55"/>
    <w:multiLevelType w:val="multilevel"/>
    <w:tmpl w:val="24690A55"/>
    <w:lvl w:ilvl="0" w:tentative="0">
      <w:start w:val="1"/>
      <w:numFmt w:val="upperRoman"/>
      <w:lvlText w:val="%1."/>
      <w:lvlJc w:val="left"/>
      <w:pPr>
        <w:tabs>
          <w:tab w:val="left" w:pos="425"/>
        </w:tabs>
        <w:ind w:left="0" w:firstLine="0"/>
      </w:pPr>
    </w:lvl>
    <w:lvl w:ilvl="1" w:tentative="0">
      <w:start w:val="1"/>
      <w:numFmt w:val="upperLetter"/>
      <w:pStyle w:val="3"/>
      <w:lvlText w:val="%2."/>
      <w:lvlJc w:val="left"/>
      <w:pPr>
        <w:tabs>
          <w:tab w:val="left" w:pos="1276"/>
        </w:tabs>
        <w:ind w:left="851" w:firstLine="0"/>
      </w:pPr>
    </w:lvl>
    <w:lvl w:ilvl="2" w:tentative="0">
      <w:start w:val="1"/>
      <w:numFmt w:val="decimal"/>
      <w:pStyle w:val="4"/>
      <w:lvlText w:val="%3."/>
      <w:lvlJc w:val="left"/>
      <w:pPr>
        <w:tabs>
          <w:tab w:val="left" w:pos="2126"/>
        </w:tabs>
        <w:ind w:left="1701" w:firstLine="0"/>
      </w:pPr>
    </w:lvl>
    <w:lvl w:ilvl="3" w:tentative="0">
      <w:start w:val="1"/>
      <w:numFmt w:val="lowerLetter"/>
      <w:pStyle w:val="5"/>
      <w:lvlText w:val="%4)"/>
      <w:lvlJc w:val="left"/>
      <w:pPr>
        <w:tabs>
          <w:tab w:val="left" w:pos="2976"/>
        </w:tabs>
        <w:ind w:left="2551" w:firstLine="0"/>
      </w:pPr>
    </w:lvl>
    <w:lvl w:ilvl="4" w:tentative="0">
      <w:start w:val="1"/>
      <w:numFmt w:val="decimal"/>
      <w:pStyle w:val="6"/>
      <w:lvlText w:val="(%5)"/>
      <w:lvlJc w:val="left"/>
      <w:pPr>
        <w:tabs>
          <w:tab w:val="left" w:pos="3827"/>
        </w:tabs>
        <w:ind w:left="3402" w:firstLine="0"/>
      </w:pPr>
    </w:lvl>
    <w:lvl w:ilvl="5" w:tentative="0">
      <w:start w:val="1"/>
      <w:numFmt w:val="lowerLetter"/>
      <w:pStyle w:val="7"/>
      <w:lvlText w:val="(%6)"/>
      <w:lvlJc w:val="left"/>
      <w:pPr>
        <w:tabs>
          <w:tab w:val="left" w:pos="4677"/>
        </w:tabs>
        <w:ind w:left="4252" w:firstLine="0"/>
      </w:pPr>
    </w:lvl>
    <w:lvl w:ilvl="6" w:tentative="0">
      <w:start w:val="1"/>
      <w:numFmt w:val="lowerRoman"/>
      <w:pStyle w:val="8"/>
      <w:lvlText w:val="(%7)"/>
      <w:lvlJc w:val="left"/>
      <w:pPr>
        <w:tabs>
          <w:tab w:val="left" w:pos="5528"/>
        </w:tabs>
        <w:ind w:left="5102" w:firstLine="0"/>
      </w:pPr>
    </w:lvl>
    <w:lvl w:ilvl="7" w:tentative="0">
      <w:start w:val="1"/>
      <w:numFmt w:val="lowerLetter"/>
      <w:pStyle w:val="9"/>
      <w:lvlText w:val="(%8)"/>
      <w:lvlJc w:val="left"/>
      <w:pPr>
        <w:tabs>
          <w:tab w:val="left" w:pos="6378"/>
        </w:tabs>
        <w:ind w:left="5953" w:firstLine="0"/>
      </w:pPr>
    </w:lvl>
    <w:lvl w:ilvl="8" w:tentative="0">
      <w:start w:val="1"/>
      <w:numFmt w:val="lowerRoman"/>
      <w:pStyle w:val="10"/>
      <w:lvlText w:val="(%9)"/>
      <w:lvlJc w:val="left"/>
      <w:pPr>
        <w:tabs>
          <w:tab w:val="left" w:pos="7228"/>
        </w:tabs>
        <w:ind w:left="6803" w:firstLine="0"/>
      </w:pPr>
    </w:lvl>
  </w:abstractNum>
  <w:abstractNum w:abstractNumId="1">
    <w:nsid w:val="289051F8"/>
    <w:multiLevelType w:val="singleLevel"/>
    <w:tmpl w:val="289051F8"/>
    <w:lvl w:ilvl="0" w:tentative="0">
      <w:start w:val="6"/>
      <w:numFmt w:val="decimal"/>
      <w:suff w:val="nothing"/>
      <w:lvlText w:val="%1）"/>
      <w:lvlJc w:val="left"/>
    </w:lvl>
  </w:abstractNum>
  <w:abstractNum w:abstractNumId="2">
    <w:nsid w:val="35947027"/>
    <w:multiLevelType w:val="singleLevel"/>
    <w:tmpl w:val="35947027"/>
    <w:lvl w:ilvl="0" w:tentative="0">
      <w:start w:val="1"/>
      <w:numFmt w:val="chineseCounting"/>
      <w:suff w:val="nothing"/>
      <w:lvlText w:val="%1、"/>
      <w:lvlJc w:val="left"/>
      <w:rPr>
        <w:rFonts w:hint="eastAsia"/>
      </w:rPr>
    </w:lvl>
  </w:abstractNum>
  <w:abstractNum w:abstractNumId="3">
    <w:nsid w:val="7333396F"/>
    <w:multiLevelType w:val="multilevel"/>
    <w:tmpl w:val="7333396F"/>
    <w:lvl w:ilvl="0" w:tentative="0">
      <w:start w:val="1"/>
      <w:numFmt w:val="bullet"/>
      <w:lvlText w:val=""/>
      <w:lvlJc w:val="left"/>
      <w:pPr>
        <w:tabs>
          <w:tab w:val="left" w:pos="900"/>
        </w:tabs>
        <w:ind w:left="900" w:hanging="420"/>
      </w:pPr>
      <w:rPr>
        <w:rFonts w:hint="default" w:ascii="Wingdings" w:hAnsi="Wingdings"/>
      </w:rPr>
    </w:lvl>
    <w:lvl w:ilvl="1" w:tentative="0">
      <w:start w:val="1"/>
      <w:numFmt w:val="bullet"/>
      <w:pStyle w:val="181"/>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4">
    <w:nsid w:val="769D8784"/>
    <w:multiLevelType w:val="singleLevel"/>
    <w:tmpl w:val="769D8784"/>
    <w:lvl w:ilvl="0" w:tentative="0">
      <w:start w:val="1"/>
      <w:numFmt w:val="chineseCounting"/>
      <w:suff w:val="nothing"/>
      <w:lvlText w:val="%1、"/>
      <w:lvlJc w:val="left"/>
      <w:rPr>
        <w:rFonts w:hint="eastAsia"/>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hideSpellingErrors/>
  <w:documentProtection w:enforcement="0"/>
  <w:defaultTabStop w:val="42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Y0M2EyYjQwNzU3NTBjZjg1OWM0NDQwMjMwZTVjMzQifQ=="/>
  </w:docVars>
  <w:rsids>
    <w:rsidRoot w:val="00D453ED"/>
    <w:rsid w:val="00000122"/>
    <w:rsid w:val="0000032A"/>
    <w:rsid w:val="0000041E"/>
    <w:rsid w:val="000004BA"/>
    <w:rsid w:val="00000553"/>
    <w:rsid w:val="00000568"/>
    <w:rsid w:val="0000063A"/>
    <w:rsid w:val="00000763"/>
    <w:rsid w:val="00000B7D"/>
    <w:rsid w:val="00000E8C"/>
    <w:rsid w:val="00000F77"/>
    <w:rsid w:val="0000147E"/>
    <w:rsid w:val="000014F0"/>
    <w:rsid w:val="000016A5"/>
    <w:rsid w:val="000016CD"/>
    <w:rsid w:val="00001A67"/>
    <w:rsid w:val="00001EF0"/>
    <w:rsid w:val="00001F29"/>
    <w:rsid w:val="00002277"/>
    <w:rsid w:val="00002291"/>
    <w:rsid w:val="00002394"/>
    <w:rsid w:val="0000253E"/>
    <w:rsid w:val="00002566"/>
    <w:rsid w:val="0000292A"/>
    <w:rsid w:val="00002A3B"/>
    <w:rsid w:val="00002BCC"/>
    <w:rsid w:val="00002BF0"/>
    <w:rsid w:val="00002EBA"/>
    <w:rsid w:val="00002EC7"/>
    <w:rsid w:val="0000310D"/>
    <w:rsid w:val="00003336"/>
    <w:rsid w:val="0000338D"/>
    <w:rsid w:val="00003447"/>
    <w:rsid w:val="0000347E"/>
    <w:rsid w:val="00003530"/>
    <w:rsid w:val="0000362B"/>
    <w:rsid w:val="0000390D"/>
    <w:rsid w:val="00003A1E"/>
    <w:rsid w:val="00003BD9"/>
    <w:rsid w:val="00003BE3"/>
    <w:rsid w:val="00003C1E"/>
    <w:rsid w:val="00003C32"/>
    <w:rsid w:val="00003C6F"/>
    <w:rsid w:val="00003FAF"/>
    <w:rsid w:val="000040DB"/>
    <w:rsid w:val="00004109"/>
    <w:rsid w:val="000042AC"/>
    <w:rsid w:val="00004300"/>
    <w:rsid w:val="000043DB"/>
    <w:rsid w:val="0000449D"/>
    <w:rsid w:val="000046F6"/>
    <w:rsid w:val="00004784"/>
    <w:rsid w:val="00004B2C"/>
    <w:rsid w:val="00004B43"/>
    <w:rsid w:val="00004C42"/>
    <w:rsid w:val="00004DA1"/>
    <w:rsid w:val="00004E76"/>
    <w:rsid w:val="00005142"/>
    <w:rsid w:val="00005373"/>
    <w:rsid w:val="00005503"/>
    <w:rsid w:val="00005509"/>
    <w:rsid w:val="00005688"/>
    <w:rsid w:val="00005855"/>
    <w:rsid w:val="000059E6"/>
    <w:rsid w:val="00005C2C"/>
    <w:rsid w:val="00005D1A"/>
    <w:rsid w:val="00005E3C"/>
    <w:rsid w:val="00005F23"/>
    <w:rsid w:val="0000639E"/>
    <w:rsid w:val="00006439"/>
    <w:rsid w:val="00006756"/>
    <w:rsid w:val="000067A1"/>
    <w:rsid w:val="00006851"/>
    <w:rsid w:val="000068D1"/>
    <w:rsid w:val="00006B4C"/>
    <w:rsid w:val="00006C82"/>
    <w:rsid w:val="00006DD6"/>
    <w:rsid w:val="00006F55"/>
    <w:rsid w:val="00007533"/>
    <w:rsid w:val="0000783F"/>
    <w:rsid w:val="000078EA"/>
    <w:rsid w:val="0000793B"/>
    <w:rsid w:val="00007A73"/>
    <w:rsid w:val="00007B08"/>
    <w:rsid w:val="00007C33"/>
    <w:rsid w:val="000100AE"/>
    <w:rsid w:val="000101F4"/>
    <w:rsid w:val="0001026F"/>
    <w:rsid w:val="000103E5"/>
    <w:rsid w:val="00010404"/>
    <w:rsid w:val="0001071B"/>
    <w:rsid w:val="000107A5"/>
    <w:rsid w:val="00010999"/>
    <w:rsid w:val="00010D2A"/>
    <w:rsid w:val="00010F85"/>
    <w:rsid w:val="00011198"/>
    <w:rsid w:val="000114EC"/>
    <w:rsid w:val="00011594"/>
    <w:rsid w:val="00011619"/>
    <w:rsid w:val="000116C5"/>
    <w:rsid w:val="000117C4"/>
    <w:rsid w:val="000118E0"/>
    <w:rsid w:val="000119B1"/>
    <w:rsid w:val="00011B1F"/>
    <w:rsid w:val="00011CC8"/>
    <w:rsid w:val="00011E9D"/>
    <w:rsid w:val="00012510"/>
    <w:rsid w:val="00012953"/>
    <w:rsid w:val="00012B18"/>
    <w:rsid w:val="000131E3"/>
    <w:rsid w:val="000133DB"/>
    <w:rsid w:val="00013611"/>
    <w:rsid w:val="00013BF6"/>
    <w:rsid w:val="00013C78"/>
    <w:rsid w:val="00013CDF"/>
    <w:rsid w:val="00013FC3"/>
    <w:rsid w:val="00014298"/>
    <w:rsid w:val="00014487"/>
    <w:rsid w:val="0001471F"/>
    <w:rsid w:val="000147E0"/>
    <w:rsid w:val="00014A25"/>
    <w:rsid w:val="00014ADF"/>
    <w:rsid w:val="00014EE7"/>
    <w:rsid w:val="00014F42"/>
    <w:rsid w:val="00015240"/>
    <w:rsid w:val="00015490"/>
    <w:rsid w:val="00015530"/>
    <w:rsid w:val="00015645"/>
    <w:rsid w:val="000156FC"/>
    <w:rsid w:val="00015742"/>
    <w:rsid w:val="000157FB"/>
    <w:rsid w:val="00015803"/>
    <w:rsid w:val="0001586E"/>
    <w:rsid w:val="00015C05"/>
    <w:rsid w:val="00015E19"/>
    <w:rsid w:val="00015E57"/>
    <w:rsid w:val="000160CF"/>
    <w:rsid w:val="00016132"/>
    <w:rsid w:val="000161DA"/>
    <w:rsid w:val="000164A8"/>
    <w:rsid w:val="00016BD4"/>
    <w:rsid w:val="00017248"/>
    <w:rsid w:val="00017282"/>
    <w:rsid w:val="000173C9"/>
    <w:rsid w:val="000173D8"/>
    <w:rsid w:val="0001746D"/>
    <w:rsid w:val="0001757B"/>
    <w:rsid w:val="0001772F"/>
    <w:rsid w:val="0001782D"/>
    <w:rsid w:val="00017A2F"/>
    <w:rsid w:val="00017C1E"/>
    <w:rsid w:val="00017C4C"/>
    <w:rsid w:val="00017F34"/>
    <w:rsid w:val="00017F61"/>
    <w:rsid w:val="00020213"/>
    <w:rsid w:val="0002022F"/>
    <w:rsid w:val="0002025B"/>
    <w:rsid w:val="000202F5"/>
    <w:rsid w:val="000203CA"/>
    <w:rsid w:val="0002041A"/>
    <w:rsid w:val="00020469"/>
    <w:rsid w:val="000207BF"/>
    <w:rsid w:val="00020845"/>
    <w:rsid w:val="00020A02"/>
    <w:rsid w:val="00020BA2"/>
    <w:rsid w:val="00020E42"/>
    <w:rsid w:val="00020FA7"/>
    <w:rsid w:val="0002111A"/>
    <w:rsid w:val="00021348"/>
    <w:rsid w:val="000213EA"/>
    <w:rsid w:val="00021525"/>
    <w:rsid w:val="00021706"/>
    <w:rsid w:val="000219FD"/>
    <w:rsid w:val="00021FFA"/>
    <w:rsid w:val="00022201"/>
    <w:rsid w:val="00022553"/>
    <w:rsid w:val="0002275D"/>
    <w:rsid w:val="00022793"/>
    <w:rsid w:val="00022811"/>
    <w:rsid w:val="000228AF"/>
    <w:rsid w:val="00022CD2"/>
    <w:rsid w:val="00022DE4"/>
    <w:rsid w:val="00022FEA"/>
    <w:rsid w:val="000230A3"/>
    <w:rsid w:val="000230C9"/>
    <w:rsid w:val="0002329A"/>
    <w:rsid w:val="000234A2"/>
    <w:rsid w:val="0002365A"/>
    <w:rsid w:val="000237F9"/>
    <w:rsid w:val="00023E14"/>
    <w:rsid w:val="000240FD"/>
    <w:rsid w:val="00024387"/>
    <w:rsid w:val="00024860"/>
    <w:rsid w:val="00024D1B"/>
    <w:rsid w:val="00024E2E"/>
    <w:rsid w:val="00024EF6"/>
    <w:rsid w:val="00025017"/>
    <w:rsid w:val="00025421"/>
    <w:rsid w:val="00025436"/>
    <w:rsid w:val="000254CB"/>
    <w:rsid w:val="0002558F"/>
    <w:rsid w:val="0002579F"/>
    <w:rsid w:val="0002594F"/>
    <w:rsid w:val="00025AB3"/>
    <w:rsid w:val="00025BE1"/>
    <w:rsid w:val="00025E33"/>
    <w:rsid w:val="00025E8F"/>
    <w:rsid w:val="00025F17"/>
    <w:rsid w:val="00026114"/>
    <w:rsid w:val="000261B5"/>
    <w:rsid w:val="00026368"/>
    <w:rsid w:val="00026386"/>
    <w:rsid w:val="000263EC"/>
    <w:rsid w:val="00026437"/>
    <w:rsid w:val="000264C8"/>
    <w:rsid w:val="0002677D"/>
    <w:rsid w:val="0002689E"/>
    <w:rsid w:val="0002690B"/>
    <w:rsid w:val="00026D58"/>
    <w:rsid w:val="00026E73"/>
    <w:rsid w:val="00026F65"/>
    <w:rsid w:val="00027015"/>
    <w:rsid w:val="00027114"/>
    <w:rsid w:val="0002755D"/>
    <w:rsid w:val="0002759A"/>
    <w:rsid w:val="00027756"/>
    <w:rsid w:val="000278A9"/>
    <w:rsid w:val="00027A57"/>
    <w:rsid w:val="00027D65"/>
    <w:rsid w:val="00027E68"/>
    <w:rsid w:val="00027E73"/>
    <w:rsid w:val="00027EE4"/>
    <w:rsid w:val="00027F88"/>
    <w:rsid w:val="00030247"/>
    <w:rsid w:val="00030536"/>
    <w:rsid w:val="0003088C"/>
    <w:rsid w:val="00030A6A"/>
    <w:rsid w:val="00030D89"/>
    <w:rsid w:val="00030F14"/>
    <w:rsid w:val="00030FDC"/>
    <w:rsid w:val="000310A8"/>
    <w:rsid w:val="00031202"/>
    <w:rsid w:val="000313A4"/>
    <w:rsid w:val="00031731"/>
    <w:rsid w:val="00031743"/>
    <w:rsid w:val="00031A46"/>
    <w:rsid w:val="00031ACB"/>
    <w:rsid w:val="00031B62"/>
    <w:rsid w:val="00031B69"/>
    <w:rsid w:val="00031B8E"/>
    <w:rsid w:val="00031B9B"/>
    <w:rsid w:val="00031BDC"/>
    <w:rsid w:val="00031D94"/>
    <w:rsid w:val="00032191"/>
    <w:rsid w:val="00032653"/>
    <w:rsid w:val="00032874"/>
    <w:rsid w:val="00032878"/>
    <w:rsid w:val="00032980"/>
    <w:rsid w:val="000329CB"/>
    <w:rsid w:val="00032E21"/>
    <w:rsid w:val="000333F2"/>
    <w:rsid w:val="000333FD"/>
    <w:rsid w:val="000335DA"/>
    <w:rsid w:val="00033F6F"/>
    <w:rsid w:val="0003409E"/>
    <w:rsid w:val="00034307"/>
    <w:rsid w:val="000343EE"/>
    <w:rsid w:val="00034457"/>
    <w:rsid w:val="00034760"/>
    <w:rsid w:val="00034768"/>
    <w:rsid w:val="0003477B"/>
    <w:rsid w:val="00034A07"/>
    <w:rsid w:val="00034D77"/>
    <w:rsid w:val="00034D95"/>
    <w:rsid w:val="00034FC8"/>
    <w:rsid w:val="00035124"/>
    <w:rsid w:val="000351BA"/>
    <w:rsid w:val="000352D2"/>
    <w:rsid w:val="000352EB"/>
    <w:rsid w:val="000353AE"/>
    <w:rsid w:val="000357EB"/>
    <w:rsid w:val="000358E8"/>
    <w:rsid w:val="00035B28"/>
    <w:rsid w:val="00035C0A"/>
    <w:rsid w:val="00035D68"/>
    <w:rsid w:val="00035DBA"/>
    <w:rsid w:val="00035E38"/>
    <w:rsid w:val="00035F5E"/>
    <w:rsid w:val="00035FF1"/>
    <w:rsid w:val="00036078"/>
    <w:rsid w:val="000360D7"/>
    <w:rsid w:val="00036327"/>
    <w:rsid w:val="000363F4"/>
    <w:rsid w:val="00036498"/>
    <w:rsid w:val="000364AF"/>
    <w:rsid w:val="000365FA"/>
    <w:rsid w:val="00036666"/>
    <w:rsid w:val="000366A0"/>
    <w:rsid w:val="00036981"/>
    <w:rsid w:val="00036983"/>
    <w:rsid w:val="00036993"/>
    <w:rsid w:val="00036994"/>
    <w:rsid w:val="00036A36"/>
    <w:rsid w:val="00036B9B"/>
    <w:rsid w:val="00036BC3"/>
    <w:rsid w:val="00036C50"/>
    <w:rsid w:val="00036E04"/>
    <w:rsid w:val="00036F39"/>
    <w:rsid w:val="000372DA"/>
    <w:rsid w:val="00037547"/>
    <w:rsid w:val="00037660"/>
    <w:rsid w:val="000377C7"/>
    <w:rsid w:val="000377D6"/>
    <w:rsid w:val="00037819"/>
    <w:rsid w:val="00037920"/>
    <w:rsid w:val="00037C6B"/>
    <w:rsid w:val="00037E3B"/>
    <w:rsid w:val="00037F23"/>
    <w:rsid w:val="00037F76"/>
    <w:rsid w:val="00037FBE"/>
    <w:rsid w:val="00040042"/>
    <w:rsid w:val="000400D2"/>
    <w:rsid w:val="00040542"/>
    <w:rsid w:val="00040650"/>
    <w:rsid w:val="00040712"/>
    <w:rsid w:val="000409A6"/>
    <w:rsid w:val="00040A86"/>
    <w:rsid w:val="00040AB1"/>
    <w:rsid w:val="00040BF5"/>
    <w:rsid w:val="00040FB1"/>
    <w:rsid w:val="000410AA"/>
    <w:rsid w:val="00041360"/>
    <w:rsid w:val="0004139E"/>
    <w:rsid w:val="000414E8"/>
    <w:rsid w:val="000416DC"/>
    <w:rsid w:val="00041751"/>
    <w:rsid w:val="00041D75"/>
    <w:rsid w:val="00041DAC"/>
    <w:rsid w:val="00041E46"/>
    <w:rsid w:val="00042320"/>
    <w:rsid w:val="000424C0"/>
    <w:rsid w:val="000425C2"/>
    <w:rsid w:val="0004286A"/>
    <w:rsid w:val="00042992"/>
    <w:rsid w:val="00042A82"/>
    <w:rsid w:val="00042D4C"/>
    <w:rsid w:val="00042D9D"/>
    <w:rsid w:val="000431D1"/>
    <w:rsid w:val="000431ED"/>
    <w:rsid w:val="0004326E"/>
    <w:rsid w:val="00043372"/>
    <w:rsid w:val="00043591"/>
    <w:rsid w:val="00043AEE"/>
    <w:rsid w:val="00043D28"/>
    <w:rsid w:val="00043F6C"/>
    <w:rsid w:val="000440B5"/>
    <w:rsid w:val="0004433D"/>
    <w:rsid w:val="0004440F"/>
    <w:rsid w:val="00044526"/>
    <w:rsid w:val="00044554"/>
    <w:rsid w:val="000445D7"/>
    <w:rsid w:val="0004476C"/>
    <w:rsid w:val="00044843"/>
    <w:rsid w:val="00044849"/>
    <w:rsid w:val="0004487D"/>
    <w:rsid w:val="0004490C"/>
    <w:rsid w:val="00044C7A"/>
    <w:rsid w:val="0004525D"/>
    <w:rsid w:val="000452AA"/>
    <w:rsid w:val="00045397"/>
    <w:rsid w:val="0004576D"/>
    <w:rsid w:val="0004588E"/>
    <w:rsid w:val="000459D8"/>
    <w:rsid w:val="00045ADC"/>
    <w:rsid w:val="00045AE6"/>
    <w:rsid w:val="00045C87"/>
    <w:rsid w:val="00045E45"/>
    <w:rsid w:val="00045FA9"/>
    <w:rsid w:val="000462F2"/>
    <w:rsid w:val="0004648D"/>
    <w:rsid w:val="000467DF"/>
    <w:rsid w:val="00046C79"/>
    <w:rsid w:val="00046CFF"/>
    <w:rsid w:val="00046DCD"/>
    <w:rsid w:val="00046E07"/>
    <w:rsid w:val="00046E83"/>
    <w:rsid w:val="0004747F"/>
    <w:rsid w:val="000474B3"/>
    <w:rsid w:val="00047522"/>
    <w:rsid w:val="0004762A"/>
    <w:rsid w:val="0004770A"/>
    <w:rsid w:val="000478A6"/>
    <w:rsid w:val="000478FB"/>
    <w:rsid w:val="00047AA4"/>
    <w:rsid w:val="00047D4A"/>
    <w:rsid w:val="00047E08"/>
    <w:rsid w:val="0005033F"/>
    <w:rsid w:val="00050346"/>
    <w:rsid w:val="000504A0"/>
    <w:rsid w:val="0005059C"/>
    <w:rsid w:val="000508F0"/>
    <w:rsid w:val="00050909"/>
    <w:rsid w:val="0005098E"/>
    <w:rsid w:val="000509D2"/>
    <w:rsid w:val="00050A81"/>
    <w:rsid w:val="00050C0A"/>
    <w:rsid w:val="00050C89"/>
    <w:rsid w:val="00050DE4"/>
    <w:rsid w:val="00050E56"/>
    <w:rsid w:val="00051115"/>
    <w:rsid w:val="000514FA"/>
    <w:rsid w:val="00051872"/>
    <w:rsid w:val="000519B3"/>
    <w:rsid w:val="00051D80"/>
    <w:rsid w:val="00051F8E"/>
    <w:rsid w:val="000520BA"/>
    <w:rsid w:val="000521CE"/>
    <w:rsid w:val="00052255"/>
    <w:rsid w:val="000523FC"/>
    <w:rsid w:val="000525D2"/>
    <w:rsid w:val="0005272D"/>
    <w:rsid w:val="000527E8"/>
    <w:rsid w:val="00052BC5"/>
    <w:rsid w:val="000530B9"/>
    <w:rsid w:val="000531AD"/>
    <w:rsid w:val="000533F8"/>
    <w:rsid w:val="000535D4"/>
    <w:rsid w:val="0005369C"/>
    <w:rsid w:val="000539A0"/>
    <w:rsid w:val="00053BEB"/>
    <w:rsid w:val="00053CB3"/>
    <w:rsid w:val="00053D98"/>
    <w:rsid w:val="00053E81"/>
    <w:rsid w:val="00053F3F"/>
    <w:rsid w:val="00053F67"/>
    <w:rsid w:val="0005409B"/>
    <w:rsid w:val="0005445C"/>
    <w:rsid w:val="00054B45"/>
    <w:rsid w:val="00054B9E"/>
    <w:rsid w:val="00054D7E"/>
    <w:rsid w:val="000552FE"/>
    <w:rsid w:val="00055458"/>
    <w:rsid w:val="00055576"/>
    <w:rsid w:val="00055722"/>
    <w:rsid w:val="000559A1"/>
    <w:rsid w:val="00055ACE"/>
    <w:rsid w:val="00055CED"/>
    <w:rsid w:val="00055F28"/>
    <w:rsid w:val="00056051"/>
    <w:rsid w:val="00056077"/>
    <w:rsid w:val="000564E9"/>
    <w:rsid w:val="000565ED"/>
    <w:rsid w:val="0005672D"/>
    <w:rsid w:val="00056826"/>
    <w:rsid w:val="000569C7"/>
    <w:rsid w:val="000569F1"/>
    <w:rsid w:val="00056A13"/>
    <w:rsid w:val="00056A15"/>
    <w:rsid w:val="00056A20"/>
    <w:rsid w:val="00056C49"/>
    <w:rsid w:val="00056D97"/>
    <w:rsid w:val="00056DE9"/>
    <w:rsid w:val="00056E94"/>
    <w:rsid w:val="00056ECD"/>
    <w:rsid w:val="00056FD9"/>
    <w:rsid w:val="00057551"/>
    <w:rsid w:val="000575C1"/>
    <w:rsid w:val="000577A1"/>
    <w:rsid w:val="00057873"/>
    <w:rsid w:val="00057939"/>
    <w:rsid w:val="00057A0A"/>
    <w:rsid w:val="00057F67"/>
    <w:rsid w:val="00057FB8"/>
    <w:rsid w:val="000603E5"/>
    <w:rsid w:val="00060492"/>
    <w:rsid w:val="000606FB"/>
    <w:rsid w:val="0006074C"/>
    <w:rsid w:val="00060875"/>
    <w:rsid w:val="00060A7D"/>
    <w:rsid w:val="00061119"/>
    <w:rsid w:val="000611D9"/>
    <w:rsid w:val="00061203"/>
    <w:rsid w:val="000612AC"/>
    <w:rsid w:val="000613AC"/>
    <w:rsid w:val="000615AF"/>
    <w:rsid w:val="00061710"/>
    <w:rsid w:val="00061883"/>
    <w:rsid w:val="00061F13"/>
    <w:rsid w:val="0006208F"/>
    <w:rsid w:val="00062766"/>
    <w:rsid w:val="0006297F"/>
    <w:rsid w:val="00062999"/>
    <w:rsid w:val="00062A10"/>
    <w:rsid w:val="00062CDE"/>
    <w:rsid w:val="00062DCC"/>
    <w:rsid w:val="00062F75"/>
    <w:rsid w:val="00063141"/>
    <w:rsid w:val="0006317D"/>
    <w:rsid w:val="000631A6"/>
    <w:rsid w:val="00063283"/>
    <w:rsid w:val="000632EA"/>
    <w:rsid w:val="000633AF"/>
    <w:rsid w:val="00063504"/>
    <w:rsid w:val="0006376A"/>
    <w:rsid w:val="0006381C"/>
    <w:rsid w:val="000638EA"/>
    <w:rsid w:val="00063EC8"/>
    <w:rsid w:val="00063FC1"/>
    <w:rsid w:val="0006407A"/>
    <w:rsid w:val="00064939"/>
    <w:rsid w:val="00064A71"/>
    <w:rsid w:val="00064DA8"/>
    <w:rsid w:val="0006526E"/>
    <w:rsid w:val="000657E3"/>
    <w:rsid w:val="0006598E"/>
    <w:rsid w:val="000659FB"/>
    <w:rsid w:val="00065ADB"/>
    <w:rsid w:val="00065B94"/>
    <w:rsid w:val="00065C5F"/>
    <w:rsid w:val="00065CBD"/>
    <w:rsid w:val="00065E14"/>
    <w:rsid w:val="00066154"/>
    <w:rsid w:val="00066276"/>
    <w:rsid w:val="00066281"/>
    <w:rsid w:val="00066420"/>
    <w:rsid w:val="000666D3"/>
    <w:rsid w:val="00066939"/>
    <w:rsid w:val="00066B87"/>
    <w:rsid w:val="00066D30"/>
    <w:rsid w:val="00066FB2"/>
    <w:rsid w:val="00066FD6"/>
    <w:rsid w:val="00066FDC"/>
    <w:rsid w:val="000670EA"/>
    <w:rsid w:val="000670F3"/>
    <w:rsid w:val="000675FC"/>
    <w:rsid w:val="000676D7"/>
    <w:rsid w:val="0006781B"/>
    <w:rsid w:val="00067840"/>
    <w:rsid w:val="00067847"/>
    <w:rsid w:val="000679D6"/>
    <w:rsid w:val="00067B42"/>
    <w:rsid w:val="00067D62"/>
    <w:rsid w:val="0007017E"/>
    <w:rsid w:val="000703AA"/>
    <w:rsid w:val="000704DD"/>
    <w:rsid w:val="000705E3"/>
    <w:rsid w:val="00070664"/>
    <w:rsid w:val="000706FA"/>
    <w:rsid w:val="000707F4"/>
    <w:rsid w:val="00070867"/>
    <w:rsid w:val="00070917"/>
    <w:rsid w:val="00070D14"/>
    <w:rsid w:val="00070F41"/>
    <w:rsid w:val="00071025"/>
    <w:rsid w:val="000710AE"/>
    <w:rsid w:val="000713F2"/>
    <w:rsid w:val="0007151A"/>
    <w:rsid w:val="00071826"/>
    <w:rsid w:val="00071875"/>
    <w:rsid w:val="000718C1"/>
    <w:rsid w:val="00071BCA"/>
    <w:rsid w:val="00071E0D"/>
    <w:rsid w:val="00071E50"/>
    <w:rsid w:val="00072580"/>
    <w:rsid w:val="00072743"/>
    <w:rsid w:val="000727C7"/>
    <w:rsid w:val="00072B0F"/>
    <w:rsid w:val="00072B24"/>
    <w:rsid w:val="00072BBC"/>
    <w:rsid w:val="00072F6C"/>
    <w:rsid w:val="00073223"/>
    <w:rsid w:val="00073276"/>
    <w:rsid w:val="000732DD"/>
    <w:rsid w:val="00073386"/>
    <w:rsid w:val="00073596"/>
    <w:rsid w:val="00073634"/>
    <w:rsid w:val="0007379E"/>
    <w:rsid w:val="000737F2"/>
    <w:rsid w:val="00073887"/>
    <w:rsid w:val="00073BB2"/>
    <w:rsid w:val="00073EB9"/>
    <w:rsid w:val="000740BB"/>
    <w:rsid w:val="000740C3"/>
    <w:rsid w:val="0007415F"/>
    <w:rsid w:val="00074257"/>
    <w:rsid w:val="00074288"/>
    <w:rsid w:val="000743CE"/>
    <w:rsid w:val="0007443C"/>
    <w:rsid w:val="0007464B"/>
    <w:rsid w:val="00074A72"/>
    <w:rsid w:val="00074B2A"/>
    <w:rsid w:val="00074B2B"/>
    <w:rsid w:val="00074CBC"/>
    <w:rsid w:val="00074D32"/>
    <w:rsid w:val="00074F10"/>
    <w:rsid w:val="00074FC4"/>
    <w:rsid w:val="0007538D"/>
    <w:rsid w:val="00075598"/>
    <w:rsid w:val="00075914"/>
    <w:rsid w:val="0007595A"/>
    <w:rsid w:val="00075BA4"/>
    <w:rsid w:val="00075CD0"/>
    <w:rsid w:val="00075CFF"/>
    <w:rsid w:val="00075D30"/>
    <w:rsid w:val="000760AF"/>
    <w:rsid w:val="000760FE"/>
    <w:rsid w:val="0007615C"/>
    <w:rsid w:val="00076242"/>
    <w:rsid w:val="00076599"/>
    <w:rsid w:val="000765BA"/>
    <w:rsid w:val="00076838"/>
    <w:rsid w:val="0007683D"/>
    <w:rsid w:val="000769F4"/>
    <w:rsid w:val="00076ADA"/>
    <w:rsid w:val="00076B21"/>
    <w:rsid w:val="00076EA9"/>
    <w:rsid w:val="00076FC7"/>
    <w:rsid w:val="000771AC"/>
    <w:rsid w:val="000772E6"/>
    <w:rsid w:val="0007735A"/>
    <w:rsid w:val="00077392"/>
    <w:rsid w:val="00077475"/>
    <w:rsid w:val="000775D3"/>
    <w:rsid w:val="00077605"/>
    <w:rsid w:val="00077823"/>
    <w:rsid w:val="00077A07"/>
    <w:rsid w:val="00077AA8"/>
    <w:rsid w:val="00077AF4"/>
    <w:rsid w:val="00077BDA"/>
    <w:rsid w:val="00077E78"/>
    <w:rsid w:val="00077EC6"/>
    <w:rsid w:val="0008012E"/>
    <w:rsid w:val="00080663"/>
    <w:rsid w:val="0008083E"/>
    <w:rsid w:val="00080AB7"/>
    <w:rsid w:val="00080B59"/>
    <w:rsid w:val="00080DA5"/>
    <w:rsid w:val="0008107C"/>
    <w:rsid w:val="0008116F"/>
    <w:rsid w:val="00081466"/>
    <w:rsid w:val="00081540"/>
    <w:rsid w:val="000815CE"/>
    <w:rsid w:val="00081A5F"/>
    <w:rsid w:val="00081DE2"/>
    <w:rsid w:val="00081F46"/>
    <w:rsid w:val="0008209C"/>
    <w:rsid w:val="00082236"/>
    <w:rsid w:val="00082460"/>
    <w:rsid w:val="000826E2"/>
    <w:rsid w:val="0008275E"/>
    <w:rsid w:val="00082D6C"/>
    <w:rsid w:val="00082D6D"/>
    <w:rsid w:val="00082FD7"/>
    <w:rsid w:val="0008319F"/>
    <w:rsid w:val="00083209"/>
    <w:rsid w:val="0008346C"/>
    <w:rsid w:val="00083532"/>
    <w:rsid w:val="00083669"/>
    <w:rsid w:val="00083786"/>
    <w:rsid w:val="0008384D"/>
    <w:rsid w:val="0008385B"/>
    <w:rsid w:val="00083B7E"/>
    <w:rsid w:val="00083D3F"/>
    <w:rsid w:val="00084021"/>
    <w:rsid w:val="0008407C"/>
    <w:rsid w:val="000841B4"/>
    <w:rsid w:val="000845A7"/>
    <w:rsid w:val="000846C3"/>
    <w:rsid w:val="00084BA6"/>
    <w:rsid w:val="00084DCA"/>
    <w:rsid w:val="00084E09"/>
    <w:rsid w:val="00084E77"/>
    <w:rsid w:val="00084FD2"/>
    <w:rsid w:val="000856BB"/>
    <w:rsid w:val="00085791"/>
    <w:rsid w:val="00085D63"/>
    <w:rsid w:val="00085EE7"/>
    <w:rsid w:val="00085FB9"/>
    <w:rsid w:val="000861BD"/>
    <w:rsid w:val="00086241"/>
    <w:rsid w:val="000863AF"/>
    <w:rsid w:val="00086601"/>
    <w:rsid w:val="00086776"/>
    <w:rsid w:val="00086D95"/>
    <w:rsid w:val="00087063"/>
    <w:rsid w:val="00087208"/>
    <w:rsid w:val="0008724F"/>
    <w:rsid w:val="00087449"/>
    <w:rsid w:val="00087521"/>
    <w:rsid w:val="00087949"/>
    <w:rsid w:val="000901F2"/>
    <w:rsid w:val="00090B00"/>
    <w:rsid w:val="00090D8B"/>
    <w:rsid w:val="00090E0A"/>
    <w:rsid w:val="00090EC6"/>
    <w:rsid w:val="00090F74"/>
    <w:rsid w:val="00090FFF"/>
    <w:rsid w:val="0009115B"/>
    <w:rsid w:val="00091214"/>
    <w:rsid w:val="0009158B"/>
    <w:rsid w:val="0009178B"/>
    <w:rsid w:val="00091B8F"/>
    <w:rsid w:val="00091C84"/>
    <w:rsid w:val="0009215A"/>
    <w:rsid w:val="000922E0"/>
    <w:rsid w:val="0009234E"/>
    <w:rsid w:val="00092503"/>
    <w:rsid w:val="00092AE1"/>
    <w:rsid w:val="00092E2C"/>
    <w:rsid w:val="00092FCF"/>
    <w:rsid w:val="000931A1"/>
    <w:rsid w:val="00093266"/>
    <w:rsid w:val="00093732"/>
    <w:rsid w:val="00093763"/>
    <w:rsid w:val="0009390E"/>
    <w:rsid w:val="000939A8"/>
    <w:rsid w:val="00093AFF"/>
    <w:rsid w:val="00093DFB"/>
    <w:rsid w:val="0009440D"/>
    <w:rsid w:val="0009442A"/>
    <w:rsid w:val="00094437"/>
    <w:rsid w:val="0009445B"/>
    <w:rsid w:val="00094740"/>
    <w:rsid w:val="0009481E"/>
    <w:rsid w:val="00094850"/>
    <w:rsid w:val="000948F0"/>
    <w:rsid w:val="00094989"/>
    <w:rsid w:val="00094D59"/>
    <w:rsid w:val="00094E13"/>
    <w:rsid w:val="00094F78"/>
    <w:rsid w:val="00095187"/>
    <w:rsid w:val="00095347"/>
    <w:rsid w:val="00095441"/>
    <w:rsid w:val="00095466"/>
    <w:rsid w:val="000954C9"/>
    <w:rsid w:val="000959D0"/>
    <w:rsid w:val="00095D37"/>
    <w:rsid w:val="0009614A"/>
    <w:rsid w:val="00096221"/>
    <w:rsid w:val="000963BD"/>
    <w:rsid w:val="0009640C"/>
    <w:rsid w:val="00096543"/>
    <w:rsid w:val="00096696"/>
    <w:rsid w:val="0009671C"/>
    <w:rsid w:val="00096858"/>
    <w:rsid w:val="00096B5E"/>
    <w:rsid w:val="00096DAE"/>
    <w:rsid w:val="00096E05"/>
    <w:rsid w:val="0009708F"/>
    <w:rsid w:val="000973A1"/>
    <w:rsid w:val="00097423"/>
    <w:rsid w:val="00097918"/>
    <w:rsid w:val="00097EB1"/>
    <w:rsid w:val="00097EB4"/>
    <w:rsid w:val="00097FA9"/>
    <w:rsid w:val="000A04A2"/>
    <w:rsid w:val="000A0544"/>
    <w:rsid w:val="000A056E"/>
    <w:rsid w:val="000A0729"/>
    <w:rsid w:val="000A07A3"/>
    <w:rsid w:val="000A09A0"/>
    <w:rsid w:val="000A0B2D"/>
    <w:rsid w:val="000A0EE8"/>
    <w:rsid w:val="000A0F33"/>
    <w:rsid w:val="000A146F"/>
    <w:rsid w:val="000A17CF"/>
    <w:rsid w:val="000A1A61"/>
    <w:rsid w:val="000A1B37"/>
    <w:rsid w:val="000A1B9A"/>
    <w:rsid w:val="000A1BD6"/>
    <w:rsid w:val="000A1C79"/>
    <w:rsid w:val="000A1DC8"/>
    <w:rsid w:val="000A1E81"/>
    <w:rsid w:val="000A1F71"/>
    <w:rsid w:val="000A25C7"/>
    <w:rsid w:val="000A2750"/>
    <w:rsid w:val="000A2941"/>
    <w:rsid w:val="000A2B26"/>
    <w:rsid w:val="000A2BF1"/>
    <w:rsid w:val="000A2CA5"/>
    <w:rsid w:val="000A2CF8"/>
    <w:rsid w:val="000A2D86"/>
    <w:rsid w:val="000A2D93"/>
    <w:rsid w:val="000A2E68"/>
    <w:rsid w:val="000A30EC"/>
    <w:rsid w:val="000A3160"/>
    <w:rsid w:val="000A334A"/>
    <w:rsid w:val="000A356F"/>
    <w:rsid w:val="000A38F8"/>
    <w:rsid w:val="000A3AC2"/>
    <w:rsid w:val="000A3D43"/>
    <w:rsid w:val="000A3D73"/>
    <w:rsid w:val="000A3DDB"/>
    <w:rsid w:val="000A3F46"/>
    <w:rsid w:val="000A4001"/>
    <w:rsid w:val="000A4064"/>
    <w:rsid w:val="000A413F"/>
    <w:rsid w:val="000A4422"/>
    <w:rsid w:val="000A449B"/>
    <w:rsid w:val="000A45FC"/>
    <w:rsid w:val="000A4781"/>
    <w:rsid w:val="000A4813"/>
    <w:rsid w:val="000A49FC"/>
    <w:rsid w:val="000A4B40"/>
    <w:rsid w:val="000A504F"/>
    <w:rsid w:val="000A52A7"/>
    <w:rsid w:val="000A52B2"/>
    <w:rsid w:val="000A5341"/>
    <w:rsid w:val="000A54D3"/>
    <w:rsid w:val="000A55E7"/>
    <w:rsid w:val="000A5963"/>
    <w:rsid w:val="000A59F1"/>
    <w:rsid w:val="000A5A0F"/>
    <w:rsid w:val="000A5BF6"/>
    <w:rsid w:val="000A5E7D"/>
    <w:rsid w:val="000A5F90"/>
    <w:rsid w:val="000A5FBB"/>
    <w:rsid w:val="000A606C"/>
    <w:rsid w:val="000A60B3"/>
    <w:rsid w:val="000A60D4"/>
    <w:rsid w:val="000A64DC"/>
    <w:rsid w:val="000A650E"/>
    <w:rsid w:val="000A6946"/>
    <w:rsid w:val="000A698D"/>
    <w:rsid w:val="000A6C6B"/>
    <w:rsid w:val="000A6F65"/>
    <w:rsid w:val="000A7148"/>
    <w:rsid w:val="000A77FB"/>
    <w:rsid w:val="000A786F"/>
    <w:rsid w:val="000A7948"/>
    <w:rsid w:val="000A7A02"/>
    <w:rsid w:val="000A7A9B"/>
    <w:rsid w:val="000A7E37"/>
    <w:rsid w:val="000A7F7F"/>
    <w:rsid w:val="000B006D"/>
    <w:rsid w:val="000B011D"/>
    <w:rsid w:val="000B05A8"/>
    <w:rsid w:val="000B05BF"/>
    <w:rsid w:val="000B062E"/>
    <w:rsid w:val="000B06AC"/>
    <w:rsid w:val="000B06D1"/>
    <w:rsid w:val="000B0905"/>
    <w:rsid w:val="000B093E"/>
    <w:rsid w:val="000B0943"/>
    <w:rsid w:val="000B098B"/>
    <w:rsid w:val="000B0B68"/>
    <w:rsid w:val="000B0D74"/>
    <w:rsid w:val="000B0E14"/>
    <w:rsid w:val="000B0E44"/>
    <w:rsid w:val="000B0E8D"/>
    <w:rsid w:val="000B11C0"/>
    <w:rsid w:val="000B11D3"/>
    <w:rsid w:val="000B152E"/>
    <w:rsid w:val="000B1B22"/>
    <w:rsid w:val="000B1BC8"/>
    <w:rsid w:val="000B1C12"/>
    <w:rsid w:val="000B1D04"/>
    <w:rsid w:val="000B1DB5"/>
    <w:rsid w:val="000B202B"/>
    <w:rsid w:val="000B2538"/>
    <w:rsid w:val="000B266C"/>
    <w:rsid w:val="000B2937"/>
    <w:rsid w:val="000B2C9D"/>
    <w:rsid w:val="000B2CF7"/>
    <w:rsid w:val="000B2D33"/>
    <w:rsid w:val="000B2DF9"/>
    <w:rsid w:val="000B32B8"/>
    <w:rsid w:val="000B3810"/>
    <w:rsid w:val="000B39DB"/>
    <w:rsid w:val="000B3A84"/>
    <w:rsid w:val="000B3DE8"/>
    <w:rsid w:val="000B3F5C"/>
    <w:rsid w:val="000B3FC1"/>
    <w:rsid w:val="000B3FFD"/>
    <w:rsid w:val="000B422D"/>
    <w:rsid w:val="000B43CD"/>
    <w:rsid w:val="000B4586"/>
    <w:rsid w:val="000B45E0"/>
    <w:rsid w:val="000B4796"/>
    <w:rsid w:val="000B49A9"/>
    <w:rsid w:val="000B4EFB"/>
    <w:rsid w:val="000B4F74"/>
    <w:rsid w:val="000B515A"/>
    <w:rsid w:val="000B53F6"/>
    <w:rsid w:val="000B57B4"/>
    <w:rsid w:val="000B58BE"/>
    <w:rsid w:val="000B5921"/>
    <w:rsid w:val="000B59AB"/>
    <w:rsid w:val="000B5B2A"/>
    <w:rsid w:val="000B5BEC"/>
    <w:rsid w:val="000B5C1B"/>
    <w:rsid w:val="000B5C3A"/>
    <w:rsid w:val="000B5C98"/>
    <w:rsid w:val="000B5CCB"/>
    <w:rsid w:val="000B5E04"/>
    <w:rsid w:val="000B60B0"/>
    <w:rsid w:val="000B60C5"/>
    <w:rsid w:val="000B6109"/>
    <w:rsid w:val="000B6188"/>
    <w:rsid w:val="000B627E"/>
    <w:rsid w:val="000B66EA"/>
    <w:rsid w:val="000B698A"/>
    <w:rsid w:val="000B6ADC"/>
    <w:rsid w:val="000B6CAC"/>
    <w:rsid w:val="000B6DD9"/>
    <w:rsid w:val="000B6ECD"/>
    <w:rsid w:val="000B7017"/>
    <w:rsid w:val="000B7031"/>
    <w:rsid w:val="000B713C"/>
    <w:rsid w:val="000B73A0"/>
    <w:rsid w:val="000B746D"/>
    <w:rsid w:val="000B7610"/>
    <w:rsid w:val="000B7817"/>
    <w:rsid w:val="000B78D3"/>
    <w:rsid w:val="000B79BA"/>
    <w:rsid w:val="000B7A7C"/>
    <w:rsid w:val="000B7AC4"/>
    <w:rsid w:val="000B7CE7"/>
    <w:rsid w:val="000B7D76"/>
    <w:rsid w:val="000B7F5A"/>
    <w:rsid w:val="000C00A3"/>
    <w:rsid w:val="000C015E"/>
    <w:rsid w:val="000C0212"/>
    <w:rsid w:val="000C0228"/>
    <w:rsid w:val="000C0256"/>
    <w:rsid w:val="000C05F8"/>
    <w:rsid w:val="000C084F"/>
    <w:rsid w:val="000C08A6"/>
    <w:rsid w:val="000C0916"/>
    <w:rsid w:val="000C0945"/>
    <w:rsid w:val="000C098F"/>
    <w:rsid w:val="000C0B43"/>
    <w:rsid w:val="000C0D8D"/>
    <w:rsid w:val="000C0DE2"/>
    <w:rsid w:val="000C113F"/>
    <w:rsid w:val="000C129C"/>
    <w:rsid w:val="000C1348"/>
    <w:rsid w:val="000C176D"/>
    <w:rsid w:val="000C1893"/>
    <w:rsid w:val="000C1DD7"/>
    <w:rsid w:val="000C1E5D"/>
    <w:rsid w:val="000C1FCE"/>
    <w:rsid w:val="000C20B7"/>
    <w:rsid w:val="000C2534"/>
    <w:rsid w:val="000C2689"/>
    <w:rsid w:val="000C2800"/>
    <w:rsid w:val="000C2C18"/>
    <w:rsid w:val="000C2DAE"/>
    <w:rsid w:val="000C2DDE"/>
    <w:rsid w:val="000C2E7F"/>
    <w:rsid w:val="000C2E90"/>
    <w:rsid w:val="000C2FA1"/>
    <w:rsid w:val="000C307E"/>
    <w:rsid w:val="000C30CA"/>
    <w:rsid w:val="000C32B2"/>
    <w:rsid w:val="000C35DC"/>
    <w:rsid w:val="000C37CD"/>
    <w:rsid w:val="000C3987"/>
    <w:rsid w:val="000C3A5C"/>
    <w:rsid w:val="000C3CD1"/>
    <w:rsid w:val="000C3EB1"/>
    <w:rsid w:val="000C3F41"/>
    <w:rsid w:val="000C405C"/>
    <w:rsid w:val="000C43A8"/>
    <w:rsid w:val="000C47A4"/>
    <w:rsid w:val="000C494E"/>
    <w:rsid w:val="000C4B30"/>
    <w:rsid w:val="000C4F61"/>
    <w:rsid w:val="000C5248"/>
    <w:rsid w:val="000C5364"/>
    <w:rsid w:val="000C53ED"/>
    <w:rsid w:val="000C542B"/>
    <w:rsid w:val="000C54BA"/>
    <w:rsid w:val="000C54ED"/>
    <w:rsid w:val="000C5604"/>
    <w:rsid w:val="000C57D7"/>
    <w:rsid w:val="000C5AAC"/>
    <w:rsid w:val="000C5AD6"/>
    <w:rsid w:val="000C5DF4"/>
    <w:rsid w:val="000C61FC"/>
    <w:rsid w:val="000C667F"/>
    <w:rsid w:val="000C66E2"/>
    <w:rsid w:val="000C6758"/>
    <w:rsid w:val="000C680E"/>
    <w:rsid w:val="000C6B24"/>
    <w:rsid w:val="000C6C20"/>
    <w:rsid w:val="000C6C6A"/>
    <w:rsid w:val="000C6D44"/>
    <w:rsid w:val="000C7039"/>
    <w:rsid w:val="000C7279"/>
    <w:rsid w:val="000C731C"/>
    <w:rsid w:val="000C7453"/>
    <w:rsid w:val="000C75EC"/>
    <w:rsid w:val="000C785A"/>
    <w:rsid w:val="000C78CF"/>
    <w:rsid w:val="000C7917"/>
    <w:rsid w:val="000C79B4"/>
    <w:rsid w:val="000D007D"/>
    <w:rsid w:val="000D02F8"/>
    <w:rsid w:val="000D03A6"/>
    <w:rsid w:val="000D045C"/>
    <w:rsid w:val="000D0501"/>
    <w:rsid w:val="000D0526"/>
    <w:rsid w:val="000D058A"/>
    <w:rsid w:val="000D0959"/>
    <w:rsid w:val="000D0971"/>
    <w:rsid w:val="000D09D5"/>
    <w:rsid w:val="000D0B6C"/>
    <w:rsid w:val="000D0DE8"/>
    <w:rsid w:val="000D0E85"/>
    <w:rsid w:val="000D0F55"/>
    <w:rsid w:val="000D10E1"/>
    <w:rsid w:val="000D133A"/>
    <w:rsid w:val="000D13EE"/>
    <w:rsid w:val="000D1A7F"/>
    <w:rsid w:val="000D1A9E"/>
    <w:rsid w:val="000D1C0D"/>
    <w:rsid w:val="000D1C7F"/>
    <w:rsid w:val="000D1FA0"/>
    <w:rsid w:val="000D1FBB"/>
    <w:rsid w:val="000D22C9"/>
    <w:rsid w:val="000D2591"/>
    <w:rsid w:val="000D2766"/>
    <w:rsid w:val="000D2791"/>
    <w:rsid w:val="000D27CB"/>
    <w:rsid w:val="000D2915"/>
    <w:rsid w:val="000D2B2D"/>
    <w:rsid w:val="000D2E95"/>
    <w:rsid w:val="000D3014"/>
    <w:rsid w:val="000D3065"/>
    <w:rsid w:val="000D30A5"/>
    <w:rsid w:val="000D3206"/>
    <w:rsid w:val="000D3600"/>
    <w:rsid w:val="000D36C2"/>
    <w:rsid w:val="000D397B"/>
    <w:rsid w:val="000D39C9"/>
    <w:rsid w:val="000D3A3B"/>
    <w:rsid w:val="000D3B14"/>
    <w:rsid w:val="000D3C07"/>
    <w:rsid w:val="000D3CC1"/>
    <w:rsid w:val="000D3DC0"/>
    <w:rsid w:val="000D3DD3"/>
    <w:rsid w:val="000D3FB7"/>
    <w:rsid w:val="000D403D"/>
    <w:rsid w:val="000D40BE"/>
    <w:rsid w:val="000D410B"/>
    <w:rsid w:val="000D4719"/>
    <w:rsid w:val="000D4861"/>
    <w:rsid w:val="000D48CF"/>
    <w:rsid w:val="000D4973"/>
    <w:rsid w:val="000D4A62"/>
    <w:rsid w:val="000D4C25"/>
    <w:rsid w:val="000D4C3E"/>
    <w:rsid w:val="000D4ED9"/>
    <w:rsid w:val="000D50C6"/>
    <w:rsid w:val="000D51FC"/>
    <w:rsid w:val="000D54D5"/>
    <w:rsid w:val="000D5614"/>
    <w:rsid w:val="000D5709"/>
    <w:rsid w:val="000D5730"/>
    <w:rsid w:val="000D58DD"/>
    <w:rsid w:val="000D5A56"/>
    <w:rsid w:val="000D5A60"/>
    <w:rsid w:val="000D5AC5"/>
    <w:rsid w:val="000D5F5D"/>
    <w:rsid w:val="000D6019"/>
    <w:rsid w:val="000D603C"/>
    <w:rsid w:val="000D605A"/>
    <w:rsid w:val="000D60CD"/>
    <w:rsid w:val="000D6155"/>
    <w:rsid w:val="000D61FC"/>
    <w:rsid w:val="000D627A"/>
    <w:rsid w:val="000D6286"/>
    <w:rsid w:val="000D62F1"/>
    <w:rsid w:val="000D63AE"/>
    <w:rsid w:val="000D6593"/>
    <w:rsid w:val="000D659F"/>
    <w:rsid w:val="000D679A"/>
    <w:rsid w:val="000D686B"/>
    <w:rsid w:val="000D6A22"/>
    <w:rsid w:val="000D6C8C"/>
    <w:rsid w:val="000D6D27"/>
    <w:rsid w:val="000D6D7A"/>
    <w:rsid w:val="000D6D81"/>
    <w:rsid w:val="000D7134"/>
    <w:rsid w:val="000D71DF"/>
    <w:rsid w:val="000D720B"/>
    <w:rsid w:val="000D7486"/>
    <w:rsid w:val="000D749C"/>
    <w:rsid w:val="000D76E2"/>
    <w:rsid w:val="000D7960"/>
    <w:rsid w:val="000D79B2"/>
    <w:rsid w:val="000D7C6D"/>
    <w:rsid w:val="000D7D2F"/>
    <w:rsid w:val="000D7EF8"/>
    <w:rsid w:val="000E01E1"/>
    <w:rsid w:val="000E03C2"/>
    <w:rsid w:val="000E046C"/>
    <w:rsid w:val="000E08B4"/>
    <w:rsid w:val="000E0A8B"/>
    <w:rsid w:val="000E0BB4"/>
    <w:rsid w:val="000E0E4E"/>
    <w:rsid w:val="000E0E76"/>
    <w:rsid w:val="000E11A4"/>
    <w:rsid w:val="000E1297"/>
    <w:rsid w:val="000E140C"/>
    <w:rsid w:val="000E15BA"/>
    <w:rsid w:val="000E15FF"/>
    <w:rsid w:val="000E1A54"/>
    <w:rsid w:val="000E1BFF"/>
    <w:rsid w:val="000E1CC3"/>
    <w:rsid w:val="000E1D2A"/>
    <w:rsid w:val="000E2029"/>
    <w:rsid w:val="000E2073"/>
    <w:rsid w:val="000E21CC"/>
    <w:rsid w:val="000E21E2"/>
    <w:rsid w:val="000E238F"/>
    <w:rsid w:val="000E2645"/>
    <w:rsid w:val="000E2710"/>
    <w:rsid w:val="000E2BBE"/>
    <w:rsid w:val="000E2F3E"/>
    <w:rsid w:val="000E2F9C"/>
    <w:rsid w:val="000E2FD2"/>
    <w:rsid w:val="000E3070"/>
    <w:rsid w:val="000E30AD"/>
    <w:rsid w:val="000E31EC"/>
    <w:rsid w:val="000E3237"/>
    <w:rsid w:val="000E36D8"/>
    <w:rsid w:val="000E3765"/>
    <w:rsid w:val="000E3A50"/>
    <w:rsid w:val="000E3A57"/>
    <w:rsid w:val="000E3CAB"/>
    <w:rsid w:val="000E3D35"/>
    <w:rsid w:val="000E3DA6"/>
    <w:rsid w:val="000E3DC1"/>
    <w:rsid w:val="000E3E17"/>
    <w:rsid w:val="000E3E4B"/>
    <w:rsid w:val="000E40C0"/>
    <w:rsid w:val="000E40F5"/>
    <w:rsid w:val="000E41F7"/>
    <w:rsid w:val="000E42E3"/>
    <w:rsid w:val="000E4399"/>
    <w:rsid w:val="000E43EF"/>
    <w:rsid w:val="000E4506"/>
    <w:rsid w:val="000E4614"/>
    <w:rsid w:val="000E4830"/>
    <w:rsid w:val="000E48C3"/>
    <w:rsid w:val="000E49A2"/>
    <w:rsid w:val="000E4A8A"/>
    <w:rsid w:val="000E4D78"/>
    <w:rsid w:val="000E4E53"/>
    <w:rsid w:val="000E4EB5"/>
    <w:rsid w:val="000E518A"/>
    <w:rsid w:val="000E523B"/>
    <w:rsid w:val="000E52A0"/>
    <w:rsid w:val="000E52D8"/>
    <w:rsid w:val="000E577B"/>
    <w:rsid w:val="000E5984"/>
    <w:rsid w:val="000E5A53"/>
    <w:rsid w:val="000E5A7E"/>
    <w:rsid w:val="000E5E1C"/>
    <w:rsid w:val="000E630E"/>
    <w:rsid w:val="000E6310"/>
    <w:rsid w:val="000E6330"/>
    <w:rsid w:val="000E6A78"/>
    <w:rsid w:val="000E6BA0"/>
    <w:rsid w:val="000E6C9C"/>
    <w:rsid w:val="000E6F2B"/>
    <w:rsid w:val="000E6FB2"/>
    <w:rsid w:val="000E7322"/>
    <w:rsid w:val="000E75C5"/>
    <w:rsid w:val="000E75DF"/>
    <w:rsid w:val="000E76FA"/>
    <w:rsid w:val="000E78CF"/>
    <w:rsid w:val="000E7A19"/>
    <w:rsid w:val="000E7A4A"/>
    <w:rsid w:val="000F0038"/>
    <w:rsid w:val="000F0175"/>
    <w:rsid w:val="000F01A4"/>
    <w:rsid w:val="000F01BE"/>
    <w:rsid w:val="000F02A3"/>
    <w:rsid w:val="000F0630"/>
    <w:rsid w:val="000F0791"/>
    <w:rsid w:val="000F0A22"/>
    <w:rsid w:val="000F0A55"/>
    <w:rsid w:val="000F0B2F"/>
    <w:rsid w:val="000F0F57"/>
    <w:rsid w:val="000F1275"/>
    <w:rsid w:val="000F1658"/>
    <w:rsid w:val="000F1684"/>
    <w:rsid w:val="000F186E"/>
    <w:rsid w:val="000F18D5"/>
    <w:rsid w:val="000F1989"/>
    <w:rsid w:val="000F19CA"/>
    <w:rsid w:val="000F1AFD"/>
    <w:rsid w:val="000F1BB3"/>
    <w:rsid w:val="000F1E6A"/>
    <w:rsid w:val="000F1F28"/>
    <w:rsid w:val="000F207E"/>
    <w:rsid w:val="000F20B2"/>
    <w:rsid w:val="000F2259"/>
    <w:rsid w:val="000F22B9"/>
    <w:rsid w:val="000F2641"/>
    <w:rsid w:val="000F26F7"/>
    <w:rsid w:val="000F27D2"/>
    <w:rsid w:val="000F2DC6"/>
    <w:rsid w:val="000F2DFC"/>
    <w:rsid w:val="000F2F5F"/>
    <w:rsid w:val="000F3583"/>
    <w:rsid w:val="000F367F"/>
    <w:rsid w:val="000F37CA"/>
    <w:rsid w:val="000F3B0E"/>
    <w:rsid w:val="000F3D27"/>
    <w:rsid w:val="000F4031"/>
    <w:rsid w:val="000F4059"/>
    <w:rsid w:val="000F41BF"/>
    <w:rsid w:val="000F42A3"/>
    <w:rsid w:val="000F43EF"/>
    <w:rsid w:val="000F449D"/>
    <w:rsid w:val="000F44EF"/>
    <w:rsid w:val="000F45D2"/>
    <w:rsid w:val="000F45DD"/>
    <w:rsid w:val="000F46B4"/>
    <w:rsid w:val="000F46CB"/>
    <w:rsid w:val="000F482F"/>
    <w:rsid w:val="000F4A1B"/>
    <w:rsid w:val="000F4B40"/>
    <w:rsid w:val="000F4CE5"/>
    <w:rsid w:val="000F4D50"/>
    <w:rsid w:val="000F4E34"/>
    <w:rsid w:val="000F4F23"/>
    <w:rsid w:val="000F5329"/>
    <w:rsid w:val="000F5366"/>
    <w:rsid w:val="000F54E5"/>
    <w:rsid w:val="000F5680"/>
    <w:rsid w:val="000F5A33"/>
    <w:rsid w:val="000F5A55"/>
    <w:rsid w:val="000F5BF4"/>
    <w:rsid w:val="000F5C7D"/>
    <w:rsid w:val="000F5D9B"/>
    <w:rsid w:val="000F5EDA"/>
    <w:rsid w:val="000F6019"/>
    <w:rsid w:val="000F60A7"/>
    <w:rsid w:val="000F61CF"/>
    <w:rsid w:val="000F625D"/>
    <w:rsid w:val="000F6306"/>
    <w:rsid w:val="000F6433"/>
    <w:rsid w:val="000F64CD"/>
    <w:rsid w:val="000F65BB"/>
    <w:rsid w:val="000F6676"/>
    <w:rsid w:val="000F6831"/>
    <w:rsid w:val="000F68E5"/>
    <w:rsid w:val="000F6A72"/>
    <w:rsid w:val="000F6ABE"/>
    <w:rsid w:val="000F6BCB"/>
    <w:rsid w:val="000F6CEB"/>
    <w:rsid w:val="000F6CF1"/>
    <w:rsid w:val="000F6CFE"/>
    <w:rsid w:val="000F6D24"/>
    <w:rsid w:val="000F6ED1"/>
    <w:rsid w:val="000F6F30"/>
    <w:rsid w:val="000F6F53"/>
    <w:rsid w:val="000F6F7A"/>
    <w:rsid w:val="000F7026"/>
    <w:rsid w:val="000F714D"/>
    <w:rsid w:val="000F71C9"/>
    <w:rsid w:val="000F73C8"/>
    <w:rsid w:val="000F7525"/>
    <w:rsid w:val="000F76B0"/>
    <w:rsid w:val="000F7BB9"/>
    <w:rsid w:val="000F7E18"/>
    <w:rsid w:val="0010049B"/>
    <w:rsid w:val="001004DC"/>
    <w:rsid w:val="00100A52"/>
    <w:rsid w:val="00100DD7"/>
    <w:rsid w:val="00100DDD"/>
    <w:rsid w:val="00100DF8"/>
    <w:rsid w:val="00100E02"/>
    <w:rsid w:val="00101203"/>
    <w:rsid w:val="0010135C"/>
    <w:rsid w:val="00101401"/>
    <w:rsid w:val="00101547"/>
    <w:rsid w:val="0010159D"/>
    <w:rsid w:val="0010173D"/>
    <w:rsid w:val="00101AE9"/>
    <w:rsid w:val="00101AFA"/>
    <w:rsid w:val="00102135"/>
    <w:rsid w:val="001021EF"/>
    <w:rsid w:val="001022DA"/>
    <w:rsid w:val="001022DD"/>
    <w:rsid w:val="001023CB"/>
    <w:rsid w:val="00102522"/>
    <w:rsid w:val="00102849"/>
    <w:rsid w:val="001028ED"/>
    <w:rsid w:val="0010295F"/>
    <w:rsid w:val="00102A00"/>
    <w:rsid w:val="00102FFF"/>
    <w:rsid w:val="0010320A"/>
    <w:rsid w:val="00103226"/>
    <w:rsid w:val="0010329D"/>
    <w:rsid w:val="001033CC"/>
    <w:rsid w:val="00103462"/>
    <w:rsid w:val="001034B0"/>
    <w:rsid w:val="0010364E"/>
    <w:rsid w:val="001039E2"/>
    <w:rsid w:val="00103A10"/>
    <w:rsid w:val="00103F74"/>
    <w:rsid w:val="001041DB"/>
    <w:rsid w:val="001041E4"/>
    <w:rsid w:val="0010440A"/>
    <w:rsid w:val="00104522"/>
    <w:rsid w:val="0010479C"/>
    <w:rsid w:val="001048D8"/>
    <w:rsid w:val="00104A1E"/>
    <w:rsid w:val="00104BB4"/>
    <w:rsid w:val="00104CB4"/>
    <w:rsid w:val="00104E3D"/>
    <w:rsid w:val="001051BD"/>
    <w:rsid w:val="001052C2"/>
    <w:rsid w:val="00105363"/>
    <w:rsid w:val="0010537C"/>
    <w:rsid w:val="00105514"/>
    <w:rsid w:val="00105597"/>
    <w:rsid w:val="001055EF"/>
    <w:rsid w:val="001058D1"/>
    <w:rsid w:val="00105C01"/>
    <w:rsid w:val="00105C3B"/>
    <w:rsid w:val="00105CAA"/>
    <w:rsid w:val="00106013"/>
    <w:rsid w:val="001060AE"/>
    <w:rsid w:val="00106118"/>
    <w:rsid w:val="001063C0"/>
    <w:rsid w:val="001069A5"/>
    <w:rsid w:val="00106C54"/>
    <w:rsid w:val="00106CB4"/>
    <w:rsid w:val="00106CB5"/>
    <w:rsid w:val="00106DBA"/>
    <w:rsid w:val="00106E3E"/>
    <w:rsid w:val="00106E94"/>
    <w:rsid w:val="00106F55"/>
    <w:rsid w:val="00107016"/>
    <w:rsid w:val="001070FF"/>
    <w:rsid w:val="00107106"/>
    <w:rsid w:val="001073D6"/>
    <w:rsid w:val="001073EC"/>
    <w:rsid w:val="00107525"/>
    <w:rsid w:val="0010765D"/>
    <w:rsid w:val="001076FD"/>
    <w:rsid w:val="001079A9"/>
    <w:rsid w:val="001079DE"/>
    <w:rsid w:val="00107AFF"/>
    <w:rsid w:val="00107CDB"/>
    <w:rsid w:val="00107D6F"/>
    <w:rsid w:val="00107DC4"/>
    <w:rsid w:val="001104E8"/>
    <w:rsid w:val="00110524"/>
    <w:rsid w:val="00110B92"/>
    <w:rsid w:val="00110BA9"/>
    <w:rsid w:val="00110F95"/>
    <w:rsid w:val="00111021"/>
    <w:rsid w:val="0011110F"/>
    <w:rsid w:val="001111BC"/>
    <w:rsid w:val="001112FB"/>
    <w:rsid w:val="001115D5"/>
    <w:rsid w:val="0011172B"/>
    <w:rsid w:val="00111740"/>
    <w:rsid w:val="0011176F"/>
    <w:rsid w:val="00111856"/>
    <w:rsid w:val="001118CF"/>
    <w:rsid w:val="001118FB"/>
    <w:rsid w:val="00111988"/>
    <w:rsid w:val="00111A66"/>
    <w:rsid w:val="00111B68"/>
    <w:rsid w:val="00111C74"/>
    <w:rsid w:val="00111D61"/>
    <w:rsid w:val="00111E02"/>
    <w:rsid w:val="00112002"/>
    <w:rsid w:val="00112057"/>
    <w:rsid w:val="001123F6"/>
    <w:rsid w:val="001124D6"/>
    <w:rsid w:val="0011258A"/>
    <w:rsid w:val="001126ED"/>
    <w:rsid w:val="00112777"/>
    <w:rsid w:val="00112780"/>
    <w:rsid w:val="00112865"/>
    <w:rsid w:val="00112912"/>
    <w:rsid w:val="00112FCE"/>
    <w:rsid w:val="00113642"/>
    <w:rsid w:val="001136FA"/>
    <w:rsid w:val="0011374D"/>
    <w:rsid w:val="00113AAF"/>
    <w:rsid w:val="00113B1B"/>
    <w:rsid w:val="00113BAD"/>
    <w:rsid w:val="00113C86"/>
    <w:rsid w:val="00113D5C"/>
    <w:rsid w:val="00113EBD"/>
    <w:rsid w:val="00113F03"/>
    <w:rsid w:val="001140F3"/>
    <w:rsid w:val="00114202"/>
    <w:rsid w:val="00114347"/>
    <w:rsid w:val="00114476"/>
    <w:rsid w:val="001145FB"/>
    <w:rsid w:val="001146BF"/>
    <w:rsid w:val="001146D9"/>
    <w:rsid w:val="0011475C"/>
    <w:rsid w:val="001148C8"/>
    <w:rsid w:val="001149B5"/>
    <w:rsid w:val="00114AF3"/>
    <w:rsid w:val="00114E28"/>
    <w:rsid w:val="001153FB"/>
    <w:rsid w:val="00115735"/>
    <w:rsid w:val="001158EA"/>
    <w:rsid w:val="00115AB2"/>
    <w:rsid w:val="00115D96"/>
    <w:rsid w:val="00115EC6"/>
    <w:rsid w:val="00116349"/>
    <w:rsid w:val="001165A3"/>
    <w:rsid w:val="00116694"/>
    <w:rsid w:val="0011686D"/>
    <w:rsid w:val="00116A5C"/>
    <w:rsid w:val="00116ACC"/>
    <w:rsid w:val="00117047"/>
    <w:rsid w:val="001171C0"/>
    <w:rsid w:val="00117228"/>
    <w:rsid w:val="00117292"/>
    <w:rsid w:val="001172D8"/>
    <w:rsid w:val="001173B6"/>
    <w:rsid w:val="00117434"/>
    <w:rsid w:val="00117921"/>
    <w:rsid w:val="00117970"/>
    <w:rsid w:val="00117BB4"/>
    <w:rsid w:val="00117C6F"/>
    <w:rsid w:val="00117CB0"/>
    <w:rsid w:val="00117D3A"/>
    <w:rsid w:val="00117D8A"/>
    <w:rsid w:val="00117FDD"/>
    <w:rsid w:val="00120020"/>
    <w:rsid w:val="001202D8"/>
    <w:rsid w:val="00120405"/>
    <w:rsid w:val="0012052C"/>
    <w:rsid w:val="001207AB"/>
    <w:rsid w:val="001207D0"/>
    <w:rsid w:val="00120842"/>
    <w:rsid w:val="00120856"/>
    <w:rsid w:val="001208B1"/>
    <w:rsid w:val="00120B9A"/>
    <w:rsid w:val="001210B5"/>
    <w:rsid w:val="001210C2"/>
    <w:rsid w:val="0012127C"/>
    <w:rsid w:val="0012129C"/>
    <w:rsid w:val="00121463"/>
    <w:rsid w:val="001215E8"/>
    <w:rsid w:val="00121692"/>
    <w:rsid w:val="0012170C"/>
    <w:rsid w:val="00121821"/>
    <w:rsid w:val="00121825"/>
    <w:rsid w:val="00121865"/>
    <w:rsid w:val="00121AB0"/>
    <w:rsid w:val="00121AC3"/>
    <w:rsid w:val="00121D82"/>
    <w:rsid w:val="00121E40"/>
    <w:rsid w:val="00122126"/>
    <w:rsid w:val="00122159"/>
    <w:rsid w:val="0012218A"/>
    <w:rsid w:val="001221BF"/>
    <w:rsid w:val="00122221"/>
    <w:rsid w:val="0012249D"/>
    <w:rsid w:val="0012253A"/>
    <w:rsid w:val="00122582"/>
    <w:rsid w:val="0012289A"/>
    <w:rsid w:val="0012292A"/>
    <w:rsid w:val="0012292B"/>
    <w:rsid w:val="0012297C"/>
    <w:rsid w:val="00122A38"/>
    <w:rsid w:val="00122D7D"/>
    <w:rsid w:val="00122D89"/>
    <w:rsid w:val="00122D97"/>
    <w:rsid w:val="00122E34"/>
    <w:rsid w:val="00122EB6"/>
    <w:rsid w:val="001234D2"/>
    <w:rsid w:val="001235D1"/>
    <w:rsid w:val="001236C5"/>
    <w:rsid w:val="0012377D"/>
    <w:rsid w:val="00123856"/>
    <w:rsid w:val="00123896"/>
    <w:rsid w:val="0012398C"/>
    <w:rsid w:val="00123AC0"/>
    <w:rsid w:val="00123BA8"/>
    <w:rsid w:val="00123C11"/>
    <w:rsid w:val="00123CBA"/>
    <w:rsid w:val="00123CFA"/>
    <w:rsid w:val="00123D21"/>
    <w:rsid w:val="00123EC9"/>
    <w:rsid w:val="0012402B"/>
    <w:rsid w:val="00124232"/>
    <w:rsid w:val="001242AC"/>
    <w:rsid w:val="00124345"/>
    <w:rsid w:val="00124416"/>
    <w:rsid w:val="0012445E"/>
    <w:rsid w:val="0012465F"/>
    <w:rsid w:val="001246A6"/>
    <w:rsid w:val="001246E7"/>
    <w:rsid w:val="0012471C"/>
    <w:rsid w:val="001247B8"/>
    <w:rsid w:val="00124A1B"/>
    <w:rsid w:val="00124A63"/>
    <w:rsid w:val="00124BA1"/>
    <w:rsid w:val="00124CBB"/>
    <w:rsid w:val="00124DB7"/>
    <w:rsid w:val="00124E28"/>
    <w:rsid w:val="00125196"/>
    <w:rsid w:val="0012520E"/>
    <w:rsid w:val="00125235"/>
    <w:rsid w:val="0012537E"/>
    <w:rsid w:val="001253A6"/>
    <w:rsid w:val="0012543E"/>
    <w:rsid w:val="00125498"/>
    <w:rsid w:val="0012553E"/>
    <w:rsid w:val="001256C8"/>
    <w:rsid w:val="001256E7"/>
    <w:rsid w:val="0012574F"/>
    <w:rsid w:val="0012595B"/>
    <w:rsid w:val="00125B16"/>
    <w:rsid w:val="00125C69"/>
    <w:rsid w:val="00125C9D"/>
    <w:rsid w:val="00125D58"/>
    <w:rsid w:val="00125E80"/>
    <w:rsid w:val="00126067"/>
    <w:rsid w:val="001260A7"/>
    <w:rsid w:val="00126311"/>
    <w:rsid w:val="00126349"/>
    <w:rsid w:val="00126391"/>
    <w:rsid w:val="00126404"/>
    <w:rsid w:val="0012659E"/>
    <w:rsid w:val="001269E6"/>
    <w:rsid w:val="00126A07"/>
    <w:rsid w:val="00126A37"/>
    <w:rsid w:val="00126B3A"/>
    <w:rsid w:val="00126BAB"/>
    <w:rsid w:val="00126D33"/>
    <w:rsid w:val="00126F75"/>
    <w:rsid w:val="00127160"/>
    <w:rsid w:val="0012733E"/>
    <w:rsid w:val="00127459"/>
    <w:rsid w:val="001274D7"/>
    <w:rsid w:val="00127663"/>
    <w:rsid w:val="0012766E"/>
    <w:rsid w:val="00127791"/>
    <w:rsid w:val="00127901"/>
    <w:rsid w:val="00127A12"/>
    <w:rsid w:val="00127B49"/>
    <w:rsid w:val="00127D63"/>
    <w:rsid w:val="00127EBA"/>
    <w:rsid w:val="00127F6F"/>
    <w:rsid w:val="00130131"/>
    <w:rsid w:val="0013013C"/>
    <w:rsid w:val="00130263"/>
    <w:rsid w:val="001303E2"/>
    <w:rsid w:val="001303FF"/>
    <w:rsid w:val="001308E6"/>
    <w:rsid w:val="00130918"/>
    <w:rsid w:val="00130A8D"/>
    <w:rsid w:val="00130B98"/>
    <w:rsid w:val="00130B9B"/>
    <w:rsid w:val="00130CF8"/>
    <w:rsid w:val="00130EDD"/>
    <w:rsid w:val="0013113E"/>
    <w:rsid w:val="00131571"/>
    <w:rsid w:val="00131636"/>
    <w:rsid w:val="0013174B"/>
    <w:rsid w:val="00131BD7"/>
    <w:rsid w:val="00131CB7"/>
    <w:rsid w:val="00131E68"/>
    <w:rsid w:val="00131F18"/>
    <w:rsid w:val="00131F9D"/>
    <w:rsid w:val="00132000"/>
    <w:rsid w:val="0013209F"/>
    <w:rsid w:val="00132213"/>
    <w:rsid w:val="0013228F"/>
    <w:rsid w:val="00132479"/>
    <w:rsid w:val="001324EA"/>
    <w:rsid w:val="001325DF"/>
    <w:rsid w:val="001325EC"/>
    <w:rsid w:val="00132736"/>
    <w:rsid w:val="0013274B"/>
    <w:rsid w:val="001328A9"/>
    <w:rsid w:val="0013298C"/>
    <w:rsid w:val="00132FDD"/>
    <w:rsid w:val="00132FEC"/>
    <w:rsid w:val="00133005"/>
    <w:rsid w:val="001331D4"/>
    <w:rsid w:val="0013367B"/>
    <w:rsid w:val="00133747"/>
    <w:rsid w:val="00133782"/>
    <w:rsid w:val="00133795"/>
    <w:rsid w:val="001339AF"/>
    <w:rsid w:val="00133B30"/>
    <w:rsid w:val="00133BAC"/>
    <w:rsid w:val="00133C4C"/>
    <w:rsid w:val="00133C71"/>
    <w:rsid w:val="0013410B"/>
    <w:rsid w:val="001341B9"/>
    <w:rsid w:val="00134502"/>
    <w:rsid w:val="0013466C"/>
    <w:rsid w:val="00134882"/>
    <w:rsid w:val="00134C8B"/>
    <w:rsid w:val="0013518E"/>
    <w:rsid w:val="00135250"/>
    <w:rsid w:val="0013570F"/>
    <w:rsid w:val="00135769"/>
    <w:rsid w:val="00135854"/>
    <w:rsid w:val="00135895"/>
    <w:rsid w:val="001359D5"/>
    <w:rsid w:val="00135B7B"/>
    <w:rsid w:val="00135B82"/>
    <w:rsid w:val="00135BA7"/>
    <w:rsid w:val="00135C6F"/>
    <w:rsid w:val="00135EC3"/>
    <w:rsid w:val="001364BA"/>
    <w:rsid w:val="0013695D"/>
    <w:rsid w:val="00136B2D"/>
    <w:rsid w:val="00136D5E"/>
    <w:rsid w:val="00136F64"/>
    <w:rsid w:val="0013737D"/>
    <w:rsid w:val="0013746B"/>
    <w:rsid w:val="001375BC"/>
    <w:rsid w:val="00137737"/>
    <w:rsid w:val="001378A9"/>
    <w:rsid w:val="00137A88"/>
    <w:rsid w:val="00137B67"/>
    <w:rsid w:val="00137C79"/>
    <w:rsid w:val="00137E9D"/>
    <w:rsid w:val="001401AB"/>
    <w:rsid w:val="001401B9"/>
    <w:rsid w:val="00140727"/>
    <w:rsid w:val="00140793"/>
    <w:rsid w:val="001408C2"/>
    <w:rsid w:val="00140B46"/>
    <w:rsid w:val="00140C15"/>
    <w:rsid w:val="00140D2D"/>
    <w:rsid w:val="00140E66"/>
    <w:rsid w:val="00140EA6"/>
    <w:rsid w:val="00140EA8"/>
    <w:rsid w:val="00140ED3"/>
    <w:rsid w:val="00140F66"/>
    <w:rsid w:val="0014111F"/>
    <w:rsid w:val="0014140F"/>
    <w:rsid w:val="001414A5"/>
    <w:rsid w:val="00141532"/>
    <w:rsid w:val="001415D4"/>
    <w:rsid w:val="0014195E"/>
    <w:rsid w:val="0014199A"/>
    <w:rsid w:val="00141BF6"/>
    <w:rsid w:val="00141E14"/>
    <w:rsid w:val="0014209B"/>
    <w:rsid w:val="001421CD"/>
    <w:rsid w:val="0014267D"/>
    <w:rsid w:val="001426DC"/>
    <w:rsid w:val="001427EB"/>
    <w:rsid w:val="0014289B"/>
    <w:rsid w:val="00142973"/>
    <w:rsid w:val="00142AE3"/>
    <w:rsid w:val="00142AFE"/>
    <w:rsid w:val="00142C4D"/>
    <w:rsid w:val="00142C75"/>
    <w:rsid w:val="00142FFA"/>
    <w:rsid w:val="00143119"/>
    <w:rsid w:val="00143445"/>
    <w:rsid w:val="001434EC"/>
    <w:rsid w:val="00143597"/>
    <w:rsid w:val="00143904"/>
    <w:rsid w:val="00143E9B"/>
    <w:rsid w:val="00143F71"/>
    <w:rsid w:val="001440DB"/>
    <w:rsid w:val="001440E1"/>
    <w:rsid w:val="00144187"/>
    <w:rsid w:val="0014465A"/>
    <w:rsid w:val="00144769"/>
    <w:rsid w:val="001447E4"/>
    <w:rsid w:val="0014483D"/>
    <w:rsid w:val="0014495E"/>
    <w:rsid w:val="00144CB6"/>
    <w:rsid w:val="00144CE5"/>
    <w:rsid w:val="00144D66"/>
    <w:rsid w:val="00144F53"/>
    <w:rsid w:val="001456B8"/>
    <w:rsid w:val="001457BB"/>
    <w:rsid w:val="00145AEC"/>
    <w:rsid w:val="00145C6B"/>
    <w:rsid w:val="00145D90"/>
    <w:rsid w:val="00145D99"/>
    <w:rsid w:val="00145DB6"/>
    <w:rsid w:val="00145F11"/>
    <w:rsid w:val="00146053"/>
    <w:rsid w:val="001460DE"/>
    <w:rsid w:val="001461E8"/>
    <w:rsid w:val="001464CD"/>
    <w:rsid w:val="0014650F"/>
    <w:rsid w:val="00146642"/>
    <w:rsid w:val="001467A6"/>
    <w:rsid w:val="00146CE8"/>
    <w:rsid w:val="00146F0B"/>
    <w:rsid w:val="0014714C"/>
    <w:rsid w:val="0014739A"/>
    <w:rsid w:val="001475D3"/>
    <w:rsid w:val="00147925"/>
    <w:rsid w:val="00147A64"/>
    <w:rsid w:val="00147CA6"/>
    <w:rsid w:val="00147DC8"/>
    <w:rsid w:val="00147E53"/>
    <w:rsid w:val="00147F9B"/>
    <w:rsid w:val="00150343"/>
    <w:rsid w:val="001503A6"/>
    <w:rsid w:val="00150520"/>
    <w:rsid w:val="001508F6"/>
    <w:rsid w:val="001509A1"/>
    <w:rsid w:val="00150C0F"/>
    <w:rsid w:val="00150CD8"/>
    <w:rsid w:val="00150D24"/>
    <w:rsid w:val="00150E5A"/>
    <w:rsid w:val="00151317"/>
    <w:rsid w:val="001515ED"/>
    <w:rsid w:val="00151CC5"/>
    <w:rsid w:val="00151E35"/>
    <w:rsid w:val="0015212E"/>
    <w:rsid w:val="00152225"/>
    <w:rsid w:val="00152255"/>
    <w:rsid w:val="0015249D"/>
    <w:rsid w:val="0015266F"/>
    <w:rsid w:val="00152767"/>
    <w:rsid w:val="00152951"/>
    <w:rsid w:val="001529C4"/>
    <w:rsid w:val="001529D9"/>
    <w:rsid w:val="00152D7C"/>
    <w:rsid w:val="00152DB5"/>
    <w:rsid w:val="00152E4B"/>
    <w:rsid w:val="00153066"/>
    <w:rsid w:val="00153176"/>
    <w:rsid w:val="00153199"/>
    <w:rsid w:val="001531F6"/>
    <w:rsid w:val="001532BD"/>
    <w:rsid w:val="001534A4"/>
    <w:rsid w:val="00153529"/>
    <w:rsid w:val="001536E6"/>
    <w:rsid w:val="00153732"/>
    <w:rsid w:val="001539E2"/>
    <w:rsid w:val="00153B38"/>
    <w:rsid w:val="00153C3E"/>
    <w:rsid w:val="00153D5F"/>
    <w:rsid w:val="00153E70"/>
    <w:rsid w:val="00153F3E"/>
    <w:rsid w:val="001543AC"/>
    <w:rsid w:val="00154400"/>
    <w:rsid w:val="00154904"/>
    <w:rsid w:val="00154993"/>
    <w:rsid w:val="00154C30"/>
    <w:rsid w:val="00154DC7"/>
    <w:rsid w:val="00154E77"/>
    <w:rsid w:val="00154F46"/>
    <w:rsid w:val="001551A5"/>
    <w:rsid w:val="00155329"/>
    <w:rsid w:val="00155380"/>
    <w:rsid w:val="00155A1E"/>
    <w:rsid w:val="00155A25"/>
    <w:rsid w:val="00155A28"/>
    <w:rsid w:val="00155B71"/>
    <w:rsid w:val="00155F47"/>
    <w:rsid w:val="00155FB5"/>
    <w:rsid w:val="00155FD0"/>
    <w:rsid w:val="00156057"/>
    <w:rsid w:val="001560F9"/>
    <w:rsid w:val="00156454"/>
    <w:rsid w:val="0015674C"/>
    <w:rsid w:val="00156789"/>
    <w:rsid w:val="0015684F"/>
    <w:rsid w:val="00156A76"/>
    <w:rsid w:val="00156B69"/>
    <w:rsid w:val="00156E82"/>
    <w:rsid w:val="00157027"/>
    <w:rsid w:val="00157462"/>
    <w:rsid w:val="0015750B"/>
    <w:rsid w:val="00157692"/>
    <w:rsid w:val="00157893"/>
    <w:rsid w:val="00157C70"/>
    <w:rsid w:val="00157DAC"/>
    <w:rsid w:val="001600EA"/>
    <w:rsid w:val="00160125"/>
    <w:rsid w:val="0016067E"/>
    <w:rsid w:val="00160947"/>
    <w:rsid w:val="00160966"/>
    <w:rsid w:val="00160CB1"/>
    <w:rsid w:val="00160D55"/>
    <w:rsid w:val="00161029"/>
    <w:rsid w:val="00161153"/>
    <w:rsid w:val="00161312"/>
    <w:rsid w:val="0016163E"/>
    <w:rsid w:val="0016174B"/>
    <w:rsid w:val="001618F2"/>
    <w:rsid w:val="00161987"/>
    <w:rsid w:val="001619AC"/>
    <w:rsid w:val="001619B3"/>
    <w:rsid w:val="001619FC"/>
    <w:rsid w:val="00161AB9"/>
    <w:rsid w:val="00161D09"/>
    <w:rsid w:val="00161E2D"/>
    <w:rsid w:val="00161E9A"/>
    <w:rsid w:val="00161F13"/>
    <w:rsid w:val="00161F27"/>
    <w:rsid w:val="001620BA"/>
    <w:rsid w:val="001622C8"/>
    <w:rsid w:val="00162325"/>
    <w:rsid w:val="0016237B"/>
    <w:rsid w:val="0016238E"/>
    <w:rsid w:val="00162417"/>
    <w:rsid w:val="0016244F"/>
    <w:rsid w:val="0016263D"/>
    <w:rsid w:val="001626B5"/>
    <w:rsid w:val="001627F5"/>
    <w:rsid w:val="00162AA6"/>
    <w:rsid w:val="00162C0A"/>
    <w:rsid w:val="00162C44"/>
    <w:rsid w:val="00162C7D"/>
    <w:rsid w:val="00162E81"/>
    <w:rsid w:val="00162E89"/>
    <w:rsid w:val="00163025"/>
    <w:rsid w:val="00163238"/>
    <w:rsid w:val="0016328C"/>
    <w:rsid w:val="00163351"/>
    <w:rsid w:val="001633DD"/>
    <w:rsid w:val="00163643"/>
    <w:rsid w:val="0016370C"/>
    <w:rsid w:val="00163AB8"/>
    <w:rsid w:val="00163C28"/>
    <w:rsid w:val="00163C5E"/>
    <w:rsid w:val="00163DA7"/>
    <w:rsid w:val="00163F9B"/>
    <w:rsid w:val="0016406B"/>
    <w:rsid w:val="001641AB"/>
    <w:rsid w:val="0016423D"/>
    <w:rsid w:val="001642C9"/>
    <w:rsid w:val="001648A4"/>
    <w:rsid w:val="001648A8"/>
    <w:rsid w:val="00164EC7"/>
    <w:rsid w:val="001651F6"/>
    <w:rsid w:val="00165504"/>
    <w:rsid w:val="0016577C"/>
    <w:rsid w:val="00165AFC"/>
    <w:rsid w:val="00165B22"/>
    <w:rsid w:val="00165D04"/>
    <w:rsid w:val="00165D4B"/>
    <w:rsid w:val="00166178"/>
    <w:rsid w:val="00166485"/>
    <w:rsid w:val="001664CB"/>
    <w:rsid w:val="001665B0"/>
    <w:rsid w:val="001668DD"/>
    <w:rsid w:val="0016691E"/>
    <w:rsid w:val="00166BFE"/>
    <w:rsid w:val="00166C5D"/>
    <w:rsid w:val="001674EE"/>
    <w:rsid w:val="0016750A"/>
    <w:rsid w:val="001679F4"/>
    <w:rsid w:val="00167A41"/>
    <w:rsid w:val="00167B59"/>
    <w:rsid w:val="00167C1A"/>
    <w:rsid w:val="00167F66"/>
    <w:rsid w:val="00167FED"/>
    <w:rsid w:val="001701D5"/>
    <w:rsid w:val="00170569"/>
    <w:rsid w:val="00170803"/>
    <w:rsid w:val="00170810"/>
    <w:rsid w:val="00170888"/>
    <w:rsid w:val="00170980"/>
    <w:rsid w:val="001709AD"/>
    <w:rsid w:val="001709B5"/>
    <w:rsid w:val="00170A61"/>
    <w:rsid w:val="00170C0B"/>
    <w:rsid w:val="00170C55"/>
    <w:rsid w:val="00170C67"/>
    <w:rsid w:val="00170C94"/>
    <w:rsid w:val="00170D39"/>
    <w:rsid w:val="00170EE0"/>
    <w:rsid w:val="001710F0"/>
    <w:rsid w:val="00171172"/>
    <w:rsid w:val="00171284"/>
    <w:rsid w:val="00171373"/>
    <w:rsid w:val="001714CC"/>
    <w:rsid w:val="00171564"/>
    <w:rsid w:val="00171735"/>
    <w:rsid w:val="001719C8"/>
    <w:rsid w:val="00171D01"/>
    <w:rsid w:val="00171E9B"/>
    <w:rsid w:val="001721E4"/>
    <w:rsid w:val="00172329"/>
    <w:rsid w:val="00172360"/>
    <w:rsid w:val="001723C3"/>
    <w:rsid w:val="001723D0"/>
    <w:rsid w:val="001724DC"/>
    <w:rsid w:val="0017250B"/>
    <w:rsid w:val="00172641"/>
    <w:rsid w:val="00172AAD"/>
    <w:rsid w:val="00172D57"/>
    <w:rsid w:val="00172DA0"/>
    <w:rsid w:val="00172F48"/>
    <w:rsid w:val="00173048"/>
    <w:rsid w:val="0017327F"/>
    <w:rsid w:val="0017333C"/>
    <w:rsid w:val="001736A6"/>
    <w:rsid w:val="00173740"/>
    <w:rsid w:val="00173786"/>
    <w:rsid w:val="00173939"/>
    <w:rsid w:val="0017394C"/>
    <w:rsid w:val="00173A17"/>
    <w:rsid w:val="00173C77"/>
    <w:rsid w:val="00173C85"/>
    <w:rsid w:val="00173E02"/>
    <w:rsid w:val="00173E2A"/>
    <w:rsid w:val="0017400D"/>
    <w:rsid w:val="00174204"/>
    <w:rsid w:val="001743EB"/>
    <w:rsid w:val="0017442A"/>
    <w:rsid w:val="001747E6"/>
    <w:rsid w:val="001748EA"/>
    <w:rsid w:val="00174930"/>
    <w:rsid w:val="0017498B"/>
    <w:rsid w:val="00174B3B"/>
    <w:rsid w:val="00174E41"/>
    <w:rsid w:val="0017507D"/>
    <w:rsid w:val="0017524B"/>
    <w:rsid w:val="00175570"/>
    <w:rsid w:val="0017558D"/>
    <w:rsid w:val="001756C3"/>
    <w:rsid w:val="00175700"/>
    <w:rsid w:val="00175C53"/>
    <w:rsid w:val="00175E19"/>
    <w:rsid w:val="00176152"/>
    <w:rsid w:val="00176289"/>
    <w:rsid w:val="00176452"/>
    <w:rsid w:val="001764D4"/>
    <w:rsid w:val="001769A9"/>
    <w:rsid w:val="001769E9"/>
    <w:rsid w:val="00176B58"/>
    <w:rsid w:val="00176C81"/>
    <w:rsid w:val="001771C8"/>
    <w:rsid w:val="00177388"/>
    <w:rsid w:val="0017759F"/>
    <w:rsid w:val="00177789"/>
    <w:rsid w:val="00177850"/>
    <w:rsid w:val="0017799D"/>
    <w:rsid w:val="00177E0F"/>
    <w:rsid w:val="00177E42"/>
    <w:rsid w:val="00177F0E"/>
    <w:rsid w:val="00177FAD"/>
    <w:rsid w:val="00177FC2"/>
    <w:rsid w:val="001804F4"/>
    <w:rsid w:val="001805A4"/>
    <w:rsid w:val="001807C8"/>
    <w:rsid w:val="00180903"/>
    <w:rsid w:val="00180B53"/>
    <w:rsid w:val="00180B86"/>
    <w:rsid w:val="00180ECD"/>
    <w:rsid w:val="00180ED1"/>
    <w:rsid w:val="00180EFD"/>
    <w:rsid w:val="00180F65"/>
    <w:rsid w:val="00180FDD"/>
    <w:rsid w:val="00181049"/>
    <w:rsid w:val="0018117B"/>
    <w:rsid w:val="00181323"/>
    <w:rsid w:val="00181390"/>
    <w:rsid w:val="0018172F"/>
    <w:rsid w:val="00181B52"/>
    <w:rsid w:val="00181EAB"/>
    <w:rsid w:val="001820D5"/>
    <w:rsid w:val="001824D5"/>
    <w:rsid w:val="0018274C"/>
    <w:rsid w:val="00182A26"/>
    <w:rsid w:val="00182AE7"/>
    <w:rsid w:val="00182CF9"/>
    <w:rsid w:val="00183028"/>
    <w:rsid w:val="001830A9"/>
    <w:rsid w:val="001830B0"/>
    <w:rsid w:val="001832DC"/>
    <w:rsid w:val="00183546"/>
    <w:rsid w:val="001836F0"/>
    <w:rsid w:val="0018399B"/>
    <w:rsid w:val="00183AFE"/>
    <w:rsid w:val="00183FBA"/>
    <w:rsid w:val="00183FDD"/>
    <w:rsid w:val="001841DF"/>
    <w:rsid w:val="001843CD"/>
    <w:rsid w:val="00184421"/>
    <w:rsid w:val="001844DC"/>
    <w:rsid w:val="0018453B"/>
    <w:rsid w:val="0018472A"/>
    <w:rsid w:val="00184E11"/>
    <w:rsid w:val="00184EF4"/>
    <w:rsid w:val="00184F51"/>
    <w:rsid w:val="00185101"/>
    <w:rsid w:val="0018514B"/>
    <w:rsid w:val="0018540C"/>
    <w:rsid w:val="00185520"/>
    <w:rsid w:val="00185566"/>
    <w:rsid w:val="00185851"/>
    <w:rsid w:val="00185BBF"/>
    <w:rsid w:val="00185C3B"/>
    <w:rsid w:val="00185E21"/>
    <w:rsid w:val="00186065"/>
    <w:rsid w:val="00186189"/>
    <w:rsid w:val="00186354"/>
    <w:rsid w:val="001867BC"/>
    <w:rsid w:val="001869E9"/>
    <w:rsid w:val="00186A68"/>
    <w:rsid w:val="00186AA1"/>
    <w:rsid w:val="00186B0E"/>
    <w:rsid w:val="00186CBB"/>
    <w:rsid w:val="00186D0F"/>
    <w:rsid w:val="00186F44"/>
    <w:rsid w:val="0018705A"/>
    <w:rsid w:val="00187068"/>
    <w:rsid w:val="00187479"/>
    <w:rsid w:val="00187611"/>
    <w:rsid w:val="00187684"/>
    <w:rsid w:val="001876A6"/>
    <w:rsid w:val="001879A2"/>
    <w:rsid w:val="00187B07"/>
    <w:rsid w:val="00187C5C"/>
    <w:rsid w:val="00187F42"/>
    <w:rsid w:val="001904A3"/>
    <w:rsid w:val="0019057C"/>
    <w:rsid w:val="0019080D"/>
    <w:rsid w:val="00190834"/>
    <w:rsid w:val="0019091D"/>
    <w:rsid w:val="00190A2A"/>
    <w:rsid w:val="00190B7F"/>
    <w:rsid w:val="00190C13"/>
    <w:rsid w:val="00190CB9"/>
    <w:rsid w:val="00190FA6"/>
    <w:rsid w:val="00191282"/>
    <w:rsid w:val="001913D8"/>
    <w:rsid w:val="001916EA"/>
    <w:rsid w:val="00191724"/>
    <w:rsid w:val="00191A04"/>
    <w:rsid w:val="00191DA2"/>
    <w:rsid w:val="00191F22"/>
    <w:rsid w:val="00192015"/>
    <w:rsid w:val="0019234F"/>
    <w:rsid w:val="00192458"/>
    <w:rsid w:val="0019248C"/>
    <w:rsid w:val="001927AB"/>
    <w:rsid w:val="001928B2"/>
    <w:rsid w:val="001928F1"/>
    <w:rsid w:val="00192D2C"/>
    <w:rsid w:val="00192D5A"/>
    <w:rsid w:val="00192F86"/>
    <w:rsid w:val="00193160"/>
    <w:rsid w:val="00193360"/>
    <w:rsid w:val="0019349F"/>
    <w:rsid w:val="001934B9"/>
    <w:rsid w:val="001934E5"/>
    <w:rsid w:val="00193593"/>
    <w:rsid w:val="00193849"/>
    <w:rsid w:val="00193958"/>
    <w:rsid w:val="001939F6"/>
    <w:rsid w:val="00193CF9"/>
    <w:rsid w:val="00193CFA"/>
    <w:rsid w:val="00193F53"/>
    <w:rsid w:val="00193F61"/>
    <w:rsid w:val="00193F91"/>
    <w:rsid w:val="001940ED"/>
    <w:rsid w:val="00194282"/>
    <w:rsid w:val="001944C0"/>
    <w:rsid w:val="00194505"/>
    <w:rsid w:val="0019467D"/>
    <w:rsid w:val="00194819"/>
    <w:rsid w:val="00194872"/>
    <w:rsid w:val="00194B17"/>
    <w:rsid w:val="00194B49"/>
    <w:rsid w:val="00194BDA"/>
    <w:rsid w:val="00194C00"/>
    <w:rsid w:val="00194D5D"/>
    <w:rsid w:val="00194DEB"/>
    <w:rsid w:val="00194DF9"/>
    <w:rsid w:val="00194F46"/>
    <w:rsid w:val="00194F75"/>
    <w:rsid w:val="00195033"/>
    <w:rsid w:val="001950C0"/>
    <w:rsid w:val="00195220"/>
    <w:rsid w:val="0019531A"/>
    <w:rsid w:val="00195453"/>
    <w:rsid w:val="0019565F"/>
    <w:rsid w:val="00195A63"/>
    <w:rsid w:val="00195D0E"/>
    <w:rsid w:val="00195D93"/>
    <w:rsid w:val="0019606F"/>
    <w:rsid w:val="001964D4"/>
    <w:rsid w:val="001965D6"/>
    <w:rsid w:val="00196BE8"/>
    <w:rsid w:val="001970E6"/>
    <w:rsid w:val="001970F7"/>
    <w:rsid w:val="00197250"/>
    <w:rsid w:val="00197295"/>
    <w:rsid w:val="0019733B"/>
    <w:rsid w:val="0019737E"/>
    <w:rsid w:val="001973BB"/>
    <w:rsid w:val="00197427"/>
    <w:rsid w:val="001975F0"/>
    <w:rsid w:val="0019789B"/>
    <w:rsid w:val="001978F4"/>
    <w:rsid w:val="001A0618"/>
    <w:rsid w:val="001A061F"/>
    <w:rsid w:val="001A07BD"/>
    <w:rsid w:val="001A07FA"/>
    <w:rsid w:val="001A097E"/>
    <w:rsid w:val="001A0C16"/>
    <w:rsid w:val="001A1099"/>
    <w:rsid w:val="001A130C"/>
    <w:rsid w:val="001A145A"/>
    <w:rsid w:val="001A1519"/>
    <w:rsid w:val="001A156F"/>
    <w:rsid w:val="001A1676"/>
    <w:rsid w:val="001A18D6"/>
    <w:rsid w:val="001A1942"/>
    <w:rsid w:val="001A199D"/>
    <w:rsid w:val="001A1B48"/>
    <w:rsid w:val="001A1BA5"/>
    <w:rsid w:val="001A1CA3"/>
    <w:rsid w:val="001A2020"/>
    <w:rsid w:val="001A2139"/>
    <w:rsid w:val="001A21DC"/>
    <w:rsid w:val="001A228D"/>
    <w:rsid w:val="001A22CD"/>
    <w:rsid w:val="001A2670"/>
    <w:rsid w:val="001A2768"/>
    <w:rsid w:val="001A2A63"/>
    <w:rsid w:val="001A2CB2"/>
    <w:rsid w:val="001A2D17"/>
    <w:rsid w:val="001A319C"/>
    <w:rsid w:val="001A3399"/>
    <w:rsid w:val="001A3407"/>
    <w:rsid w:val="001A34F0"/>
    <w:rsid w:val="001A3B93"/>
    <w:rsid w:val="001A3C36"/>
    <w:rsid w:val="001A3C56"/>
    <w:rsid w:val="001A41C1"/>
    <w:rsid w:val="001A46BD"/>
    <w:rsid w:val="001A46C6"/>
    <w:rsid w:val="001A47C6"/>
    <w:rsid w:val="001A48A0"/>
    <w:rsid w:val="001A48D8"/>
    <w:rsid w:val="001A4A32"/>
    <w:rsid w:val="001A4BA0"/>
    <w:rsid w:val="001A4FBE"/>
    <w:rsid w:val="001A5049"/>
    <w:rsid w:val="001A5214"/>
    <w:rsid w:val="001A528B"/>
    <w:rsid w:val="001A5385"/>
    <w:rsid w:val="001A57E2"/>
    <w:rsid w:val="001A5994"/>
    <w:rsid w:val="001A599B"/>
    <w:rsid w:val="001A5A16"/>
    <w:rsid w:val="001A5A63"/>
    <w:rsid w:val="001A5A68"/>
    <w:rsid w:val="001A5B87"/>
    <w:rsid w:val="001A5CE5"/>
    <w:rsid w:val="001A5E33"/>
    <w:rsid w:val="001A5F75"/>
    <w:rsid w:val="001A5FBB"/>
    <w:rsid w:val="001A5FC0"/>
    <w:rsid w:val="001A60AB"/>
    <w:rsid w:val="001A616C"/>
    <w:rsid w:val="001A6218"/>
    <w:rsid w:val="001A6242"/>
    <w:rsid w:val="001A65DA"/>
    <w:rsid w:val="001A67C3"/>
    <w:rsid w:val="001A688D"/>
    <w:rsid w:val="001A6A52"/>
    <w:rsid w:val="001A6AF0"/>
    <w:rsid w:val="001A6B0E"/>
    <w:rsid w:val="001A6C3C"/>
    <w:rsid w:val="001A6DE6"/>
    <w:rsid w:val="001A715A"/>
    <w:rsid w:val="001A71A0"/>
    <w:rsid w:val="001A71AE"/>
    <w:rsid w:val="001A7337"/>
    <w:rsid w:val="001A74FE"/>
    <w:rsid w:val="001A75A3"/>
    <w:rsid w:val="001A75D6"/>
    <w:rsid w:val="001A77CB"/>
    <w:rsid w:val="001A7838"/>
    <w:rsid w:val="001A78CC"/>
    <w:rsid w:val="001A7CC6"/>
    <w:rsid w:val="001B0004"/>
    <w:rsid w:val="001B00A5"/>
    <w:rsid w:val="001B0109"/>
    <w:rsid w:val="001B03B1"/>
    <w:rsid w:val="001B03FB"/>
    <w:rsid w:val="001B03FC"/>
    <w:rsid w:val="001B04A9"/>
    <w:rsid w:val="001B058D"/>
    <w:rsid w:val="001B07C7"/>
    <w:rsid w:val="001B0929"/>
    <w:rsid w:val="001B09CC"/>
    <w:rsid w:val="001B0B20"/>
    <w:rsid w:val="001B0B2C"/>
    <w:rsid w:val="001B0CB7"/>
    <w:rsid w:val="001B0D9E"/>
    <w:rsid w:val="001B0F99"/>
    <w:rsid w:val="001B111A"/>
    <w:rsid w:val="001B12FB"/>
    <w:rsid w:val="001B13AC"/>
    <w:rsid w:val="001B15EE"/>
    <w:rsid w:val="001B16F8"/>
    <w:rsid w:val="001B177C"/>
    <w:rsid w:val="001B1D88"/>
    <w:rsid w:val="001B2089"/>
    <w:rsid w:val="001B20CE"/>
    <w:rsid w:val="001B24A6"/>
    <w:rsid w:val="001B25B4"/>
    <w:rsid w:val="001B26D6"/>
    <w:rsid w:val="001B2706"/>
    <w:rsid w:val="001B2718"/>
    <w:rsid w:val="001B2827"/>
    <w:rsid w:val="001B2DFE"/>
    <w:rsid w:val="001B2F10"/>
    <w:rsid w:val="001B2FF1"/>
    <w:rsid w:val="001B3021"/>
    <w:rsid w:val="001B3078"/>
    <w:rsid w:val="001B3111"/>
    <w:rsid w:val="001B3296"/>
    <w:rsid w:val="001B33FE"/>
    <w:rsid w:val="001B3582"/>
    <w:rsid w:val="001B3689"/>
    <w:rsid w:val="001B3754"/>
    <w:rsid w:val="001B3A24"/>
    <w:rsid w:val="001B3D62"/>
    <w:rsid w:val="001B3DA5"/>
    <w:rsid w:val="001B3EC9"/>
    <w:rsid w:val="001B402E"/>
    <w:rsid w:val="001B4068"/>
    <w:rsid w:val="001B4081"/>
    <w:rsid w:val="001B408D"/>
    <w:rsid w:val="001B4207"/>
    <w:rsid w:val="001B4235"/>
    <w:rsid w:val="001B424A"/>
    <w:rsid w:val="001B42F2"/>
    <w:rsid w:val="001B4501"/>
    <w:rsid w:val="001B450A"/>
    <w:rsid w:val="001B4654"/>
    <w:rsid w:val="001B4ADA"/>
    <w:rsid w:val="001B4AE2"/>
    <w:rsid w:val="001B4E1C"/>
    <w:rsid w:val="001B4E47"/>
    <w:rsid w:val="001B5235"/>
    <w:rsid w:val="001B52D8"/>
    <w:rsid w:val="001B52EF"/>
    <w:rsid w:val="001B54CD"/>
    <w:rsid w:val="001B54EF"/>
    <w:rsid w:val="001B5654"/>
    <w:rsid w:val="001B5768"/>
    <w:rsid w:val="001B5924"/>
    <w:rsid w:val="001B599E"/>
    <w:rsid w:val="001B5A40"/>
    <w:rsid w:val="001B5C26"/>
    <w:rsid w:val="001B5C3F"/>
    <w:rsid w:val="001B5C68"/>
    <w:rsid w:val="001B5CD7"/>
    <w:rsid w:val="001B5DFB"/>
    <w:rsid w:val="001B6073"/>
    <w:rsid w:val="001B60E8"/>
    <w:rsid w:val="001B6225"/>
    <w:rsid w:val="001B66D9"/>
    <w:rsid w:val="001B681C"/>
    <w:rsid w:val="001B68DF"/>
    <w:rsid w:val="001B69D4"/>
    <w:rsid w:val="001B6BBB"/>
    <w:rsid w:val="001B6C2D"/>
    <w:rsid w:val="001B6EB7"/>
    <w:rsid w:val="001B6FB6"/>
    <w:rsid w:val="001B6FD5"/>
    <w:rsid w:val="001B701B"/>
    <w:rsid w:val="001B713E"/>
    <w:rsid w:val="001B72D7"/>
    <w:rsid w:val="001B777E"/>
    <w:rsid w:val="001B7BA9"/>
    <w:rsid w:val="001B7D43"/>
    <w:rsid w:val="001C0039"/>
    <w:rsid w:val="001C0195"/>
    <w:rsid w:val="001C025C"/>
    <w:rsid w:val="001C02FC"/>
    <w:rsid w:val="001C0372"/>
    <w:rsid w:val="001C0441"/>
    <w:rsid w:val="001C05FB"/>
    <w:rsid w:val="001C07F2"/>
    <w:rsid w:val="001C0864"/>
    <w:rsid w:val="001C08A5"/>
    <w:rsid w:val="001C0A74"/>
    <w:rsid w:val="001C0BDE"/>
    <w:rsid w:val="001C1033"/>
    <w:rsid w:val="001C128C"/>
    <w:rsid w:val="001C1309"/>
    <w:rsid w:val="001C1329"/>
    <w:rsid w:val="001C1346"/>
    <w:rsid w:val="001C1620"/>
    <w:rsid w:val="001C16CD"/>
    <w:rsid w:val="001C197C"/>
    <w:rsid w:val="001C1B4C"/>
    <w:rsid w:val="001C1DEB"/>
    <w:rsid w:val="001C253C"/>
    <w:rsid w:val="001C2567"/>
    <w:rsid w:val="001C26DF"/>
    <w:rsid w:val="001C2A52"/>
    <w:rsid w:val="001C2A66"/>
    <w:rsid w:val="001C2AF8"/>
    <w:rsid w:val="001C2C1E"/>
    <w:rsid w:val="001C2C5D"/>
    <w:rsid w:val="001C2CAC"/>
    <w:rsid w:val="001C2CF4"/>
    <w:rsid w:val="001C2E55"/>
    <w:rsid w:val="001C2FC2"/>
    <w:rsid w:val="001C30BE"/>
    <w:rsid w:val="001C311E"/>
    <w:rsid w:val="001C3192"/>
    <w:rsid w:val="001C31AB"/>
    <w:rsid w:val="001C336D"/>
    <w:rsid w:val="001C35BD"/>
    <w:rsid w:val="001C35F7"/>
    <w:rsid w:val="001C3683"/>
    <w:rsid w:val="001C3743"/>
    <w:rsid w:val="001C38B0"/>
    <w:rsid w:val="001C3D8F"/>
    <w:rsid w:val="001C3EEF"/>
    <w:rsid w:val="001C408A"/>
    <w:rsid w:val="001C42FF"/>
    <w:rsid w:val="001C442C"/>
    <w:rsid w:val="001C459C"/>
    <w:rsid w:val="001C4764"/>
    <w:rsid w:val="001C49B9"/>
    <w:rsid w:val="001C4A0E"/>
    <w:rsid w:val="001C4B00"/>
    <w:rsid w:val="001C4BAB"/>
    <w:rsid w:val="001C4E2F"/>
    <w:rsid w:val="001C4E4C"/>
    <w:rsid w:val="001C4F2D"/>
    <w:rsid w:val="001C52BD"/>
    <w:rsid w:val="001C5979"/>
    <w:rsid w:val="001C5AC5"/>
    <w:rsid w:val="001C5BF5"/>
    <w:rsid w:val="001C5C45"/>
    <w:rsid w:val="001C5CEE"/>
    <w:rsid w:val="001C5D0E"/>
    <w:rsid w:val="001C5E73"/>
    <w:rsid w:val="001C6156"/>
    <w:rsid w:val="001C6AC9"/>
    <w:rsid w:val="001C6C60"/>
    <w:rsid w:val="001C6D5A"/>
    <w:rsid w:val="001C6D6B"/>
    <w:rsid w:val="001C6F93"/>
    <w:rsid w:val="001C707D"/>
    <w:rsid w:val="001C70C1"/>
    <w:rsid w:val="001C7241"/>
    <w:rsid w:val="001C771E"/>
    <w:rsid w:val="001C7791"/>
    <w:rsid w:val="001C77FC"/>
    <w:rsid w:val="001C7A9A"/>
    <w:rsid w:val="001C7B33"/>
    <w:rsid w:val="001C7C03"/>
    <w:rsid w:val="001C7C16"/>
    <w:rsid w:val="001C7D32"/>
    <w:rsid w:val="001C7D55"/>
    <w:rsid w:val="001D011E"/>
    <w:rsid w:val="001D01AA"/>
    <w:rsid w:val="001D0274"/>
    <w:rsid w:val="001D030C"/>
    <w:rsid w:val="001D0364"/>
    <w:rsid w:val="001D0520"/>
    <w:rsid w:val="001D05A9"/>
    <w:rsid w:val="001D0992"/>
    <w:rsid w:val="001D0A1C"/>
    <w:rsid w:val="001D0AC0"/>
    <w:rsid w:val="001D0BBD"/>
    <w:rsid w:val="001D0D1D"/>
    <w:rsid w:val="001D0D77"/>
    <w:rsid w:val="001D0F52"/>
    <w:rsid w:val="001D11A5"/>
    <w:rsid w:val="001D12C3"/>
    <w:rsid w:val="001D12DA"/>
    <w:rsid w:val="001D1322"/>
    <w:rsid w:val="001D13B7"/>
    <w:rsid w:val="001D19BA"/>
    <w:rsid w:val="001D19D7"/>
    <w:rsid w:val="001D1C41"/>
    <w:rsid w:val="001D1D54"/>
    <w:rsid w:val="001D1F19"/>
    <w:rsid w:val="001D1FDA"/>
    <w:rsid w:val="001D21AC"/>
    <w:rsid w:val="001D21E0"/>
    <w:rsid w:val="001D2390"/>
    <w:rsid w:val="001D241F"/>
    <w:rsid w:val="001D24AC"/>
    <w:rsid w:val="001D2589"/>
    <w:rsid w:val="001D26DB"/>
    <w:rsid w:val="001D2ED1"/>
    <w:rsid w:val="001D2EE8"/>
    <w:rsid w:val="001D31DC"/>
    <w:rsid w:val="001D330E"/>
    <w:rsid w:val="001D3404"/>
    <w:rsid w:val="001D35CC"/>
    <w:rsid w:val="001D372F"/>
    <w:rsid w:val="001D375C"/>
    <w:rsid w:val="001D379E"/>
    <w:rsid w:val="001D3ABF"/>
    <w:rsid w:val="001D3D3F"/>
    <w:rsid w:val="001D3DFE"/>
    <w:rsid w:val="001D3EBC"/>
    <w:rsid w:val="001D3FBC"/>
    <w:rsid w:val="001D3FF0"/>
    <w:rsid w:val="001D4028"/>
    <w:rsid w:val="001D4132"/>
    <w:rsid w:val="001D41D7"/>
    <w:rsid w:val="001D4340"/>
    <w:rsid w:val="001D449C"/>
    <w:rsid w:val="001D474C"/>
    <w:rsid w:val="001D4915"/>
    <w:rsid w:val="001D4950"/>
    <w:rsid w:val="001D496F"/>
    <w:rsid w:val="001D49E6"/>
    <w:rsid w:val="001D4B87"/>
    <w:rsid w:val="001D4BCF"/>
    <w:rsid w:val="001D5002"/>
    <w:rsid w:val="001D501E"/>
    <w:rsid w:val="001D51CA"/>
    <w:rsid w:val="001D5303"/>
    <w:rsid w:val="001D5342"/>
    <w:rsid w:val="001D5478"/>
    <w:rsid w:val="001D556D"/>
    <w:rsid w:val="001D58AB"/>
    <w:rsid w:val="001D5A9A"/>
    <w:rsid w:val="001D5DC9"/>
    <w:rsid w:val="001D5F79"/>
    <w:rsid w:val="001D5FA6"/>
    <w:rsid w:val="001D61C3"/>
    <w:rsid w:val="001D61E2"/>
    <w:rsid w:val="001D61FB"/>
    <w:rsid w:val="001D645A"/>
    <w:rsid w:val="001D6937"/>
    <w:rsid w:val="001D6C38"/>
    <w:rsid w:val="001D6E62"/>
    <w:rsid w:val="001D6EA7"/>
    <w:rsid w:val="001D6EE0"/>
    <w:rsid w:val="001D6FA5"/>
    <w:rsid w:val="001D7267"/>
    <w:rsid w:val="001D7665"/>
    <w:rsid w:val="001D76AF"/>
    <w:rsid w:val="001D76BD"/>
    <w:rsid w:val="001D79D0"/>
    <w:rsid w:val="001D7A53"/>
    <w:rsid w:val="001D7CA6"/>
    <w:rsid w:val="001D7D82"/>
    <w:rsid w:val="001D7E8C"/>
    <w:rsid w:val="001D7FD1"/>
    <w:rsid w:val="001E0198"/>
    <w:rsid w:val="001E022E"/>
    <w:rsid w:val="001E04E1"/>
    <w:rsid w:val="001E04F0"/>
    <w:rsid w:val="001E053A"/>
    <w:rsid w:val="001E06B0"/>
    <w:rsid w:val="001E0754"/>
    <w:rsid w:val="001E07C1"/>
    <w:rsid w:val="001E0879"/>
    <w:rsid w:val="001E0E84"/>
    <w:rsid w:val="001E0F29"/>
    <w:rsid w:val="001E10AD"/>
    <w:rsid w:val="001E10C2"/>
    <w:rsid w:val="001E10F6"/>
    <w:rsid w:val="001E1168"/>
    <w:rsid w:val="001E1300"/>
    <w:rsid w:val="001E1392"/>
    <w:rsid w:val="001E1638"/>
    <w:rsid w:val="001E175F"/>
    <w:rsid w:val="001E18AD"/>
    <w:rsid w:val="001E18C4"/>
    <w:rsid w:val="001E1B11"/>
    <w:rsid w:val="001E1E86"/>
    <w:rsid w:val="001E2146"/>
    <w:rsid w:val="001E21A5"/>
    <w:rsid w:val="001E2241"/>
    <w:rsid w:val="001E2416"/>
    <w:rsid w:val="001E28CD"/>
    <w:rsid w:val="001E28D9"/>
    <w:rsid w:val="001E2904"/>
    <w:rsid w:val="001E2E1B"/>
    <w:rsid w:val="001E2F7A"/>
    <w:rsid w:val="001E3072"/>
    <w:rsid w:val="001E30CB"/>
    <w:rsid w:val="001E346D"/>
    <w:rsid w:val="001E398E"/>
    <w:rsid w:val="001E3A1B"/>
    <w:rsid w:val="001E3B10"/>
    <w:rsid w:val="001E3B3B"/>
    <w:rsid w:val="001E3B50"/>
    <w:rsid w:val="001E40EC"/>
    <w:rsid w:val="001E40F4"/>
    <w:rsid w:val="001E42C3"/>
    <w:rsid w:val="001E43B8"/>
    <w:rsid w:val="001E4442"/>
    <w:rsid w:val="001E4C0E"/>
    <w:rsid w:val="001E539E"/>
    <w:rsid w:val="001E5554"/>
    <w:rsid w:val="001E5623"/>
    <w:rsid w:val="001E581A"/>
    <w:rsid w:val="001E5962"/>
    <w:rsid w:val="001E5A0A"/>
    <w:rsid w:val="001E5A61"/>
    <w:rsid w:val="001E6082"/>
    <w:rsid w:val="001E6386"/>
    <w:rsid w:val="001E66B8"/>
    <w:rsid w:val="001E6930"/>
    <w:rsid w:val="001E698B"/>
    <w:rsid w:val="001E69E3"/>
    <w:rsid w:val="001E6A31"/>
    <w:rsid w:val="001E6E3A"/>
    <w:rsid w:val="001E6EEA"/>
    <w:rsid w:val="001E70B9"/>
    <w:rsid w:val="001E71BD"/>
    <w:rsid w:val="001E75C7"/>
    <w:rsid w:val="001E76C6"/>
    <w:rsid w:val="001E78B6"/>
    <w:rsid w:val="001E7EDE"/>
    <w:rsid w:val="001F016B"/>
    <w:rsid w:val="001F016C"/>
    <w:rsid w:val="001F026B"/>
    <w:rsid w:val="001F0272"/>
    <w:rsid w:val="001F029E"/>
    <w:rsid w:val="001F0354"/>
    <w:rsid w:val="001F03BC"/>
    <w:rsid w:val="001F04B2"/>
    <w:rsid w:val="001F04C4"/>
    <w:rsid w:val="001F04CE"/>
    <w:rsid w:val="001F0564"/>
    <w:rsid w:val="001F0590"/>
    <w:rsid w:val="001F0760"/>
    <w:rsid w:val="001F07F2"/>
    <w:rsid w:val="001F0D71"/>
    <w:rsid w:val="001F0FC8"/>
    <w:rsid w:val="001F10AF"/>
    <w:rsid w:val="001F10E3"/>
    <w:rsid w:val="001F1238"/>
    <w:rsid w:val="001F14E8"/>
    <w:rsid w:val="001F15BD"/>
    <w:rsid w:val="001F1BD2"/>
    <w:rsid w:val="001F1C14"/>
    <w:rsid w:val="001F20B0"/>
    <w:rsid w:val="001F213C"/>
    <w:rsid w:val="001F228F"/>
    <w:rsid w:val="001F230A"/>
    <w:rsid w:val="001F260E"/>
    <w:rsid w:val="001F264C"/>
    <w:rsid w:val="001F2C8F"/>
    <w:rsid w:val="001F2E80"/>
    <w:rsid w:val="001F2E94"/>
    <w:rsid w:val="001F2E9B"/>
    <w:rsid w:val="001F31F5"/>
    <w:rsid w:val="001F32ED"/>
    <w:rsid w:val="001F338C"/>
    <w:rsid w:val="001F3992"/>
    <w:rsid w:val="001F3CF1"/>
    <w:rsid w:val="001F3D4F"/>
    <w:rsid w:val="001F3EAE"/>
    <w:rsid w:val="001F3EE5"/>
    <w:rsid w:val="001F403F"/>
    <w:rsid w:val="001F408E"/>
    <w:rsid w:val="001F40B2"/>
    <w:rsid w:val="001F415A"/>
    <w:rsid w:val="001F4185"/>
    <w:rsid w:val="001F41A2"/>
    <w:rsid w:val="001F41D9"/>
    <w:rsid w:val="001F429D"/>
    <w:rsid w:val="001F451D"/>
    <w:rsid w:val="001F4621"/>
    <w:rsid w:val="001F4C44"/>
    <w:rsid w:val="001F4D69"/>
    <w:rsid w:val="001F5106"/>
    <w:rsid w:val="001F53D2"/>
    <w:rsid w:val="001F570D"/>
    <w:rsid w:val="001F595A"/>
    <w:rsid w:val="001F5CF0"/>
    <w:rsid w:val="001F5EB7"/>
    <w:rsid w:val="001F6076"/>
    <w:rsid w:val="001F64AE"/>
    <w:rsid w:val="001F678D"/>
    <w:rsid w:val="001F6840"/>
    <w:rsid w:val="001F68C0"/>
    <w:rsid w:val="001F6ABF"/>
    <w:rsid w:val="001F6B9B"/>
    <w:rsid w:val="001F6CCB"/>
    <w:rsid w:val="001F6F57"/>
    <w:rsid w:val="001F6F65"/>
    <w:rsid w:val="001F76DD"/>
    <w:rsid w:val="001F7874"/>
    <w:rsid w:val="001F788B"/>
    <w:rsid w:val="001F7914"/>
    <w:rsid w:val="001F7A0C"/>
    <w:rsid w:val="001F7CC1"/>
    <w:rsid w:val="001F7D1D"/>
    <w:rsid w:val="00200089"/>
    <w:rsid w:val="00200111"/>
    <w:rsid w:val="00200132"/>
    <w:rsid w:val="0020013E"/>
    <w:rsid w:val="002002D5"/>
    <w:rsid w:val="0020055E"/>
    <w:rsid w:val="0020076D"/>
    <w:rsid w:val="002009BC"/>
    <w:rsid w:val="00200A04"/>
    <w:rsid w:val="00200AF7"/>
    <w:rsid w:val="00200CF6"/>
    <w:rsid w:val="002015C3"/>
    <w:rsid w:val="002017D6"/>
    <w:rsid w:val="002018EA"/>
    <w:rsid w:val="002019AE"/>
    <w:rsid w:val="002019E6"/>
    <w:rsid w:val="00201A9F"/>
    <w:rsid w:val="00201B1F"/>
    <w:rsid w:val="00201F5C"/>
    <w:rsid w:val="00201FCE"/>
    <w:rsid w:val="002020A9"/>
    <w:rsid w:val="002023BD"/>
    <w:rsid w:val="002027CB"/>
    <w:rsid w:val="00202857"/>
    <w:rsid w:val="00202C9D"/>
    <w:rsid w:val="00202CB0"/>
    <w:rsid w:val="00202DB2"/>
    <w:rsid w:val="0020318C"/>
    <w:rsid w:val="00203382"/>
    <w:rsid w:val="002035CF"/>
    <w:rsid w:val="002036E9"/>
    <w:rsid w:val="00203B65"/>
    <w:rsid w:val="00203BD3"/>
    <w:rsid w:val="00203C7C"/>
    <w:rsid w:val="00203F87"/>
    <w:rsid w:val="00204186"/>
    <w:rsid w:val="0020427D"/>
    <w:rsid w:val="00204566"/>
    <w:rsid w:val="0020484D"/>
    <w:rsid w:val="002048DB"/>
    <w:rsid w:val="00204C0F"/>
    <w:rsid w:val="00204C16"/>
    <w:rsid w:val="00204D12"/>
    <w:rsid w:val="00205133"/>
    <w:rsid w:val="002051C8"/>
    <w:rsid w:val="0020544A"/>
    <w:rsid w:val="00205476"/>
    <w:rsid w:val="002054D6"/>
    <w:rsid w:val="0020555A"/>
    <w:rsid w:val="002056FC"/>
    <w:rsid w:val="0020585D"/>
    <w:rsid w:val="00205BED"/>
    <w:rsid w:val="00205D94"/>
    <w:rsid w:val="00205F39"/>
    <w:rsid w:val="002060FB"/>
    <w:rsid w:val="0020612B"/>
    <w:rsid w:val="0020639A"/>
    <w:rsid w:val="0020671B"/>
    <w:rsid w:val="00206781"/>
    <w:rsid w:val="002067F0"/>
    <w:rsid w:val="00206947"/>
    <w:rsid w:val="00206B38"/>
    <w:rsid w:val="00206CEA"/>
    <w:rsid w:val="00206FC7"/>
    <w:rsid w:val="00206FEF"/>
    <w:rsid w:val="0020716E"/>
    <w:rsid w:val="00207306"/>
    <w:rsid w:val="00207349"/>
    <w:rsid w:val="0020774A"/>
    <w:rsid w:val="00207955"/>
    <w:rsid w:val="002079F8"/>
    <w:rsid w:val="00207C26"/>
    <w:rsid w:val="00207CAE"/>
    <w:rsid w:val="00207D77"/>
    <w:rsid w:val="0021000B"/>
    <w:rsid w:val="00210400"/>
    <w:rsid w:val="00210670"/>
    <w:rsid w:val="00210AA8"/>
    <w:rsid w:val="00210AE2"/>
    <w:rsid w:val="00210BCD"/>
    <w:rsid w:val="00210BD1"/>
    <w:rsid w:val="00210CE8"/>
    <w:rsid w:val="00210D83"/>
    <w:rsid w:val="00210DF9"/>
    <w:rsid w:val="0021103C"/>
    <w:rsid w:val="00211322"/>
    <w:rsid w:val="002114AF"/>
    <w:rsid w:val="002117AB"/>
    <w:rsid w:val="00211A06"/>
    <w:rsid w:val="00211A89"/>
    <w:rsid w:val="00211BD4"/>
    <w:rsid w:val="00211F50"/>
    <w:rsid w:val="0021202E"/>
    <w:rsid w:val="002120CE"/>
    <w:rsid w:val="002122CE"/>
    <w:rsid w:val="00212315"/>
    <w:rsid w:val="002125D8"/>
    <w:rsid w:val="002126F3"/>
    <w:rsid w:val="0021272B"/>
    <w:rsid w:val="0021274B"/>
    <w:rsid w:val="00212BD5"/>
    <w:rsid w:val="00212E2D"/>
    <w:rsid w:val="00212F96"/>
    <w:rsid w:val="0021324E"/>
    <w:rsid w:val="00213265"/>
    <w:rsid w:val="002133BC"/>
    <w:rsid w:val="00213503"/>
    <w:rsid w:val="00213554"/>
    <w:rsid w:val="002138A4"/>
    <w:rsid w:val="00213A66"/>
    <w:rsid w:val="00213CD0"/>
    <w:rsid w:val="00213D33"/>
    <w:rsid w:val="00213DBE"/>
    <w:rsid w:val="00213DC3"/>
    <w:rsid w:val="00213ED0"/>
    <w:rsid w:val="00213EE6"/>
    <w:rsid w:val="00214176"/>
    <w:rsid w:val="00214190"/>
    <w:rsid w:val="0021439A"/>
    <w:rsid w:val="002144A0"/>
    <w:rsid w:val="00214687"/>
    <w:rsid w:val="00214701"/>
    <w:rsid w:val="00214750"/>
    <w:rsid w:val="00214796"/>
    <w:rsid w:val="00214C51"/>
    <w:rsid w:val="00214C73"/>
    <w:rsid w:val="00214EBD"/>
    <w:rsid w:val="002152EF"/>
    <w:rsid w:val="0021570F"/>
    <w:rsid w:val="00215D91"/>
    <w:rsid w:val="00215FB6"/>
    <w:rsid w:val="0021622A"/>
    <w:rsid w:val="0021642E"/>
    <w:rsid w:val="00216761"/>
    <w:rsid w:val="002169BA"/>
    <w:rsid w:val="00216A42"/>
    <w:rsid w:val="00216A91"/>
    <w:rsid w:val="00216AD8"/>
    <w:rsid w:val="00216C84"/>
    <w:rsid w:val="00216E03"/>
    <w:rsid w:val="0021716C"/>
    <w:rsid w:val="002172C1"/>
    <w:rsid w:val="002172E3"/>
    <w:rsid w:val="002173EE"/>
    <w:rsid w:val="002175F3"/>
    <w:rsid w:val="00217623"/>
    <w:rsid w:val="0021774F"/>
    <w:rsid w:val="00217FEC"/>
    <w:rsid w:val="00220112"/>
    <w:rsid w:val="002201B9"/>
    <w:rsid w:val="002202AD"/>
    <w:rsid w:val="00220910"/>
    <w:rsid w:val="0022099F"/>
    <w:rsid w:val="00220A71"/>
    <w:rsid w:val="00220C3E"/>
    <w:rsid w:val="00220D51"/>
    <w:rsid w:val="00220E44"/>
    <w:rsid w:val="002210FD"/>
    <w:rsid w:val="00221253"/>
    <w:rsid w:val="002212F3"/>
    <w:rsid w:val="00221351"/>
    <w:rsid w:val="0022161F"/>
    <w:rsid w:val="00221695"/>
    <w:rsid w:val="00221798"/>
    <w:rsid w:val="00221877"/>
    <w:rsid w:val="0022188B"/>
    <w:rsid w:val="002219EF"/>
    <w:rsid w:val="00221AF0"/>
    <w:rsid w:val="00221D41"/>
    <w:rsid w:val="00222075"/>
    <w:rsid w:val="00222420"/>
    <w:rsid w:val="00222515"/>
    <w:rsid w:val="002225ED"/>
    <w:rsid w:val="00222795"/>
    <w:rsid w:val="002229B8"/>
    <w:rsid w:val="00222A66"/>
    <w:rsid w:val="00222C21"/>
    <w:rsid w:val="00222DF1"/>
    <w:rsid w:val="002234B1"/>
    <w:rsid w:val="002237DB"/>
    <w:rsid w:val="00223BBB"/>
    <w:rsid w:val="00223C20"/>
    <w:rsid w:val="00223F00"/>
    <w:rsid w:val="00224014"/>
    <w:rsid w:val="0022419E"/>
    <w:rsid w:val="00224224"/>
    <w:rsid w:val="002242E0"/>
    <w:rsid w:val="002245F0"/>
    <w:rsid w:val="00224710"/>
    <w:rsid w:val="002248DF"/>
    <w:rsid w:val="00224AB5"/>
    <w:rsid w:val="00224D00"/>
    <w:rsid w:val="00224E5F"/>
    <w:rsid w:val="00224F0D"/>
    <w:rsid w:val="00225123"/>
    <w:rsid w:val="00225407"/>
    <w:rsid w:val="00225546"/>
    <w:rsid w:val="002255D0"/>
    <w:rsid w:val="0022562C"/>
    <w:rsid w:val="002259F1"/>
    <w:rsid w:val="00225A5B"/>
    <w:rsid w:val="00225AFA"/>
    <w:rsid w:val="00225CDA"/>
    <w:rsid w:val="00225EBC"/>
    <w:rsid w:val="002263B9"/>
    <w:rsid w:val="00226553"/>
    <w:rsid w:val="0022663A"/>
    <w:rsid w:val="0022664C"/>
    <w:rsid w:val="0022667A"/>
    <w:rsid w:val="0022669D"/>
    <w:rsid w:val="002267F2"/>
    <w:rsid w:val="00226928"/>
    <w:rsid w:val="00226A47"/>
    <w:rsid w:val="00226BC5"/>
    <w:rsid w:val="00226F5C"/>
    <w:rsid w:val="00227009"/>
    <w:rsid w:val="0022701A"/>
    <w:rsid w:val="00227503"/>
    <w:rsid w:val="00227587"/>
    <w:rsid w:val="002275AC"/>
    <w:rsid w:val="00227BA9"/>
    <w:rsid w:val="00227C67"/>
    <w:rsid w:val="00227D0B"/>
    <w:rsid w:val="00230014"/>
    <w:rsid w:val="00230248"/>
    <w:rsid w:val="002304B8"/>
    <w:rsid w:val="002308BF"/>
    <w:rsid w:val="00230957"/>
    <w:rsid w:val="002309BE"/>
    <w:rsid w:val="00230D6F"/>
    <w:rsid w:val="00230E22"/>
    <w:rsid w:val="00231062"/>
    <w:rsid w:val="00231130"/>
    <w:rsid w:val="00231138"/>
    <w:rsid w:val="0023114F"/>
    <w:rsid w:val="002311F1"/>
    <w:rsid w:val="00231231"/>
    <w:rsid w:val="002313A1"/>
    <w:rsid w:val="002313FF"/>
    <w:rsid w:val="0023199D"/>
    <w:rsid w:val="00231A0D"/>
    <w:rsid w:val="00231A65"/>
    <w:rsid w:val="00231C1E"/>
    <w:rsid w:val="00231C8E"/>
    <w:rsid w:val="00231EE2"/>
    <w:rsid w:val="002320F0"/>
    <w:rsid w:val="00232186"/>
    <w:rsid w:val="002321A6"/>
    <w:rsid w:val="002322F3"/>
    <w:rsid w:val="002322FB"/>
    <w:rsid w:val="00232305"/>
    <w:rsid w:val="002325B8"/>
    <w:rsid w:val="002325D2"/>
    <w:rsid w:val="002326C4"/>
    <w:rsid w:val="00232834"/>
    <w:rsid w:val="00232902"/>
    <w:rsid w:val="00232930"/>
    <w:rsid w:val="00232CD5"/>
    <w:rsid w:val="00232CFC"/>
    <w:rsid w:val="00232D88"/>
    <w:rsid w:val="00232F83"/>
    <w:rsid w:val="002332BD"/>
    <w:rsid w:val="00233824"/>
    <w:rsid w:val="00233906"/>
    <w:rsid w:val="0023390F"/>
    <w:rsid w:val="00233C0B"/>
    <w:rsid w:val="00233C0D"/>
    <w:rsid w:val="00233ECE"/>
    <w:rsid w:val="00233F94"/>
    <w:rsid w:val="002341A2"/>
    <w:rsid w:val="002343BB"/>
    <w:rsid w:val="0023441F"/>
    <w:rsid w:val="0023442E"/>
    <w:rsid w:val="00234908"/>
    <w:rsid w:val="00234B2B"/>
    <w:rsid w:val="00234B41"/>
    <w:rsid w:val="00234BB8"/>
    <w:rsid w:val="00234C42"/>
    <w:rsid w:val="002352BC"/>
    <w:rsid w:val="0023571B"/>
    <w:rsid w:val="00235722"/>
    <w:rsid w:val="0023580C"/>
    <w:rsid w:val="002358BA"/>
    <w:rsid w:val="002359A6"/>
    <w:rsid w:val="00235A4C"/>
    <w:rsid w:val="00235D1B"/>
    <w:rsid w:val="00235D4F"/>
    <w:rsid w:val="00235DDE"/>
    <w:rsid w:val="00236053"/>
    <w:rsid w:val="002360A2"/>
    <w:rsid w:val="00236201"/>
    <w:rsid w:val="002363C0"/>
    <w:rsid w:val="00236564"/>
    <w:rsid w:val="00236809"/>
    <w:rsid w:val="00236917"/>
    <w:rsid w:val="0023694F"/>
    <w:rsid w:val="002369AE"/>
    <w:rsid w:val="00236A2E"/>
    <w:rsid w:val="00236A76"/>
    <w:rsid w:val="00236AAC"/>
    <w:rsid w:val="002370BE"/>
    <w:rsid w:val="002371AB"/>
    <w:rsid w:val="002371B1"/>
    <w:rsid w:val="0023732C"/>
    <w:rsid w:val="00237626"/>
    <w:rsid w:val="002376D5"/>
    <w:rsid w:val="00237768"/>
    <w:rsid w:val="00237B11"/>
    <w:rsid w:val="00237C31"/>
    <w:rsid w:val="00237D47"/>
    <w:rsid w:val="00237DB4"/>
    <w:rsid w:val="0024022B"/>
    <w:rsid w:val="00240343"/>
    <w:rsid w:val="002403E3"/>
    <w:rsid w:val="002404BE"/>
    <w:rsid w:val="0024070D"/>
    <w:rsid w:val="00240802"/>
    <w:rsid w:val="00240913"/>
    <w:rsid w:val="00240A08"/>
    <w:rsid w:val="00240A49"/>
    <w:rsid w:val="00240BEB"/>
    <w:rsid w:val="00240C0B"/>
    <w:rsid w:val="00240DA8"/>
    <w:rsid w:val="00240E64"/>
    <w:rsid w:val="00240EDF"/>
    <w:rsid w:val="002411F5"/>
    <w:rsid w:val="002412D9"/>
    <w:rsid w:val="002414C3"/>
    <w:rsid w:val="00241524"/>
    <w:rsid w:val="00241570"/>
    <w:rsid w:val="00241841"/>
    <w:rsid w:val="00241884"/>
    <w:rsid w:val="002419A7"/>
    <w:rsid w:val="00241A55"/>
    <w:rsid w:val="00241B75"/>
    <w:rsid w:val="00241C7C"/>
    <w:rsid w:val="00241D60"/>
    <w:rsid w:val="00241DB7"/>
    <w:rsid w:val="00241EC8"/>
    <w:rsid w:val="00242093"/>
    <w:rsid w:val="002420A4"/>
    <w:rsid w:val="002420F0"/>
    <w:rsid w:val="0024211C"/>
    <w:rsid w:val="00242650"/>
    <w:rsid w:val="002428E3"/>
    <w:rsid w:val="00242A90"/>
    <w:rsid w:val="00242E93"/>
    <w:rsid w:val="00242F80"/>
    <w:rsid w:val="00243278"/>
    <w:rsid w:val="002432B0"/>
    <w:rsid w:val="002432EA"/>
    <w:rsid w:val="00243455"/>
    <w:rsid w:val="0024363F"/>
    <w:rsid w:val="0024389E"/>
    <w:rsid w:val="00243DD1"/>
    <w:rsid w:val="00243FF6"/>
    <w:rsid w:val="00244220"/>
    <w:rsid w:val="00244376"/>
    <w:rsid w:val="002444FD"/>
    <w:rsid w:val="00244B3D"/>
    <w:rsid w:val="00244C1A"/>
    <w:rsid w:val="00244C7D"/>
    <w:rsid w:val="00244CA4"/>
    <w:rsid w:val="0024509B"/>
    <w:rsid w:val="002451D1"/>
    <w:rsid w:val="0024567F"/>
    <w:rsid w:val="002457C5"/>
    <w:rsid w:val="002458C7"/>
    <w:rsid w:val="0024596C"/>
    <w:rsid w:val="00245A10"/>
    <w:rsid w:val="00245B86"/>
    <w:rsid w:val="00245C7C"/>
    <w:rsid w:val="00245EA2"/>
    <w:rsid w:val="00245F94"/>
    <w:rsid w:val="00245FD9"/>
    <w:rsid w:val="00246086"/>
    <w:rsid w:val="002461E6"/>
    <w:rsid w:val="002461FF"/>
    <w:rsid w:val="002463BD"/>
    <w:rsid w:val="00246616"/>
    <w:rsid w:val="00246841"/>
    <w:rsid w:val="00246C4A"/>
    <w:rsid w:val="00246D39"/>
    <w:rsid w:val="00246D49"/>
    <w:rsid w:val="00246E0F"/>
    <w:rsid w:val="00246E3D"/>
    <w:rsid w:val="0024702A"/>
    <w:rsid w:val="00247052"/>
    <w:rsid w:val="002471BA"/>
    <w:rsid w:val="0024721F"/>
    <w:rsid w:val="0024733B"/>
    <w:rsid w:val="002473EF"/>
    <w:rsid w:val="0024776B"/>
    <w:rsid w:val="00247AD5"/>
    <w:rsid w:val="00247BFC"/>
    <w:rsid w:val="00247D1F"/>
    <w:rsid w:val="00247FFE"/>
    <w:rsid w:val="00250741"/>
    <w:rsid w:val="00250B47"/>
    <w:rsid w:val="00251140"/>
    <w:rsid w:val="002512BF"/>
    <w:rsid w:val="00251398"/>
    <w:rsid w:val="002515F4"/>
    <w:rsid w:val="002516B4"/>
    <w:rsid w:val="002517E2"/>
    <w:rsid w:val="0025193A"/>
    <w:rsid w:val="00251998"/>
    <w:rsid w:val="00251B8D"/>
    <w:rsid w:val="00251F47"/>
    <w:rsid w:val="00251FFD"/>
    <w:rsid w:val="00252079"/>
    <w:rsid w:val="002520A3"/>
    <w:rsid w:val="00252108"/>
    <w:rsid w:val="002522AD"/>
    <w:rsid w:val="00252513"/>
    <w:rsid w:val="00252572"/>
    <w:rsid w:val="0025277C"/>
    <w:rsid w:val="002527CC"/>
    <w:rsid w:val="00252C0B"/>
    <w:rsid w:val="00252DF3"/>
    <w:rsid w:val="00252F95"/>
    <w:rsid w:val="00253054"/>
    <w:rsid w:val="0025340B"/>
    <w:rsid w:val="0025369E"/>
    <w:rsid w:val="00253718"/>
    <w:rsid w:val="00253ACF"/>
    <w:rsid w:val="00253DCE"/>
    <w:rsid w:val="00253E6F"/>
    <w:rsid w:val="00253FCC"/>
    <w:rsid w:val="002540C0"/>
    <w:rsid w:val="002540EA"/>
    <w:rsid w:val="0025410F"/>
    <w:rsid w:val="0025412F"/>
    <w:rsid w:val="00254196"/>
    <w:rsid w:val="0025424C"/>
    <w:rsid w:val="002547C5"/>
    <w:rsid w:val="002548F8"/>
    <w:rsid w:val="002549E3"/>
    <w:rsid w:val="00254A3C"/>
    <w:rsid w:val="00254B74"/>
    <w:rsid w:val="00254CE0"/>
    <w:rsid w:val="00254E77"/>
    <w:rsid w:val="00255702"/>
    <w:rsid w:val="00255911"/>
    <w:rsid w:val="00255A32"/>
    <w:rsid w:val="00255AD0"/>
    <w:rsid w:val="00255B14"/>
    <w:rsid w:val="00255B3A"/>
    <w:rsid w:val="00255BE4"/>
    <w:rsid w:val="00255C57"/>
    <w:rsid w:val="00255DBE"/>
    <w:rsid w:val="00255F44"/>
    <w:rsid w:val="00255F69"/>
    <w:rsid w:val="002561D4"/>
    <w:rsid w:val="002563A7"/>
    <w:rsid w:val="002564C9"/>
    <w:rsid w:val="00256507"/>
    <w:rsid w:val="002565D5"/>
    <w:rsid w:val="002567F0"/>
    <w:rsid w:val="00256815"/>
    <w:rsid w:val="00256988"/>
    <w:rsid w:val="00256A6A"/>
    <w:rsid w:val="00256CE2"/>
    <w:rsid w:val="00256FA3"/>
    <w:rsid w:val="00257048"/>
    <w:rsid w:val="0025714E"/>
    <w:rsid w:val="002572C3"/>
    <w:rsid w:val="002572C5"/>
    <w:rsid w:val="00257407"/>
    <w:rsid w:val="002574BC"/>
    <w:rsid w:val="002576F9"/>
    <w:rsid w:val="0025786B"/>
    <w:rsid w:val="00257955"/>
    <w:rsid w:val="00257BD8"/>
    <w:rsid w:val="00257C7D"/>
    <w:rsid w:val="00257D03"/>
    <w:rsid w:val="00257D51"/>
    <w:rsid w:val="00257E0F"/>
    <w:rsid w:val="00257FF5"/>
    <w:rsid w:val="002600ED"/>
    <w:rsid w:val="00260181"/>
    <w:rsid w:val="00260313"/>
    <w:rsid w:val="00260394"/>
    <w:rsid w:val="002603DE"/>
    <w:rsid w:val="00260685"/>
    <w:rsid w:val="002606DD"/>
    <w:rsid w:val="002606FD"/>
    <w:rsid w:val="00260769"/>
    <w:rsid w:val="002608F1"/>
    <w:rsid w:val="002608F3"/>
    <w:rsid w:val="00260A4B"/>
    <w:rsid w:val="00260BAE"/>
    <w:rsid w:val="00260D6D"/>
    <w:rsid w:val="00260F9A"/>
    <w:rsid w:val="002612A0"/>
    <w:rsid w:val="002614BF"/>
    <w:rsid w:val="002615AF"/>
    <w:rsid w:val="00261741"/>
    <w:rsid w:val="002617E2"/>
    <w:rsid w:val="00261A35"/>
    <w:rsid w:val="00261B09"/>
    <w:rsid w:val="00261BD5"/>
    <w:rsid w:val="00261E45"/>
    <w:rsid w:val="00261F8B"/>
    <w:rsid w:val="002621A8"/>
    <w:rsid w:val="00262265"/>
    <w:rsid w:val="00262506"/>
    <w:rsid w:val="00262700"/>
    <w:rsid w:val="00262B44"/>
    <w:rsid w:val="00262CE9"/>
    <w:rsid w:val="00262ED7"/>
    <w:rsid w:val="00262F66"/>
    <w:rsid w:val="00262FC0"/>
    <w:rsid w:val="00263006"/>
    <w:rsid w:val="00263247"/>
    <w:rsid w:val="00263394"/>
    <w:rsid w:val="0026349B"/>
    <w:rsid w:val="002637FD"/>
    <w:rsid w:val="00263820"/>
    <w:rsid w:val="0026396D"/>
    <w:rsid w:val="00263A96"/>
    <w:rsid w:val="00263C52"/>
    <w:rsid w:val="00263C8B"/>
    <w:rsid w:val="00264011"/>
    <w:rsid w:val="0026433D"/>
    <w:rsid w:val="00264358"/>
    <w:rsid w:val="00264378"/>
    <w:rsid w:val="002645A0"/>
    <w:rsid w:val="00264751"/>
    <w:rsid w:val="0026475E"/>
    <w:rsid w:val="0026479E"/>
    <w:rsid w:val="00264868"/>
    <w:rsid w:val="0026490A"/>
    <w:rsid w:val="002649FB"/>
    <w:rsid w:val="00264ACE"/>
    <w:rsid w:val="00264BB4"/>
    <w:rsid w:val="00264E47"/>
    <w:rsid w:val="0026504C"/>
    <w:rsid w:val="00265077"/>
    <w:rsid w:val="00265180"/>
    <w:rsid w:val="0026524A"/>
    <w:rsid w:val="002653BA"/>
    <w:rsid w:val="00265444"/>
    <w:rsid w:val="00265552"/>
    <w:rsid w:val="00265586"/>
    <w:rsid w:val="00265744"/>
    <w:rsid w:val="00265809"/>
    <w:rsid w:val="00265874"/>
    <w:rsid w:val="002659D8"/>
    <w:rsid w:val="00265BFF"/>
    <w:rsid w:val="00265D41"/>
    <w:rsid w:val="00265DE4"/>
    <w:rsid w:val="002661D4"/>
    <w:rsid w:val="0026646B"/>
    <w:rsid w:val="0026654E"/>
    <w:rsid w:val="00266B72"/>
    <w:rsid w:val="00266DC0"/>
    <w:rsid w:val="00266F03"/>
    <w:rsid w:val="00266FD1"/>
    <w:rsid w:val="00267042"/>
    <w:rsid w:val="00267228"/>
    <w:rsid w:val="0026737E"/>
    <w:rsid w:val="00267402"/>
    <w:rsid w:val="00267488"/>
    <w:rsid w:val="0026754B"/>
    <w:rsid w:val="0026786E"/>
    <w:rsid w:val="0027000C"/>
    <w:rsid w:val="0027019F"/>
    <w:rsid w:val="0027025D"/>
    <w:rsid w:val="00270295"/>
    <w:rsid w:val="00270301"/>
    <w:rsid w:val="0027030D"/>
    <w:rsid w:val="0027044B"/>
    <w:rsid w:val="002705B9"/>
    <w:rsid w:val="00270984"/>
    <w:rsid w:val="00270AEB"/>
    <w:rsid w:val="00270BF2"/>
    <w:rsid w:val="00270C1D"/>
    <w:rsid w:val="00270C5C"/>
    <w:rsid w:val="00270C6A"/>
    <w:rsid w:val="00270DE9"/>
    <w:rsid w:val="00270DFB"/>
    <w:rsid w:val="00270E42"/>
    <w:rsid w:val="00270E76"/>
    <w:rsid w:val="00271474"/>
    <w:rsid w:val="00271599"/>
    <w:rsid w:val="002718C7"/>
    <w:rsid w:val="0027193A"/>
    <w:rsid w:val="00271E21"/>
    <w:rsid w:val="002720A2"/>
    <w:rsid w:val="00272116"/>
    <w:rsid w:val="002721E0"/>
    <w:rsid w:val="00272354"/>
    <w:rsid w:val="00272597"/>
    <w:rsid w:val="00272966"/>
    <w:rsid w:val="00272B98"/>
    <w:rsid w:val="00272CF3"/>
    <w:rsid w:val="00272D45"/>
    <w:rsid w:val="00272DED"/>
    <w:rsid w:val="00272E4F"/>
    <w:rsid w:val="00272FC6"/>
    <w:rsid w:val="002735CE"/>
    <w:rsid w:val="00273AD6"/>
    <w:rsid w:val="00273FFE"/>
    <w:rsid w:val="00274063"/>
    <w:rsid w:val="00274104"/>
    <w:rsid w:val="00274185"/>
    <w:rsid w:val="00274210"/>
    <w:rsid w:val="0027423E"/>
    <w:rsid w:val="002742DE"/>
    <w:rsid w:val="00274664"/>
    <w:rsid w:val="00274670"/>
    <w:rsid w:val="002746AF"/>
    <w:rsid w:val="002748E8"/>
    <w:rsid w:val="0027497B"/>
    <w:rsid w:val="00274FA4"/>
    <w:rsid w:val="002750A0"/>
    <w:rsid w:val="002750BA"/>
    <w:rsid w:val="0027530F"/>
    <w:rsid w:val="00275426"/>
    <w:rsid w:val="00275433"/>
    <w:rsid w:val="002756F0"/>
    <w:rsid w:val="002757CF"/>
    <w:rsid w:val="00275B46"/>
    <w:rsid w:val="00275BA1"/>
    <w:rsid w:val="00275C72"/>
    <w:rsid w:val="00275CD6"/>
    <w:rsid w:val="00275DCC"/>
    <w:rsid w:val="00275F3A"/>
    <w:rsid w:val="00275FFF"/>
    <w:rsid w:val="00276004"/>
    <w:rsid w:val="002760E9"/>
    <w:rsid w:val="00276108"/>
    <w:rsid w:val="002761A6"/>
    <w:rsid w:val="002762B2"/>
    <w:rsid w:val="0027638E"/>
    <w:rsid w:val="00276554"/>
    <w:rsid w:val="002765E2"/>
    <w:rsid w:val="00276970"/>
    <w:rsid w:val="00276E0A"/>
    <w:rsid w:val="00276FC4"/>
    <w:rsid w:val="00277107"/>
    <w:rsid w:val="002771BD"/>
    <w:rsid w:val="002775EA"/>
    <w:rsid w:val="00277608"/>
    <w:rsid w:val="002777C6"/>
    <w:rsid w:val="00277834"/>
    <w:rsid w:val="00277A3B"/>
    <w:rsid w:val="00277AAA"/>
    <w:rsid w:val="00277B4D"/>
    <w:rsid w:val="00277C2C"/>
    <w:rsid w:val="00277CFA"/>
    <w:rsid w:val="00277D7F"/>
    <w:rsid w:val="00280012"/>
    <w:rsid w:val="002800DC"/>
    <w:rsid w:val="00280100"/>
    <w:rsid w:val="0028069D"/>
    <w:rsid w:val="00280AD9"/>
    <w:rsid w:val="00280CFA"/>
    <w:rsid w:val="00280D33"/>
    <w:rsid w:val="00280EE9"/>
    <w:rsid w:val="0028128C"/>
    <w:rsid w:val="0028128D"/>
    <w:rsid w:val="002812AD"/>
    <w:rsid w:val="0028140E"/>
    <w:rsid w:val="002815CC"/>
    <w:rsid w:val="00281719"/>
    <w:rsid w:val="002817CE"/>
    <w:rsid w:val="002818CA"/>
    <w:rsid w:val="00281936"/>
    <w:rsid w:val="00281E4F"/>
    <w:rsid w:val="002820F5"/>
    <w:rsid w:val="00282120"/>
    <w:rsid w:val="00282805"/>
    <w:rsid w:val="00282A4C"/>
    <w:rsid w:val="00282A4D"/>
    <w:rsid w:val="00282B27"/>
    <w:rsid w:val="00282B69"/>
    <w:rsid w:val="00282D49"/>
    <w:rsid w:val="00282D7C"/>
    <w:rsid w:val="00282D97"/>
    <w:rsid w:val="0028315E"/>
    <w:rsid w:val="00283176"/>
    <w:rsid w:val="00283286"/>
    <w:rsid w:val="002833AF"/>
    <w:rsid w:val="002835AA"/>
    <w:rsid w:val="002835B9"/>
    <w:rsid w:val="0028383B"/>
    <w:rsid w:val="00283872"/>
    <w:rsid w:val="0028394A"/>
    <w:rsid w:val="0028397C"/>
    <w:rsid w:val="00283A82"/>
    <w:rsid w:val="00283B8F"/>
    <w:rsid w:val="00283C11"/>
    <w:rsid w:val="00283C40"/>
    <w:rsid w:val="00283F2B"/>
    <w:rsid w:val="0028413A"/>
    <w:rsid w:val="00284152"/>
    <w:rsid w:val="00284428"/>
    <w:rsid w:val="002846DD"/>
    <w:rsid w:val="002848E3"/>
    <w:rsid w:val="00284A75"/>
    <w:rsid w:val="00284BFB"/>
    <w:rsid w:val="00284D7A"/>
    <w:rsid w:val="00284E6F"/>
    <w:rsid w:val="00285011"/>
    <w:rsid w:val="0028531D"/>
    <w:rsid w:val="0028533E"/>
    <w:rsid w:val="00285460"/>
    <w:rsid w:val="00285543"/>
    <w:rsid w:val="0028580E"/>
    <w:rsid w:val="00285814"/>
    <w:rsid w:val="00285878"/>
    <w:rsid w:val="00285CE3"/>
    <w:rsid w:val="0028608B"/>
    <w:rsid w:val="002860EA"/>
    <w:rsid w:val="00286438"/>
    <w:rsid w:val="00286579"/>
    <w:rsid w:val="00286655"/>
    <w:rsid w:val="002866AB"/>
    <w:rsid w:val="002867DD"/>
    <w:rsid w:val="002867EB"/>
    <w:rsid w:val="0028686C"/>
    <w:rsid w:val="00286B34"/>
    <w:rsid w:val="00286CA0"/>
    <w:rsid w:val="00286DC6"/>
    <w:rsid w:val="00286E59"/>
    <w:rsid w:val="00286F12"/>
    <w:rsid w:val="00286FAE"/>
    <w:rsid w:val="00287178"/>
    <w:rsid w:val="00287198"/>
    <w:rsid w:val="00287239"/>
    <w:rsid w:val="00287262"/>
    <w:rsid w:val="00287553"/>
    <w:rsid w:val="00287749"/>
    <w:rsid w:val="00287A68"/>
    <w:rsid w:val="00287E30"/>
    <w:rsid w:val="00287F91"/>
    <w:rsid w:val="0029016A"/>
    <w:rsid w:val="0029028B"/>
    <w:rsid w:val="002902BA"/>
    <w:rsid w:val="00290494"/>
    <w:rsid w:val="00290690"/>
    <w:rsid w:val="002909CD"/>
    <w:rsid w:val="00290DE4"/>
    <w:rsid w:val="00290EDC"/>
    <w:rsid w:val="00291588"/>
    <w:rsid w:val="002915CA"/>
    <w:rsid w:val="00291899"/>
    <w:rsid w:val="002918BF"/>
    <w:rsid w:val="00291A8A"/>
    <w:rsid w:val="00291BB4"/>
    <w:rsid w:val="00291C38"/>
    <w:rsid w:val="00291CC4"/>
    <w:rsid w:val="00291E04"/>
    <w:rsid w:val="00292561"/>
    <w:rsid w:val="00292689"/>
    <w:rsid w:val="00292831"/>
    <w:rsid w:val="00292931"/>
    <w:rsid w:val="00292A71"/>
    <w:rsid w:val="00292D48"/>
    <w:rsid w:val="00292EA0"/>
    <w:rsid w:val="002930BB"/>
    <w:rsid w:val="002932D2"/>
    <w:rsid w:val="00293391"/>
    <w:rsid w:val="0029345E"/>
    <w:rsid w:val="002935AA"/>
    <w:rsid w:val="002936A5"/>
    <w:rsid w:val="00293733"/>
    <w:rsid w:val="00293852"/>
    <w:rsid w:val="00293B33"/>
    <w:rsid w:val="00293B9C"/>
    <w:rsid w:val="00293CBB"/>
    <w:rsid w:val="00293F5A"/>
    <w:rsid w:val="0029410C"/>
    <w:rsid w:val="002943DB"/>
    <w:rsid w:val="00294463"/>
    <w:rsid w:val="0029469D"/>
    <w:rsid w:val="002946E4"/>
    <w:rsid w:val="00294761"/>
    <w:rsid w:val="0029489D"/>
    <w:rsid w:val="00294953"/>
    <w:rsid w:val="00294DC1"/>
    <w:rsid w:val="00294FD6"/>
    <w:rsid w:val="00295093"/>
    <w:rsid w:val="00295125"/>
    <w:rsid w:val="00295130"/>
    <w:rsid w:val="00295538"/>
    <w:rsid w:val="00295680"/>
    <w:rsid w:val="00295739"/>
    <w:rsid w:val="00295808"/>
    <w:rsid w:val="0029585E"/>
    <w:rsid w:val="002958B9"/>
    <w:rsid w:val="002959C3"/>
    <w:rsid w:val="002959E0"/>
    <w:rsid w:val="00295B18"/>
    <w:rsid w:val="00295B3B"/>
    <w:rsid w:val="00295DAF"/>
    <w:rsid w:val="00295DE7"/>
    <w:rsid w:val="00295EC8"/>
    <w:rsid w:val="002960CF"/>
    <w:rsid w:val="002962BD"/>
    <w:rsid w:val="00296565"/>
    <w:rsid w:val="00296830"/>
    <w:rsid w:val="00296BD0"/>
    <w:rsid w:val="00296E58"/>
    <w:rsid w:val="002972E5"/>
    <w:rsid w:val="00297471"/>
    <w:rsid w:val="0029759F"/>
    <w:rsid w:val="00297844"/>
    <w:rsid w:val="0029799C"/>
    <w:rsid w:val="00297A5A"/>
    <w:rsid w:val="00297E0C"/>
    <w:rsid w:val="00297FE5"/>
    <w:rsid w:val="002A0200"/>
    <w:rsid w:val="002A0251"/>
    <w:rsid w:val="002A025A"/>
    <w:rsid w:val="002A0353"/>
    <w:rsid w:val="002A0435"/>
    <w:rsid w:val="002A0442"/>
    <w:rsid w:val="002A04BD"/>
    <w:rsid w:val="002A085E"/>
    <w:rsid w:val="002A0A2B"/>
    <w:rsid w:val="002A0BA8"/>
    <w:rsid w:val="002A0E36"/>
    <w:rsid w:val="002A1000"/>
    <w:rsid w:val="002A1432"/>
    <w:rsid w:val="002A1497"/>
    <w:rsid w:val="002A155A"/>
    <w:rsid w:val="002A156E"/>
    <w:rsid w:val="002A1636"/>
    <w:rsid w:val="002A16AA"/>
    <w:rsid w:val="002A179D"/>
    <w:rsid w:val="002A1C1E"/>
    <w:rsid w:val="002A1DA3"/>
    <w:rsid w:val="002A2108"/>
    <w:rsid w:val="002A213F"/>
    <w:rsid w:val="002A2327"/>
    <w:rsid w:val="002A2808"/>
    <w:rsid w:val="002A2831"/>
    <w:rsid w:val="002A2B7D"/>
    <w:rsid w:val="002A2DEB"/>
    <w:rsid w:val="002A2FC5"/>
    <w:rsid w:val="002A3144"/>
    <w:rsid w:val="002A3238"/>
    <w:rsid w:val="002A323B"/>
    <w:rsid w:val="002A33E0"/>
    <w:rsid w:val="002A367A"/>
    <w:rsid w:val="002A36C8"/>
    <w:rsid w:val="002A3A7F"/>
    <w:rsid w:val="002A3ACF"/>
    <w:rsid w:val="002A3BAF"/>
    <w:rsid w:val="002A3C4C"/>
    <w:rsid w:val="002A3D27"/>
    <w:rsid w:val="002A3E52"/>
    <w:rsid w:val="002A3FAF"/>
    <w:rsid w:val="002A40B4"/>
    <w:rsid w:val="002A412C"/>
    <w:rsid w:val="002A4443"/>
    <w:rsid w:val="002A490D"/>
    <w:rsid w:val="002A4946"/>
    <w:rsid w:val="002A4D44"/>
    <w:rsid w:val="002A4E4C"/>
    <w:rsid w:val="002A50D6"/>
    <w:rsid w:val="002A514D"/>
    <w:rsid w:val="002A5184"/>
    <w:rsid w:val="002A527E"/>
    <w:rsid w:val="002A54F4"/>
    <w:rsid w:val="002A59F0"/>
    <w:rsid w:val="002A5B4E"/>
    <w:rsid w:val="002A5B98"/>
    <w:rsid w:val="002A5EB0"/>
    <w:rsid w:val="002A5ED1"/>
    <w:rsid w:val="002A6127"/>
    <w:rsid w:val="002A6248"/>
    <w:rsid w:val="002A66D0"/>
    <w:rsid w:val="002A6711"/>
    <w:rsid w:val="002A6820"/>
    <w:rsid w:val="002A683D"/>
    <w:rsid w:val="002A6938"/>
    <w:rsid w:val="002A6AD2"/>
    <w:rsid w:val="002A6E7B"/>
    <w:rsid w:val="002A7093"/>
    <w:rsid w:val="002A71EB"/>
    <w:rsid w:val="002A73FF"/>
    <w:rsid w:val="002A7455"/>
    <w:rsid w:val="002A747C"/>
    <w:rsid w:val="002A749B"/>
    <w:rsid w:val="002A7602"/>
    <w:rsid w:val="002A76DA"/>
    <w:rsid w:val="002A7799"/>
    <w:rsid w:val="002A796B"/>
    <w:rsid w:val="002A7B6A"/>
    <w:rsid w:val="002A7CC4"/>
    <w:rsid w:val="002A7D45"/>
    <w:rsid w:val="002A7D9E"/>
    <w:rsid w:val="002A7FBD"/>
    <w:rsid w:val="002A7FCB"/>
    <w:rsid w:val="002B01A7"/>
    <w:rsid w:val="002B0224"/>
    <w:rsid w:val="002B0549"/>
    <w:rsid w:val="002B089F"/>
    <w:rsid w:val="002B09E5"/>
    <w:rsid w:val="002B0ACA"/>
    <w:rsid w:val="002B0AF5"/>
    <w:rsid w:val="002B0D83"/>
    <w:rsid w:val="002B13AC"/>
    <w:rsid w:val="002B14A2"/>
    <w:rsid w:val="002B152C"/>
    <w:rsid w:val="002B15B7"/>
    <w:rsid w:val="002B15EE"/>
    <w:rsid w:val="002B184B"/>
    <w:rsid w:val="002B188B"/>
    <w:rsid w:val="002B190C"/>
    <w:rsid w:val="002B1A07"/>
    <w:rsid w:val="002B1BB3"/>
    <w:rsid w:val="002B1E37"/>
    <w:rsid w:val="002B2144"/>
    <w:rsid w:val="002B21FA"/>
    <w:rsid w:val="002B23DC"/>
    <w:rsid w:val="002B242F"/>
    <w:rsid w:val="002B24C2"/>
    <w:rsid w:val="002B259C"/>
    <w:rsid w:val="002B2642"/>
    <w:rsid w:val="002B2805"/>
    <w:rsid w:val="002B28A5"/>
    <w:rsid w:val="002B28A7"/>
    <w:rsid w:val="002B29A9"/>
    <w:rsid w:val="002B2B42"/>
    <w:rsid w:val="002B2BA6"/>
    <w:rsid w:val="002B2C85"/>
    <w:rsid w:val="002B2CAA"/>
    <w:rsid w:val="002B2D27"/>
    <w:rsid w:val="002B2DC1"/>
    <w:rsid w:val="002B2F7F"/>
    <w:rsid w:val="002B3085"/>
    <w:rsid w:val="002B30AE"/>
    <w:rsid w:val="002B31CF"/>
    <w:rsid w:val="002B320E"/>
    <w:rsid w:val="002B334F"/>
    <w:rsid w:val="002B3528"/>
    <w:rsid w:val="002B3611"/>
    <w:rsid w:val="002B3B37"/>
    <w:rsid w:val="002B3CBB"/>
    <w:rsid w:val="002B3D2E"/>
    <w:rsid w:val="002B3EDE"/>
    <w:rsid w:val="002B44D5"/>
    <w:rsid w:val="002B47D6"/>
    <w:rsid w:val="002B4807"/>
    <w:rsid w:val="002B4809"/>
    <w:rsid w:val="002B484C"/>
    <w:rsid w:val="002B48B4"/>
    <w:rsid w:val="002B4A37"/>
    <w:rsid w:val="002B4B44"/>
    <w:rsid w:val="002B4BC9"/>
    <w:rsid w:val="002B4C62"/>
    <w:rsid w:val="002B4D07"/>
    <w:rsid w:val="002B4DD4"/>
    <w:rsid w:val="002B5226"/>
    <w:rsid w:val="002B5298"/>
    <w:rsid w:val="002B5915"/>
    <w:rsid w:val="002B5D92"/>
    <w:rsid w:val="002B5D9B"/>
    <w:rsid w:val="002B614C"/>
    <w:rsid w:val="002B61AF"/>
    <w:rsid w:val="002B6207"/>
    <w:rsid w:val="002B627B"/>
    <w:rsid w:val="002B62F2"/>
    <w:rsid w:val="002B6358"/>
    <w:rsid w:val="002B6426"/>
    <w:rsid w:val="002B647A"/>
    <w:rsid w:val="002B66BE"/>
    <w:rsid w:val="002B6753"/>
    <w:rsid w:val="002B6827"/>
    <w:rsid w:val="002B6A94"/>
    <w:rsid w:val="002B6D88"/>
    <w:rsid w:val="002B6DF3"/>
    <w:rsid w:val="002B6E66"/>
    <w:rsid w:val="002B6F8B"/>
    <w:rsid w:val="002B7098"/>
    <w:rsid w:val="002B70EC"/>
    <w:rsid w:val="002B7737"/>
    <w:rsid w:val="002B7766"/>
    <w:rsid w:val="002B7A22"/>
    <w:rsid w:val="002B7B28"/>
    <w:rsid w:val="002B7BCF"/>
    <w:rsid w:val="002B7C77"/>
    <w:rsid w:val="002B7CE0"/>
    <w:rsid w:val="002B7DE3"/>
    <w:rsid w:val="002B7EA6"/>
    <w:rsid w:val="002B7ECD"/>
    <w:rsid w:val="002C014F"/>
    <w:rsid w:val="002C0202"/>
    <w:rsid w:val="002C049F"/>
    <w:rsid w:val="002C0720"/>
    <w:rsid w:val="002C087B"/>
    <w:rsid w:val="002C09B8"/>
    <w:rsid w:val="002C0ADF"/>
    <w:rsid w:val="002C0B1E"/>
    <w:rsid w:val="002C0BD6"/>
    <w:rsid w:val="002C11B1"/>
    <w:rsid w:val="002C1536"/>
    <w:rsid w:val="002C168C"/>
    <w:rsid w:val="002C1758"/>
    <w:rsid w:val="002C18B4"/>
    <w:rsid w:val="002C190C"/>
    <w:rsid w:val="002C1C31"/>
    <w:rsid w:val="002C1D32"/>
    <w:rsid w:val="002C21F5"/>
    <w:rsid w:val="002C233D"/>
    <w:rsid w:val="002C2364"/>
    <w:rsid w:val="002C25C4"/>
    <w:rsid w:val="002C2A60"/>
    <w:rsid w:val="002C2D84"/>
    <w:rsid w:val="002C2DBB"/>
    <w:rsid w:val="002C2F7F"/>
    <w:rsid w:val="002C30BA"/>
    <w:rsid w:val="002C3252"/>
    <w:rsid w:val="002C344A"/>
    <w:rsid w:val="002C3451"/>
    <w:rsid w:val="002C3561"/>
    <w:rsid w:val="002C35D0"/>
    <w:rsid w:val="002C3781"/>
    <w:rsid w:val="002C38B5"/>
    <w:rsid w:val="002C3A7E"/>
    <w:rsid w:val="002C3BF3"/>
    <w:rsid w:val="002C3E0B"/>
    <w:rsid w:val="002C3E79"/>
    <w:rsid w:val="002C40C1"/>
    <w:rsid w:val="002C4227"/>
    <w:rsid w:val="002C4425"/>
    <w:rsid w:val="002C445A"/>
    <w:rsid w:val="002C45A0"/>
    <w:rsid w:val="002C47F2"/>
    <w:rsid w:val="002C484F"/>
    <w:rsid w:val="002C48C5"/>
    <w:rsid w:val="002C48DB"/>
    <w:rsid w:val="002C4A82"/>
    <w:rsid w:val="002C4B33"/>
    <w:rsid w:val="002C4B79"/>
    <w:rsid w:val="002C4CC5"/>
    <w:rsid w:val="002C4D1D"/>
    <w:rsid w:val="002C4E23"/>
    <w:rsid w:val="002C54D5"/>
    <w:rsid w:val="002C5662"/>
    <w:rsid w:val="002C575D"/>
    <w:rsid w:val="002C5C73"/>
    <w:rsid w:val="002C5D6C"/>
    <w:rsid w:val="002C5DC3"/>
    <w:rsid w:val="002C5EAF"/>
    <w:rsid w:val="002C5EFA"/>
    <w:rsid w:val="002C628D"/>
    <w:rsid w:val="002C64AB"/>
    <w:rsid w:val="002C6521"/>
    <w:rsid w:val="002C6553"/>
    <w:rsid w:val="002C69CF"/>
    <w:rsid w:val="002C69F7"/>
    <w:rsid w:val="002C6C9A"/>
    <w:rsid w:val="002C7080"/>
    <w:rsid w:val="002C7101"/>
    <w:rsid w:val="002C7228"/>
    <w:rsid w:val="002C72B4"/>
    <w:rsid w:val="002C72E5"/>
    <w:rsid w:val="002C737A"/>
    <w:rsid w:val="002C74FE"/>
    <w:rsid w:val="002C7623"/>
    <w:rsid w:val="002C7729"/>
    <w:rsid w:val="002C7812"/>
    <w:rsid w:val="002C783B"/>
    <w:rsid w:val="002C7AC0"/>
    <w:rsid w:val="002D0116"/>
    <w:rsid w:val="002D086F"/>
    <w:rsid w:val="002D08B3"/>
    <w:rsid w:val="002D094D"/>
    <w:rsid w:val="002D0AF5"/>
    <w:rsid w:val="002D0EC9"/>
    <w:rsid w:val="002D11CF"/>
    <w:rsid w:val="002D1222"/>
    <w:rsid w:val="002D14BF"/>
    <w:rsid w:val="002D1847"/>
    <w:rsid w:val="002D1852"/>
    <w:rsid w:val="002D1B45"/>
    <w:rsid w:val="002D1DDF"/>
    <w:rsid w:val="002D1E8C"/>
    <w:rsid w:val="002D1F73"/>
    <w:rsid w:val="002D226A"/>
    <w:rsid w:val="002D22A1"/>
    <w:rsid w:val="002D22D7"/>
    <w:rsid w:val="002D23A9"/>
    <w:rsid w:val="002D23B3"/>
    <w:rsid w:val="002D240F"/>
    <w:rsid w:val="002D243F"/>
    <w:rsid w:val="002D271F"/>
    <w:rsid w:val="002D29C9"/>
    <w:rsid w:val="002D2A53"/>
    <w:rsid w:val="002D2B07"/>
    <w:rsid w:val="002D2C31"/>
    <w:rsid w:val="002D2E31"/>
    <w:rsid w:val="002D306D"/>
    <w:rsid w:val="002D30CA"/>
    <w:rsid w:val="002D33FA"/>
    <w:rsid w:val="002D34F1"/>
    <w:rsid w:val="002D3593"/>
    <w:rsid w:val="002D3699"/>
    <w:rsid w:val="002D3741"/>
    <w:rsid w:val="002D38CC"/>
    <w:rsid w:val="002D38FD"/>
    <w:rsid w:val="002D3A35"/>
    <w:rsid w:val="002D3AD0"/>
    <w:rsid w:val="002D3C55"/>
    <w:rsid w:val="002D3D70"/>
    <w:rsid w:val="002D3D82"/>
    <w:rsid w:val="002D3EA1"/>
    <w:rsid w:val="002D40F7"/>
    <w:rsid w:val="002D4103"/>
    <w:rsid w:val="002D4993"/>
    <w:rsid w:val="002D499F"/>
    <w:rsid w:val="002D49C4"/>
    <w:rsid w:val="002D4A6F"/>
    <w:rsid w:val="002D4CBF"/>
    <w:rsid w:val="002D4D6A"/>
    <w:rsid w:val="002D4EF2"/>
    <w:rsid w:val="002D505C"/>
    <w:rsid w:val="002D5872"/>
    <w:rsid w:val="002D5886"/>
    <w:rsid w:val="002D5893"/>
    <w:rsid w:val="002D5A57"/>
    <w:rsid w:val="002D5E15"/>
    <w:rsid w:val="002D5F89"/>
    <w:rsid w:val="002D6119"/>
    <w:rsid w:val="002D6208"/>
    <w:rsid w:val="002D6341"/>
    <w:rsid w:val="002D6475"/>
    <w:rsid w:val="002D647D"/>
    <w:rsid w:val="002D64D4"/>
    <w:rsid w:val="002D6635"/>
    <w:rsid w:val="002D69D5"/>
    <w:rsid w:val="002D6FA6"/>
    <w:rsid w:val="002D7024"/>
    <w:rsid w:val="002D7040"/>
    <w:rsid w:val="002D70D1"/>
    <w:rsid w:val="002D7288"/>
    <w:rsid w:val="002D72AD"/>
    <w:rsid w:val="002D73E7"/>
    <w:rsid w:val="002D7427"/>
    <w:rsid w:val="002D7502"/>
    <w:rsid w:val="002D75DF"/>
    <w:rsid w:val="002D7A22"/>
    <w:rsid w:val="002D7A96"/>
    <w:rsid w:val="002D7AF5"/>
    <w:rsid w:val="002D7BC0"/>
    <w:rsid w:val="002D7CD4"/>
    <w:rsid w:val="002D7D55"/>
    <w:rsid w:val="002D7F06"/>
    <w:rsid w:val="002E014B"/>
    <w:rsid w:val="002E01D9"/>
    <w:rsid w:val="002E038B"/>
    <w:rsid w:val="002E05F9"/>
    <w:rsid w:val="002E0748"/>
    <w:rsid w:val="002E0837"/>
    <w:rsid w:val="002E0B9E"/>
    <w:rsid w:val="002E101C"/>
    <w:rsid w:val="002E107E"/>
    <w:rsid w:val="002E12BC"/>
    <w:rsid w:val="002E155A"/>
    <w:rsid w:val="002E1683"/>
    <w:rsid w:val="002E1686"/>
    <w:rsid w:val="002E1765"/>
    <w:rsid w:val="002E1826"/>
    <w:rsid w:val="002E191E"/>
    <w:rsid w:val="002E19A8"/>
    <w:rsid w:val="002E1C42"/>
    <w:rsid w:val="002E1DC7"/>
    <w:rsid w:val="002E1FC5"/>
    <w:rsid w:val="002E208B"/>
    <w:rsid w:val="002E22FE"/>
    <w:rsid w:val="002E2314"/>
    <w:rsid w:val="002E231F"/>
    <w:rsid w:val="002E2426"/>
    <w:rsid w:val="002E2467"/>
    <w:rsid w:val="002E2486"/>
    <w:rsid w:val="002E24CE"/>
    <w:rsid w:val="002E2546"/>
    <w:rsid w:val="002E25E9"/>
    <w:rsid w:val="002E27DE"/>
    <w:rsid w:val="002E2C6A"/>
    <w:rsid w:val="002E2CC9"/>
    <w:rsid w:val="002E30E8"/>
    <w:rsid w:val="002E315B"/>
    <w:rsid w:val="002E3255"/>
    <w:rsid w:val="002E3413"/>
    <w:rsid w:val="002E367A"/>
    <w:rsid w:val="002E3866"/>
    <w:rsid w:val="002E3899"/>
    <w:rsid w:val="002E38BA"/>
    <w:rsid w:val="002E3AAD"/>
    <w:rsid w:val="002E3BD5"/>
    <w:rsid w:val="002E3C36"/>
    <w:rsid w:val="002E3D3F"/>
    <w:rsid w:val="002E3F8E"/>
    <w:rsid w:val="002E40C9"/>
    <w:rsid w:val="002E4284"/>
    <w:rsid w:val="002E434C"/>
    <w:rsid w:val="002E4683"/>
    <w:rsid w:val="002E497D"/>
    <w:rsid w:val="002E4A01"/>
    <w:rsid w:val="002E4A13"/>
    <w:rsid w:val="002E4B7C"/>
    <w:rsid w:val="002E4C92"/>
    <w:rsid w:val="002E4CF1"/>
    <w:rsid w:val="002E4E2D"/>
    <w:rsid w:val="002E5275"/>
    <w:rsid w:val="002E5288"/>
    <w:rsid w:val="002E548D"/>
    <w:rsid w:val="002E54D4"/>
    <w:rsid w:val="002E577C"/>
    <w:rsid w:val="002E577D"/>
    <w:rsid w:val="002E57A2"/>
    <w:rsid w:val="002E57D4"/>
    <w:rsid w:val="002E59B6"/>
    <w:rsid w:val="002E5B58"/>
    <w:rsid w:val="002E61F1"/>
    <w:rsid w:val="002E62FF"/>
    <w:rsid w:val="002E67BF"/>
    <w:rsid w:val="002E6852"/>
    <w:rsid w:val="002E6926"/>
    <w:rsid w:val="002E6B89"/>
    <w:rsid w:val="002E7263"/>
    <w:rsid w:val="002E72AC"/>
    <w:rsid w:val="002E7390"/>
    <w:rsid w:val="002E75E0"/>
    <w:rsid w:val="002E7838"/>
    <w:rsid w:val="002E79BD"/>
    <w:rsid w:val="002E7B5A"/>
    <w:rsid w:val="002E7EEE"/>
    <w:rsid w:val="002E7FBE"/>
    <w:rsid w:val="002F0024"/>
    <w:rsid w:val="002F0179"/>
    <w:rsid w:val="002F02C0"/>
    <w:rsid w:val="002F02F9"/>
    <w:rsid w:val="002F030D"/>
    <w:rsid w:val="002F07B0"/>
    <w:rsid w:val="002F07FD"/>
    <w:rsid w:val="002F0992"/>
    <w:rsid w:val="002F09F4"/>
    <w:rsid w:val="002F0A87"/>
    <w:rsid w:val="002F0C27"/>
    <w:rsid w:val="002F0CB2"/>
    <w:rsid w:val="002F0E09"/>
    <w:rsid w:val="002F106D"/>
    <w:rsid w:val="002F1210"/>
    <w:rsid w:val="002F133C"/>
    <w:rsid w:val="002F1340"/>
    <w:rsid w:val="002F13A0"/>
    <w:rsid w:val="002F1445"/>
    <w:rsid w:val="002F14BC"/>
    <w:rsid w:val="002F1BCB"/>
    <w:rsid w:val="002F1C14"/>
    <w:rsid w:val="002F1C62"/>
    <w:rsid w:val="002F1E83"/>
    <w:rsid w:val="002F212A"/>
    <w:rsid w:val="002F2294"/>
    <w:rsid w:val="002F240B"/>
    <w:rsid w:val="002F253E"/>
    <w:rsid w:val="002F258F"/>
    <w:rsid w:val="002F2902"/>
    <w:rsid w:val="002F2A1D"/>
    <w:rsid w:val="002F2B53"/>
    <w:rsid w:val="002F2D5B"/>
    <w:rsid w:val="002F2E03"/>
    <w:rsid w:val="002F30AE"/>
    <w:rsid w:val="002F31A8"/>
    <w:rsid w:val="002F3396"/>
    <w:rsid w:val="002F3599"/>
    <w:rsid w:val="002F35B0"/>
    <w:rsid w:val="002F35D5"/>
    <w:rsid w:val="002F3689"/>
    <w:rsid w:val="002F396A"/>
    <w:rsid w:val="002F3AEA"/>
    <w:rsid w:val="002F3EF8"/>
    <w:rsid w:val="002F4028"/>
    <w:rsid w:val="002F408F"/>
    <w:rsid w:val="002F4169"/>
    <w:rsid w:val="002F420C"/>
    <w:rsid w:val="002F42C5"/>
    <w:rsid w:val="002F4544"/>
    <w:rsid w:val="002F45E2"/>
    <w:rsid w:val="002F467B"/>
    <w:rsid w:val="002F4692"/>
    <w:rsid w:val="002F4880"/>
    <w:rsid w:val="002F4AF9"/>
    <w:rsid w:val="002F4D1E"/>
    <w:rsid w:val="002F4F63"/>
    <w:rsid w:val="002F5175"/>
    <w:rsid w:val="002F5A89"/>
    <w:rsid w:val="002F5B82"/>
    <w:rsid w:val="002F5DA4"/>
    <w:rsid w:val="002F5E05"/>
    <w:rsid w:val="002F5F90"/>
    <w:rsid w:val="002F61CA"/>
    <w:rsid w:val="002F6448"/>
    <w:rsid w:val="002F64C7"/>
    <w:rsid w:val="002F658D"/>
    <w:rsid w:val="002F66DE"/>
    <w:rsid w:val="002F686E"/>
    <w:rsid w:val="002F6870"/>
    <w:rsid w:val="002F6AA1"/>
    <w:rsid w:val="002F6B31"/>
    <w:rsid w:val="002F6B4B"/>
    <w:rsid w:val="002F6BD7"/>
    <w:rsid w:val="002F7200"/>
    <w:rsid w:val="002F7753"/>
    <w:rsid w:val="002F7781"/>
    <w:rsid w:val="002F789E"/>
    <w:rsid w:val="002F7903"/>
    <w:rsid w:val="002F799B"/>
    <w:rsid w:val="002F7C64"/>
    <w:rsid w:val="002F7DF1"/>
    <w:rsid w:val="002F7E34"/>
    <w:rsid w:val="002F7E6D"/>
    <w:rsid w:val="0030008D"/>
    <w:rsid w:val="0030049D"/>
    <w:rsid w:val="0030073D"/>
    <w:rsid w:val="00300892"/>
    <w:rsid w:val="00300CFA"/>
    <w:rsid w:val="00300D7E"/>
    <w:rsid w:val="00300EB3"/>
    <w:rsid w:val="003012DE"/>
    <w:rsid w:val="00301732"/>
    <w:rsid w:val="003017E7"/>
    <w:rsid w:val="00301995"/>
    <w:rsid w:val="003019DC"/>
    <w:rsid w:val="00301BA5"/>
    <w:rsid w:val="00301E91"/>
    <w:rsid w:val="00301FF2"/>
    <w:rsid w:val="00302297"/>
    <w:rsid w:val="003022B6"/>
    <w:rsid w:val="00302409"/>
    <w:rsid w:val="00302414"/>
    <w:rsid w:val="00302557"/>
    <w:rsid w:val="003027E9"/>
    <w:rsid w:val="0030294C"/>
    <w:rsid w:val="00302971"/>
    <w:rsid w:val="00302C3F"/>
    <w:rsid w:val="00302D56"/>
    <w:rsid w:val="00302E09"/>
    <w:rsid w:val="00302E1C"/>
    <w:rsid w:val="00303182"/>
    <w:rsid w:val="00303243"/>
    <w:rsid w:val="00303344"/>
    <w:rsid w:val="003033BA"/>
    <w:rsid w:val="0030341D"/>
    <w:rsid w:val="00303491"/>
    <w:rsid w:val="003036A3"/>
    <w:rsid w:val="003036E1"/>
    <w:rsid w:val="003036FA"/>
    <w:rsid w:val="00303750"/>
    <w:rsid w:val="0030386C"/>
    <w:rsid w:val="00303890"/>
    <w:rsid w:val="00303940"/>
    <w:rsid w:val="00303ED8"/>
    <w:rsid w:val="00304103"/>
    <w:rsid w:val="003042B6"/>
    <w:rsid w:val="0030476B"/>
    <w:rsid w:val="003047D1"/>
    <w:rsid w:val="00304924"/>
    <w:rsid w:val="00304C18"/>
    <w:rsid w:val="00304C68"/>
    <w:rsid w:val="00304F29"/>
    <w:rsid w:val="00304FEB"/>
    <w:rsid w:val="0030506E"/>
    <w:rsid w:val="0030520C"/>
    <w:rsid w:val="00305288"/>
    <w:rsid w:val="003052BC"/>
    <w:rsid w:val="0030545C"/>
    <w:rsid w:val="00305652"/>
    <w:rsid w:val="0030565A"/>
    <w:rsid w:val="0030573D"/>
    <w:rsid w:val="00305FA8"/>
    <w:rsid w:val="0030607A"/>
    <w:rsid w:val="00306090"/>
    <w:rsid w:val="003060DF"/>
    <w:rsid w:val="00306119"/>
    <w:rsid w:val="00306477"/>
    <w:rsid w:val="003064FA"/>
    <w:rsid w:val="00306573"/>
    <w:rsid w:val="00306A8F"/>
    <w:rsid w:val="0030730E"/>
    <w:rsid w:val="00307467"/>
    <w:rsid w:val="00307885"/>
    <w:rsid w:val="00307D22"/>
    <w:rsid w:val="00307EEF"/>
    <w:rsid w:val="003101C4"/>
    <w:rsid w:val="00310223"/>
    <w:rsid w:val="0031037E"/>
    <w:rsid w:val="00310381"/>
    <w:rsid w:val="00310692"/>
    <w:rsid w:val="00310812"/>
    <w:rsid w:val="00310920"/>
    <w:rsid w:val="00310AB2"/>
    <w:rsid w:val="00310AFA"/>
    <w:rsid w:val="00310BCA"/>
    <w:rsid w:val="00310C8F"/>
    <w:rsid w:val="00310F90"/>
    <w:rsid w:val="0031120E"/>
    <w:rsid w:val="00311224"/>
    <w:rsid w:val="0031142D"/>
    <w:rsid w:val="00311518"/>
    <w:rsid w:val="003119A2"/>
    <w:rsid w:val="00311A19"/>
    <w:rsid w:val="00311AB2"/>
    <w:rsid w:val="00311B6A"/>
    <w:rsid w:val="00311F2D"/>
    <w:rsid w:val="00311FD4"/>
    <w:rsid w:val="003121CF"/>
    <w:rsid w:val="0031225B"/>
    <w:rsid w:val="00312321"/>
    <w:rsid w:val="003124F7"/>
    <w:rsid w:val="00312790"/>
    <w:rsid w:val="00312A98"/>
    <w:rsid w:val="00312AA5"/>
    <w:rsid w:val="00312B3C"/>
    <w:rsid w:val="00312B5B"/>
    <w:rsid w:val="00312C0B"/>
    <w:rsid w:val="00312E5A"/>
    <w:rsid w:val="003133FD"/>
    <w:rsid w:val="0031341F"/>
    <w:rsid w:val="00313431"/>
    <w:rsid w:val="0031343E"/>
    <w:rsid w:val="00313C08"/>
    <w:rsid w:val="00313C5E"/>
    <w:rsid w:val="00313D54"/>
    <w:rsid w:val="00313F71"/>
    <w:rsid w:val="00313F98"/>
    <w:rsid w:val="00313FD9"/>
    <w:rsid w:val="003140D4"/>
    <w:rsid w:val="003141BB"/>
    <w:rsid w:val="00314204"/>
    <w:rsid w:val="0031463E"/>
    <w:rsid w:val="003148C0"/>
    <w:rsid w:val="00314C93"/>
    <w:rsid w:val="00314CB3"/>
    <w:rsid w:val="00314F5D"/>
    <w:rsid w:val="0031512C"/>
    <w:rsid w:val="0031514F"/>
    <w:rsid w:val="003151C0"/>
    <w:rsid w:val="003151CC"/>
    <w:rsid w:val="00315326"/>
    <w:rsid w:val="0031537D"/>
    <w:rsid w:val="0031545A"/>
    <w:rsid w:val="003156CB"/>
    <w:rsid w:val="003157E4"/>
    <w:rsid w:val="003159C1"/>
    <w:rsid w:val="00315AA1"/>
    <w:rsid w:val="00315AC9"/>
    <w:rsid w:val="00315D3F"/>
    <w:rsid w:val="00315DE4"/>
    <w:rsid w:val="00316046"/>
    <w:rsid w:val="00316117"/>
    <w:rsid w:val="00316131"/>
    <w:rsid w:val="0031627E"/>
    <w:rsid w:val="00316294"/>
    <w:rsid w:val="0031633D"/>
    <w:rsid w:val="00316497"/>
    <w:rsid w:val="003164B0"/>
    <w:rsid w:val="00316520"/>
    <w:rsid w:val="00316A12"/>
    <w:rsid w:val="00316A5B"/>
    <w:rsid w:val="00316AB1"/>
    <w:rsid w:val="00316B64"/>
    <w:rsid w:val="00316C56"/>
    <w:rsid w:val="00316D7B"/>
    <w:rsid w:val="00316DE7"/>
    <w:rsid w:val="00316E8E"/>
    <w:rsid w:val="00316E9D"/>
    <w:rsid w:val="00316F4D"/>
    <w:rsid w:val="00316FA9"/>
    <w:rsid w:val="00316FE5"/>
    <w:rsid w:val="003170CE"/>
    <w:rsid w:val="0031748A"/>
    <w:rsid w:val="003174E5"/>
    <w:rsid w:val="00317578"/>
    <w:rsid w:val="00317661"/>
    <w:rsid w:val="003176DF"/>
    <w:rsid w:val="00317741"/>
    <w:rsid w:val="003178D9"/>
    <w:rsid w:val="00317B26"/>
    <w:rsid w:val="00317B4B"/>
    <w:rsid w:val="00317BE9"/>
    <w:rsid w:val="00317D15"/>
    <w:rsid w:val="00317DC3"/>
    <w:rsid w:val="00317E07"/>
    <w:rsid w:val="00317E0F"/>
    <w:rsid w:val="00320186"/>
    <w:rsid w:val="003201F4"/>
    <w:rsid w:val="00320345"/>
    <w:rsid w:val="003203AB"/>
    <w:rsid w:val="0032052A"/>
    <w:rsid w:val="00320543"/>
    <w:rsid w:val="00320A0A"/>
    <w:rsid w:val="00320BE2"/>
    <w:rsid w:val="00320CBB"/>
    <w:rsid w:val="00320D63"/>
    <w:rsid w:val="003210D6"/>
    <w:rsid w:val="00321188"/>
    <w:rsid w:val="00321367"/>
    <w:rsid w:val="00321749"/>
    <w:rsid w:val="00321788"/>
    <w:rsid w:val="00321885"/>
    <w:rsid w:val="003219BA"/>
    <w:rsid w:val="003219C5"/>
    <w:rsid w:val="00321D4C"/>
    <w:rsid w:val="00321F25"/>
    <w:rsid w:val="003220F1"/>
    <w:rsid w:val="003221F7"/>
    <w:rsid w:val="003225EA"/>
    <w:rsid w:val="00322693"/>
    <w:rsid w:val="003228B9"/>
    <w:rsid w:val="0032293C"/>
    <w:rsid w:val="00322BB2"/>
    <w:rsid w:val="00322E35"/>
    <w:rsid w:val="00322E6B"/>
    <w:rsid w:val="00322ECD"/>
    <w:rsid w:val="00322F7A"/>
    <w:rsid w:val="00323023"/>
    <w:rsid w:val="003232F8"/>
    <w:rsid w:val="0032333B"/>
    <w:rsid w:val="00323482"/>
    <w:rsid w:val="003234BF"/>
    <w:rsid w:val="00323692"/>
    <w:rsid w:val="003237EF"/>
    <w:rsid w:val="00323883"/>
    <w:rsid w:val="00323968"/>
    <w:rsid w:val="00323B56"/>
    <w:rsid w:val="00323C41"/>
    <w:rsid w:val="00323DA7"/>
    <w:rsid w:val="00323E6A"/>
    <w:rsid w:val="00323F27"/>
    <w:rsid w:val="00323F31"/>
    <w:rsid w:val="003240B7"/>
    <w:rsid w:val="00324236"/>
    <w:rsid w:val="00324577"/>
    <w:rsid w:val="00324593"/>
    <w:rsid w:val="00324994"/>
    <w:rsid w:val="00324FDF"/>
    <w:rsid w:val="00325169"/>
    <w:rsid w:val="003257F2"/>
    <w:rsid w:val="00325852"/>
    <w:rsid w:val="00325864"/>
    <w:rsid w:val="00325C99"/>
    <w:rsid w:val="00325D7F"/>
    <w:rsid w:val="00325DCA"/>
    <w:rsid w:val="00325DE9"/>
    <w:rsid w:val="00325F45"/>
    <w:rsid w:val="0032634E"/>
    <w:rsid w:val="00326499"/>
    <w:rsid w:val="0032683E"/>
    <w:rsid w:val="003268E7"/>
    <w:rsid w:val="00326A20"/>
    <w:rsid w:val="00326DD2"/>
    <w:rsid w:val="00326DD8"/>
    <w:rsid w:val="003271E5"/>
    <w:rsid w:val="0032738A"/>
    <w:rsid w:val="003274FD"/>
    <w:rsid w:val="003275FE"/>
    <w:rsid w:val="003276E0"/>
    <w:rsid w:val="003279C5"/>
    <w:rsid w:val="00327B84"/>
    <w:rsid w:val="00327CB5"/>
    <w:rsid w:val="00327DB6"/>
    <w:rsid w:val="00327E7B"/>
    <w:rsid w:val="0033013C"/>
    <w:rsid w:val="00330236"/>
    <w:rsid w:val="00330419"/>
    <w:rsid w:val="0033049E"/>
    <w:rsid w:val="0033074F"/>
    <w:rsid w:val="003308EB"/>
    <w:rsid w:val="00330AFF"/>
    <w:rsid w:val="00330B1F"/>
    <w:rsid w:val="00330BDB"/>
    <w:rsid w:val="00330C5C"/>
    <w:rsid w:val="00330F08"/>
    <w:rsid w:val="00330FD6"/>
    <w:rsid w:val="00331431"/>
    <w:rsid w:val="003318B0"/>
    <w:rsid w:val="003318C1"/>
    <w:rsid w:val="00331C6F"/>
    <w:rsid w:val="00331E6F"/>
    <w:rsid w:val="00331FAD"/>
    <w:rsid w:val="00332020"/>
    <w:rsid w:val="003320E6"/>
    <w:rsid w:val="0033216E"/>
    <w:rsid w:val="003324EC"/>
    <w:rsid w:val="003325EB"/>
    <w:rsid w:val="0033264E"/>
    <w:rsid w:val="00332788"/>
    <w:rsid w:val="003327FB"/>
    <w:rsid w:val="00332864"/>
    <w:rsid w:val="0033286C"/>
    <w:rsid w:val="00332D03"/>
    <w:rsid w:val="00332EAF"/>
    <w:rsid w:val="003331B4"/>
    <w:rsid w:val="0033345B"/>
    <w:rsid w:val="003334BD"/>
    <w:rsid w:val="00333835"/>
    <w:rsid w:val="00333AC0"/>
    <w:rsid w:val="00333BEC"/>
    <w:rsid w:val="00333CD3"/>
    <w:rsid w:val="00333E4E"/>
    <w:rsid w:val="0033400B"/>
    <w:rsid w:val="003341AC"/>
    <w:rsid w:val="003344C7"/>
    <w:rsid w:val="00334543"/>
    <w:rsid w:val="00334547"/>
    <w:rsid w:val="0033460F"/>
    <w:rsid w:val="00334847"/>
    <w:rsid w:val="003348C1"/>
    <w:rsid w:val="003348E9"/>
    <w:rsid w:val="00334B58"/>
    <w:rsid w:val="00334CE5"/>
    <w:rsid w:val="00334EE9"/>
    <w:rsid w:val="0033505C"/>
    <w:rsid w:val="003352A6"/>
    <w:rsid w:val="003352AB"/>
    <w:rsid w:val="003352CF"/>
    <w:rsid w:val="00335361"/>
    <w:rsid w:val="0033539A"/>
    <w:rsid w:val="0033542C"/>
    <w:rsid w:val="003356D8"/>
    <w:rsid w:val="00335B03"/>
    <w:rsid w:val="00335C06"/>
    <w:rsid w:val="00335C32"/>
    <w:rsid w:val="00335D1B"/>
    <w:rsid w:val="00335E9A"/>
    <w:rsid w:val="00336056"/>
    <w:rsid w:val="0033624E"/>
    <w:rsid w:val="00336660"/>
    <w:rsid w:val="003366EE"/>
    <w:rsid w:val="00336A22"/>
    <w:rsid w:val="00336AE8"/>
    <w:rsid w:val="00336BFE"/>
    <w:rsid w:val="00336FB1"/>
    <w:rsid w:val="00336FC4"/>
    <w:rsid w:val="0033724C"/>
    <w:rsid w:val="003375F3"/>
    <w:rsid w:val="00337607"/>
    <w:rsid w:val="003376A2"/>
    <w:rsid w:val="0033798B"/>
    <w:rsid w:val="00337B01"/>
    <w:rsid w:val="00337B08"/>
    <w:rsid w:val="00337DD6"/>
    <w:rsid w:val="00337FCB"/>
    <w:rsid w:val="0034030B"/>
    <w:rsid w:val="00340644"/>
    <w:rsid w:val="0034083B"/>
    <w:rsid w:val="00340A42"/>
    <w:rsid w:val="00340B62"/>
    <w:rsid w:val="00340BC6"/>
    <w:rsid w:val="00340EB8"/>
    <w:rsid w:val="00340F41"/>
    <w:rsid w:val="00341283"/>
    <w:rsid w:val="0034134A"/>
    <w:rsid w:val="00341C23"/>
    <w:rsid w:val="00341EAA"/>
    <w:rsid w:val="00342108"/>
    <w:rsid w:val="0034213C"/>
    <w:rsid w:val="003425C5"/>
    <w:rsid w:val="003425F1"/>
    <w:rsid w:val="003426E6"/>
    <w:rsid w:val="003426F0"/>
    <w:rsid w:val="00342A31"/>
    <w:rsid w:val="00342B71"/>
    <w:rsid w:val="00342DF3"/>
    <w:rsid w:val="00342E1A"/>
    <w:rsid w:val="00343200"/>
    <w:rsid w:val="00343325"/>
    <w:rsid w:val="00343571"/>
    <w:rsid w:val="00343761"/>
    <w:rsid w:val="0034377E"/>
    <w:rsid w:val="003437B5"/>
    <w:rsid w:val="003439EB"/>
    <w:rsid w:val="003439FA"/>
    <w:rsid w:val="00343B2F"/>
    <w:rsid w:val="0034410B"/>
    <w:rsid w:val="00344298"/>
    <w:rsid w:val="00344395"/>
    <w:rsid w:val="0034449F"/>
    <w:rsid w:val="003444D1"/>
    <w:rsid w:val="00344A61"/>
    <w:rsid w:val="00344B18"/>
    <w:rsid w:val="00344E72"/>
    <w:rsid w:val="003450BF"/>
    <w:rsid w:val="00345140"/>
    <w:rsid w:val="003452AE"/>
    <w:rsid w:val="0034537A"/>
    <w:rsid w:val="003454A2"/>
    <w:rsid w:val="0034560D"/>
    <w:rsid w:val="003458F4"/>
    <w:rsid w:val="003459C5"/>
    <w:rsid w:val="00345D26"/>
    <w:rsid w:val="00345D27"/>
    <w:rsid w:val="00345E35"/>
    <w:rsid w:val="00345E82"/>
    <w:rsid w:val="00345F27"/>
    <w:rsid w:val="00345FB5"/>
    <w:rsid w:val="003463FC"/>
    <w:rsid w:val="00346481"/>
    <w:rsid w:val="0034661F"/>
    <w:rsid w:val="0034677B"/>
    <w:rsid w:val="003467C2"/>
    <w:rsid w:val="003468D7"/>
    <w:rsid w:val="00346AD7"/>
    <w:rsid w:val="00346B66"/>
    <w:rsid w:val="00346D45"/>
    <w:rsid w:val="0034715F"/>
    <w:rsid w:val="0034735A"/>
    <w:rsid w:val="003474C1"/>
    <w:rsid w:val="0034750D"/>
    <w:rsid w:val="00347B9E"/>
    <w:rsid w:val="00347D06"/>
    <w:rsid w:val="00347DAC"/>
    <w:rsid w:val="00347FFC"/>
    <w:rsid w:val="00350053"/>
    <w:rsid w:val="003501C3"/>
    <w:rsid w:val="003505B3"/>
    <w:rsid w:val="003509C2"/>
    <w:rsid w:val="00350A26"/>
    <w:rsid w:val="00350C92"/>
    <w:rsid w:val="00350D0F"/>
    <w:rsid w:val="00350D16"/>
    <w:rsid w:val="00350D32"/>
    <w:rsid w:val="00350E0D"/>
    <w:rsid w:val="003511D4"/>
    <w:rsid w:val="0035143B"/>
    <w:rsid w:val="003518C6"/>
    <w:rsid w:val="00351A1A"/>
    <w:rsid w:val="00351BF5"/>
    <w:rsid w:val="00351EC1"/>
    <w:rsid w:val="00351FFF"/>
    <w:rsid w:val="00352184"/>
    <w:rsid w:val="00352473"/>
    <w:rsid w:val="003525B0"/>
    <w:rsid w:val="003525B1"/>
    <w:rsid w:val="00352ABE"/>
    <w:rsid w:val="00352AFF"/>
    <w:rsid w:val="00352C38"/>
    <w:rsid w:val="00352DDE"/>
    <w:rsid w:val="00353058"/>
    <w:rsid w:val="003531AA"/>
    <w:rsid w:val="003534AA"/>
    <w:rsid w:val="003534DE"/>
    <w:rsid w:val="0035394A"/>
    <w:rsid w:val="00353B4C"/>
    <w:rsid w:val="00353B85"/>
    <w:rsid w:val="00353E53"/>
    <w:rsid w:val="003540C2"/>
    <w:rsid w:val="003540DF"/>
    <w:rsid w:val="0035469F"/>
    <w:rsid w:val="00354875"/>
    <w:rsid w:val="0035491E"/>
    <w:rsid w:val="00354961"/>
    <w:rsid w:val="003549D5"/>
    <w:rsid w:val="003549DB"/>
    <w:rsid w:val="00354AC9"/>
    <w:rsid w:val="00354E21"/>
    <w:rsid w:val="00354ECD"/>
    <w:rsid w:val="00354ED7"/>
    <w:rsid w:val="003550F4"/>
    <w:rsid w:val="0035519E"/>
    <w:rsid w:val="003551D8"/>
    <w:rsid w:val="00355763"/>
    <w:rsid w:val="003557C0"/>
    <w:rsid w:val="00355816"/>
    <w:rsid w:val="00355973"/>
    <w:rsid w:val="00355A07"/>
    <w:rsid w:val="00355D1A"/>
    <w:rsid w:val="00355EF1"/>
    <w:rsid w:val="00355FE9"/>
    <w:rsid w:val="00356008"/>
    <w:rsid w:val="0035610B"/>
    <w:rsid w:val="003564EB"/>
    <w:rsid w:val="0035664B"/>
    <w:rsid w:val="00356761"/>
    <w:rsid w:val="00356855"/>
    <w:rsid w:val="00356AC0"/>
    <w:rsid w:val="00356CE8"/>
    <w:rsid w:val="00356DF8"/>
    <w:rsid w:val="003570B1"/>
    <w:rsid w:val="003571AF"/>
    <w:rsid w:val="0035730C"/>
    <w:rsid w:val="0035748B"/>
    <w:rsid w:val="00357920"/>
    <w:rsid w:val="00357AE3"/>
    <w:rsid w:val="00357BC1"/>
    <w:rsid w:val="00357C4F"/>
    <w:rsid w:val="00357F72"/>
    <w:rsid w:val="00360096"/>
    <w:rsid w:val="003600D4"/>
    <w:rsid w:val="0036017C"/>
    <w:rsid w:val="003605BF"/>
    <w:rsid w:val="003605E7"/>
    <w:rsid w:val="0036097C"/>
    <w:rsid w:val="00360995"/>
    <w:rsid w:val="00360CA6"/>
    <w:rsid w:val="00360D72"/>
    <w:rsid w:val="00360DE4"/>
    <w:rsid w:val="00360DFA"/>
    <w:rsid w:val="00360FDC"/>
    <w:rsid w:val="0036134F"/>
    <w:rsid w:val="003614C2"/>
    <w:rsid w:val="00361711"/>
    <w:rsid w:val="00361794"/>
    <w:rsid w:val="00361974"/>
    <w:rsid w:val="00361BFD"/>
    <w:rsid w:val="00361C1C"/>
    <w:rsid w:val="00361DB6"/>
    <w:rsid w:val="003620DA"/>
    <w:rsid w:val="0036228E"/>
    <w:rsid w:val="0036232F"/>
    <w:rsid w:val="003623D8"/>
    <w:rsid w:val="0036241B"/>
    <w:rsid w:val="00362469"/>
    <w:rsid w:val="00362994"/>
    <w:rsid w:val="003629B8"/>
    <w:rsid w:val="00362A06"/>
    <w:rsid w:val="00362A3B"/>
    <w:rsid w:val="00362D75"/>
    <w:rsid w:val="00362F9A"/>
    <w:rsid w:val="0036311D"/>
    <w:rsid w:val="003631EF"/>
    <w:rsid w:val="00363365"/>
    <w:rsid w:val="003634D5"/>
    <w:rsid w:val="003636EC"/>
    <w:rsid w:val="00363A5D"/>
    <w:rsid w:val="00363B1B"/>
    <w:rsid w:val="00363C51"/>
    <w:rsid w:val="0036401B"/>
    <w:rsid w:val="00364067"/>
    <w:rsid w:val="00364283"/>
    <w:rsid w:val="003642BB"/>
    <w:rsid w:val="00364472"/>
    <w:rsid w:val="003644E9"/>
    <w:rsid w:val="003647E3"/>
    <w:rsid w:val="00364823"/>
    <w:rsid w:val="00364BD6"/>
    <w:rsid w:val="003650FE"/>
    <w:rsid w:val="00365127"/>
    <w:rsid w:val="0036580E"/>
    <w:rsid w:val="003658B9"/>
    <w:rsid w:val="00365BD7"/>
    <w:rsid w:val="00365DBD"/>
    <w:rsid w:val="00365F7A"/>
    <w:rsid w:val="0036601E"/>
    <w:rsid w:val="003661E5"/>
    <w:rsid w:val="003662ED"/>
    <w:rsid w:val="00366536"/>
    <w:rsid w:val="003667E6"/>
    <w:rsid w:val="00366A38"/>
    <w:rsid w:val="00366A5E"/>
    <w:rsid w:val="00366BEA"/>
    <w:rsid w:val="00366BFB"/>
    <w:rsid w:val="00366C9D"/>
    <w:rsid w:val="00366D57"/>
    <w:rsid w:val="00366DFA"/>
    <w:rsid w:val="00367045"/>
    <w:rsid w:val="003670D3"/>
    <w:rsid w:val="0036756C"/>
    <w:rsid w:val="00367B0D"/>
    <w:rsid w:val="00367B59"/>
    <w:rsid w:val="00367CD0"/>
    <w:rsid w:val="00367D28"/>
    <w:rsid w:val="00367DCE"/>
    <w:rsid w:val="00370100"/>
    <w:rsid w:val="003701D9"/>
    <w:rsid w:val="003702B6"/>
    <w:rsid w:val="003706A0"/>
    <w:rsid w:val="00370795"/>
    <w:rsid w:val="00370CBE"/>
    <w:rsid w:val="00370DAA"/>
    <w:rsid w:val="00371016"/>
    <w:rsid w:val="003712C9"/>
    <w:rsid w:val="003715A2"/>
    <w:rsid w:val="0037165A"/>
    <w:rsid w:val="00371791"/>
    <w:rsid w:val="0037190C"/>
    <w:rsid w:val="00371BD0"/>
    <w:rsid w:val="00372025"/>
    <w:rsid w:val="0037202C"/>
    <w:rsid w:val="003720FE"/>
    <w:rsid w:val="00372199"/>
    <w:rsid w:val="003725BB"/>
    <w:rsid w:val="00372C95"/>
    <w:rsid w:val="00372D0A"/>
    <w:rsid w:val="00372D4B"/>
    <w:rsid w:val="00372E95"/>
    <w:rsid w:val="00372F7E"/>
    <w:rsid w:val="00373000"/>
    <w:rsid w:val="0037308B"/>
    <w:rsid w:val="00373114"/>
    <w:rsid w:val="00373264"/>
    <w:rsid w:val="003732A4"/>
    <w:rsid w:val="003732AC"/>
    <w:rsid w:val="00373544"/>
    <w:rsid w:val="003735CE"/>
    <w:rsid w:val="003738A1"/>
    <w:rsid w:val="0037393D"/>
    <w:rsid w:val="00373B49"/>
    <w:rsid w:val="00373C89"/>
    <w:rsid w:val="00373FB4"/>
    <w:rsid w:val="00373FBA"/>
    <w:rsid w:val="003740FE"/>
    <w:rsid w:val="003741E2"/>
    <w:rsid w:val="003743B7"/>
    <w:rsid w:val="00374442"/>
    <w:rsid w:val="003745FE"/>
    <w:rsid w:val="0037471A"/>
    <w:rsid w:val="00374798"/>
    <w:rsid w:val="0037488D"/>
    <w:rsid w:val="00374D88"/>
    <w:rsid w:val="00374EDB"/>
    <w:rsid w:val="00374EF0"/>
    <w:rsid w:val="0037500E"/>
    <w:rsid w:val="0037534C"/>
    <w:rsid w:val="003754E9"/>
    <w:rsid w:val="0037568A"/>
    <w:rsid w:val="0037580D"/>
    <w:rsid w:val="00375978"/>
    <w:rsid w:val="00375B33"/>
    <w:rsid w:val="00375BC2"/>
    <w:rsid w:val="00375D6D"/>
    <w:rsid w:val="00375DE0"/>
    <w:rsid w:val="003760D9"/>
    <w:rsid w:val="0037627E"/>
    <w:rsid w:val="00376343"/>
    <w:rsid w:val="003765C8"/>
    <w:rsid w:val="0037661F"/>
    <w:rsid w:val="00376A62"/>
    <w:rsid w:val="00376EB3"/>
    <w:rsid w:val="00376ED3"/>
    <w:rsid w:val="003775AE"/>
    <w:rsid w:val="0037773E"/>
    <w:rsid w:val="003778E5"/>
    <w:rsid w:val="00377988"/>
    <w:rsid w:val="00377B94"/>
    <w:rsid w:val="00377DCE"/>
    <w:rsid w:val="00377DEB"/>
    <w:rsid w:val="00380418"/>
    <w:rsid w:val="003805D7"/>
    <w:rsid w:val="00380870"/>
    <w:rsid w:val="003808D2"/>
    <w:rsid w:val="00380999"/>
    <w:rsid w:val="003809A1"/>
    <w:rsid w:val="00380A06"/>
    <w:rsid w:val="00380CF2"/>
    <w:rsid w:val="00380E25"/>
    <w:rsid w:val="00380EC3"/>
    <w:rsid w:val="00380ECD"/>
    <w:rsid w:val="00380F64"/>
    <w:rsid w:val="00380FF8"/>
    <w:rsid w:val="003811B4"/>
    <w:rsid w:val="00381213"/>
    <w:rsid w:val="00381237"/>
    <w:rsid w:val="00381517"/>
    <w:rsid w:val="003816C2"/>
    <w:rsid w:val="00381961"/>
    <w:rsid w:val="00381CB3"/>
    <w:rsid w:val="00381E9D"/>
    <w:rsid w:val="00381F1E"/>
    <w:rsid w:val="00382014"/>
    <w:rsid w:val="003820CF"/>
    <w:rsid w:val="0038221E"/>
    <w:rsid w:val="0038229C"/>
    <w:rsid w:val="00382650"/>
    <w:rsid w:val="003827CE"/>
    <w:rsid w:val="00382942"/>
    <w:rsid w:val="00382B32"/>
    <w:rsid w:val="00382C68"/>
    <w:rsid w:val="00382DAE"/>
    <w:rsid w:val="0038313F"/>
    <w:rsid w:val="003831C0"/>
    <w:rsid w:val="0038341E"/>
    <w:rsid w:val="00383527"/>
    <w:rsid w:val="003837EB"/>
    <w:rsid w:val="0038383D"/>
    <w:rsid w:val="003838CB"/>
    <w:rsid w:val="003839CB"/>
    <w:rsid w:val="00383A52"/>
    <w:rsid w:val="00383B67"/>
    <w:rsid w:val="00383D12"/>
    <w:rsid w:val="00384008"/>
    <w:rsid w:val="00384064"/>
    <w:rsid w:val="0038406C"/>
    <w:rsid w:val="00384195"/>
    <w:rsid w:val="0038430D"/>
    <w:rsid w:val="003844D5"/>
    <w:rsid w:val="00384589"/>
    <w:rsid w:val="0038477E"/>
    <w:rsid w:val="0038497E"/>
    <w:rsid w:val="003849E0"/>
    <w:rsid w:val="00384A79"/>
    <w:rsid w:val="00384A91"/>
    <w:rsid w:val="00384BDE"/>
    <w:rsid w:val="00384C47"/>
    <w:rsid w:val="00384D94"/>
    <w:rsid w:val="00384DA8"/>
    <w:rsid w:val="00384DE3"/>
    <w:rsid w:val="0038500B"/>
    <w:rsid w:val="0038500E"/>
    <w:rsid w:val="00385107"/>
    <w:rsid w:val="00385126"/>
    <w:rsid w:val="0038517E"/>
    <w:rsid w:val="0038517F"/>
    <w:rsid w:val="003851B1"/>
    <w:rsid w:val="00385392"/>
    <w:rsid w:val="0038549F"/>
    <w:rsid w:val="0038561E"/>
    <w:rsid w:val="00385699"/>
    <w:rsid w:val="003857B3"/>
    <w:rsid w:val="00385A7C"/>
    <w:rsid w:val="00385DDA"/>
    <w:rsid w:val="00385E14"/>
    <w:rsid w:val="003860ED"/>
    <w:rsid w:val="003861F7"/>
    <w:rsid w:val="0038631D"/>
    <w:rsid w:val="0038650A"/>
    <w:rsid w:val="0038655C"/>
    <w:rsid w:val="003865A0"/>
    <w:rsid w:val="0038670C"/>
    <w:rsid w:val="0038687B"/>
    <w:rsid w:val="003868F6"/>
    <w:rsid w:val="003868FF"/>
    <w:rsid w:val="00386D23"/>
    <w:rsid w:val="00386DB7"/>
    <w:rsid w:val="00386F0D"/>
    <w:rsid w:val="00386F8B"/>
    <w:rsid w:val="00387082"/>
    <w:rsid w:val="00387159"/>
    <w:rsid w:val="0038716F"/>
    <w:rsid w:val="00387235"/>
    <w:rsid w:val="0038744A"/>
    <w:rsid w:val="003877CB"/>
    <w:rsid w:val="003879C0"/>
    <w:rsid w:val="00387B22"/>
    <w:rsid w:val="00387B25"/>
    <w:rsid w:val="00387D29"/>
    <w:rsid w:val="00387D6F"/>
    <w:rsid w:val="00387E3F"/>
    <w:rsid w:val="00387ED5"/>
    <w:rsid w:val="003900D1"/>
    <w:rsid w:val="00390322"/>
    <w:rsid w:val="003903B6"/>
    <w:rsid w:val="003905AE"/>
    <w:rsid w:val="00390725"/>
    <w:rsid w:val="0039090E"/>
    <w:rsid w:val="00390B41"/>
    <w:rsid w:val="00390BBB"/>
    <w:rsid w:val="00390EC2"/>
    <w:rsid w:val="00390F06"/>
    <w:rsid w:val="0039104C"/>
    <w:rsid w:val="003910CC"/>
    <w:rsid w:val="00391360"/>
    <w:rsid w:val="00391407"/>
    <w:rsid w:val="0039186A"/>
    <w:rsid w:val="003919C5"/>
    <w:rsid w:val="003919E4"/>
    <w:rsid w:val="00391BC0"/>
    <w:rsid w:val="00391C0B"/>
    <w:rsid w:val="00391D08"/>
    <w:rsid w:val="00391DDB"/>
    <w:rsid w:val="003923CD"/>
    <w:rsid w:val="00392975"/>
    <w:rsid w:val="00392B12"/>
    <w:rsid w:val="00392B71"/>
    <w:rsid w:val="00392C46"/>
    <w:rsid w:val="00392EAC"/>
    <w:rsid w:val="00392ECB"/>
    <w:rsid w:val="00393019"/>
    <w:rsid w:val="003933A4"/>
    <w:rsid w:val="003934F4"/>
    <w:rsid w:val="00393755"/>
    <w:rsid w:val="00393DB2"/>
    <w:rsid w:val="00393DBB"/>
    <w:rsid w:val="00393F6E"/>
    <w:rsid w:val="00393F9F"/>
    <w:rsid w:val="00393FC2"/>
    <w:rsid w:val="003946C0"/>
    <w:rsid w:val="00394870"/>
    <w:rsid w:val="00394891"/>
    <w:rsid w:val="00394A45"/>
    <w:rsid w:val="00394A4F"/>
    <w:rsid w:val="00394BC6"/>
    <w:rsid w:val="00394FB9"/>
    <w:rsid w:val="00394FBF"/>
    <w:rsid w:val="003950AB"/>
    <w:rsid w:val="003950D9"/>
    <w:rsid w:val="00395136"/>
    <w:rsid w:val="00395196"/>
    <w:rsid w:val="003951B2"/>
    <w:rsid w:val="00395425"/>
    <w:rsid w:val="00395438"/>
    <w:rsid w:val="00395741"/>
    <w:rsid w:val="003957FC"/>
    <w:rsid w:val="00395950"/>
    <w:rsid w:val="00395C2B"/>
    <w:rsid w:val="00395C93"/>
    <w:rsid w:val="00396068"/>
    <w:rsid w:val="0039607D"/>
    <w:rsid w:val="00396364"/>
    <w:rsid w:val="0039652C"/>
    <w:rsid w:val="003968A1"/>
    <w:rsid w:val="00396C62"/>
    <w:rsid w:val="00396F04"/>
    <w:rsid w:val="00397164"/>
    <w:rsid w:val="0039737D"/>
    <w:rsid w:val="00397400"/>
    <w:rsid w:val="003974DE"/>
    <w:rsid w:val="003975D0"/>
    <w:rsid w:val="003975D6"/>
    <w:rsid w:val="00397C43"/>
    <w:rsid w:val="00397CF7"/>
    <w:rsid w:val="00397D9D"/>
    <w:rsid w:val="003A04F0"/>
    <w:rsid w:val="003A0510"/>
    <w:rsid w:val="003A05D0"/>
    <w:rsid w:val="003A05D7"/>
    <w:rsid w:val="003A078A"/>
    <w:rsid w:val="003A07EC"/>
    <w:rsid w:val="003A088F"/>
    <w:rsid w:val="003A08A6"/>
    <w:rsid w:val="003A09FA"/>
    <w:rsid w:val="003A0A4D"/>
    <w:rsid w:val="003A103E"/>
    <w:rsid w:val="003A106A"/>
    <w:rsid w:val="003A146E"/>
    <w:rsid w:val="003A168B"/>
    <w:rsid w:val="003A1880"/>
    <w:rsid w:val="003A18EE"/>
    <w:rsid w:val="003A1BA9"/>
    <w:rsid w:val="003A1C6E"/>
    <w:rsid w:val="003A1F98"/>
    <w:rsid w:val="003A20B9"/>
    <w:rsid w:val="003A2171"/>
    <w:rsid w:val="003A25D5"/>
    <w:rsid w:val="003A2752"/>
    <w:rsid w:val="003A27DF"/>
    <w:rsid w:val="003A2848"/>
    <w:rsid w:val="003A2947"/>
    <w:rsid w:val="003A2B61"/>
    <w:rsid w:val="003A2CA3"/>
    <w:rsid w:val="003A2D88"/>
    <w:rsid w:val="003A2EF6"/>
    <w:rsid w:val="003A32C8"/>
    <w:rsid w:val="003A3346"/>
    <w:rsid w:val="003A3440"/>
    <w:rsid w:val="003A34AC"/>
    <w:rsid w:val="003A38AB"/>
    <w:rsid w:val="003A3BC8"/>
    <w:rsid w:val="003A3BFC"/>
    <w:rsid w:val="003A3F81"/>
    <w:rsid w:val="003A40E5"/>
    <w:rsid w:val="003A432E"/>
    <w:rsid w:val="003A43D4"/>
    <w:rsid w:val="003A4493"/>
    <w:rsid w:val="003A453A"/>
    <w:rsid w:val="003A4564"/>
    <w:rsid w:val="003A4905"/>
    <w:rsid w:val="003A49D0"/>
    <w:rsid w:val="003A4A2D"/>
    <w:rsid w:val="003A4E48"/>
    <w:rsid w:val="003A4E63"/>
    <w:rsid w:val="003A50E2"/>
    <w:rsid w:val="003A5410"/>
    <w:rsid w:val="003A5476"/>
    <w:rsid w:val="003A5883"/>
    <w:rsid w:val="003A5925"/>
    <w:rsid w:val="003A5A22"/>
    <w:rsid w:val="003A5AD0"/>
    <w:rsid w:val="003A5BDB"/>
    <w:rsid w:val="003A5C4D"/>
    <w:rsid w:val="003A5EF5"/>
    <w:rsid w:val="003A602D"/>
    <w:rsid w:val="003A609B"/>
    <w:rsid w:val="003A60A3"/>
    <w:rsid w:val="003A6214"/>
    <w:rsid w:val="003A6357"/>
    <w:rsid w:val="003A65A8"/>
    <w:rsid w:val="003A6601"/>
    <w:rsid w:val="003A662D"/>
    <w:rsid w:val="003A677C"/>
    <w:rsid w:val="003A680B"/>
    <w:rsid w:val="003A6818"/>
    <w:rsid w:val="003A6877"/>
    <w:rsid w:val="003A6A97"/>
    <w:rsid w:val="003A6C54"/>
    <w:rsid w:val="003A742E"/>
    <w:rsid w:val="003A7583"/>
    <w:rsid w:val="003A76A2"/>
    <w:rsid w:val="003A78F2"/>
    <w:rsid w:val="003A794B"/>
    <w:rsid w:val="003A79EA"/>
    <w:rsid w:val="003A7C9C"/>
    <w:rsid w:val="003A7E39"/>
    <w:rsid w:val="003B0259"/>
    <w:rsid w:val="003B06B9"/>
    <w:rsid w:val="003B071E"/>
    <w:rsid w:val="003B0909"/>
    <w:rsid w:val="003B09D8"/>
    <w:rsid w:val="003B0CA4"/>
    <w:rsid w:val="003B0CF3"/>
    <w:rsid w:val="003B11AC"/>
    <w:rsid w:val="003B11AE"/>
    <w:rsid w:val="003B1498"/>
    <w:rsid w:val="003B14FC"/>
    <w:rsid w:val="003B15EB"/>
    <w:rsid w:val="003B178F"/>
    <w:rsid w:val="003B1AF1"/>
    <w:rsid w:val="003B1AF8"/>
    <w:rsid w:val="003B1C5D"/>
    <w:rsid w:val="003B1D7B"/>
    <w:rsid w:val="003B1EC6"/>
    <w:rsid w:val="003B1F5E"/>
    <w:rsid w:val="003B270A"/>
    <w:rsid w:val="003B2BBE"/>
    <w:rsid w:val="003B2C2B"/>
    <w:rsid w:val="003B2C2D"/>
    <w:rsid w:val="003B2D84"/>
    <w:rsid w:val="003B2DFB"/>
    <w:rsid w:val="003B310A"/>
    <w:rsid w:val="003B3110"/>
    <w:rsid w:val="003B341A"/>
    <w:rsid w:val="003B3486"/>
    <w:rsid w:val="003B3549"/>
    <w:rsid w:val="003B36C0"/>
    <w:rsid w:val="003B3A03"/>
    <w:rsid w:val="003B3A13"/>
    <w:rsid w:val="003B3BB5"/>
    <w:rsid w:val="003B3E1D"/>
    <w:rsid w:val="003B402C"/>
    <w:rsid w:val="003B406B"/>
    <w:rsid w:val="003B40C4"/>
    <w:rsid w:val="003B43B6"/>
    <w:rsid w:val="003B471B"/>
    <w:rsid w:val="003B47D6"/>
    <w:rsid w:val="003B493A"/>
    <w:rsid w:val="003B4E77"/>
    <w:rsid w:val="003B4F9F"/>
    <w:rsid w:val="003B5446"/>
    <w:rsid w:val="003B54B5"/>
    <w:rsid w:val="003B5715"/>
    <w:rsid w:val="003B5757"/>
    <w:rsid w:val="003B5BA3"/>
    <w:rsid w:val="003B5CD9"/>
    <w:rsid w:val="003B5E59"/>
    <w:rsid w:val="003B5EB2"/>
    <w:rsid w:val="003B60D5"/>
    <w:rsid w:val="003B6157"/>
    <w:rsid w:val="003B62E4"/>
    <w:rsid w:val="003B63C3"/>
    <w:rsid w:val="003B6611"/>
    <w:rsid w:val="003B6876"/>
    <w:rsid w:val="003B68C6"/>
    <w:rsid w:val="003B68EC"/>
    <w:rsid w:val="003B6B54"/>
    <w:rsid w:val="003B6D3E"/>
    <w:rsid w:val="003B6E52"/>
    <w:rsid w:val="003B6F0D"/>
    <w:rsid w:val="003B7237"/>
    <w:rsid w:val="003B73B2"/>
    <w:rsid w:val="003B7498"/>
    <w:rsid w:val="003B7844"/>
    <w:rsid w:val="003B7995"/>
    <w:rsid w:val="003B79E1"/>
    <w:rsid w:val="003B7F8C"/>
    <w:rsid w:val="003C0030"/>
    <w:rsid w:val="003C022A"/>
    <w:rsid w:val="003C02DF"/>
    <w:rsid w:val="003C0551"/>
    <w:rsid w:val="003C05F6"/>
    <w:rsid w:val="003C0641"/>
    <w:rsid w:val="003C06D5"/>
    <w:rsid w:val="003C0804"/>
    <w:rsid w:val="003C0BA8"/>
    <w:rsid w:val="003C0BEC"/>
    <w:rsid w:val="003C0D6C"/>
    <w:rsid w:val="003C104F"/>
    <w:rsid w:val="003C12E6"/>
    <w:rsid w:val="003C1413"/>
    <w:rsid w:val="003C14EF"/>
    <w:rsid w:val="003C1B92"/>
    <w:rsid w:val="003C2110"/>
    <w:rsid w:val="003C2225"/>
    <w:rsid w:val="003C228B"/>
    <w:rsid w:val="003C2383"/>
    <w:rsid w:val="003C2546"/>
    <w:rsid w:val="003C257F"/>
    <w:rsid w:val="003C2621"/>
    <w:rsid w:val="003C262C"/>
    <w:rsid w:val="003C2683"/>
    <w:rsid w:val="003C2790"/>
    <w:rsid w:val="003C2823"/>
    <w:rsid w:val="003C2B34"/>
    <w:rsid w:val="003C2CDA"/>
    <w:rsid w:val="003C2F67"/>
    <w:rsid w:val="003C3521"/>
    <w:rsid w:val="003C3535"/>
    <w:rsid w:val="003C3573"/>
    <w:rsid w:val="003C3574"/>
    <w:rsid w:val="003C36C9"/>
    <w:rsid w:val="003C371E"/>
    <w:rsid w:val="003C37C2"/>
    <w:rsid w:val="003C3D73"/>
    <w:rsid w:val="003C3EFD"/>
    <w:rsid w:val="003C3F6B"/>
    <w:rsid w:val="003C419B"/>
    <w:rsid w:val="003C434A"/>
    <w:rsid w:val="003C44D9"/>
    <w:rsid w:val="003C496E"/>
    <w:rsid w:val="003C4BC5"/>
    <w:rsid w:val="003C4D81"/>
    <w:rsid w:val="003C4E78"/>
    <w:rsid w:val="003C4EB8"/>
    <w:rsid w:val="003C4F7A"/>
    <w:rsid w:val="003C505D"/>
    <w:rsid w:val="003C5359"/>
    <w:rsid w:val="003C5563"/>
    <w:rsid w:val="003C582E"/>
    <w:rsid w:val="003C5878"/>
    <w:rsid w:val="003C58F4"/>
    <w:rsid w:val="003C5F70"/>
    <w:rsid w:val="003C66D4"/>
    <w:rsid w:val="003C6DE6"/>
    <w:rsid w:val="003C7082"/>
    <w:rsid w:val="003C70D0"/>
    <w:rsid w:val="003C72E4"/>
    <w:rsid w:val="003C7751"/>
    <w:rsid w:val="003C776F"/>
    <w:rsid w:val="003C77EE"/>
    <w:rsid w:val="003C789C"/>
    <w:rsid w:val="003C7A0B"/>
    <w:rsid w:val="003C7C0C"/>
    <w:rsid w:val="003C7E13"/>
    <w:rsid w:val="003C7E15"/>
    <w:rsid w:val="003C7F0F"/>
    <w:rsid w:val="003D019C"/>
    <w:rsid w:val="003D05E2"/>
    <w:rsid w:val="003D0644"/>
    <w:rsid w:val="003D090F"/>
    <w:rsid w:val="003D0C0A"/>
    <w:rsid w:val="003D0CEB"/>
    <w:rsid w:val="003D0EB4"/>
    <w:rsid w:val="003D0FFC"/>
    <w:rsid w:val="003D1109"/>
    <w:rsid w:val="003D13E7"/>
    <w:rsid w:val="003D1487"/>
    <w:rsid w:val="003D14EB"/>
    <w:rsid w:val="003D14F6"/>
    <w:rsid w:val="003D17D6"/>
    <w:rsid w:val="003D18F0"/>
    <w:rsid w:val="003D1924"/>
    <w:rsid w:val="003D192B"/>
    <w:rsid w:val="003D1B68"/>
    <w:rsid w:val="003D1BA8"/>
    <w:rsid w:val="003D1C6D"/>
    <w:rsid w:val="003D20C3"/>
    <w:rsid w:val="003D23F0"/>
    <w:rsid w:val="003D2795"/>
    <w:rsid w:val="003D27E9"/>
    <w:rsid w:val="003D282E"/>
    <w:rsid w:val="003D29DE"/>
    <w:rsid w:val="003D2B78"/>
    <w:rsid w:val="003D2E3B"/>
    <w:rsid w:val="003D306D"/>
    <w:rsid w:val="003D3500"/>
    <w:rsid w:val="003D35D8"/>
    <w:rsid w:val="003D3698"/>
    <w:rsid w:val="003D37AD"/>
    <w:rsid w:val="003D3EA5"/>
    <w:rsid w:val="003D3FFA"/>
    <w:rsid w:val="003D419F"/>
    <w:rsid w:val="003D4640"/>
    <w:rsid w:val="003D488B"/>
    <w:rsid w:val="003D49BF"/>
    <w:rsid w:val="003D4B77"/>
    <w:rsid w:val="003D4E60"/>
    <w:rsid w:val="003D4FC7"/>
    <w:rsid w:val="003D5038"/>
    <w:rsid w:val="003D513A"/>
    <w:rsid w:val="003D553C"/>
    <w:rsid w:val="003D5640"/>
    <w:rsid w:val="003D58FA"/>
    <w:rsid w:val="003D5ABE"/>
    <w:rsid w:val="003D5BD4"/>
    <w:rsid w:val="003D5C6F"/>
    <w:rsid w:val="003D5CDF"/>
    <w:rsid w:val="003D5E25"/>
    <w:rsid w:val="003D67AB"/>
    <w:rsid w:val="003D6ADA"/>
    <w:rsid w:val="003D6C1C"/>
    <w:rsid w:val="003D6CF6"/>
    <w:rsid w:val="003D7121"/>
    <w:rsid w:val="003D7252"/>
    <w:rsid w:val="003D7350"/>
    <w:rsid w:val="003D74C6"/>
    <w:rsid w:val="003D76E3"/>
    <w:rsid w:val="003E000B"/>
    <w:rsid w:val="003E00D6"/>
    <w:rsid w:val="003E032E"/>
    <w:rsid w:val="003E0571"/>
    <w:rsid w:val="003E07CF"/>
    <w:rsid w:val="003E0871"/>
    <w:rsid w:val="003E0A4D"/>
    <w:rsid w:val="003E0C49"/>
    <w:rsid w:val="003E0FCD"/>
    <w:rsid w:val="003E106D"/>
    <w:rsid w:val="003E1488"/>
    <w:rsid w:val="003E15BC"/>
    <w:rsid w:val="003E190A"/>
    <w:rsid w:val="003E195A"/>
    <w:rsid w:val="003E1A30"/>
    <w:rsid w:val="003E2011"/>
    <w:rsid w:val="003E2168"/>
    <w:rsid w:val="003E24A2"/>
    <w:rsid w:val="003E267A"/>
    <w:rsid w:val="003E2ADC"/>
    <w:rsid w:val="003E2AEC"/>
    <w:rsid w:val="003E2B3A"/>
    <w:rsid w:val="003E2D6C"/>
    <w:rsid w:val="003E2D99"/>
    <w:rsid w:val="003E2E15"/>
    <w:rsid w:val="003E333C"/>
    <w:rsid w:val="003E343C"/>
    <w:rsid w:val="003E3514"/>
    <w:rsid w:val="003E3561"/>
    <w:rsid w:val="003E374B"/>
    <w:rsid w:val="003E3893"/>
    <w:rsid w:val="003E3995"/>
    <w:rsid w:val="003E3A51"/>
    <w:rsid w:val="003E3B2A"/>
    <w:rsid w:val="003E3C2F"/>
    <w:rsid w:val="003E3D7D"/>
    <w:rsid w:val="003E3E16"/>
    <w:rsid w:val="003E402B"/>
    <w:rsid w:val="003E418E"/>
    <w:rsid w:val="003E422E"/>
    <w:rsid w:val="003E4658"/>
    <w:rsid w:val="003E479E"/>
    <w:rsid w:val="003E47A4"/>
    <w:rsid w:val="003E47D9"/>
    <w:rsid w:val="003E4806"/>
    <w:rsid w:val="003E49D5"/>
    <w:rsid w:val="003E4B98"/>
    <w:rsid w:val="003E4C46"/>
    <w:rsid w:val="003E4E6B"/>
    <w:rsid w:val="003E5095"/>
    <w:rsid w:val="003E527F"/>
    <w:rsid w:val="003E53C8"/>
    <w:rsid w:val="003E5402"/>
    <w:rsid w:val="003E540B"/>
    <w:rsid w:val="003E59F8"/>
    <w:rsid w:val="003E59FE"/>
    <w:rsid w:val="003E5ABA"/>
    <w:rsid w:val="003E5B56"/>
    <w:rsid w:val="003E5CBB"/>
    <w:rsid w:val="003E5ED6"/>
    <w:rsid w:val="003E62B6"/>
    <w:rsid w:val="003E6556"/>
    <w:rsid w:val="003E67D4"/>
    <w:rsid w:val="003E6877"/>
    <w:rsid w:val="003E6B96"/>
    <w:rsid w:val="003E6BF2"/>
    <w:rsid w:val="003E6D02"/>
    <w:rsid w:val="003E6E6C"/>
    <w:rsid w:val="003E6FB6"/>
    <w:rsid w:val="003E72D4"/>
    <w:rsid w:val="003E73FE"/>
    <w:rsid w:val="003E75A8"/>
    <w:rsid w:val="003E7734"/>
    <w:rsid w:val="003E7763"/>
    <w:rsid w:val="003E7799"/>
    <w:rsid w:val="003E7A80"/>
    <w:rsid w:val="003E7ABE"/>
    <w:rsid w:val="003E7C69"/>
    <w:rsid w:val="003E7D14"/>
    <w:rsid w:val="003E7DCF"/>
    <w:rsid w:val="003E7DE1"/>
    <w:rsid w:val="003F0167"/>
    <w:rsid w:val="003F0379"/>
    <w:rsid w:val="003F042D"/>
    <w:rsid w:val="003F0650"/>
    <w:rsid w:val="003F0663"/>
    <w:rsid w:val="003F07BB"/>
    <w:rsid w:val="003F08A7"/>
    <w:rsid w:val="003F0944"/>
    <w:rsid w:val="003F09D9"/>
    <w:rsid w:val="003F0AE1"/>
    <w:rsid w:val="003F0D1F"/>
    <w:rsid w:val="003F0E4C"/>
    <w:rsid w:val="003F0E6E"/>
    <w:rsid w:val="003F0FE6"/>
    <w:rsid w:val="003F1120"/>
    <w:rsid w:val="003F147A"/>
    <w:rsid w:val="003F1676"/>
    <w:rsid w:val="003F183D"/>
    <w:rsid w:val="003F19FC"/>
    <w:rsid w:val="003F1C30"/>
    <w:rsid w:val="003F1CB5"/>
    <w:rsid w:val="003F218D"/>
    <w:rsid w:val="003F23EE"/>
    <w:rsid w:val="003F2476"/>
    <w:rsid w:val="003F261C"/>
    <w:rsid w:val="003F26AB"/>
    <w:rsid w:val="003F26C1"/>
    <w:rsid w:val="003F2906"/>
    <w:rsid w:val="003F2CF3"/>
    <w:rsid w:val="003F2E74"/>
    <w:rsid w:val="003F300F"/>
    <w:rsid w:val="003F3036"/>
    <w:rsid w:val="003F303B"/>
    <w:rsid w:val="003F317C"/>
    <w:rsid w:val="003F36AF"/>
    <w:rsid w:val="003F36EC"/>
    <w:rsid w:val="003F381E"/>
    <w:rsid w:val="003F3890"/>
    <w:rsid w:val="003F3995"/>
    <w:rsid w:val="003F3D0F"/>
    <w:rsid w:val="003F3D1B"/>
    <w:rsid w:val="003F4570"/>
    <w:rsid w:val="003F45D8"/>
    <w:rsid w:val="003F4766"/>
    <w:rsid w:val="003F49A9"/>
    <w:rsid w:val="003F4A70"/>
    <w:rsid w:val="003F4AC9"/>
    <w:rsid w:val="003F4AEE"/>
    <w:rsid w:val="003F4BEB"/>
    <w:rsid w:val="003F4EE7"/>
    <w:rsid w:val="003F4F2B"/>
    <w:rsid w:val="003F4FE3"/>
    <w:rsid w:val="003F5393"/>
    <w:rsid w:val="003F53DF"/>
    <w:rsid w:val="003F59A8"/>
    <w:rsid w:val="003F5CC1"/>
    <w:rsid w:val="003F6018"/>
    <w:rsid w:val="003F6343"/>
    <w:rsid w:val="003F6523"/>
    <w:rsid w:val="003F666A"/>
    <w:rsid w:val="003F6855"/>
    <w:rsid w:val="003F68A0"/>
    <w:rsid w:val="003F68EF"/>
    <w:rsid w:val="003F6A03"/>
    <w:rsid w:val="003F6A95"/>
    <w:rsid w:val="003F6BCD"/>
    <w:rsid w:val="003F6CA1"/>
    <w:rsid w:val="003F6D2C"/>
    <w:rsid w:val="003F6F0E"/>
    <w:rsid w:val="003F6FD9"/>
    <w:rsid w:val="003F705C"/>
    <w:rsid w:val="003F7169"/>
    <w:rsid w:val="003F7175"/>
    <w:rsid w:val="003F72A6"/>
    <w:rsid w:val="003F7468"/>
    <w:rsid w:val="003F7492"/>
    <w:rsid w:val="003F750D"/>
    <w:rsid w:val="003F755D"/>
    <w:rsid w:val="003F7617"/>
    <w:rsid w:val="003F77D8"/>
    <w:rsid w:val="003F7927"/>
    <w:rsid w:val="003F7A45"/>
    <w:rsid w:val="003F7CA5"/>
    <w:rsid w:val="003F7CAC"/>
    <w:rsid w:val="00400081"/>
    <w:rsid w:val="0040048D"/>
    <w:rsid w:val="0040076B"/>
    <w:rsid w:val="00400B27"/>
    <w:rsid w:val="00400C45"/>
    <w:rsid w:val="00400D7B"/>
    <w:rsid w:val="00400D96"/>
    <w:rsid w:val="00401159"/>
    <w:rsid w:val="0040164A"/>
    <w:rsid w:val="00401918"/>
    <w:rsid w:val="00401A40"/>
    <w:rsid w:val="00401A83"/>
    <w:rsid w:val="00401B2B"/>
    <w:rsid w:val="00401E03"/>
    <w:rsid w:val="00401E49"/>
    <w:rsid w:val="00401E90"/>
    <w:rsid w:val="00402394"/>
    <w:rsid w:val="0040249F"/>
    <w:rsid w:val="00402676"/>
    <w:rsid w:val="004026FE"/>
    <w:rsid w:val="0040275B"/>
    <w:rsid w:val="004028CD"/>
    <w:rsid w:val="00402A0D"/>
    <w:rsid w:val="0040312F"/>
    <w:rsid w:val="004031CA"/>
    <w:rsid w:val="00403450"/>
    <w:rsid w:val="00403652"/>
    <w:rsid w:val="0040387A"/>
    <w:rsid w:val="004038C3"/>
    <w:rsid w:val="004039CF"/>
    <w:rsid w:val="00403A14"/>
    <w:rsid w:val="00403AC1"/>
    <w:rsid w:val="00403AE8"/>
    <w:rsid w:val="00403AEC"/>
    <w:rsid w:val="00403C18"/>
    <w:rsid w:val="00403C65"/>
    <w:rsid w:val="00403C99"/>
    <w:rsid w:val="00403DC6"/>
    <w:rsid w:val="00403F59"/>
    <w:rsid w:val="00404072"/>
    <w:rsid w:val="004040BA"/>
    <w:rsid w:val="004040DD"/>
    <w:rsid w:val="0040434E"/>
    <w:rsid w:val="00404462"/>
    <w:rsid w:val="0040459A"/>
    <w:rsid w:val="004046EF"/>
    <w:rsid w:val="00404C1B"/>
    <w:rsid w:val="00404D66"/>
    <w:rsid w:val="00404DB6"/>
    <w:rsid w:val="00404EAF"/>
    <w:rsid w:val="00404FC5"/>
    <w:rsid w:val="0040515C"/>
    <w:rsid w:val="0040523B"/>
    <w:rsid w:val="0040568D"/>
    <w:rsid w:val="0040575B"/>
    <w:rsid w:val="004058D0"/>
    <w:rsid w:val="00405CFF"/>
    <w:rsid w:val="00405D35"/>
    <w:rsid w:val="00405DD5"/>
    <w:rsid w:val="00405E46"/>
    <w:rsid w:val="00405EED"/>
    <w:rsid w:val="00405F03"/>
    <w:rsid w:val="00405F4A"/>
    <w:rsid w:val="0040644C"/>
    <w:rsid w:val="00406649"/>
    <w:rsid w:val="0040674B"/>
    <w:rsid w:val="004067EA"/>
    <w:rsid w:val="00406888"/>
    <w:rsid w:val="0040697E"/>
    <w:rsid w:val="00406A1F"/>
    <w:rsid w:val="00406B3F"/>
    <w:rsid w:val="00406E51"/>
    <w:rsid w:val="004072E5"/>
    <w:rsid w:val="0040736B"/>
    <w:rsid w:val="004073A0"/>
    <w:rsid w:val="004073E0"/>
    <w:rsid w:val="004073EC"/>
    <w:rsid w:val="0040747E"/>
    <w:rsid w:val="00407491"/>
    <w:rsid w:val="004078BC"/>
    <w:rsid w:val="004078EB"/>
    <w:rsid w:val="00407A1E"/>
    <w:rsid w:val="00407C9F"/>
    <w:rsid w:val="00407EAA"/>
    <w:rsid w:val="00407FAE"/>
    <w:rsid w:val="00407FF3"/>
    <w:rsid w:val="0041003C"/>
    <w:rsid w:val="0041019F"/>
    <w:rsid w:val="0041038F"/>
    <w:rsid w:val="004104B0"/>
    <w:rsid w:val="004104BD"/>
    <w:rsid w:val="00410830"/>
    <w:rsid w:val="00410916"/>
    <w:rsid w:val="004109B1"/>
    <w:rsid w:val="00410A64"/>
    <w:rsid w:val="00410BF8"/>
    <w:rsid w:val="00410C4A"/>
    <w:rsid w:val="004110F4"/>
    <w:rsid w:val="0041115A"/>
    <w:rsid w:val="004111BD"/>
    <w:rsid w:val="004111F7"/>
    <w:rsid w:val="00411361"/>
    <w:rsid w:val="00411370"/>
    <w:rsid w:val="00411416"/>
    <w:rsid w:val="00411582"/>
    <w:rsid w:val="004115A0"/>
    <w:rsid w:val="004115E7"/>
    <w:rsid w:val="00411747"/>
    <w:rsid w:val="00411767"/>
    <w:rsid w:val="00411CB9"/>
    <w:rsid w:val="00411EAE"/>
    <w:rsid w:val="00412088"/>
    <w:rsid w:val="00412110"/>
    <w:rsid w:val="004121DD"/>
    <w:rsid w:val="004125FE"/>
    <w:rsid w:val="0041264C"/>
    <w:rsid w:val="00412882"/>
    <w:rsid w:val="00412B5F"/>
    <w:rsid w:val="00412C52"/>
    <w:rsid w:val="00412D0D"/>
    <w:rsid w:val="00412EDA"/>
    <w:rsid w:val="0041315A"/>
    <w:rsid w:val="0041326B"/>
    <w:rsid w:val="00413271"/>
    <w:rsid w:val="00413502"/>
    <w:rsid w:val="00413733"/>
    <w:rsid w:val="0041375D"/>
    <w:rsid w:val="004137BB"/>
    <w:rsid w:val="004137C7"/>
    <w:rsid w:val="00413D6F"/>
    <w:rsid w:val="00413D8E"/>
    <w:rsid w:val="00413DEB"/>
    <w:rsid w:val="00413E64"/>
    <w:rsid w:val="00413FEE"/>
    <w:rsid w:val="004141F1"/>
    <w:rsid w:val="004142CF"/>
    <w:rsid w:val="0041433D"/>
    <w:rsid w:val="0041435C"/>
    <w:rsid w:val="004145D7"/>
    <w:rsid w:val="004146B9"/>
    <w:rsid w:val="0041482C"/>
    <w:rsid w:val="00414A80"/>
    <w:rsid w:val="00414E3D"/>
    <w:rsid w:val="00414EEC"/>
    <w:rsid w:val="00414F5B"/>
    <w:rsid w:val="00414F9A"/>
    <w:rsid w:val="004150F6"/>
    <w:rsid w:val="0041569C"/>
    <w:rsid w:val="004156FE"/>
    <w:rsid w:val="004158DC"/>
    <w:rsid w:val="00415EAB"/>
    <w:rsid w:val="00415F2D"/>
    <w:rsid w:val="004162AF"/>
    <w:rsid w:val="004162DC"/>
    <w:rsid w:val="00416872"/>
    <w:rsid w:val="00416A0A"/>
    <w:rsid w:val="00416A0E"/>
    <w:rsid w:val="00416B16"/>
    <w:rsid w:val="00416EE7"/>
    <w:rsid w:val="0041736E"/>
    <w:rsid w:val="00417562"/>
    <w:rsid w:val="004175D2"/>
    <w:rsid w:val="004175F4"/>
    <w:rsid w:val="00417663"/>
    <w:rsid w:val="00417B1C"/>
    <w:rsid w:val="00417B4C"/>
    <w:rsid w:val="00417C89"/>
    <w:rsid w:val="00417DE9"/>
    <w:rsid w:val="00417E18"/>
    <w:rsid w:val="00417EC5"/>
    <w:rsid w:val="0042003D"/>
    <w:rsid w:val="004201A5"/>
    <w:rsid w:val="0042040F"/>
    <w:rsid w:val="0042067E"/>
    <w:rsid w:val="004207FA"/>
    <w:rsid w:val="00420BA9"/>
    <w:rsid w:val="00420C60"/>
    <w:rsid w:val="00420CFF"/>
    <w:rsid w:val="00420D02"/>
    <w:rsid w:val="00420FB9"/>
    <w:rsid w:val="004210D1"/>
    <w:rsid w:val="00421561"/>
    <w:rsid w:val="0042162E"/>
    <w:rsid w:val="00421B02"/>
    <w:rsid w:val="00421C1C"/>
    <w:rsid w:val="00421D8F"/>
    <w:rsid w:val="00421E9A"/>
    <w:rsid w:val="0042208A"/>
    <w:rsid w:val="0042214A"/>
    <w:rsid w:val="00422169"/>
    <w:rsid w:val="0042227A"/>
    <w:rsid w:val="004224E7"/>
    <w:rsid w:val="004227B2"/>
    <w:rsid w:val="004229ED"/>
    <w:rsid w:val="00422A17"/>
    <w:rsid w:val="00422AA1"/>
    <w:rsid w:val="00422AB0"/>
    <w:rsid w:val="00422BC5"/>
    <w:rsid w:val="00422C95"/>
    <w:rsid w:val="00422D62"/>
    <w:rsid w:val="00422F9E"/>
    <w:rsid w:val="00422FF4"/>
    <w:rsid w:val="004231A2"/>
    <w:rsid w:val="00423205"/>
    <w:rsid w:val="00423404"/>
    <w:rsid w:val="00423405"/>
    <w:rsid w:val="00423467"/>
    <w:rsid w:val="00423674"/>
    <w:rsid w:val="004236BF"/>
    <w:rsid w:val="0042394A"/>
    <w:rsid w:val="00423A09"/>
    <w:rsid w:val="00423FEC"/>
    <w:rsid w:val="00424094"/>
    <w:rsid w:val="0042427E"/>
    <w:rsid w:val="004242EE"/>
    <w:rsid w:val="00424438"/>
    <w:rsid w:val="00424725"/>
    <w:rsid w:val="00424C16"/>
    <w:rsid w:val="00424D7E"/>
    <w:rsid w:val="00424E11"/>
    <w:rsid w:val="00424F53"/>
    <w:rsid w:val="0042535D"/>
    <w:rsid w:val="004253D8"/>
    <w:rsid w:val="00425608"/>
    <w:rsid w:val="00425835"/>
    <w:rsid w:val="0042584E"/>
    <w:rsid w:val="004258EE"/>
    <w:rsid w:val="00425A3F"/>
    <w:rsid w:val="00425BA0"/>
    <w:rsid w:val="00425C38"/>
    <w:rsid w:val="00425CE9"/>
    <w:rsid w:val="00425E0D"/>
    <w:rsid w:val="00425F59"/>
    <w:rsid w:val="00426370"/>
    <w:rsid w:val="00426661"/>
    <w:rsid w:val="004266D9"/>
    <w:rsid w:val="0042675B"/>
    <w:rsid w:val="0042681B"/>
    <w:rsid w:val="0042681D"/>
    <w:rsid w:val="00426A6A"/>
    <w:rsid w:val="00426B06"/>
    <w:rsid w:val="00426B56"/>
    <w:rsid w:val="004270D9"/>
    <w:rsid w:val="004272E7"/>
    <w:rsid w:val="00427302"/>
    <w:rsid w:val="00427329"/>
    <w:rsid w:val="004273F8"/>
    <w:rsid w:val="00427508"/>
    <w:rsid w:val="00427891"/>
    <w:rsid w:val="004278C9"/>
    <w:rsid w:val="00427AA0"/>
    <w:rsid w:val="00427B19"/>
    <w:rsid w:val="00427B90"/>
    <w:rsid w:val="004300F3"/>
    <w:rsid w:val="00430110"/>
    <w:rsid w:val="00430226"/>
    <w:rsid w:val="004302A4"/>
    <w:rsid w:val="00430375"/>
    <w:rsid w:val="004305E0"/>
    <w:rsid w:val="00430BD2"/>
    <w:rsid w:val="00430D10"/>
    <w:rsid w:val="00430E19"/>
    <w:rsid w:val="004310DC"/>
    <w:rsid w:val="00431580"/>
    <w:rsid w:val="004319C8"/>
    <w:rsid w:val="00431B33"/>
    <w:rsid w:val="00431B99"/>
    <w:rsid w:val="00431DBA"/>
    <w:rsid w:val="00431F0D"/>
    <w:rsid w:val="0043200D"/>
    <w:rsid w:val="00432233"/>
    <w:rsid w:val="004322E1"/>
    <w:rsid w:val="00432759"/>
    <w:rsid w:val="00432775"/>
    <w:rsid w:val="00432817"/>
    <w:rsid w:val="00432826"/>
    <w:rsid w:val="004328C8"/>
    <w:rsid w:val="00432B16"/>
    <w:rsid w:val="00432C8E"/>
    <w:rsid w:val="00432D61"/>
    <w:rsid w:val="00432E3A"/>
    <w:rsid w:val="00432E6B"/>
    <w:rsid w:val="00432F3C"/>
    <w:rsid w:val="00432FE0"/>
    <w:rsid w:val="00432FF4"/>
    <w:rsid w:val="00433369"/>
    <w:rsid w:val="004334DD"/>
    <w:rsid w:val="0043375E"/>
    <w:rsid w:val="004337AA"/>
    <w:rsid w:val="004337F3"/>
    <w:rsid w:val="00433942"/>
    <w:rsid w:val="00433947"/>
    <w:rsid w:val="00433D7D"/>
    <w:rsid w:val="00433F0A"/>
    <w:rsid w:val="00433F28"/>
    <w:rsid w:val="00434158"/>
    <w:rsid w:val="004342BF"/>
    <w:rsid w:val="004342F4"/>
    <w:rsid w:val="004347A9"/>
    <w:rsid w:val="00434839"/>
    <w:rsid w:val="004348D2"/>
    <w:rsid w:val="00434AFE"/>
    <w:rsid w:val="00434B66"/>
    <w:rsid w:val="00434BC0"/>
    <w:rsid w:val="00434CF8"/>
    <w:rsid w:val="00434F46"/>
    <w:rsid w:val="00434FBA"/>
    <w:rsid w:val="00435242"/>
    <w:rsid w:val="004352FC"/>
    <w:rsid w:val="00435310"/>
    <w:rsid w:val="004355C7"/>
    <w:rsid w:val="00435712"/>
    <w:rsid w:val="00435716"/>
    <w:rsid w:val="00435953"/>
    <w:rsid w:val="004359B9"/>
    <w:rsid w:val="00435A52"/>
    <w:rsid w:val="00435D15"/>
    <w:rsid w:val="00435DB2"/>
    <w:rsid w:val="004360C3"/>
    <w:rsid w:val="004362C5"/>
    <w:rsid w:val="00436373"/>
    <w:rsid w:val="00436605"/>
    <w:rsid w:val="00436A17"/>
    <w:rsid w:val="00436AB6"/>
    <w:rsid w:val="00436C15"/>
    <w:rsid w:val="00436D51"/>
    <w:rsid w:val="00436D56"/>
    <w:rsid w:val="00436DCC"/>
    <w:rsid w:val="00437287"/>
    <w:rsid w:val="00437541"/>
    <w:rsid w:val="004376EB"/>
    <w:rsid w:val="00437718"/>
    <w:rsid w:val="004378CE"/>
    <w:rsid w:val="00437B46"/>
    <w:rsid w:val="00437C4A"/>
    <w:rsid w:val="00437CB0"/>
    <w:rsid w:val="00440072"/>
    <w:rsid w:val="004402F9"/>
    <w:rsid w:val="00440341"/>
    <w:rsid w:val="00440920"/>
    <w:rsid w:val="00440AF2"/>
    <w:rsid w:val="00440D17"/>
    <w:rsid w:val="00440E35"/>
    <w:rsid w:val="00440F29"/>
    <w:rsid w:val="00440F7E"/>
    <w:rsid w:val="004410A5"/>
    <w:rsid w:val="0044114E"/>
    <w:rsid w:val="004414E3"/>
    <w:rsid w:val="00441599"/>
    <w:rsid w:val="00441780"/>
    <w:rsid w:val="0044188A"/>
    <w:rsid w:val="00441903"/>
    <w:rsid w:val="00441BEF"/>
    <w:rsid w:val="00441C6A"/>
    <w:rsid w:val="00441EA0"/>
    <w:rsid w:val="004426AD"/>
    <w:rsid w:val="004427A8"/>
    <w:rsid w:val="00442888"/>
    <w:rsid w:val="00442C3A"/>
    <w:rsid w:val="00442CF0"/>
    <w:rsid w:val="00442DEF"/>
    <w:rsid w:val="00442ECC"/>
    <w:rsid w:val="00442F2C"/>
    <w:rsid w:val="00443106"/>
    <w:rsid w:val="004431B5"/>
    <w:rsid w:val="00443891"/>
    <w:rsid w:val="004439B1"/>
    <w:rsid w:val="004439D0"/>
    <w:rsid w:val="00443B60"/>
    <w:rsid w:val="00443FD9"/>
    <w:rsid w:val="004441D3"/>
    <w:rsid w:val="00444237"/>
    <w:rsid w:val="0044429D"/>
    <w:rsid w:val="0044444E"/>
    <w:rsid w:val="004444BD"/>
    <w:rsid w:val="004446AA"/>
    <w:rsid w:val="0044472E"/>
    <w:rsid w:val="00444935"/>
    <w:rsid w:val="0044493F"/>
    <w:rsid w:val="00444BAB"/>
    <w:rsid w:val="00444D9D"/>
    <w:rsid w:val="00445044"/>
    <w:rsid w:val="004451CC"/>
    <w:rsid w:val="004455C4"/>
    <w:rsid w:val="0044570D"/>
    <w:rsid w:val="00445927"/>
    <w:rsid w:val="004459E5"/>
    <w:rsid w:val="00445C83"/>
    <w:rsid w:val="00445CC4"/>
    <w:rsid w:val="00445DD2"/>
    <w:rsid w:val="00446114"/>
    <w:rsid w:val="0044611D"/>
    <w:rsid w:val="00446142"/>
    <w:rsid w:val="0044621E"/>
    <w:rsid w:val="004463EB"/>
    <w:rsid w:val="0044641B"/>
    <w:rsid w:val="004465F3"/>
    <w:rsid w:val="0044667D"/>
    <w:rsid w:val="004466D3"/>
    <w:rsid w:val="004467CF"/>
    <w:rsid w:val="00446983"/>
    <w:rsid w:val="00446E24"/>
    <w:rsid w:val="00447026"/>
    <w:rsid w:val="004475D0"/>
    <w:rsid w:val="00447809"/>
    <w:rsid w:val="0044783F"/>
    <w:rsid w:val="00447840"/>
    <w:rsid w:val="004478E9"/>
    <w:rsid w:val="0044797B"/>
    <w:rsid w:val="00447982"/>
    <w:rsid w:val="004479FA"/>
    <w:rsid w:val="00447A46"/>
    <w:rsid w:val="00447D0B"/>
    <w:rsid w:val="00447DD9"/>
    <w:rsid w:val="00447E06"/>
    <w:rsid w:val="00447F4C"/>
    <w:rsid w:val="00450237"/>
    <w:rsid w:val="004502C7"/>
    <w:rsid w:val="00450371"/>
    <w:rsid w:val="004505BB"/>
    <w:rsid w:val="00450611"/>
    <w:rsid w:val="0045076C"/>
    <w:rsid w:val="004507C4"/>
    <w:rsid w:val="00450AFB"/>
    <w:rsid w:val="00450C70"/>
    <w:rsid w:val="0045113C"/>
    <w:rsid w:val="00451226"/>
    <w:rsid w:val="004512A7"/>
    <w:rsid w:val="00451485"/>
    <w:rsid w:val="0045169E"/>
    <w:rsid w:val="004516A1"/>
    <w:rsid w:val="00451885"/>
    <w:rsid w:val="004519D2"/>
    <w:rsid w:val="00451A77"/>
    <w:rsid w:val="00451B15"/>
    <w:rsid w:val="00451C6D"/>
    <w:rsid w:val="004520E7"/>
    <w:rsid w:val="0045219B"/>
    <w:rsid w:val="004523AC"/>
    <w:rsid w:val="0045243F"/>
    <w:rsid w:val="004527EE"/>
    <w:rsid w:val="004528FE"/>
    <w:rsid w:val="00452951"/>
    <w:rsid w:val="00452953"/>
    <w:rsid w:val="00452C00"/>
    <w:rsid w:val="00452E00"/>
    <w:rsid w:val="00452E73"/>
    <w:rsid w:val="00452F27"/>
    <w:rsid w:val="00452F2B"/>
    <w:rsid w:val="00452F7E"/>
    <w:rsid w:val="004530CA"/>
    <w:rsid w:val="00453174"/>
    <w:rsid w:val="00453233"/>
    <w:rsid w:val="0045333B"/>
    <w:rsid w:val="004537A4"/>
    <w:rsid w:val="00453843"/>
    <w:rsid w:val="004538BE"/>
    <w:rsid w:val="00453B81"/>
    <w:rsid w:val="00453D16"/>
    <w:rsid w:val="00453E41"/>
    <w:rsid w:val="00453F79"/>
    <w:rsid w:val="00454051"/>
    <w:rsid w:val="00454058"/>
    <w:rsid w:val="0045419F"/>
    <w:rsid w:val="004543AA"/>
    <w:rsid w:val="004544B9"/>
    <w:rsid w:val="004545B1"/>
    <w:rsid w:val="00454642"/>
    <w:rsid w:val="004546A3"/>
    <w:rsid w:val="004546BD"/>
    <w:rsid w:val="004548A0"/>
    <w:rsid w:val="004548ED"/>
    <w:rsid w:val="00454915"/>
    <w:rsid w:val="00454C39"/>
    <w:rsid w:val="00454CE4"/>
    <w:rsid w:val="00454D30"/>
    <w:rsid w:val="00454E4F"/>
    <w:rsid w:val="00454E62"/>
    <w:rsid w:val="0045516B"/>
    <w:rsid w:val="0045534F"/>
    <w:rsid w:val="0045535D"/>
    <w:rsid w:val="004553D7"/>
    <w:rsid w:val="004553E8"/>
    <w:rsid w:val="00455901"/>
    <w:rsid w:val="00455934"/>
    <w:rsid w:val="00455961"/>
    <w:rsid w:val="004559ED"/>
    <w:rsid w:val="00455DCC"/>
    <w:rsid w:val="00456007"/>
    <w:rsid w:val="004560FC"/>
    <w:rsid w:val="00456251"/>
    <w:rsid w:val="004562FF"/>
    <w:rsid w:val="004563D5"/>
    <w:rsid w:val="00456404"/>
    <w:rsid w:val="0045644B"/>
    <w:rsid w:val="0045647C"/>
    <w:rsid w:val="004565F6"/>
    <w:rsid w:val="004565FA"/>
    <w:rsid w:val="00456620"/>
    <w:rsid w:val="00456656"/>
    <w:rsid w:val="00456BBF"/>
    <w:rsid w:val="00456C2E"/>
    <w:rsid w:val="00456DBB"/>
    <w:rsid w:val="00456EC5"/>
    <w:rsid w:val="00456F73"/>
    <w:rsid w:val="00456F78"/>
    <w:rsid w:val="00456FE3"/>
    <w:rsid w:val="00457069"/>
    <w:rsid w:val="0045715B"/>
    <w:rsid w:val="00457475"/>
    <w:rsid w:val="00457514"/>
    <w:rsid w:val="00457675"/>
    <w:rsid w:val="004576B8"/>
    <w:rsid w:val="00457B7C"/>
    <w:rsid w:val="00457C84"/>
    <w:rsid w:val="00457F07"/>
    <w:rsid w:val="0046026F"/>
    <w:rsid w:val="004605F8"/>
    <w:rsid w:val="004607C3"/>
    <w:rsid w:val="0046085D"/>
    <w:rsid w:val="00460C74"/>
    <w:rsid w:val="00460D2B"/>
    <w:rsid w:val="00460F02"/>
    <w:rsid w:val="00460F76"/>
    <w:rsid w:val="00461597"/>
    <w:rsid w:val="00461669"/>
    <w:rsid w:val="00461691"/>
    <w:rsid w:val="0046171E"/>
    <w:rsid w:val="004617AB"/>
    <w:rsid w:val="00461AB6"/>
    <w:rsid w:val="00461E50"/>
    <w:rsid w:val="0046206C"/>
    <w:rsid w:val="00462171"/>
    <w:rsid w:val="0046224D"/>
    <w:rsid w:val="00462558"/>
    <w:rsid w:val="00462865"/>
    <w:rsid w:val="004628B8"/>
    <w:rsid w:val="004629E8"/>
    <w:rsid w:val="00463061"/>
    <w:rsid w:val="0046331F"/>
    <w:rsid w:val="0046352E"/>
    <w:rsid w:val="00463A51"/>
    <w:rsid w:val="00463B90"/>
    <w:rsid w:val="00463DAB"/>
    <w:rsid w:val="00464086"/>
    <w:rsid w:val="004641DD"/>
    <w:rsid w:val="00464214"/>
    <w:rsid w:val="004643E6"/>
    <w:rsid w:val="0046445F"/>
    <w:rsid w:val="0046461C"/>
    <w:rsid w:val="00464659"/>
    <w:rsid w:val="00464707"/>
    <w:rsid w:val="00464A42"/>
    <w:rsid w:val="00464BFF"/>
    <w:rsid w:val="00464CBD"/>
    <w:rsid w:val="00464DE4"/>
    <w:rsid w:val="004650E8"/>
    <w:rsid w:val="004652D9"/>
    <w:rsid w:val="004654F5"/>
    <w:rsid w:val="0046578A"/>
    <w:rsid w:val="00465A31"/>
    <w:rsid w:val="00465DDC"/>
    <w:rsid w:val="00465F12"/>
    <w:rsid w:val="004660AC"/>
    <w:rsid w:val="0046621D"/>
    <w:rsid w:val="0046634F"/>
    <w:rsid w:val="00466587"/>
    <w:rsid w:val="004665FD"/>
    <w:rsid w:val="004669FF"/>
    <w:rsid w:val="00466AB2"/>
    <w:rsid w:val="00466B6D"/>
    <w:rsid w:val="00466C69"/>
    <w:rsid w:val="00466CA1"/>
    <w:rsid w:val="00466D47"/>
    <w:rsid w:val="00467347"/>
    <w:rsid w:val="0046744E"/>
    <w:rsid w:val="0046757A"/>
    <w:rsid w:val="00467594"/>
    <w:rsid w:val="00467843"/>
    <w:rsid w:val="00467A19"/>
    <w:rsid w:val="00467B01"/>
    <w:rsid w:val="00467B98"/>
    <w:rsid w:val="00467BAE"/>
    <w:rsid w:val="004700D2"/>
    <w:rsid w:val="004702F6"/>
    <w:rsid w:val="00470570"/>
    <w:rsid w:val="004705EF"/>
    <w:rsid w:val="004706B7"/>
    <w:rsid w:val="00470B90"/>
    <w:rsid w:val="00470CBA"/>
    <w:rsid w:val="00470F29"/>
    <w:rsid w:val="00471046"/>
    <w:rsid w:val="00471077"/>
    <w:rsid w:val="00471203"/>
    <w:rsid w:val="004712CA"/>
    <w:rsid w:val="0047170D"/>
    <w:rsid w:val="004717AC"/>
    <w:rsid w:val="00471AB0"/>
    <w:rsid w:val="00471E6B"/>
    <w:rsid w:val="00471FEC"/>
    <w:rsid w:val="00472298"/>
    <w:rsid w:val="004722DB"/>
    <w:rsid w:val="004723D3"/>
    <w:rsid w:val="004724B8"/>
    <w:rsid w:val="00472567"/>
    <w:rsid w:val="0047281A"/>
    <w:rsid w:val="004728A3"/>
    <w:rsid w:val="00472CB0"/>
    <w:rsid w:val="00473207"/>
    <w:rsid w:val="00473343"/>
    <w:rsid w:val="00473458"/>
    <w:rsid w:val="0047346F"/>
    <w:rsid w:val="004734C1"/>
    <w:rsid w:val="004735AF"/>
    <w:rsid w:val="004735B0"/>
    <w:rsid w:val="00473907"/>
    <w:rsid w:val="00473AAF"/>
    <w:rsid w:val="00473C2B"/>
    <w:rsid w:val="00473C53"/>
    <w:rsid w:val="00473E61"/>
    <w:rsid w:val="00473F14"/>
    <w:rsid w:val="00473F5E"/>
    <w:rsid w:val="00473FF3"/>
    <w:rsid w:val="0047432B"/>
    <w:rsid w:val="004745F8"/>
    <w:rsid w:val="00474696"/>
    <w:rsid w:val="00474792"/>
    <w:rsid w:val="00474A2C"/>
    <w:rsid w:val="00474BAF"/>
    <w:rsid w:val="00474C64"/>
    <w:rsid w:val="00474CFA"/>
    <w:rsid w:val="00474E11"/>
    <w:rsid w:val="00474F6B"/>
    <w:rsid w:val="00474FDE"/>
    <w:rsid w:val="00475070"/>
    <w:rsid w:val="004750E8"/>
    <w:rsid w:val="004751FD"/>
    <w:rsid w:val="004752DB"/>
    <w:rsid w:val="00475352"/>
    <w:rsid w:val="004753B4"/>
    <w:rsid w:val="004757BB"/>
    <w:rsid w:val="00475891"/>
    <w:rsid w:val="004759A4"/>
    <w:rsid w:val="00475A93"/>
    <w:rsid w:val="00475B2E"/>
    <w:rsid w:val="00475D08"/>
    <w:rsid w:val="00475D6D"/>
    <w:rsid w:val="00476010"/>
    <w:rsid w:val="0047634B"/>
    <w:rsid w:val="0047654B"/>
    <w:rsid w:val="004766DB"/>
    <w:rsid w:val="00476824"/>
    <w:rsid w:val="00476A9A"/>
    <w:rsid w:val="00476D66"/>
    <w:rsid w:val="00477314"/>
    <w:rsid w:val="00477460"/>
    <w:rsid w:val="004774E2"/>
    <w:rsid w:val="004777D8"/>
    <w:rsid w:val="0047794A"/>
    <w:rsid w:val="004779CC"/>
    <w:rsid w:val="004779EE"/>
    <w:rsid w:val="00477A2B"/>
    <w:rsid w:val="00477BD8"/>
    <w:rsid w:val="00477DC5"/>
    <w:rsid w:val="00477DE8"/>
    <w:rsid w:val="0048005F"/>
    <w:rsid w:val="004803CE"/>
    <w:rsid w:val="00480474"/>
    <w:rsid w:val="004804DC"/>
    <w:rsid w:val="004806CE"/>
    <w:rsid w:val="004806FB"/>
    <w:rsid w:val="00480AD3"/>
    <w:rsid w:val="00480DB2"/>
    <w:rsid w:val="00480E71"/>
    <w:rsid w:val="00480F85"/>
    <w:rsid w:val="00481003"/>
    <w:rsid w:val="004810BD"/>
    <w:rsid w:val="0048149E"/>
    <w:rsid w:val="004816A5"/>
    <w:rsid w:val="0048176D"/>
    <w:rsid w:val="00481874"/>
    <w:rsid w:val="004818D0"/>
    <w:rsid w:val="00481B4E"/>
    <w:rsid w:val="00481C87"/>
    <w:rsid w:val="00481E82"/>
    <w:rsid w:val="00481EA7"/>
    <w:rsid w:val="00481EE8"/>
    <w:rsid w:val="0048236B"/>
    <w:rsid w:val="004825E1"/>
    <w:rsid w:val="0048278F"/>
    <w:rsid w:val="00482B54"/>
    <w:rsid w:val="00482D52"/>
    <w:rsid w:val="00482E04"/>
    <w:rsid w:val="00483806"/>
    <w:rsid w:val="0048383E"/>
    <w:rsid w:val="00483967"/>
    <w:rsid w:val="00483B29"/>
    <w:rsid w:val="00483BE1"/>
    <w:rsid w:val="00483C07"/>
    <w:rsid w:val="00483CAF"/>
    <w:rsid w:val="00483ED4"/>
    <w:rsid w:val="00483F4A"/>
    <w:rsid w:val="00484152"/>
    <w:rsid w:val="004843AC"/>
    <w:rsid w:val="0048447F"/>
    <w:rsid w:val="00484513"/>
    <w:rsid w:val="00484550"/>
    <w:rsid w:val="00484577"/>
    <w:rsid w:val="00484616"/>
    <w:rsid w:val="0048477E"/>
    <w:rsid w:val="00484838"/>
    <w:rsid w:val="00484A9E"/>
    <w:rsid w:val="00484BA2"/>
    <w:rsid w:val="00484E2A"/>
    <w:rsid w:val="00484EBA"/>
    <w:rsid w:val="00484F0A"/>
    <w:rsid w:val="00484FE1"/>
    <w:rsid w:val="0048540E"/>
    <w:rsid w:val="00485581"/>
    <w:rsid w:val="00485796"/>
    <w:rsid w:val="00485B29"/>
    <w:rsid w:val="00485CAB"/>
    <w:rsid w:val="00485DB6"/>
    <w:rsid w:val="00485DEC"/>
    <w:rsid w:val="00485DFD"/>
    <w:rsid w:val="00485E09"/>
    <w:rsid w:val="00485F18"/>
    <w:rsid w:val="00486268"/>
    <w:rsid w:val="00486395"/>
    <w:rsid w:val="00486717"/>
    <w:rsid w:val="00486771"/>
    <w:rsid w:val="00486B10"/>
    <w:rsid w:val="00486BF8"/>
    <w:rsid w:val="00486CEB"/>
    <w:rsid w:val="00486EE4"/>
    <w:rsid w:val="00486F5D"/>
    <w:rsid w:val="00487286"/>
    <w:rsid w:val="004872B6"/>
    <w:rsid w:val="004875DD"/>
    <w:rsid w:val="004876DA"/>
    <w:rsid w:val="00487705"/>
    <w:rsid w:val="00487710"/>
    <w:rsid w:val="0048788D"/>
    <w:rsid w:val="004879DD"/>
    <w:rsid w:val="00487A65"/>
    <w:rsid w:val="00487ADF"/>
    <w:rsid w:val="00487C6F"/>
    <w:rsid w:val="00487F1F"/>
    <w:rsid w:val="00487F2A"/>
    <w:rsid w:val="00487FC4"/>
    <w:rsid w:val="004900AD"/>
    <w:rsid w:val="004909C2"/>
    <w:rsid w:val="00490B13"/>
    <w:rsid w:val="00490F5A"/>
    <w:rsid w:val="00490FD4"/>
    <w:rsid w:val="0049102D"/>
    <w:rsid w:val="00491035"/>
    <w:rsid w:val="0049107F"/>
    <w:rsid w:val="004910CC"/>
    <w:rsid w:val="0049123E"/>
    <w:rsid w:val="00491290"/>
    <w:rsid w:val="00491354"/>
    <w:rsid w:val="0049155D"/>
    <w:rsid w:val="004917CA"/>
    <w:rsid w:val="00491A1B"/>
    <w:rsid w:val="00491B31"/>
    <w:rsid w:val="00491C32"/>
    <w:rsid w:val="00491CC2"/>
    <w:rsid w:val="00491CCC"/>
    <w:rsid w:val="0049214E"/>
    <w:rsid w:val="00492151"/>
    <w:rsid w:val="004921D8"/>
    <w:rsid w:val="004923C2"/>
    <w:rsid w:val="004923C3"/>
    <w:rsid w:val="0049246A"/>
    <w:rsid w:val="004924ED"/>
    <w:rsid w:val="0049253C"/>
    <w:rsid w:val="00492842"/>
    <w:rsid w:val="00492AEF"/>
    <w:rsid w:val="00492B05"/>
    <w:rsid w:val="00492C0C"/>
    <w:rsid w:val="00492D15"/>
    <w:rsid w:val="00492E9E"/>
    <w:rsid w:val="004930F9"/>
    <w:rsid w:val="004933BD"/>
    <w:rsid w:val="004933E2"/>
    <w:rsid w:val="004934BE"/>
    <w:rsid w:val="0049368B"/>
    <w:rsid w:val="004937E4"/>
    <w:rsid w:val="00493DE8"/>
    <w:rsid w:val="004942EE"/>
    <w:rsid w:val="00494897"/>
    <w:rsid w:val="00494AE5"/>
    <w:rsid w:val="00494D2B"/>
    <w:rsid w:val="00494DE4"/>
    <w:rsid w:val="00494E19"/>
    <w:rsid w:val="0049502B"/>
    <w:rsid w:val="004950F0"/>
    <w:rsid w:val="00495137"/>
    <w:rsid w:val="0049560A"/>
    <w:rsid w:val="004959FA"/>
    <w:rsid w:val="00495A63"/>
    <w:rsid w:val="00495AB4"/>
    <w:rsid w:val="00495CF7"/>
    <w:rsid w:val="0049605F"/>
    <w:rsid w:val="00496182"/>
    <w:rsid w:val="004961FF"/>
    <w:rsid w:val="0049656C"/>
    <w:rsid w:val="00496627"/>
    <w:rsid w:val="004967C3"/>
    <w:rsid w:val="004968DA"/>
    <w:rsid w:val="00496968"/>
    <w:rsid w:val="00496D1C"/>
    <w:rsid w:val="00496F16"/>
    <w:rsid w:val="00496F47"/>
    <w:rsid w:val="00496F58"/>
    <w:rsid w:val="0049705A"/>
    <w:rsid w:val="0049709E"/>
    <w:rsid w:val="004971FC"/>
    <w:rsid w:val="0049736D"/>
    <w:rsid w:val="0049748C"/>
    <w:rsid w:val="004976F5"/>
    <w:rsid w:val="00497757"/>
    <w:rsid w:val="0049789C"/>
    <w:rsid w:val="00497B08"/>
    <w:rsid w:val="00497B3D"/>
    <w:rsid w:val="00497B6E"/>
    <w:rsid w:val="00497BCD"/>
    <w:rsid w:val="00497C73"/>
    <w:rsid w:val="00497CDD"/>
    <w:rsid w:val="004A0076"/>
    <w:rsid w:val="004A0242"/>
    <w:rsid w:val="004A0871"/>
    <w:rsid w:val="004A0B86"/>
    <w:rsid w:val="004A0BCB"/>
    <w:rsid w:val="004A0BE9"/>
    <w:rsid w:val="004A0D66"/>
    <w:rsid w:val="004A0DDE"/>
    <w:rsid w:val="004A0EE1"/>
    <w:rsid w:val="004A0F2F"/>
    <w:rsid w:val="004A0F42"/>
    <w:rsid w:val="004A11BC"/>
    <w:rsid w:val="004A11C0"/>
    <w:rsid w:val="004A1233"/>
    <w:rsid w:val="004A1374"/>
    <w:rsid w:val="004A145B"/>
    <w:rsid w:val="004A145E"/>
    <w:rsid w:val="004A164F"/>
    <w:rsid w:val="004A17A4"/>
    <w:rsid w:val="004A17FC"/>
    <w:rsid w:val="004A1908"/>
    <w:rsid w:val="004A1BF6"/>
    <w:rsid w:val="004A1D8F"/>
    <w:rsid w:val="004A1E77"/>
    <w:rsid w:val="004A1F17"/>
    <w:rsid w:val="004A2069"/>
    <w:rsid w:val="004A2281"/>
    <w:rsid w:val="004A2288"/>
    <w:rsid w:val="004A2308"/>
    <w:rsid w:val="004A2387"/>
    <w:rsid w:val="004A2447"/>
    <w:rsid w:val="004A2488"/>
    <w:rsid w:val="004A2597"/>
    <w:rsid w:val="004A27FC"/>
    <w:rsid w:val="004A286C"/>
    <w:rsid w:val="004A28C2"/>
    <w:rsid w:val="004A2A2E"/>
    <w:rsid w:val="004A2AFD"/>
    <w:rsid w:val="004A2B51"/>
    <w:rsid w:val="004A3076"/>
    <w:rsid w:val="004A3277"/>
    <w:rsid w:val="004A35B0"/>
    <w:rsid w:val="004A37B6"/>
    <w:rsid w:val="004A39CD"/>
    <w:rsid w:val="004A3AE3"/>
    <w:rsid w:val="004A3BAA"/>
    <w:rsid w:val="004A3C80"/>
    <w:rsid w:val="004A3D82"/>
    <w:rsid w:val="004A3E64"/>
    <w:rsid w:val="004A3E70"/>
    <w:rsid w:val="004A41F1"/>
    <w:rsid w:val="004A4251"/>
    <w:rsid w:val="004A4369"/>
    <w:rsid w:val="004A464A"/>
    <w:rsid w:val="004A4763"/>
    <w:rsid w:val="004A47A6"/>
    <w:rsid w:val="004A4AA1"/>
    <w:rsid w:val="004A4C76"/>
    <w:rsid w:val="004A4C9A"/>
    <w:rsid w:val="004A4D9B"/>
    <w:rsid w:val="004A54CD"/>
    <w:rsid w:val="004A552F"/>
    <w:rsid w:val="004A557F"/>
    <w:rsid w:val="004A571B"/>
    <w:rsid w:val="004A5833"/>
    <w:rsid w:val="004A58C1"/>
    <w:rsid w:val="004A5DA7"/>
    <w:rsid w:val="004A603D"/>
    <w:rsid w:val="004A6467"/>
    <w:rsid w:val="004A64AE"/>
    <w:rsid w:val="004A666E"/>
    <w:rsid w:val="004A66A6"/>
    <w:rsid w:val="004A66BC"/>
    <w:rsid w:val="004A6773"/>
    <w:rsid w:val="004A6861"/>
    <w:rsid w:val="004A68C2"/>
    <w:rsid w:val="004A692B"/>
    <w:rsid w:val="004A6D1F"/>
    <w:rsid w:val="004A71DA"/>
    <w:rsid w:val="004A7330"/>
    <w:rsid w:val="004A79EE"/>
    <w:rsid w:val="004A79F2"/>
    <w:rsid w:val="004A7A6E"/>
    <w:rsid w:val="004A7D20"/>
    <w:rsid w:val="004A7DAC"/>
    <w:rsid w:val="004A7E42"/>
    <w:rsid w:val="004A7F5C"/>
    <w:rsid w:val="004A7FEC"/>
    <w:rsid w:val="004B014E"/>
    <w:rsid w:val="004B0172"/>
    <w:rsid w:val="004B0227"/>
    <w:rsid w:val="004B0612"/>
    <w:rsid w:val="004B0B25"/>
    <w:rsid w:val="004B0D6A"/>
    <w:rsid w:val="004B0E74"/>
    <w:rsid w:val="004B0F77"/>
    <w:rsid w:val="004B0F8E"/>
    <w:rsid w:val="004B107E"/>
    <w:rsid w:val="004B13F6"/>
    <w:rsid w:val="004B149B"/>
    <w:rsid w:val="004B14CF"/>
    <w:rsid w:val="004B150F"/>
    <w:rsid w:val="004B1766"/>
    <w:rsid w:val="004B19ED"/>
    <w:rsid w:val="004B1BF3"/>
    <w:rsid w:val="004B1D4B"/>
    <w:rsid w:val="004B1E39"/>
    <w:rsid w:val="004B1FD2"/>
    <w:rsid w:val="004B234A"/>
    <w:rsid w:val="004B263B"/>
    <w:rsid w:val="004B2801"/>
    <w:rsid w:val="004B2B34"/>
    <w:rsid w:val="004B30AD"/>
    <w:rsid w:val="004B3146"/>
    <w:rsid w:val="004B3202"/>
    <w:rsid w:val="004B32E5"/>
    <w:rsid w:val="004B36E8"/>
    <w:rsid w:val="004B3704"/>
    <w:rsid w:val="004B38EE"/>
    <w:rsid w:val="004B3AB7"/>
    <w:rsid w:val="004B3D96"/>
    <w:rsid w:val="004B400E"/>
    <w:rsid w:val="004B406B"/>
    <w:rsid w:val="004B4189"/>
    <w:rsid w:val="004B45F2"/>
    <w:rsid w:val="004B464F"/>
    <w:rsid w:val="004B4EBB"/>
    <w:rsid w:val="004B507B"/>
    <w:rsid w:val="004B52AA"/>
    <w:rsid w:val="004B540B"/>
    <w:rsid w:val="004B599D"/>
    <w:rsid w:val="004B60DC"/>
    <w:rsid w:val="004B62BC"/>
    <w:rsid w:val="004B6349"/>
    <w:rsid w:val="004B6370"/>
    <w:rsid w:val="004B63F3"/>
    <w:rsid w:val="004B6411"/>
    <w:rsid w:val="004B6432"/>
    <w:rsid w:val="004B6593"/>
    <w:rsid w:val="004B65CE"/>
    <w:rsid w:val="004B669D"/>
    <w:rsid w:val="004B68BA"/>
    <w:rsid w:val="004B6975"/>
    <w:rsid w:val="004B6A85"/>
    <w:rsid w:val="004B6BAE"/>
    <w:rsid w:val="004B6D75"/>
    <w:rsid w:val="004B6D95"/>
    <w:rsid w:val="004B6DB5"/>
    <w:rsid w:val="004B6E08"/>
    <w:rsid w:val="004B7120"/>
    <w:rsid w:val="004B7265"/>
    <w:rsid w:val="004B726A"/>
    <w:rsid w:val="004B742C"/>
    <w:rsid w:val="004B748F"/>
    <w:rsid w:val="004B7594"/>
    <w:rsid w:val="004B7668"/>
    <w:rsid w:val="004B7AD4"/>
    <w:rsid w:val="004B7B5B"/>
    <w:rsid w:val="004B7C3D"/>
    <w:rsid w:val="004C02B2"/>
    <w:rsid w:val="004C03EB"/>
    <w:rsid w:val="004C0757"/>
    <w:rsid w:val="004C08C6"/>
    <w:rsid w:val="004C0B66"/>
    <w:rsid w:val="004C0E80"/>
    <w:rsid w:val="004C0EB3"/>
    <w:rsid w:val="004C0EE2"/>
    <w:rsid w:val="004C1068"/>
    <w:rsid w:val="004C109A"/>
    <w:rsid w:val="004C10D3"/>
    <w:rsid w:val="004C11DF"/>
    <w:rsid w:val="004C129D"/>
    <w:rsid w:val="004C1414"/>
    <w:rsid w:val="004C149B"/>
    <w:rsid w:val="004C1DEB"/>
    <w:rsid w:val="004C1F94"/>
    <w:rsid w:val="004C20C5"/>
    <w:rsid w:val="004C217E"/>
    <w:rsid w:val="004C2521"/>
    <w:rsid w:val="004C257B"/>
    <w:rsid w:val="004C28A6"/>
    <w:rsid w:val="004C2B97"/>
    <w:rsid w:val="004C2C35"/>
    <w:rsid w:val="004C2CCC"/>
    <w:rsid w:val="004C33E9"/>
    <w:rsid w:val="004C3978"/>
    <w:rsid w:val="004C3A10"/>
    <w:rsid w:val="004C3B43"/>
    <w:rsid w:val="004C3BE2"/>
    <w:rsid w:val="004C3C6F"/>
    <w:rsid w:val="004C3DBF"/>
    <w:rsid w:val="004C3E9D"/>
    <w:rsid w:val="004C3FBF"/>
    <w:rsid w:val="004C4204"/>
    <w:rsid w:val="004C4497"/>
    <w:rsid w:val="004C44ED"/>
    <w:rsid w:val="004C4B9D"/>
    <w:rsid w:val="004C4E16"/>
    <w:rsid w:val="004C4ED9"/>
    <w:rsid w:val="004C4F1F"/>
    <w:rsid w:val="004C51B3"/>
    <w:rsid w:val="004C52E7"/>
    <w:rsid w:val="004C540F"/>
    <w:rsid w:val="004C5705"/>
    <w:rsid w:val="004C5A62"/>
    <w:rsid w:val="004C5B6B"/>
    <w:rsid w:val="004C5C4A"/>
    <w:rsid w:val="004C5CA9"/>
    <w:rsid w:val="004C6083"/>
    <w:rsid w:val="004C6482"/>
    <w:rsid w:val="004C69B0"/>
    <w:rsid w:val="004C6D50"/>
    <w:rsid w:val="004C6F05"/>
    <w:rsid w:val="004C6F5F"/>
    <w:rsid w:val="004C6FA2"/>
    <w:rsid w:val="004C71B8"/>
    <w:rsid w:val="004C7309"/>
    <w:rsid w:val="004C73DA"/>
    <w:rsid w:val="004C75A9"/>
    <w:rsid w:val="004C75CD"/>
    <w:rsid w:val="004C763A"/>
    <w:rsid w:val="004C7662"/>
    <w:rsid w:val="004C76E8"/>
    <w:rsid w:val="004C79C9"/>
    <w:rsid w:val="004C7C96"/>
    <w:rsid w:val="004C7D31"/>
    <w:rsid w:val="004C7E15"/>
    <w:rsid w:val="004D0320"/>
    <w:rsid w:val="004D04EA"/>
    <w:rsid w:val="004D0621"/>
    <w:rsid w:val="004D09ED"/>
    <w:rsid w:val="004D0A42"/>
    <w:rsid w:val="004D0AFF"/>
    <w:rsid w:val="004D0C76"/>
    <w:rsid w:val="004D0D3F"/>
    <w:rsid w:val="004D0D59"/>
    <w:rsid w:val="004D0E60"/>
    <w:rsid w:val="004D11E2"/>
    <w:rsid w:val="004D1230"/>
    <w:rsid w:val="004D1426"/>
    <w:rsid w:val="004D1488"/>
    <w:rsid w:val="004D14BB"/>
    <w:rsid w:val="004D15D1"/>
    <w:rsid w:val="004D1DB9"/>
    <w:rsid w:val="004D1DF4"/>
    <w:rsid w:val="004D1F6B"/>
    <w:rsid w:val="004D2036"/>
    <w:rsid w:val="004D2056"/>
    <w:rsid w:val="004D20E8"/>
    <w:rsid w:val="004D221C"/>
    <w:rsid w:val="004D2368"/>
    <w:rsid w:val="004D27A1"/>
    <w:rsid w:val="004D2885"/>
    <w:rsid w:val="004D29C2"/>
    <w:rsid w:val="004D2AE2"/>
    <w:rsid w:val="004D2E4F"/>
    <w:rsid w:val="004D2FC1"/>
    <w:rsid w:val="004D33E3"/>
    <w:rsid w:val="004D3547"/>
    <w:rsid w:val="004D3747"/>
    <w:rsid w:val="004D3828"/>
    <w:rsid w:val="004D38CF"/>
    <w:rsid w:val="004D397B"/>
    <w:rsid w:val="004D39CA"/>
    <w:rsid w:val="004D39D6"/>
    <w:rsid w:val="004D3B4F"/>
    <w:rsid w:val="004D3BAF"/>
    <w:rsid w:val="004D3D8E"/>
    <w:rsid w:val="004D4171"/>
    <w:rsid w:val="004D41F2"/>
    <w:rsid w:val="004D42A8"/>
    <w:rsid w:val="004D4719"/>
    <w:rsid w:val="004D48B3"/>
    <w:rsid w:val="004D4983"/>
    <w:rsid w:val="004D4F5A"/>
    <w:rsid w:val="004D517F"/>
    <w:rsid w:val="004D5393"/>
    <w:rsid w:val="004D548F"/>
    <w:rsid w:val="004D5595"/>
    <w:rsid w:val="004D5668"/>
    <w:rsid w:val="004D572E"/>
    <w:rsid w:val="004D580A"/>
    <w:rsid w:val="004D58B9"/>
    <w:rsid w:val="004D5981"/>
    <w:rsid w:val="004D5A56"/>
    <w:rsid w:val="004D5B91"/>
    <w:rsid w:val="004D5C25"/>
    <w:rsid w:val="004D5D45"/>
    <w:rsid w:val="004D5DF1"/>
    <w:rsid w:val="004D5E12"/>
    <w:rsid w:val="004D6216"/>
    <w:rsid w:val="004D62C0"/>
    <w:rsid w:val="004D63A9"/>
    <w:rsid w:val="004D6434"/>
    <w:rsid w:val="004D646A"/>
    <w:rsid w:val="004D6538"/>
    <w:rsid w:val="004D6539"/>
    <w:rsid w:val="004D67C5"/>
    <w:rsid w:val="004D6E57"/>
    <w:rsid w:val="004D6E6F"/>
    <w:rsid w:val="004D6F74"/>
    <w:rsid w:val="004D7149"/>
    <w:rsid w:val="004D71C9"/>
    <w:rsid w:val="004D71DF"/>
    <w:rsid w:val="004D78F7"/>
    <w:rsid w:val="004D7A59"/>
    <w:rsid w:val="004D7B9C"/>
    <w:rsid w:val="004D7BCF"/>
    <w:rsid w:val="004D7CB7"/>
    <w:rsid w:val="004D7E77"/>
    <w:rsid w:val="004D7EC8"/>
    <w:rsid w:val="004E00AB"/>
    <w:rsid w:val="004E00F5"/>
    <w:rsid w:val="004E021B"/>
    <w:rsid w:val="004E0836"/>
    <w:rsid w:val="004E0A56"/>
    <w:rsid w:val="004E0AC0"/>
    <w:rsid w:val="004E0FAE"/>
    <w:rsid w:val="004E1105"/>
    <w:rsid w:val="004E1653"/>
    <w:rsid w:val="004E1718"/>
    <w:rsid w:val="004E1ADD"/>
    <w:rsid w:val="004E1BCC"/>
    <w:rsid w:val="004E1FBE"/>
    <w:rsid w:val="004E21BC"/>
    <w:rsid w:val="004E3041"/>
    <w:rsid w:val="004E33F2"/>
    <w:rsid w:val="004E3515"/>
    <w:rsid w:val="004E35E7"/>
    <w:rsid w:val="004E3A60"/>
    <w:rsid w:val="004E3A85"/>
    <w:rsid w:val="004E3B9D"/>
    <w:rsid w:val="004E3DB2"/>
    <w:rsid w:val="004E3DD6"/>
    <w:rsid w:val="004E43A4"/>
    <w:rsid w:val="004E4488"/>
    <w:rsid w:val="004E448B"/>
    <w:rsid w:val="004E44CC"/>
    <w:rsid w:val="004E474F"/>
    <w:rsid w:val="004E487E"/>
    <w:rsid w:val="004E49BD"/>
    <w:rsid w:val="004E49C8"/>
    <w:rsid w:val="004E4A65"/>
    <w:rsid w:val="004E4A97"/>
    <w:rsid w:val="004E4B32"/>
    <w:rsid w:val="004E4CD1"/>
    <w:rsid w:val="004E4D55"/>
    <w:rsid w:val="004E4DE1"/>
    <w:rsid w:val="004E50C8"/>
    <w:rsid w:val="004E50D5"/>
    <w:rsid w:val="004E5121"/>
    <w:rsid w:val="004E520D"/>
    <w:rsid w:val="004E5210"/>
    <w:rsid w:val="004E547C"/>
    <w:rsid w:val="004E55B6"/>
    <w:rsid w:val="004E5616"/>
    <w:rsid w:val="004E5898"/>
    <w:rsid w:val="004E5AA0"/>
    <w:rsid w:val="004E5FD8"/>
    <w:rsid w:val="004E62BB"/>
    <w:rsid w:val="004E633C"/>
    <w:rsid w:val="004E63E5"/>
    <w:rsid w:val="004E6426"/>
    <w:rsid w:val="004E658A"/>
    <w:rsid w:val="004E67A2"/>
    <w:rsid w:val="004E68CD"/>
    <w:rsid w:val="004E691D"/>
    <w:rsid w:val="004E69B4"/>
    <w:rsid w:val="004E69DC"/>
    <w:rsid w:val="004E6A31"/>
    <w:rsid w:val="004E6C06"/>
    <w:rsid w:val="004E6D08"/>
    <w:rsid w:val="004E736B"/>
    <w:rsid w:val="004E739B"/>
    <w:rsid w:val="004E752D"/>
    <w:rsid w:val="004E7533"/>
    <w:rsid w:val="004E7ABB"/>
    <w:rsid w:val="004E7BE0"/>
    <w:rsid w:val="004E7C34"/>
    <w:rsid w:val="004F021A"/>
    <w:rsid w:val="004F0383"/>
    <w:rsid w:val="004F03EC"/>
    <w:rsid w:val="004F06CD"/>
    <w:rsid w:val="004F08AB"/>
    <w:rsid w:val="004F0907"/>
    <w:rsid w:val="004F0997"/>
    <w:rsid w:val="004F09A6"/>
    <w:rsid w:val="004F0AB8"/>
    <w:rsid w:val="004F0BB5"/>
    <w:rsid w:val="004F109B"/>
    <w:rsid w:val="004F1447"/>
    <w:rsid w:val="004F14AD"/>
    <w:rsid w:val="004F1669"/>
    <w:rsid w:val="004F1670"/>
    <w:rsid w:val="004F1C17"/>
    <w:rsid w:val="004F1C8A"/>
    <w:rsid w:val="004F1D33"/>
    <w:rsid w:val="004F1DBF"/>
    <w:rsid w:val="004F274F"/>
    <w:rsid w:val="004F2901"/>
    <w:rsid w:val="004F29CD"/>
    <w:rsid w:val="004F2B5B"/>
    <w:rsid w:val="004F2B7A"/>
    <w:rsid w:val="004F2E21"/>
    <w:rsid w:val="004F2E4A"/>
    <w:rsid w:val="004F2E4E"/>
    <w:rsid w:val="004F2E56"/>
    <w:rsid w:val="004F2EF0"/>
    <w:rsid w:val="004F3005"/>
    <w:rsid w:val="004F3196"/>
    <w:rsid w:val="004F31F7"/>
    <w:rsid w:val="004F32DE"/>
    <w:rsid w:val="004F354E"/>
    <w:rsid w:val="004F35F1"/>
    <w:rsid w:val="004F3A4E"/>
    <w:rsid w:val="004F3A9E"/>
    <w:rsid w:val="004F3B60"/>
    <w:rsid w:val="004F40E8"/>
    <w:rsid w:val="004F44BC"/>
    <w:rsid w:val="004F4B2D"/>
    <w:rsid w:val="004F4C0C"/>
    <w:rsid w:val="004F4FA3"/>
    <w:rsid w:val="004F50EA"/>
    <w:rsid w:val="004F5136"/>
    <w:rsid w:val="004F5163"/>
    <w:rsid w:val="004F539D"/>
    <w:rsid w:val="004F5641"/>
    <w:rsid w:val="004F58FA"/>
    <w:rsid w:val="004F5A49"/>
    <w:rsid w:val="004F5B66"/>
    <w:rsid w:val="004F5C2B"/>
    <w:rsid w:val="004F5D53"/>
    <w:rsid w:val="004F5D8D"/>
    <w:rsid w:val="004F5E24"/>
    <w:rsid w:val="004F5FD8"/>
    <w:rsid w:val="004F6328"/>
    <w:rsid w:val="004F63F2"/>
    <w:rsid w:val="004F64C5"/>
    <w:rsid w:val="004F659B"/>
    <w:rsid w:val="004F68D0"/>
    <w:rsid w:val="004F6B2E"/>
    <w:rsid w:val="004F6B57"/>
    <w:rsid w:val="004F6F3C"/>
    <w:rsid w:val="004F7345"/>
    <w:rsid w:val="004F7365"/>
    <w:rsid w:val="004F7493"/>
    <w:rsid w:val="004F750A"/>
    <w:rsid w:val="004F7701"/>
    <w:rsid w:val="004F7751"/>
    <w:rsid w:val="004F77A0"/>
    <w:rsid w:val="004F7B38"/>
    <w:rsid w:val="004F7C2F"/>
    <w:rsid w:val="004F7D3E"/>
    <w:rsid w:val="004F7E7B"/>
    <w:rsid w:val="00500031"/>
    <w:rsid w:val="0050029F"/>
    <w:rsid w:val="0050051E"/>
    <w:rsid w:val="00500930"/>
    <w:rsid w:val="00500C9E"/>
    <w:rsid w:val="00500F0A"/>
    <w:rsid w:val="00501487"/>
    <w:rsid w:val="005014A5"/>
    <w:rsid w:val="005017C5"/>
    <w:rsid w:val="00501933"/>
    <w:rsid w:val="00501984"/>
    <w:rsid w:val="00501EF7"/>
    <w:rsid w:val="00502A27"/>
    <w:rsid w:val="00502C46"/>
    <w:rsid w:val="005031EF"/>
    <w:rsid w:val="00503303"/>
    <w:rsid w:val="00503850"/>
    <w:rsid w:val="005038E8"/>
    <w:rsid w:val="00503AFC"/>
    <w:rsid w:val="00503B1A"/>
    <w:rsid w:val="00503B64"/>
    <w:rsid w:val="00503F8B"/>
    <w:rsid w:val="00503FD6"/>
    <w:rsid w:val="00503FE7"/>
    <w:rsid w:val="0050401F"/>
    <w:rsid w:val="005040AF"/>
    <w:rsid w:val="00504302"/>
    <w:rsid w:val="0050461A"/>
    <w:rsid w:val="00504AF0"/>
    <w:rsid w:val="00504B1A"/>
    <w:rsid w:val="00504D1B"/>
    <w:rsid w:val="00504DA6"/>
    <w:rsid w:val="00504E41"/>
    <w:rsid w:val="00504EC9"/>
    <w:rsid w:val="00504F15"/>
    <w:rsid w:val="00505460"/>
    <w:rsid w:val="0050556C"/>
    <w:rsid w:val="005055DB"/>
    <w:rsid w:val="0050568C"/>
    <w:rsid w:val="0050592A"/>
    <w:rsid w:val="005059CA"/>
    <w:rsid w:val="005059D4"/>
    <w:rsid w:val="00505D70"/>
    <w:rsid w:val="00505E4E"/>
    <w:rsid w:val="00505FF2"/>
    <w:rsid w:val="0050641A"/>
    <w:rsid w:val="00506508"/>
    <w:rsid w:val="005067CA"/>
    <w:rsid w:val="00506A91"/>
    <w:rsid w:val="00506D37"/>
    <w:rsid w:val="00506F79"/>
    <w:rsid w:val="00507014"/>
    <w:rsid w:val="0050726C"/>
    <w:rsid w:val="005072D7"/>
    <w:rsid w:val="0050730A"/>
    <w:rsid w:val="005073DB"/>
    <w:rsid w:val="005074B7"/>
    <w:rsid w:val="005077F2"/>
    <w:rsid w:val="00507816"/>
    <w:rsid w:val="00507C8D"/>
    <w:rsid w:val="00507CAE"/>
    <w:rsid w:val="00507E0F"/>
    <w:rsid w:val="0051028E"/>
    <w:rsid w:val="005102EF"/>
    <w:rsid w:val="0051035E"/>
    <w:rsid w:val="0051046F"/>
    <w:rsid w:val="00510613"/>
    <w:rsid w:val="00510645"/>
    <w:rsid w:val="0051073E"/>
    <w:rsid w:val="005109AF"/>
    <w:rsid w:val="005109DF"/>
    <w:rsid w:val="00510A65"/>
    <w:rsid w:val="00510AEC"/>
    <w:rsid w:val="00510C69"/>
    <w:rsid w:val="005110EA"/>
    <w:rsid w:val="005112A0"/>
    <w:rsid w:val="005114A1"/>
    <w:rsid w:val="0051170C"/>
    <w:rsid w:val="00511A6D"/>
    <w:rsid w:val="00511CA4"/>
    <w:rsid w:val="0051207C"/>
    <w:rsid w:val="00512112"/>
    <w:rsid w:val="00512115"/>
    <w:rsid w:val="005123C5"/>
    <w:rsid w:val="005124A1"/>
    <w:rsid w:val="005124CE"/>
    <w:rsid w:val="005127BA"/>
    <w:rsid w:val="005127F7"/>
    <w:rsid w:val="0051286E"/>
    <w:rsid w:val="00512921"/>
    <w:rsid w:val="00512BB8"/>
    <w:rsid w:val="00512EA4"/>
    <w:rsid w:val="00512EDB"/>
    <w:rsid w:val="00513204"/>
    <w:rsid w:val="0051320A"/>
    <w:rsid w:val="0051351E"/>
    <w:rsid w:val="005137F7"/>
    <w:rsid w:val="00513B94"/>
    <w:rsid w:val="00513BC9"/>
    <w:rsid w:val="00513C0A"/>
    <w:rsid w:val="00513CA4"/>
    <w:rsid w:val="00513CFF"/>
    <w:rsid w:val="00513E20"/>
    <w:rsid w:val="00513E7D"/>
    <w:rsid w:val="00513E87"/>
    <w:rsid w:val="00513F3D"/>
    <w:rsid w:val="00513F63"/>
    <w:rsid w:val="00514000"/>
    <w:rsid w:val="00514147"/>
    <w:rsid w:val="0051447D"/>
    <w:rsid w:val="00514837"/>
    <w:rsid w:val="005148F9"/>
    <w:rsid w:val="00514A8E"/>
    <w:rsid w:val="00514BD4"/>
    <w:rsid w:val="00514C34"/>
    <w:rsid w:val="00514CB1"/>
    <w:rsid w:val="00514F59"/>
    <w:rsid w:val="00514F8B"/>
    <w:rsid w:val="00514FD1"/>
    <w:rsid w:val="00514FFB"/>
    <w:rsid w:val="0051522F"/>
    <w:rsid w:val="005152D9"/>
    <w:rsid w:val="00515A1C"/>
    <w:rsid w:val="00515CB0"/>
    <w:rsid w:val="00515EF5"/>
    <w:rsid w:val="00515F2C"/>
    <w:rsid w:val="00516031"/>
    <w:rsid w:val="00516399"/>
    <w:rsid w:val="005163B1"/>
    <w:rsid w:val="005166BA"/>
    <w:rsid w:val="005166DA"/>
    <w:rsid w:val="00516774"/>
    <w:rsid w:val="005167DC"/>
    <w:rsid w:val="005169E1"/>
    <w:rsid w:val="00516B33"/>
    <w:rsid w:val="00516B9F"/>
    <w:rsid w:val="00516BA5"/>
    <w:rsid w:val="00516D67"/>
    <w:rsid w:val="00516D74"/>
    <w:rsid w:val="00516D9E"/>
    <w:rsid w:val="00516F8F"/>
    <w:rsid w:val="005171C8"/>
    <w:rsid w:val="0051726A"/>
    <w:rsid w:val="00517319"/>
    <w:rsid w:val="005175D9"/>
    <w:rsid w:val="00517759"/>
    <w:rsid w:val="00517847"/>
    <w:rsid w:val="00517875"/>
    <w:rsid w:val="0051799C"/>
    <w:rsid w:val="00517A92"/>
    <w:rsid w:val="00517AFA"/>
    <w:rsid w:val="00517B47"/>
    <w:rsid w:val="00517CF2"/>
    <w:rsid w:val="00517DE7"/>
    <w:rsid w:val="00517EBF"/>
    <w:rsid w:val="0052025A"/>
    <w:rsid w:val="0052047D"/>
    <w:rsid w:val="0052070A"/>
    <w:rsid w:val="00520A50"/>
    <w:rsid w:val="00520AAD"/>
    <w:rsid w:val="00520B7D"/>
    <w:rsid w:val="00520BD7"/>
    <w:rsid w:val="00520C2D"/>
    <w:rsid w:val="0052108E"/>
    <w:rsid w:val="00521123"/>
    <w:rsid w:val="00521142"/>
    <w:rsid w:val="00521434"/>
    <w:rsid w:val="0052144A"/>
    <w:rsid w:val="00521488"/>
    <w:rsid w:val="005214D6"/>
    <w:rsid w:val="00521751"/>
    <w:rsid w:val="005217F9"/>
    <w:rsid w:val="00521C79"/>
    <w:rsid w:val="00521D94"/>
    <w:rsid w:val="00521F6D"/>
    <w:rsid w:val="00522048"/>
    <w:rsid w:val="005220CE"/>
    <w:rsid w:val="005222EF"/>
    <w:rsid w:val="00522305"/>
    <w:rsid w:val="005224A0"/>
    <w:rsid w:val="005226F5"/>
    <w:rsid w:val="00522932"/>
    <w:rsid w:val="00522B01"/>
    <w:rsid w:val="00522B25"/>
    <w:rsid w:val="00522C11"/>
    <w:rsid w:val="00522D17"/>
    <w:rsid w:val="00522D2C"/>
    <w:rsid w:val="00522D71"/>
    <w:rsid w:val="00522DC0"/>
    <w:rsid w:val="005230C3"/>
    <w:rsid w:val="0052316D"/>
    <w:rsid w:val="005233E1"/>
    <w:rsid w:val="00523927"/>
    <w:rsid w:val="00523BAF"/>
    <w:rsid w:val="00523EBD"/>
    <w:rsid w:val="00523F4A"/>
    <w:rsid w:val="00523F79"/>
    <w:rsid w:val="005240B1"/>
    <w:rsid w:val="00524259"/>
    <w:rsid w:val="00524496"/>
    <w:rsid w:val="00524505"/>
    <w:rsid w:val="00524572"/>
    <w:rsid w:val="00524708"/>
    <w:rsid w:val="00524793"/>
    <w:rsid w:val="0052494C"/>
    <w:rsid w:val="00524B28"/>
    <w:rsid w:val="00524B7A"/>
    <w:rsid w:val="00524DEE"/>
    <w:rsid w:val="005250E2"/>
    <w:rsid w:val="005252D3"/>
    <w:rsid w:val="005254F7"/>
    <w:rsid w:val="00525559"/>
    <w:rsid w:val="00525590"/>
    <w:rsid w:val="00525D30"/>
    <w:rsid w:val="00526486"/>
    <w:rsid w:val="005266F5"/>
    <w:rsid w:val="005267CF"/>
    <w:rsid w:val="005267F1"/>
    <w:rsid w:val="00526ADF"/>
    <w:rsid w:val="005271CF"/>
    <w:rsid w:val="0052722A"/>
    <w:rsid w:val="005273E2"/>
    <w:rsid w:val="005274A9"/>
    <w:rsid w:val="005277D0"/>
    <w:rsid w:val="005277E6"/>
    <w:rsid w:val="005279DC"/>
    <w:rsid w:val="00527C1C"/>
    <w:rsid w:val="00527D96"/>
    <w:rsid w:val="00527E62"/>
    <w:rsid w:val="00527F9E"/>
    <w:rsid w:val="00530197"/>
    <w:rsid w:val="00530616"/>
    <w:rsid w:val="005306B3"/>
    <w:rsid w:val="00530779"/>
    <w:rsid w:val="00530B3D"/>
    <w:rsid w:val="00530B6D"/>
    <w:rsid w:val="00530BB5"/>
    <w:rsid w:val="005312EB"/>
    <w:rsid w:val="005314EE"/>
    <w:rsid w:val="005319D1"/>
    <w:rsid w:val="00531A0F"/>
    <w:rsid w:val="00531A72"/>
    <w:rsid w:val="00532194"/>
    <w:rsid w:val="00532246"/>
    <w:rsid w:val="00532326"/>
    <w:rsid w:val="0053236D"/>
    <w:rsid w:val="005323D2"/>
    <w:rsid w:val="0053248D"/>
    <w:rsid w:val="005324DF"/>
    <w:rsid w:val="005324FD"/>
    <w:rsid w:val="00532584"/>
    <w:rsid w:val="005326D7"/>
    <w:rsid w:val="0053284D"/>
    <w:rsid w:val="00532948"/>
    <w:rsid w:val="00532A27"/>
    <w:rsid w:val="00532BEB"/>
    <w:rsid w:val="00532C43"/>
    <w:rsid w:val="00532D43"/>
    <w:rsid w:val="00532E7F"/>
    <w:rsid w:val="00533247"/>
    <w:rsid w:val="00533549"/>
    <w:rsid w:val="00533859"/>
    <w:rsid w:val="005338BB"/>
    <w:rsid w:val="005338DF"/>
    <w:rsid w:val="00533A54"/>
    <w:rsid w:val="00533DF7"/>
    <w:rsid w:val="00533F32"/>
    <w:rsid w:val="00533FEC"/>
    <w:rsid w:val="00534118"/>
    <w:rsid w:val="0053414B"/>
    <w:rsid w:val="00534156"/>
    <w:rsid w:val="00534AF5"/>
    <w:rsid w:val="00534C4F"/>
    <w:rsid w:val="005350FC"/>
    <w:rsid w:val="005353F9"/>
    <w:rsid w:val="00535597"/>
    <w:rsid w:val="0053571A"/>
    <w:rsid w:val="005358AD"/>
    <w:rsid w:val="005359C9"/>
    <w:rsid w:val="00535A0C"/>
    <w:rsid w:val="00535A7C"/>
    <w:rsid w:val="00535B06"/>
    <w:rsid w:val="00535E98"/>
    <w:rsid w:val="00535F47"/>
    <w:rsid w:val="005360C6"/>
    <w:rsid w:val="005360E8"/>
    <w:rsid w:val="005361C6"/>
    <w:rsid w:val="005362E6"/>
    <w:rsid w:val="0053641A"/>
    <w:rsid w:val="00536432"/>
    <w:rsid w:val="0053659D"/>
    <w:rsid w:val="00536995"/>
    <w:rsid w:val="00536BAA"/>
    <w:rsid w:val="00536C03"/>
    <w:rsid w:val="00536C92"/>
    <w:rsid w:val="005370EB"/>
    <w:rsid w:val="0053720E"/>
    <w:rsid w:val="005372CF"/>
    <w:rsid w:val="0053739E"/>
    <w:rsid w:val="005373BC"/>
    <w:rsid w:val="005375B1"/>
    <w:rsid w:val="0053775E"/>
    <w:rsid w:val="005378C6"/>
    <w:rsid w:val="00537985"/>
    <w:rsid w:val="005379C4"/>
    <w:rsid w:val="00537A2C"/>
    <w:rsid w:val="00537A71"/>
    <w:rsid w:val="00537CF1"/>
    <w:rsid w:val="00537DB5"/>
    <w:rsid w:val="00537E6E"/>
    <w:rsid w:val="005400C5"/>
    <w:rsid w:val="005401EF"/>
    <w:rsid w:val="00540405"/>
    <w:rsid w:val="00540772"/>
    <w:rsid w:val="00540858"/>
    <w:rsid w:val="0054092F"/>
    <w:rsid w:val="00540A7E"/>
    <w:rsid w:val="00540CC1"/>
    <w:rsid w:val="00540F99"/>
    <w:rsid w:val="00541017"/>
    <w:rsid w:val="005413B9"/>
    <w:rsid w:val="00541612"/>
    <w:rsid w:val="00541770"/>
    <w:rsid w:val="00541899"/>
    <w:rsid w:val="00541C14"/>
    <w:rsid w:val="005421D5"/>
    <w:rsid w:val="00542303"/>
    <w:rsid w:val="00542801"/>
    <w:rsid w:val="0054280B"/>
    <w:rsid w:val="00542ADF"/>
    <w:rsid w:val="00542C4F"/>
    <w:rsid w:val="00542C83"/>
    <w:rsid w:val="00542D64"/>
    <w:rsid w:val="00542E0F"/>
    <w:rsid w:val="00542F04"/>
    <w:rsid w:val="005430BF"/>
    <w:rsid w:val="00543264"/>
    <w:rsid w:val="005432B4"/>
    <w:rsid w:val="0054380D"/>
    <w:rsid w:val="00543931"/>
    <w:rsid w:val="00543B98"/>
    <w:rsid w:val="00543D1E"/>
    <w:rsid w:val="00543E38"/>
    <w:rsid w:val="00543FCD"/>
    <w:rsid w:val="00544312"/>
    <w:rsid w:val="00544418"/>
    <w:rsid w:val="00544688"/>
    <w:rsid w:val="00544722"/>
    <w:rsid w:val="005447F1"/>
    <w:rsid w:val="00544FF8"/>
    <w:rsid w:val="00545068"/>
    <w:rsid w:val="0054506D"/>
    <w:rsid w:val="005450D3"/>
    <w:rsid w:val="0054544E"/>
    <w:rsid w:val="005454C2"/>
    <w:rsid w:val="0054552F"/>
    <w:rsid w:val="00545782"/>
    <w:rsid w:val="00545783"/>
    <w:rsid w:val="00545814"/>
    <w:rsid w:val="0054583E"/>
    <w:rsid w:val="00545922"/>
    <w:rsid w:val="0054595E"/>
    <w:rsid w:val="00545A08"/>
    <w:rsid w:val="00545A30"/>
    <w:rsid w:val="00545C12"/>
    <w:rsid w:val="00545C42"/>
    <w:rsid w:val="00545E60"/>
    <w:rsid w:val="00545E9A"/>
    <w:rsid w:val="00545FA1"/>
    <w:rsid w:val="005463C3"/>
    <w:rsid w:val="0054651E"/>
    <w:rsid w:val="005466C9"/>
    <w:rsid w:val="005467AE"/>
    <w:rsid w:val="00546848"/>
    <w:rsid w:val="005468AA"/>
    <w:rsid w:val="005469B6"/>
    <w:rsid w:val="005469C5"/>
    <w:rsid w:val="00546C60"/>
    <w:rsid w:val="00546E88"/>
    <w:rsid w:val="00546EE9"/>
    <w:rsid w:val="00546F00"/>
    <w:rsid w:val="00546F9C"/>
    <w:rsid w:val="0054733E"/>
    <w:rsid w:val="005474D2"/>
    <w:rsid w:val="00547A47"/>
    <w:rsid w:val="00547BD5"/>
    <w:rsid w:val="00547E83"/>
    <w:rsid w:val="00547F51"/>
    <w:rsid w:val="00550330"/>
    <w:rsid w:val="005507A8"/>
    <w:rsid w:val="00550831"/>
    <w:rsid w:val="0055097D"/>
    <w:rsid w:val="00550B32"/>
    <w:rsid w:val="00550BD1"/>
    <w:rsid w:val="00550DCA"/>
    <w:rsid w:val="005512E0"/>
    <w:rsid w:val="0055133F"/>
    <w:rsid w:val="005515F9"/>
    <w:rsid w:val="00551613"/>
    <w:rsid w:val="00551666"/>
    <w:rsid w:val="0055172F"/>
    <w:rsid w:val="00551ADB"/>
    <w:rsid w:val="00551BCF"/>
    <w:rsid w:val="00551D83"/>
    <w:rsid w:val="00551F98"/>
    <w:rsid w:val="0055202C"/>
    <w:rsid w:val="00552409"/>
    <w:rsid w:val="005525B4"/>
    <w:rsid w:val="005527AF"/>
    <w:rsid w:val="0055291F"/>
    <w:rsid w:val="00552A33"/>
    <w:rsid w:val="00552B81"/>
    <w:rsid w:val="00552C1A"/>
    <w:rsid w:val="00552D12"/>
    <w:rsid w:val="00552DE2"/>
    <w:rsid w:val="00552EC8"/>
    <w:rsid w:val="00552EEB"/>
    <w:rsid w:val="00552F8F"/>
    <w:rsid w:val="005531BA"/>
    <w:rsid w:val="00553234"/>
    <w:rsid w:val="005534FB"/>
    <w:rsid w:val="0055362E"/>
    <w:rsid w:val="00553672"/>
    <w:rsid w:val="00553681"/>
    <w:rsid w:val="0055369B"/>
    <w:rsid w:val="005536E7"/>
    <w:rsid w:val="00553764"/>
    <w:rsid w:val="00553B20"/>
    <w:rsid w:val="00553D19"/>
    <w:rsid w:val="00553D8B"/>
    <w:rsid w:val="00553F20"/>
    <w:rsid w:val="00554098"/>
    <w:rsid w:val="0055456F"/>
    <w:rsid w:val="005545C0"/>
    <w:rsid w:val="00554613"/>
    <w:rsid w:val="0055464D"/>
    <w:rsid w:val="00554766"/>
    <w:rsid w:val="00554A29"/>
    <w:rsid w:val="00554A76"/>
    <w:rsid w:val="00554B45"/>
    <w:rsid w:val="00554B4C"/>
    <w:rsid w:val="00554E7C"/>
    <w:rsid w:val="00554EF4"/>
    <w:rsid w:val="00555329"/>
    <w:rsid w:val="0055534F"/>
    <w:rsid w:val="0055574D"/>
    <w:rsid w:val="00555A61"/>
    <w:rsid w:val="00555A9E"/>
    <w:rsid w:val="00555BF4"/>
    <w:rsid w:val="00555D3C"/>
    <w:rsid w:val="00555D6A"/>
    <w:rsid w:val="00555DD5"/>
    <w:rsid w:val="0055602F"/>
    <w:rsid w:val="00556062"/>
    <w:rsid w:val="00556740"/>
    <w:rsid w:val="0055686F"/>
    <w:rsid w:val="005568AA"/>
    <w:rsid w:val="00556ECA"/>
    <w:rsid w:val="00557430"/>
    <w:rsid w:val="00557718"/>
    <w:rsid w:val="00557982"/>
    <w:rsid w:val="005579F8"/>
    <w:rsid w:val="00557A5E"/>
    <w:rsid w:val="00557B69"/>
    <w:rsid w:val="00557F22"/>
    <w:rsid w:val="005601C6"/>
    <w:rsid w:val="0056035D"/>
    <w:rsid w:val="005603AB"/>
    <w:rsid w:val="00560931"/>
    <w:rsid w:val="00560F3B"/>
    <w:rsid w:val="00561019"/>
    <w:rsid w:val="00561741"/>
    <w:rsid w:val="00561784"/>
    <w:rsid w:val="005619F0"/>
    <w:rsid w:val="00561FE3"/>
    <w:rsid w:val="005622FA"/>
    <w:rsid w:val="005623C7"/>
    <w:rsid w:val="005627D8"/>
    <w:rsid w:val="00562897"/>
    <w:rsid w:val="00562CCB"/>
    <w:rsid w:val="00562E84"/>
    <w:rsid w:val="00562EC3"/>
    <w:rsid w:val="00562FBF"/>
    <w:rsid w:val="0056307B"/>
    <w:rsid w:val="005632C0"/>
    <w:rsid w:val="0056348A"/>
    <w:rsid w:val="005636FA"/>
    <w:rsid w:val="00563847"/>
    <w:rsid w:val="00563956"/>
    <w:rsid w:val="005639D7"/>
    <w:rsid w:val="00564036"/>
    <w:rsid w:val="005643E8"/>
    <w:rsid w:val="005644A7"/>
    <w:rsid w:val="005647ED"/>
    <w:rsid w:val="00564CFC"/>
    <w:rsid w:val="00564E24"/>
    <w:rsid w:val="00565292"/>
    <w:rsid w:val="005653E7"/>
    <w:rsid w:val="0056548F"/>
    <w:rsid w:val="00565524"/>
    <w:rsid w:val="0056558D"/>
    <w:rsid w:val="005658E2"/>
    <w:rsid w:val="0056598B"/>
    <w:rsid w:val="00565A5A"/>
    <w:rsid w:val="00565ACF"/>
    <w:rsid w:val="00565C4A"/>
    <w:rsid w:val="00565CF6"/>
    <w:rsid w:val="00565D63"/>
    <w:rsid w:val="00565E6D"/>
    <w:rsid w:val="00565EE2"/>
    <w:rsid w:val="00565F0A"/>
    <w:rsid w:val="00566081"/>
    <w:rsid w:val="00566171"/>
    <w:rsid w:val="005661B7"/>
    <w:rsid w:val="00566328"/>
    <w:rsid w:val="00566487"/>
    <w:rsid w:val="005664A6"/>
    <w:rsid w:val="005665AF"/>
    <w:rsid w:val="00566B9D"/>
    <w:rsid w:val="00566CAC"/>
    <w:rsid w:val="00566ECF"/>
    <w:rsid w:val="0056715E"/>
    <w:rsid w:val="00567409"/>
    <w:rsid w:val="0056760E"/>
    <w:rsid w:val="00567797"/>
    <w:rsid w:val="00567955"/>
    <w:rsid w:val="00567A64"/>
    <w:rsid w:val="00567B81"/>
    <w:rsid w:val="00567BDC"/>
    <w:rsid w:val="005702ED"/>
    <w:rsid w:val="0057033C"/>
    <w:rsid w:val="005704BB"/>
    <w:rsid w:val="005704C3"/>
    <w:rsid w:val="00570832"/>
    <w:rsid w:val="00570BAD"/>
    <w:rsid w:val="00570C5A"/>
    <w:rsid w:val="00570FDC"/>
    <w:rsid w:val="0057116D"/>
    <w:rsid w:val="005714F0"/>
    <w:rsid w:val="00571539"/>
    <w:rsid w:val="005715AA"/>
    <w:rsid w:val="00571793"/>
    <w:rsid w:val="005719CF"/>
    <w:rsid w:val="005719F3"/>
    <w:rsid w:val="00571A01"/>
    <w:rsid w:val="00571A17"/>
    <w:rsid w:val="00571C2F"/>
    <w:rsid w:val="00571CBB"/>
    <w:rsid w:val="00571DDD"/>
    <w:rsid w:val="0057204B"/>
    <w:rsid w:val="00572073"/>
    <w:rsid w:val="0057226F"/>
    <w:rsid w:val="005724E1"/>
    <w:rsid w:val="005727F5"/>
    <w:rsid w:val="005728AB"/>
    <w:rsid w:val="0057299E"/>
    <w:rsid w:val="00572AA9"/>
    <w:rsid w:val="00572AB2"/>
    <w:rsid w:val="00572C7B"/>
    <w:rsid w:val="00572D7E"/>
    <w:rsid w:val="00572F56"/>
    <w:rsid w:val="0057326A"/>
    <w:rsid w:val="0057346E"/>
    <w:rsid w:val="005734CD"/>
    <w:rsid w:val="0057366C"/>
    <w:rsid w:val="00573910"/>
    <w:rsid w:val="005739E0"/>
    <w:rsid w:val="00573A69"/>
    <w:rsid w:val="00573D1D"/>
    <w:rsid w:val="00573FA6"/>
    <w:rsid w:val="00573FF4"/>
    <w:rsid w:val="005740A9"/>
    <w:rsid w:val="00574167"/>
    <w:rsid w:val="005741C9"/>
    <w:rsid w:val="0057438D"/>
    <w:rsid w:val="005744EC"/>
    <w:rsid w:val="005745B4"/>
    <w:rsid w:val="005745ED"/>
    <w:rsid w:val="00574684"/>
    <w:rsid w:val="00574714"/>
    <w:rsid w:val="00574FE0"/>
    <w:rsid w:val="005753FA"/>
    <w:rsid w:val="005754C4"/>
    <w:rsid w:val="00575545"/>
    <w:rsid w:val="0057557A"/>
    <w:rsid w:val="00575A86"/>
    <w:rsid w:val="00575B7B"/>
    <w:rsid w:val="00575D58"/>
    <w:rsid w:val="00575D61"/>
    <w:rsid w:val="00575EC5"/>
    <w:rsid w:val="00575F9F"/>
    <w:rsid w:val="005763CC"/>
    <w:rsid w:val="0057660F"/>
    <w:rsid w:val="005769D1"/>
    <w:rsid w:val="00576A01"/>
    <w:rsid w:val="00576AA7"/>
    <w:rsid w:val="00576B0E"/>
    <w:rsid w:val="00576D80"/>
    <w:rsid w:val="00577207"/>
    <w:rsid w:val="00577378"/>
    <w:rsid w:val="005773E6"/>
    <w:rsid w:val="005774C0"/>
    <w:rsid w:val="0057758C"/>
    <w:rsid w:val="005776D1"/>
    <w:rsid w:val="005778F2"/>
    <w:rsid w:val="00577E59"/>
    <w:rsid w:val="00577EBB"/>
    <w:rsid w:val="0058069D"/>
    <w:rsid w:val="00580A6C"/>
    <w:rsid w:val="00580A7D"/>
    <w:rsid w:val="00580D0D"/>
    <w:rsid w:val="0058116D"/>
    <w:rsid w:val="0058119E"/>
    <w:rsid w:val="00581224"/>
    <w:rsid w:val="00581572"/>
    <w:rsid w:val="00581B05"/>
    <w:rsid w:val="00581C0C"/>
    <w:rsid w:val="00581D12"/>
    <w:rsid w:val="005820E6"/>
    <w:rsid w:val="00582592"/>
    <w:rsid w:val="00582AFF"/>
    <w:rsid w:val="00582DAB"/>
    <w:rsid w:val="00582E1E"/>
    <w:rsid w:val="00582E96"/>
    <w:rsid w:val="00582ED8"/>
    <w:rsid w:val="00583040"/>
    <w:rsid w:val="00583131"/>
    <w:rsid w:val="00583171"/>
    <w:rsid w:val="005832DA"/>
    <w:rsid w:val="0058376D"/>
    <w:rsid w:val="0058389C"/>
    <w:rsid w:val="005838BE"/>
    <w:rsid w:val="00583954"/>
    <w:rsid w:val="00583975"/>
    <w:rsid w:val="005839ED"/>
    <w:rsid w:val="00583F60"/>
    <w:rsid w:val="00583FD5"/>
    <w:rsid w:val="00584103"/>
    <w:rsid w:val="00584225"/>
    <w:rsid w:val="005842D7"/>
    <w:rsid w:val="005843C7"/>
    <w:rsid w:val="0058453D"/>
    <w:rsid w:val="0058454B"/>
    <w:rsid w:val="0058494F"/>
    <w:rsid w:val="00584F2C"/>
    <w:rsid w:val="005850EA"/>
    <w:rsid w:val="005851C8"/>
    <w:rsid w:val="00585386"/>
    <w:rsid w:val="00585504"/>
    <w:rsid w:val="00585589"/>
    <w:rsid w:val="00585673"/>
    <w:rsid w:val="005857BF"/>
    <w:rsid w:val="00585849"/>
    <w:rsid w:val="00585C4F"/>
    <w:rsid w:val="00585CFA"/>
    <w:rsid w:val="00585D99"/>
    <w:rsid w:val="00585EE2"/>
    <w:rsid w:val="00585F07"/>
    <w:rsid w:val="00586263"/>
    <w:rsid w:val="0058637A"/>
    <w:rsid w:val="00586538"/>
    <w:rsid w:val="0058668F"/>
    <w:rsid w:val="00586766"/>
    <w:rsid w:val="005868C0"/>
    <w:rsid w:val="005869C4"/>
    <w:rsid w:val="00586BF8"/>
    <w:rsid w:val="00586D21"/>
    <w:rsid w:val="00587267"/>
    <w:rsid w:val="00587535"/>
    <w:rsid w:val="005876A3"/>
    <w:rsid w:val="005879B4"/>
    <w:rsid w:val="00587AFA"/>
    <w:rsid w:val="00587C3F"/>
    <w:rsid w:val="00587F0F"/>
    <w:rsid w:val="00587F60"/>
    <w:rsid w:val="00587FC2"/>
    <w:rsid w:val="005900FF"/>
    <w:rsid w:val="005903E7"/>
    <w:rsid w:val="00590424"/>
    <w:rsid w:val="00590C74"/>
    <w:rsid w:val="00590E59"/>
    <w:rsid w:val="00590E83"/>
    <w:rsid w:val="00590F81"/>
    <w:rsid w:val="005910F8"/>
    <w:rsid w:val="0059129B"/>
    <w:rsid w:val="005912EA"/>
    <w:rsid w:val="0059190D"/>
    <w:rsid w:val="00591DB0"/>
    <w:rsid w:val="0059208F"/>
    <w:rsid w:val="00592218"/>
    <w:rsid w:val="0059272F"/>
    <w:rsid w:val="00592768"/>
    <w:rsid w:val="005928AD"/>
    <w:rsid w:val="00592971"/>
    <w:rsid w:val="00592B8C"/>
    <w:rsid w:val="00592D17"/>
    <w:rsid w:val="00592E44"/>
    <w:rsid w:val="005931B0"/>
    <w:rsid w:val="005931B9"/>
    <w:rsid w:val="00593279"/>
    <w:rsid w:val="00593487"/>
    <w:rsid w:val="005935C3"/>
    <w:rsid w:val="00593633"/>
    <w:rsid w:val="00593E22"/>
    <w:rsid w:val="0059401D"/>
    <w:rsid w:val="00594073"/>
    <w:rsid w:val="005942AB"/>
    <w:rsid w:val="005942FA"/>
    <w:rsid w:val="00594421"/>
    <w:rsid w:val="00594561"/>
    <w:rsid w:val="00594606"/>
    <w:rsid w:val="005946E7"/>
    <w:rsid w:val="00594B9B"/>
    <w:rsid w:val="0059508E"/>
    <w:rsid w:val="005952AB"/>
    <w:rsid w:val="005954D7"/>
    <w:rsid w:val="005958E7"/>
    <w:rsid w:val="00595E1B"/>
    <w:rsid w:val="005961AE"/>
    <w:rsid w:val="005964B8"/>
    <w:rsid w:val="00596524"/>
    <w:rsid w:val="005965C4"/>
    <w:rsid w:val="00596609"/>
    <w:rsid w:val="00596DA6"/>
    <w:rsid w:val="00597081"/>
    <w:rsid w:val="00597277"/>
    <w:rsid w:val="00597AB1"/>
    <w:rsid w:val="00597B53"/>
    <w:rsid w:val="00597C91"/>
    <w:rsid w:val="00597CC5"/>
    <w:rsid w:val="00597DDB"/>
    <w:rsid w:val="00597F5F"/>
    <w:rsid w:val="005A01DB"/>
    <w:rsid w:val="005A0449"/>
    <w:rsid w:val="005A06C5"/>
    <w:rsid w:val="005A0777"/>
    <w:rsid w:val="005A082F"/>
    <w:rsid w:val="005A09C3"/>
    <w:rsid w:val="005A0A54"/>
    <w:rsid w:val="005A0B84"/>
    <w:rsid w:val="005A0D27"/>
    <w:rsid w:val="005A0E43"/>
    <w:rsid w:val="005A0ED7"/>
    <w:rsid w:val="005A1163"/>
    <w:rsid w:val="005A12B0"/>
    <w:rsid w:val="005A12BF"/>
    <w:rsid w:val="005A1367"/>
    <w:rsid w:val="005A16D8"/>
    <w:rsid w:val="005A18A4"/>
    <w:rsid w:val="005A1E2E"/>
    <w:rsid w:val="005A1E4E"/>
    <w:rsid w:val="005A234E"/>
    <w:rsid w:val="005A2578"/>
    <w:rsid w:val="005A26E2"/>
    <w:rsid w:val="005A2934"/>
    <w:rsid w:val="005A2AD8"/>
    <w:rsid w:val="005A2B69"/>
    <w:rsid w:val="005A2D6A"/>
    <w:rsid w:val="005A2E75"/>
    <w:rsid w:val="005A2F96"/>
    <w:rsid w:val="005A2FE1"/>
    <w:rsid w:val="005A3037"/>
    <w:rsid w:val="005A3059"/>
    <w:rsid w:val="005A3207"/>
    <w:rsid w:val="005A32D1"/>
    <w:rsid w:val="005A37B5"/>
    <w:rsid w:val="005A37BE"/>
    <w:rsid w:val="005A3B7E"/>
    <w:rsid w:val="005A3F15"/>
    <w:rsid w:val="005A431B"/>
    <w:rsid w:val="005A4502"/>
    <w:rsid w:val="005A4561"/>
    <w:rsid w:val="005A4AC1"/>
    <w:rsid w:val="005A4B38"/>
    <w:rsid w:val="005A4BE8"/>
    <w:rsid w:val="005A516A"/>
    <w:rsid w:val="005A5173"/>
    <w:rsid w:val="005A522D"/>
    <w:rsid w:val="005A5628"/>
    <w:rsid w:val="005A566C"/>
    <w:rsid w:val="005A5702"/>
    <w:rsid w:val="005A5798"/>
    <w:rsid w:val="005A5833"/>
    <w:rsid w:val="005A5989"/>
    <w:rsid w:val="005A59D2"/>
    <w:rsid w:val="005A5BF9"/>
    <w:rsid w:val="005A5D4C"/>
    <w:rsid w:val="005A5E02"/>
    <w:rsid w:val="005A5E67"/>
    <w:rsid w:val="005A5EF3"/>
    <w:rsid w:val="005A62C5"/>
    <w:rsid w:val="005A6486"/>
    <w:rsid w:val="005A666C"/>
    <w:rsid w:val="005A6696"/>
    <w:rsid w:val="005A66E1"/>
    <w:rsid w:val="005A696E"/>
    <w:rsid w:val="005A6A4D"/>
    <w:rsid w:val="005A6B23"/>
    <w:rsid w:val="005A761A"/>
    <w:rsid w:val="005A7CFF"/>
    <w:rsid w:val="005A7D59"/>
    <w:rsid w:val="005A7ED9"/>
    <w:rsid w:val="005A7FC9"/>
    <w:rsid w:val="005B015F"/>
    <w:rsid w:val="005B0279"/>
    <w:rsid w:val="005B0452"/>
    <w:rsid w:val="005B053A"/>
    <w:rsid w:val="005B07DD"/>
    <w:rsid w:val="005B07EC"/>
    <w:rsid w:val="005B07F4"/>
    <w:rsid w:val="005B08C9"/>
    <w:rsid w:val="005B0A9F"/>
    <w:rsid w:val="005B0BC9"/>
    <w:rsid w:val="005B0E01"/>
    <w:rsid w:val="005B10EE"/>
    <w:rsid w:val="005B16BB"/>
    <w:rsid w:val="005B1816"/>
    <w:rsid w:val="005B192A"/>
    <w:rsid w:val="005B198C"/>
    <w:rsid w:val="005B1AFB"/>
    <w:rsid w:val="005B1BBA"/>
    <w:rsid w:val="005B1C06"/>
    <w:rsid w:val="005B1F52"/>
    <w:rsid w:val="005B2048"/>
    <w:rsid w:val="005B208C"/>
    <w:rsid w:val="005B22A7"/>
    <w:rsid w:val="005B27B8"/>
    <w:rsid w:val="005B27E1"/>
    <w:rsid w:val="005B2A99"/>
    <w:rsid w:val="005B2B45"/>
    <w:rsid w:val="005B2C02"/>
    <w:rsid w:val="005B2C5B"/>
    <w:rsid w:val="005B2EB8"/>
    <w:rsid w:val="005B2F61"/>
    <w:rsid w:val="005B3A53"/>
    <w:rsid w:val="005B3B5B"/>
    <w:rsid w:val="005B3B74"/>
    <w:rsid w:val="005B3C4A"/>
    <w:rsid w:val="005B3CBC"/>
    <w:rsid w:val="005B3D26"/>
    <w:rsid w:val="005B3DB6"/>
    <w:rsid w:val="005B3DD4"/>
    <w:rsid w:val="005B3F0C"/>
    <w:rsid w:val="005B3FDB"/>
    <w:rsid w:val="005B42E0"/>
    <w:rsid w:val="005B4634"/>
    <w:rsid w:val="005B468F"/>
    <w:rsid w:val="005B4DB1"/>
    <w:rsid w:val="005B509A"/>
    <w:rsid w:val="005B5475"/>
    <w:rsid w:val="005B5522"/>
    <w:rsid w:val="005B5636"/>
    <w:rsid w:val="005B588E"/>
    <w:rsid w:val="005B59F6"/>
    <w:rsid w:val="005B5C5E"/>
    <w:rsid w:val="005B5C9D"/>
    <w:rsid w:val="005B5E9D"/>
    <w:rsid w:val="005B5EB5"/>
    <w:rsid w:val="005B5FEC"/>
    <w:rsid w:val="005B62EA"/>
    <w:rsid w:val="005B645C"/>
    <w:rsid w:val="005B6534"/>
    <w:rsid w:val="005B67FC"/>
    <w:rsid w:val="005B6865"/>
    <w:rsid w:val="005B6ABA"/>
    <w:rsid w:val="005B6C21"/>
    <w:rsid w:val="005B6E68"/>
    <w:rsid w:val="005B6F48"/>
    <w:rsid w:val="005B718E"/>
    <w:rsid w:val="005B7345"/>
    <w:rsid w:val="005B7413"/>
    <w:rsid w:val="005B74A9"/>
    <w:rsid w:val="005B75EF"/>
    <w:rsid w:val="005B7627"/>
    <w:rsid w:val="005B7873"/>
    <w:rsid w:val="005B7881"/>
    <w:rsid w:val="005B7E5D"/>
    <w:rsid w:val="005B7F9E"/>
    <w:rsid w:val="005C011B"/>
    <w:rsid w:val="005C04ED"/>
    <w:rsid w:val="005C0921"/>
    <w:rsid w:val="005C0A1D"/>
    <w:rsid w:val="005C0B94"/>
    <w:rsid w:val="005C0C60"/>
    <w:rsid w:val="005C158A"/>
    <w:rsid w:val="005C15E9"/>
    <w:rsid w:val="005C1B8A"/>
    <w:rsid w:val="005C1D78"/>
    <w:rsid w:val="005C1FD3"/>
    <w:rsid w:val="005C21E2"/>
    <w:rsid w:val="005C2310"/>
    <w:rsid w:val="005C2594"/>
    <w:rsid w:val="005C28AF"/>
    <w:rsid w:val="005C2A3E"/>
    <w:rsid w:val="005C2BDC"/>
    <w:rsid w:val="005C3148"/>
    <w:rsid w:val="005C3247"/>
    <w:rsid w:val="005C331C"/>
    <w:rsid w:val="005C35FF"/>
    <w:rsid w:val="005C37B6"/>
    <w:rsid w:val="005C3972"/>
    <w:rsid w:val="005C39E3"/>
    <w:rsid w:val="005C3B03"/>
    <w:rsid w:val="005C3E5B"/>
    <w:rsid w:val="005C4042"/>
    <w:rsid w:val="005C4058"/>
    <w:rsid w:val="005C40E0"/>
    <w:rsid w:val="005C4144"/>
    <w:rsid w:val="005C4302"/>
    <w:rsid w:val="005C4612"/>
    <w:rsid w:val="005C47AC"/>
    <w:rsid w:val="005C4A6A"/>
    <w:rsid w:val="005C4FDB"/>
    <w:rsid w:val="005C5070"/>
    <w:rsid w:val="005C510B"/>
    <w:rsid w:val="005C513C"/>
    <w:rsid w:val="005C5304"/>
    <w:rsid w:val="005C5661"/>
    <w:rsid w:val="005C56CA"/>
    <w:rsid w:val="005C5A41"/>
    <w:rsid w:val="005C5A65"/>
    <w:rsid w:val="005C5AE6"/>
    <w:rsid w:val="005C5FAE"/>
    <w:rsid w:val="005C63EA"/>
    <w:rsid w:val="005C6475"/>
    <w:rsid w:val="005C64F4"/>
    <w:rsid w:val="005C6855"/>
    <w:rsid w:val="005C68CB"/>
    <w:rsid w:val="005C69FC"/>
    <w:rsid w:val="005C6ADB"/>
    <w:rsid w:val="005C6CC3"/>
    <w:rsid w:val="005C6DD2"/>
    <w:rsid w:val="005C6F14"/>
    <w:rsid w:val="005C71AF"/>
    <w:rsid w:val="005C733B"/>
    <w:rsid w:val="005C7377"/>
    <w:rsid w:val="005C7562"/>
    <w:rsid w:val="005C762C"/>
    <w:rsid w:val="005C7677"/>
    <w:rsid w:val="005C76BA"/>
    <w:rsid w:val="005C7750"/>
    <w:rsid w:val="005C7861"/>
    <w:rsid w:val="005C7904"/>
    <w:rsid w:val="005C79B2"/>
    <w:rsid w:val="005C7BC1"/>
    <w:rsid w:val="005C7E95"/>
    <w:rsid w:val="005C7FDE"/>
    <w:rsid w:val="005D0129"/>
    <w:rsid w:val="005D01C0"/>
    <w:rsid w:val="005D0399"/>
    <w:rsid w:val="005D0A21"/>
    <w:rsid w:val="005D0A66"/>
    <w:rsid w:val="005D0BA8"/>
    <w:rsid w:val="005D0C0B"/>
    <w:rsid w:val="005D0DB4"/>
    <w:rsid w:val="005D0E8F"/>
    <w:rsid w:val="005D0F45"/>
    <w:rsid w:val="005D1294"/>
    <w:rsid w:val="005D13A5"/>
    <w:rsid w:val="005D13B2"/>
    <w:rsid w:val="005D14DD"/>
    <w:rsid w:val="005D16BB"/>
    <w:rsid w:val="005D1700"/>
    <w:rsid w:val="005D18FE"/>
    <w:rsid w:val="005D1A95"/>
    <w:rsid w:val="005D1DA3"/>
    <w:rsid w:val="005D20BF"/>
    <w:rsid w:val="005D23C7"/>
    <w:rsid w:val="005D2466"/>
    <w:rsid w:val="005D2484"/>
    <w:rsid w:val="005D251B"/>
    <w:rsid w:val="005D267E"/>
    <w:rsid w:val="005D2763"/>
    <w:rsid w:val="005D2822"/>
    <w:rsid w:val="005D28B2"/>
    <w:rsid w:val="005D2ACB"/>
    <w:rsid w:val="005D2C90"/>
    <w:rsid w:val="005D2D68"/>
    <w:rsid w:val="005D2DA9"/>
    <w:rsid w:val="005D2EA5"/>
    <w:rsid w:val="005D2F47"/>
    <w:rsid w:val="005D2FE9"/>
    <w:rsid w:val="005D3536"/>
    <w:rsid w:val="005D3857"/>
    <w:rsid w:val="005D3AC1"/>
    <w:rsid w:val="005D3C7E"/>
    <w:rsid w:val="005D3DC8"/>
    <w:rsid w:val="005D3F5A"/>
    <w:rsid w:val="005D3FA4"/>
    <w:rsid w:val="005D3FC6"/>
    <w:rsid w:val="005D40C1"/>
    <w:rsid w:val="005D4214"/>
    <w:rsid w:val="005D44A9"/>
    <w:rsid w:val="005D4560"/>
    <w:rsid w:val="005D45FD"/>
    <w:rsid w:val="005D462A"/>
    <w:rsid w:val="005D4B43"/>
    <w:rsid w:val="005D51B2"/>
    <w:rsid w:val="005D523F"/>
    <w:rsid w:val="005D588E"/>
    <w:rsid w:val="005D598A"/>
    <w:rsid w:val="005D5A10"/>
    <w:rsid w:val="005D5C2C"/>
    <w:rsid w:val="005D5D78"/>
    <w:rsid w:val="005D5E1F"/>
    <w:rsid w:val="005D5F1E"/>
    <w:rsid w:val="005D6000"/>
    <w:rsid w:val="005D61DF"/>
    <w:rsid w:val="005D6814"/>
    <w:rsid w:val="005D6D5D"/>
    <w:rsid w:val="005D6DF6"/>
    <w:rsid w:val="005D6E02"/>
    <w:rsid w:val="005D72A4"/>
    <w:rsid w:val="005D7507"/>
    <w:rsid w:val="005D758A"/>
    <w:rsid w:val="005D76BE"/>
    <w:rsid w:val="005D782D"/>
    <w:rsid w:val="005D78CF"/>
    <w:rsid w:val="005D7C16"/>
    <w:rsid w:val="005D7CF0"/>
    <w:rsid w:val="005E008B"/>
    <w:rsid w:val="005E0510"/>
    <w:rsid w:val="005E05E0"/>
    <w:rsid w:val="005E06B7"/>
    <w:rsid w:val="005E0842"/>
    <w:rsid w:val="005E09D8"/>
    <w:rsid w:val="005E0AA6"/>
    <w:rsid w:val="005E15BC"/>
    <w:rsid w:val="005E174C"/>
    <w:rsid w:val="005E17F6"/>
    <w:rsid w:val="005E1AC7"/>
    <w:rsid w:val="005E1C0D"/>
    <w:rsid w:val="005E1E89"/>
    <w:rsid w:val="005E206F"/>
    <w:rsid w:val="005E2685"/>
    <w:rsid w:val="005E2A35"/>
    <w:rsid w:val="005E2ACE"/>
    <w:rsid w:val="005E3202"/>
    <w:rsid w:val="005E339D"/>
    <w:rsid w:val="005E3458"/>
    <w:rsid w:val="005E3504"/>
    <w:rsid w:val="005E3571"/>
    <w:rsid w:val="005E3971"/>
    <w:rsid w:val="005E40E8"/>
    <w:rsid w:val="005E44F5"/>
    <w:rsid w:val="005E45C2"/>
    <w:rsid w:val="005E45D2"/>
    <w:rsid w:val="005E4671"/>
    <w:rsid w:val="005E468E"/>
    <w:rsid w:val="005E4C8A"/>
    <w:rsid w:val="005E4C97"/>
    <w:rsid w:val="005E5028"/>
    <w:rsid w:val="005E538C"/>
    <w:rsid w:val="005E5534"/>
    <w:rsid w:val="005E5A50"/>
    <w:rsid w:val="005E5AFF"/>
    <w:rsid w:val="005E5B56"/>
    <w:rsid w:val="005E5C3B"/>
    <w:rsid w:val="005E5DF2"/>
    <w:rsid w:val="005E600C"/>
    <w:rsid w:val="005E604D"/>
    <w:rsid w:val="005E6374"/>
    <w:rsid w:val="005E65EF"/>
    <w:rsid w:val="005E6725"/>
    <w:rsid w:val="005E686A"/>
    <w:rsid w:val="005E6A62"/>
    <w:rsid w:val="005E6D35"/>
    <w:rsid w:val="005E6E19"/>
    <w:rsid w:val="005E6E4A"/>
    <w:rsid w:val="005E6F43"/>
    <w:rsid w:val="005E6FF5"/>
    <w:rsid w:val="005E7188"/>
    <w:rsid w:val="005E73F0"/>
    <w:rsid w:val="005E762F"/>
    <w:rsid w:val="005E774C"/>
    <w:rsid w:val="005E78E3"/>
    <w:rsid w:val="005E7947"/>
    <w:rsid w:val="005E799B"/>
    <w:rsid w:val="005E7A73"/>
    <w:rsid w:val="005E7D44"/>
    <w:rsid w:val="005E7DC7"/>
    <w:rsid w:val="005E7E95"/>
    <w:rsid w:val="005E7F69"/>
    <w:rsid w:val="005F031E"/>
    <w:rsid w:val="005F060B"/>
    <w:rsid w:val="005F0D1A"/>
    <w:rsid w:val="005F0D65"/>
    <w:rsid w:val="005F157C"/>
    <w:rsid w:val="005F1880"/>
    <w:rsid w:val="005F18A5"/>
    <w:rsid w:val="005F1B4C"/>
    <w:rsid w:val="005F1B91"/>
    <w:rsid w:val="005F1DFA"/>
    <w:rsid w:val="005F1FD5"/>
    <w:rsid w:val="005F2801"/>
    <w:rsid w:val="005F28E1"/>
    <w:rsid w:val="005F2A52"/>
    <w:rsid w:val="005F2B48"/>
    <w:rsid w:val="005F2BF4"/>
    <w:rsid w:val="005F2F44"/>
    <w:rsid w:val="005F30E6"/>
    <w:rsid w:val="005F3235"/>
    <w:rsid w:val="005F3482"/>
    <w:rsid w:val="005F353B"/>
    <w:rsid w:val="005F3548"/>
    <w:rsid w:val="005F3564"/>
    <w:rsid w:val="005F358A"/>
    <w:rsid w:val="005F35BD"/>
    <w:rsid w:val="005F3878"/>
    <w:rsid w:val="005F3D0F"/>
    <w:rsid w:val="005F3EF5"/>
    <w:rsid w:val="005F40C5"/>
    <w:rsid w:val="005F4654"/>
    <w:rsid w:val="005F4A8A"/>
    <w:rsid w:val="005F4E66"/>
    <w:rsid w:val="005F514D"/>
    <w:rsid w:val="005F531E"/>
    <w:rsid w:val="005F53B8"/>
    <w:rsid w:val="005F5451"/>
    <w:rsid w:val="005F5517"/>
    <w:rsid w:val="005F55C1"/>
    <w:rsid w:val="005F56EF"/>
    <w:rsid w:val="005F5978"/>
    <w:rsid w:val="005F59C3"/>
    <w:rsid w:val="005F59D4"/>
    <w:rsid w:val="005F59E8"/>
    <w:rsid w:val="005F5B10"/>
    <w:rsid w:val="005F5C57"/>
    <w:rsid w:val="005F5C6F"/>
    <w:rsid w:val="005F5D51"/>
    <w:rsid w:val="005F6018"/>
    <w:rsid w:val="005F60DB"/>
    <w:rsid w:val="005F6465"/>
    <w:rsid w:val="005F648F"/>
    <w:rsid w:val="005F65CD"/>
    <w:rsid w:val="005F6600"/>
    <w:rsid w:val="005F6933"/>
    <w:rsid w:val="005F6A27"/>
    <w:rsid w:val="005F6F82"/>
    <w:rsid w:val="005F7015"/>
    <w:rsid w:val="005F7108"/>
    <w:rsid w:val="005F71D9"/>
    <w:rsid w:val="005F7443"/>
    <w:rsid w:val="005F74D1"/>
    <w:rsid w:val="005F7529"/>
    <w:rsid w:val="005F768D"/>
    <w:rsid w:val="005F7959"/>
    <w:rsid w:val="005F7A17"/>
    <w:rsid w:val="005F7A4C"/>
    <w:rsid w:val="005F7D03"/>
    <w:rsid w:val="005F7D4E"/>
    <w:rsid w:val="00600078"/>
    <w:rsid w:val="006002B3"/>
    <w:rsid w:val="0060032C"/>
    <w:rsid w:val="006004D5"/>
    <w:rsid w:val="00600508"/>
    <w:rsid w:val="0060060A"/>
    <w:rsid w:val="006009EF"/>
    <w:rsid w:val="00600AA9"/>
    <w:rsid w:val="00600BE7"/>
    <w:rsid w:val="00600DA5"/>
    <w:rsid w:val="00600DF2"/>
    <w:rsid w:val="00600EBB"/>
    <w:rsid w:val="00601007"/>
    <w:rsid w:val="00601151"/>
    <w:rsid w:val="006014D9"/>
    <w:rsid w:val="006015F9"/>
    <w:rsid w:val="00601612"/>
    <w:rsid w:val="00601752"/>
    <w:rsid w:val="00601867"/>
    <w:rsid w:val="00601A05"/>
    <w:rsid w:val="00601A32"/>
    <w:rsid w:val="00601EDD"/>
    <w:rsid w:val="0060201D"/>
    <w:rsid w:val="0060226E"/>
    <w:rsid w:val="0060255D"/>
    <w:rsid w:val="006025F3"/>
    <w:rsid w:val="0060266D"/>
    <w:rsid w:val="0060267F"/>
    <w:rsid w:val="00602744"/>
    <w:rsid w:val="00602963"/>
    <w:rsid w:val="006029AE"/>
    <w:rsid w:val="00602B24"/>
    <w:rsid w:val="00602DD8"/>
    <w:rsid w:val="00602E03"/>
    <w:rsid w:val="00602F50"/>
    <w:rsid w:val="00602F96"/>
    <w:rsid w:val="0060310D"/>
    <w:rsid w:val="00603154"/>
    <w:rsid w:val="006031BE"/>
    <w:rsid w:val="006033F3"/>
    <w:rsid w:val="0060362A"/>
    <w:rsid w:val="00603A74"/>
    <w:rsid w:val="00603BD4"/>
    <w:rsid w:val="00603FE3"/>
    <w:rsid w:val="006040B2"/>
    <w:rsid w:val="00604234"/>
    <w:rsid w:val="006042A4"/>
    <w:rsid w:val="00604400"/>
    <w:rsid w:val="0060443F"/>
    <w:rsid w:val="00604518"/>
    <w:rsid w:val="0060469F"/>
    <w:rsid w:val="0060491A"/>
    <w:rsid w:val="00604A88"/>
    <w:rsid w:val="00604C5A"/>
    <w:rsid w:val="00604D17"/>
    <w:rsid w:val="00604FFF"/>
    <w:rsid w:val="00605047"/>
    <w:rsid w:val="00605086"/>
    <w:rsid w:val="006051D8"/>
    <w:rsid w:val="006057B5"/>
    <w:rsid w:val="006057F3"/>
    <w:rsid w:val="00605B44"/>
    <w:rsid w:val="00605B4F"/>
    <w:rsid w:val="00605C05"/>
    <w:rsid w:val="00605CA5"/>
    <w:rsid w:val="00605D4C"/>
    <w:rsid w:val="00605D55"/>
    <w:rsid w:val="00605F5E"/>
    <w:rsid w:val="00606251"/>
    <w:rsid w:val="0060630E"/>
    <w:rsid w:val="0060639F"/>
    <w:rsid w:val="006066A3"/>
    <w:rsid w:val="00606768"/>
    <w:rsid w:val="00606875"/>
    <w:rsid w:val="00606BC8"/>
    <w:rsid w:val="00606DA3"/>
    <w:rsid w:val="00606DCF"/>
    <w:rsid w:val="00607115"/>
    <w:rsid w:val="0060717B"/>
    <w:rsid w:val="006072FD"/>
    <w:rsid w:val="00607392"/>
    <w:rsid w:val="006077BE"/>
    <w:rsid w:val="006077C1"/>
    <w:rsid w:val="00607811"/>
    <w:rsid w:val="00607BF7"/>
    <w:rsid w:val="00607D3C"/>
    <w:rsid w:val="00610557"/>
    <w:rsid w:val="006106F5"/>
    <w:rsid w:val="00610728"/>
    <w:rsid w:val="00610C03"/>
    <w:rsid w:val="00610C5A"/>
    <w:rsid w:val="00610DB6"/>
    <w:rsid w:val="00611138"/>
    <w:rsid w:val="006111B7"/>
    <w:rsid w:val="0061122A"/>
    <w:rsid w:val="00611468"/>
    <w:rsid w:val="00611783"/>
    <w:rsid w:val="0061192E"/>
    <w:rsid w:val="006119BB"/>
    <w:rsid w:val="00611D76"/>
    <w:rsid w:val="00611E56"/>
    <w:rsid w:val="00611FBB"/>
    <w:rsid w:val="00612179"/>
    <w:rsid w:val="00612234"/>
    <w:rsid w:val="00612274"/>
    <w:rsid w:val="006123C7"/>
    <w:rsid w:val="00612657"/>
    <w:rsid w:val="006126E0"/>
    <w:rsid w:val="0061273A"/>
    <w:rsid w:val="0061286F"/>
    <w:rsid w:val="00612A58"/>
    <w:rsid w:val="00612C7A"/>
    <w:rsid w:val="00612D8B"/>
    <w:rsid w:val="00612E48"/>
    <w:rsid w:val="00613048"/>
    <w:rsid w:val="006130E7"/>
    <w:rsid w:val="0061318B"/>
    <w:rsid w:val="0061348D"/>
    <w:rsid w:val="0061369B"/>
    <w:rsid w:val="006136AB"/>
    <w:rsid w:val="006138E0"/>
    <w:rsid w:val="006139A9"/>
    <w:rsid w:val="006139E3"/>
    <w:rsid w:val="00613CE2"/>
    <w:rsid w:val="00613D46"/>
    <w:rsid w:val="00614066"/>
    <w:rsid w:val="0061408B"/>
    <w:rsid w:val="006141AA"/>
    <w:rsid w:val="006141AF"/>
    <w:rsid w:val="00614520"/>
    <w:rsid w:val="006145EF"/>
    <w:rsid w:val="00614792"/>
    <w:rsid w:val="00614B0A"/>
    <w:rsid w:val="00614BAC"/>
    <w:rsid w:val="00614C75"/>
    <w:rsid w:val="0061501D"/>
    <w:rsid w:val="006151E1"/>
    <w:rsid w:val="0061553D"/>
    <w:rsid w:val="00615572"/>
    <w:rsid w:val="006157B0"/>
    <w:rsid w:val="0061580B"/>
    <w:rsid w:val="00615881"/>
    <w:rsid w:val="0061591C"/>
    <w:rsid w:val="00615C3D"/>
    <w:rsid w:val="00615DEF"/>
    <w:rsid w:val="006160DC"/>
    <w:rsid w:val="0061616C"/>
    <w:rsid w:val="0061648A"/>
    <w:rsid w:val="0061657B"/>
    <w:rsid w:val="006168DD"/>
    <w:rsid w:val="00616990"/>
    <w:rsid w:val="00616AFD"/>
    <w:rsid w:val="00616D72"/>
    <w:rsid w:val="00616E13"/>
    <w:rsid w:val="00616E25"/>
    <w:rsid w:val="00616F90"/>
    <w:rsid w:val="006174C2"/>
    <w:rsid w:val="0061752C"/>
    <w:rsid w:val="00617B72"/>
    <w:rsid w:val="00620058"/>
    <w:rsid w:val="0062022E"/>
    <w:rsid w:val="006202ED"/>
    <w:rsid w:val="00620453"/>
    <w:rsid w:val="0062080C"/>
    <w:rsid w:val="006208C6"/>
    <w:rsid w:val="00620A95"/>
    <w:rsid w:val="00620AFE"/>
    <w:rsid w:val="00620D53"/>
    <w:rsid w:val="006210C3"/>
    <w:rsid w:val="00621295"/>
    <w:rsid w:val="0062142C"/>
    <w:rsid w:val="00621E89"/>
    <w:rsid w:val="00621EFD"/>
    <w:rsid w:val="00621F53"/>
    <w:rsid w:val="00622194"/>
    <w:rsid w:val="0062240D"/>
    <w:rsid w:val="006227F6"/>
    <w:rsid w:val="00622963"/>
    <w:rsid w:val="00622C60"/>
    <w:rsid w:val="00622DF4"/>
    <w:rsid w:val="00622FC1"/>
    <w:rsid w:val="006232ED"/>
    <w:rsid w:val="006232F4"/>
    <w:rsid w:val="0062332D"/>
    <w:rsid w:val="006234FF"/>
    <w:rsid w:val="00623506"/>
    <w:rsid w:val="00623799"/>
    <w:rsid w:val="006238EF"/>
    <w:rsid w:val="0062390C"/>
    <w:rsid w:val="00623952"/>
    <w:rsid w:val="00623B29"/>
    <w:rsid w:val="00623B65"/>
    <w:rsid w:val="00623BE5"/>
    <w:rsid w:val="00623CA6"/>
    <w:rsid w:val="00623FE4"/>
    <w:rsid w:val="0062405D"/>
    <w:rsid w:val="00624431"/>
    <w:rsid w:val="006244B7"/>
    <w:rsid w:val="00624591"/>
    <w:rsid w:val="006248EC"/>
    <w:rsid w:val="00624A41"/>
    <w:rsid w:val="00624AF2"/>
    <w:rsid w:val="00624B8B"/>
    <w:rsid w:val="00624D9C"/>
    <w:rsid w:val="00624F99"/>
    <w:rsid w:val="006250AE"/>
    <w:rsid w:val="00625171"/>
    <w:rsid w:val="006251C1"/>
    <w:rsid w:val="006254E2"/>
    <w:rsid w:val="00625500"/>
    <w:rsid w:val="006255BC"/>
    <w:rsid w:val="0062565D"/>
    <w:rsid w:val="006256C7"/>
    <w:rsid w:val="00625B65"/>
    <w:rsid w:val="00625E1A"/>
    <w:rsid w:val="00626397"/>
    <w:rsid w:val="00626464"/>
    <w:rsid w:val="0062649E"/>
    <w:rsid w:val="006264B3"/>
    <w:rsid w:val="006265E9"/>
    <w:rsid w:val="006266FA"/>
    <w:rsid w:val="006268A7"/>
    <w:rsid w:val="00626EFA"/>
    <w:rsid w:val="00626F6F"/>
    <w:rsid w:val="006270D2"/>
    <w:rsid w:val="00627558"/>
    <w:rsid w:val="006275A1"/>
    <w:rsid w:val="00627686"/>
    <w:rsid w:val="00627901"/>
    <w:rsid w:val="00627956"/>
    <w:rsid w:val="006279D5"/>
    <w:rsid w:val="00627A15"/>
    <w:rsid w:val="00627AE6"/>
    <w:rsid w:val="00627FF9"/>
    <w:rsid w:val="006300DA"/>
    <w:rsid w:val="006303E2"/>
    <w:rsid w:val="0063061E"/>
    <w:rsid w:val="006306EE"/>
    <w:rsid w:val="006309EF"/>
    <w:rsid w:val="00630A07"/>
    <w:rsid w:val="00630C7A"/>
    <w:rsid w:val="00631041"/>
    <w:rsid w:val="006310C3"/>
    <w:rsid w:val="006310CF"/>
    <w:rsid w:val="006313CC"/>
    <w:rsid w:val="00631545"/>
    <w:rsid w:val="00631719"/>
    <w:rsid w:val="006317E9"/>
    <w:rsid w:val="0063180A"/>
    <w:rsid w:val="00631B72"/>
    <w:rsid w:val="00631E68"/>
    <w:rsid w:val="00632053"/>
    <w:rsid w:val="00632454"/>
    <w:rsid w:val="0063246C"/>
    <w:rsid w:val="00632A23"/>
    <w:rsid w:val="00632A29"/>
    <w:rsid w:val="00632E82"/>
    <w:rsid w:val="00632ED8"/>
    <w:rsid w:val="006330F4"/>
    <w:rsid w:val="0063348B"/>
    <w:rsid w:val="0063364F"/>
    <w:rsid w:val="00633674"/>
    <w:rsid w:val="00633BCD"/>
    <w:rsid w:val="00633F5B"/>
    <w:rsid w:val="00633F5D"/>
    <w:rsid w:val="006340F8"/>
    <w:rsid w:val="006344BC"/>
    <w:rsid w:val="0063469C"/>
    <w:rsid w:val="00634795"/>
    <w:rsid w:val="00634C16"/>
    <w:rsid w:val="00634CA3"/>
    <w:rsid w:val="00634D56"/>
    <w:rsid w:val="00634E4F"/>
    <w:rsid w:val="00634E8A"/>
    <w:rsid w:val="00634F64"/>
    <w:rsid w:val="00634FAC"/>
    <w:rsid w:val="00634FF3"/>
    <w:rsid w:val="0063524B"/>
    <w:rsid w:val="006353E3"/>
    <w:rsid w:val="0063555E"/>
    <w:rsid w:val="006355D9"/>
    <w:rsid w:val="00635972"/>
    <w:rsid w:val="00635ABD"/>
    <w:rsid w:val="00636299"/>
    <w:rsid w:val="00636312"/>
    <w:rsid w:val="006365EE"/>
    <w:rsid w:val="00636686"/>
    <w:rsid w:val="006366DA"/>
    <w:rsid w:val="0063694C"/>
    <w:rsid w:val="006369E0"/>
    <w:rsid w:val="006373D6"/>
    <w:rsid w:val="0063742F"/>
    <w:rsid w:val="00637705"/>
    <w:rsid w:val="00637BA5"/>
    <w:rsid w:val="00637CA1"/>
    <w:rsid w:val="00637CB3"/>
    <w:rsid w:val="00637D7B"/>
    <w:rsid w:val="00637E58"/>
    <w:rsid w:val="00637F07"/>
    <w:rsid w:val="00637F78"/>
    <w:rsid w:val="0064085F"/>
    <w:rsid w:val="00640A31"/>
    <w:rsid w:val="00640AB3"/>
    <w:rsid w:val="00640E72"/>
    <w:rsid w:val="00640E8A"/>
    <w:rsid w:val="006411B3"/>
    <w:rsid w:val="0064122A"/>
    <w:rsid w:val="006412B6"/>
    <w:rsid w:val="006413BD"/>
    <w:rsid w:val="00641815"/>
    <w:rsid w:val="0064186F"/>
    <w:rsid w:val="00641C29"/>
    <w:rsid w:val="00641D09"/>
    <w:rsid w:val="00641D32"/>
    <w:rsid w:val="00641D64"/>
    <w:rsid w:val="00642111"/>
    <w:rsid w:val="0064213A"/>
    <w:rsid w:val="0064218A"/>
    <w:rsid w:val="0064233C"/>
    <w:rsid w:val="006423F8"/>
    <w:rsid w:val="0064286C"/>
    <w:rsid w:val="006429CF"/>
    <w:rsid w:val="00642A60"/>
    <w:rsid w:val="00642BFD"/>
    <w:rsid w:val="00642C39"/>
    <w:rsid w:val="00642CED"/>
    <w:rsid w:val="00643124"/>
    <w:rsid w:val="006433C9"/>
    <w:rsid w:val="0064346A"/>
    <w:rsid w:val="0064358C"/>
    <w:rsid w:val="0064376B"/>
    <w:rsid w:val="006437E4"/>
    <w:rsid w:val="006438BB"/>
    <w:rsid w:val="006438BF"/>
    <w:rsid w:val="00643BC9"/>
    <w:rsid w:val="00643DE3"/>
    <w:rsid w:val="006440E0"/>
    <w:rsid w:val="00644223"/>
    <w:rsid w:val="0064430C"/>
    <w:rsid w:val="00644532"/>
    <w:rsid w:val="0064461D"/>
    <w:rsid w:val="0064480E"/>
    <w:rsid w:val="00644F89"/>
    <w:rsid w:val="00645314"/>
    <w:rsid w:val="00645360"/>
    <w:rsid w:val="006453ED"/>
    <w:rsid w:val="0064544C"/>
    <w:rsid w:val="00645588"/>
    <w:rsid w:val="00645B43"/>
    <w:rsid w:val="00645B8D"/>
    <w:rsid w:val="00645C23"/>
    <w:rsid w:val="00645DB3"/>
    <w:rsid w:val="00645F2D"/>
    <w:rsid w:val="00645F5B"/>
    <w:rsid w:val="00646047"/>
    <w:rsid w:val="0064611A"/>
    <w:rsid w:val="0064641A"/>
    <w:rsid w:val="0064665B"/>
    <w:rsid w:val="00646CFC"/>
    <w:rsid w:val="00646F36"/>
    <w:rsid w:val="006472B1"/>
    <w:rsid w:val="0064736B"/>
    <w:rsid w:val="0064793C"/>
    <w:rsid w:val="00650240"/>
    <w:rsid w:val="00650252"/>
    <w:rsid w:val="0065029C"/>
    <w:rsid w:val="0065050D"/>
    <w:rsid w:val="006505A0"/>
    <w:rsid w:val="00650608"/>
    <w:rsid w:val="00650637"/>
    <w:rsid w:val="00650847"/>
    <w:rsid w:val="00650A2A"/>
    <w:rsid w:val="00650A87"/>
    <w:rsid w:val="00650C1F"/>
    <w:rsid w:val="00651123"/>
    <w:rsid w:val="00651266"/>
    <w:rsid w:val="00651281"/>
    <w:rsid w:val="00651519"/>
    <w:rsid w:val="006516BE"/>
    <w:rsid w:val="00651710"/>
    <w:rsid w:val="006517E6"/>
    <w:rsid w:val="00651883"/>
    <w:rsid w:val="0065190F"/>
    <w:rsid w:val="00651995"/>
    <w:rsid w:val="00651A58"/>
    <w:rsid w:val="00651E84"/>
    <w:rsid w:val="00652516"/>
    <w:rsid w:val="00652765"/>
    <w:rsid w:val="0065288D"/>
    <w:rsid w:val="006528D9"/>
    <w:rsid w:val="0065298D"/>
    <w:rsid w:val="00652AE2"/>
    <w:rsid w:val="00652D79"/>
    <w:rsid w:val="00652F1B"/>
    <w:rsid w:val="0065315A"/>
    <w:rsid w:val="00653499"/>
    <w:rsid w:val="006535C4"/>
    <w:rsid w:val="006535DF"/>
    <w:rsid w:val="00653B1B"/>
    <w:rsid w:val="00653CFD"/>
    <w:rsid w:val="00653DCC"/>
    <w:rsid w:val="00653E33"/>
    <w:rsid w:val="0065413A"/>
    <w:rsid w:val="0065428D"/>
    <w:rsid w:val="006542DE"/>
    <w:rsid w:val="00654640"/>
    <w:rsid w:val="00654B11"/>
    <w:rsid w:val="00654D72"/>
    <w:rsid w:val="00654D75"/>
    <w:rsid w:val="00654E37"/>
    <w:rsid w:val="00655034"/>
    <w:rsid w:val="00655035"/>
    <w:rsid w:val="00655043"/>
    <w:rsid w:val="00655423"/>
    <w:rsid w:val="00655971"/>
    <w:rsid w:val="00655A5F"/>
    <w:rsid w:val="00655AC6"/>
    <w:rsid w:val="00655CEC"/>
    <w:rsid w:val="00655D0B"/>
    <w:rsid w:val="0065607B"/>
    <w:rsid w:val="006562EF"/>
    <w:rsid w:val="00656508"/>
    <w:rsid w:val="0065654B"/>
    <w:rsid w:val="00656578"/>
    <w:rsid w:val="006566AE"/>
    <w:rsid w:val="00656858"/>
    <w:rsid w:val="006569B3"/>
    <w:rsid w:val="00656C9B"/>
    <w:rsid w:val="006572E6"/>
    <w:rsid w:val="0065732C"/>
    <w:rsid w:val="0065734A"/>
    <w:rsid w:val="006574BE"/>
    <w:rsid w:val="00657BA5"/>
    <w:rsid w:val="00657D7D"/>
    <w:rsid w:val="00657E33"/>
    <w:rsid w:val="00657EFD"/>
    <w:rsid w:val="00657FAC"/>
    <w:rsid w:val="006602EE"/>
    <w:rsid w:val="0066038C"/>
    <w:rsid w:val="006604D5"/>
    <w:rsid w:val="0066058E"/>
    <w:rsid w:val="006608AE"/>
    <w:rsid w:val="006609AD"/>
    <w:rsid w:val="00660BDE"/>
    <w:rsid w:val="006612F6"/>
    <w:rsid w:val="006613FF"/>
    <w:rsid w:val="006615F6"/>
    <w:rsid w:val="006618DE"/>
    <w:rsid w:val="00661AC8"/>
    <w:rsid w:val="00661D2E"/>
    <w:rsid w:val="00661D65"/>
    <w:rsid w:val="00661DAC"/>
    <w:rsid w:val="00661E26"/>
    <w:rsid w:val="00661F7D"/>
    <w:rsid w:val="00661FA1"/>
    <w:rsid w:val="00662015"/>
    <w:rsid w:val="006621C9"/>
    <w:rsid w:val="0066231B"/>
    <w:rsid w:val="0066243E"/>
    <w:rsid w:val="00662486"/>
    <w:rsid w:val="00662556"/>
    <w:rsid w:val="00662615"/>
    <w:rsid w:val="006627EF"/>
    <w:rsid w:val="00662A53"/>
    <w:rsid w:val="00662E11"/>
    <w:rsid w:val="00663418"/>
    <w:rsid w:val="0066353F"/>
    <w:rsid w:val="006635ED"/>
    <w:rsid w:val="00663762"/>
    <w:rsid w:val="006639BF"/>
    <w:rsid w:val="00663B0C"/>
    <w:rsid w:val="00663C91"/>
    <w:rsid w:val="00663D89"/>
    <w:rsid w:val="00663E46"/>
    <w:rsid w:val="00664005"/>
    <w:rsid w:val="0066417C"/>
    <w:rsid w:val="00664340"/>
    <w:rsid w:val="006644BC"/>
    <w:rsid w:val="006644E8"/>
    <w:rsid w:val="0066476B"/>
    <w:rsid w:val="006648E4"/>
    <w:rsid w:val="006649A2"/>
    <w:rsid w:val="00664B2F"/>
    <w:rsid w:val="00664E0B"/>
    <w:rsid w:val="00664EB3"/>
    <w:rsid w:val="00664EF7"/>
    <w:rsid w:val="00665167"/>
    <w:rsid w:val="006655C0"/>
    <w:rsid w:val="00665640"/>
    <w:rsid w:val="00665722"/>
    <w:rsid w:val="006659A0"/>
    <w:rsid w:val="00665E51"/>
    <w:rsid w:val="0066650E"/>
    <w:rsid w:val="006667AD"/>
    <w:rsid w:val="006669DD"/>
    <w:rsid w:val="00666A39"/>
    <w:rsid w:val="00666DD0"/>
    <w:rsid w:val="006671D6"/>
    <w:rsid w:val="00667228"/>
    <w:rsid w:val="0066742F"/>
    <w:rsid w:val="0066745E"/>
    <w:rsid w:val="00667692"/>
    <w:rsid w:val="006678BF"/>
    <w:rsid w:val="00667ACD"/>
    <w:rsid w:val="00667B64"/>
    <w:rsid w:val="00667C87"/>
    <w:rsid w:val="00667CB2"/>
    <w:rsid w:val="00667FC0"/>
    <w:rsid w:val="00670098"/>
    <w:rsid w:val="00670142"/>
    <w:rsid w:val="006701CC"/>
    <w:rsid w:val="006702D0"/>
    <w:rsid w:val="0067063F"/>
    <w:rsid w:val="0067079B"/>
    <w:rsid w:val="0067098D"/>
    <w:rsid w:val="00670C4A"/>
    <w:rsid w:val="00670C4F"/>
    <w:rsid w:val="00670D33"/>
    <w:rsid w:val="00670E1A"/>
    <w:rsid w:val="00671116"/>
    <w:rsid w:val="00671309"/>
    <w:rsid w:val="00671431"/>
    <w:rsid w:val="00671577"/>
    <w:rsid w:val="006718E1"/>
    <w:rsid w:val="00671C9E"/>
    <w:rsid w:val="00671D1D"/>
    <w:rsid w:val="00671D42"/>
    <w:rsid w:val="00671D58"/>
    <w:rsid w:val="0067204D"/>
    <w:rsid w:val="0067207D"/>
    <w:rsid w:val="0067267B"/>
    <w:rsid w:val="006728FA"/>
    <w:rsid w:val="00672976"/>
    <w:rsid w:val="00672DB2"/>
    <w:rsid w:val="00672DDD"/>
    <w:rsid w:val="00672F0E"/>
    <w:rsid w:val="00672F79"/>
    <w:rsid w:val="006730C1"/>
    <w:rsid w:val="006731FB"/>
    <w:rsid w:val="0067331D"/>
    <w:rsid w:val="006733E4"/>
    <w:rsid w:val="00673C5E"/>
    <w:rsid w:val="00673EDE"/>
    <w:rsid w:val="00673FE2"/>
    <w:rsid w:val="00674082"/>
    <w:rsid w:val="00674107"/>
    <w:rsid w:val="0067417C"/>
    <w:rsid w:val="0067443E"/>
    <w:rsid w:val="00674450"/>
    <w:rsid w:val="0067453D"/>
    <w:rsid w:val="0067458C"/>
    <w:rsid w:val="006745B7"/>
    <w:rsid w:val="00674735"/>
    <w:rsid w:val="00674780"/>
    <w:rsid w:val="0067480E"/>
    <w:rsid w:val="00674A12"/>
    <w:rsid w:val="00674B1C"/>
    <w:rsid w:val="00674F0E"/>
    <w:rsid w:val="00674F90"/>
    <w:rsid w:val="00674FA7"/>
    <w:rsid w:val="00675303"/>
    <w:rsid w:val="0067558F"/>
    <w:rsid w:val="00675651"/>
    <w:rsid w:val="00675C84"/>
    <w:rsid w:val="00675E44"/>
    <w:rsid w:val="00675F6C"/>
    <w:rsid w:val="00676060"/>
    <w:rsid w:val="006761DC"/>
    <w:rsid w:val="00676578"/>
    <w:rsid w:val="00676734"/>
    <w:rsid w:val="006768C3"/>
    <w:rsid w:val="00676A28"/>
    <w:rsid w:val="00676ADA"/>
    <w:rsid w:val="00676BC9"/>
    <w:rsid w:val="00676BDF"/>
    <w:rsid w:val="00676BE8"/>
    <w:rsid w:val="00676C72"/>
    <w:rsid w:val="00676FC1"/>
    <w:rsid w:val="00676FF3"/>
    <w:rsid w:val="0067720E"/>
    <w:rsid w:val="006774A1"/>
    <w:rsid w:val="0067761E"/>
    <w:rsid w:val="006778E1"/>
    <w:rsid w:val="00677DE8"/>
    <w:rsid w:val="00677E04"/>
    <w:rsid w:val="0068019A"/>
    <w:rsid w:val="0068019B"/>
    <w:rsid w:val="006802C4"/>
    <w:rsid w:val="00680599"/>
    <w:rsid w:val="0068071C"/>
    <w:rsid w:val="0068098A"/>
    <w:rsid w:val="00680B57"/>
    <w:rsid w:val="00680DEA"/>
    <w:rsid w:val="00680FC0"/>
    <w:rsid w:val="0068123A"/>
    <w:rsid w:val="0068149D"/>
    <w:rsid w:val="00681541"/>
    <w:rsid w:val="006815AF"/>
    <w:rsid w:val="00681937"/>
    <w:rsid w:val="00681D32"/>
    <w:rsid w:val="00681EE4"/>
    <w:rsid w:val="00681F26"/>
    <w:rsid w:val="00682302"/>
    <w:rsid w:val="00682715"/>
    <w:rsid w:val="0068272B"/>
    <w:rsid w:val="006828A7"/>
    <w:rsid w:val="006829A5"/>
    <w:rsid w:val="00682A39"/>
    <w:rsid w:val="00682C71"/>
    <w:rsid w:val="00682CBF"/>
    <w:rsid w:val="00682CD5"/>
    <w:rsid w:val="00682D41"/>
    <w:rsid w:val="00682EA5"/>
    <w:rsid w:val="006830FC"/>
    <w:rsid w:val="00683297"/>
    <w:rsid w:val="006834D9"/>
    <w:rsid w:val="0068364B"/>
    <w:rsid w:val="00683824"/>
    <w:rsid w:val="00683825"/>
    <w:rsid w:val="0068384C"/>
    <w:rsid w:val="00683870"/>
    <w:rsid w:val="006838F1"/>
    <w:rsid w:val="006839B1"/>
    <w:rsid w:val="006839F2"/>
    <w:rsid w:val="00683BDF"/>
    <w:rsid w:val="00683DC0"/>
    <w:rsid w:val="00684245"/>
    <w:rsid w:val="00684447"/>
    <w:rsid w:val="0068454E"/>
    <w:rsid w:val="00684B04"/>
    <w:rsid w:val="00684B18"/>
    <w:rsid w:val="00684B25"/>
    <w:rsid w:val="00684D9E"/>
    <w:rsid w:val="00684F41"/>
    <w:rsid w:val="0068513D"/>
    <w:rsid w:val="00685197"/>
    <w:rsid w:val="006853DF"/>
    <w:rsid w:val="00685651"/>
    <w:rsid w:val="00685B6A"/>
    <w:rsid w:val="0068604E"/>
    <w:rsid w:val="006861BB"/>
    <w:rsid w:val="0068639A"/>
    <w:rsid w:val="0068640B"/>
    <w:rsid w:val="006864AF"/>
    <w:rsid w:val="00686A4D"/>
    <w:rsid w:val="00686A76"/>
    <w:rsid w:val="00686CF7"/>
    <w:rsid w:val="00686DD7"/>
    <w:rsid w:val="0068710B"/>
    <w:rsid w:val="006872A8"/>
    <w:rsid w:val="006874E8"/>
    <w:rsid w:val="006877C2"/>
    <w:rsid w:val="00687CC8"/>
    <w:rsid w:val="00687DD1"/>
    <w:rsid w:val="00687DED"/>
    <w:rsid w:val="00687F1F"/>
    <w:rsid w:val="006901D7"/>
    <w:rsid w:val="006904D2"/>
    <w:rsid w:val="00690812"/>
    <w:rsid w:val="00690D93"/>
    <w:rsid w:val="006910A3"/>
    <w:rsid w:val="0069120F"/>
    <w:rsid w:val="006912F1"/>
    <w:rsid w:val="00691605"/>
    <w:rsid w:val="00691813"/>
    <w:rsid w:val="006919A1"/>
    <w:rsid w:val="00691C26"/>
    <w:rsid w:val="00691EB7"/>
    <w:rsid w:val="00692061"/>
    <w:rsid w:val="006920CE"/>
    <w:rsid w:val="006921F2"/>
    <w:rsid w:val="00692237"/>
    <w:rsid w:val="00692251"/>
    <w:rsid w:val="006924E3"/>
    <w:rsid w:val="00692787"/>
    <w:rsid w:val="00692801"/>
    <w:rsid w:val="0069286F"/>
    <w:rsid w:val="006929C4"/>
    <w:rsid w:val="00692AC5"/>
    <w:rsid w:val="00692ED7"/>
    <w:rsid w:val="00692EF8"/>
    <w:rsid w:val="0069318F"/>
    <w:rsid w:val="00693368"/>
    <w:rsid w:val="0069369C"/>
    <w:rsid w:val="0069385D"/>
    <w:rsid w:val="00693A81"/>
    <w:rsid w:val="00693D9C"/>
    <w:rsid w:val="006944E4"/>
    <w:rsid w:val="006946DE"/>
    <w:rsid w:val="00694738"/>
    <w:rsid w:val="006947C5"/>
    <w:rsid w:val="00694812"/>
    <w:rsid w:val="006949D7"/>
    <w:rsid w:val="00694C10"/>
    <w:rsid w:val="00694C23"/>
    <w:rsid w:val="00694CD6"/>
    <w:rsid w:val="0069522F"/>
    <w:rsid w:val="006955BD"/>
    <w:rsid w:val="00695663"/>
    <w:rsid w:val="00695B31"/>
    <w:rsid w:val="00695B91"/>
    <w:rsid w:val="00695C1A"/>
    <w:rsid w:val="00695F8B"/>
    <w:rsid w:val="00695FA8"/>
    <w:rsid w:val="00696021"/>
    <w:rsid w:val="006961B9"/>
    <w:rsid w:val="006961E1"/>
    <w:rsid w:val="006961F2"/>
    <w:rsid w:val="0069632A"/>
    <w:rsid w:val="0069655C"/>
    <w:rsid w:val="00696662"/>
    <w:rsid w:val="0069674F"/>
    <w:rsid w:val="006969BB"/>
    <w:rsid w:val="006969F8"/>
    <w:rsid w:val="00696DAA"/>
    <w:rsid w:val="00696E26"/>
    <w:rsid w:val="00696E8F"/>
    <w:rsid w:val="00696FD8"/>
    <w:rsid w:val="0069704B"/>
    <w:rsid w:val="00697719"/>
    <w:rsid w:val="0069782D"/>
    <w:rsid w:val="0069783D"/>
    <w:rsid w:val="00697AB6"/>
    <w:rsid w:val="00697B80"/>
    <w:rsid w:val="00697FE9"/>
    <w:rsid w:val="006A02DF"/>
    <w:rsid w:val="006A034F"/>
    <w:rsid w:val="006A04E4"/>
    <w:rsid w:val="006A069B"/>
    <w:rsid w:val="006A0943"/>
    <w:rsid w:val="006A0B3B"/>
    <w:rsid w:val="006A0C67"/>
    <w:rsid w:val="006A0E9D"/>
    <w:rsid w:val="006A1071"/>
    <w:rsid w:val="006A10B4"/>
    <w:rsid w:val="006A124A"/>
    <w:rsid w:val="006A15A9"/>
    <w:rsid w:val="006A1730"/>
    <w:rsid w:val="006A1931"/>
    <w:rsid w:val="006A1A95"/>
    <w:rsid w:val="006A1B29"/>
    <w:rsid w:val="006A1CBF"/>
    <w:rsid w:val="006A1EA6"/>
    <w:rsid w:val="006A1F70"/>
    <w:rsid w:val="006A21D9"/>
    <w:rsid w:val="006A234A"/>
    <w:rsid w:val="006A23F1"/>
    <w:rsid w:val="006A245E"/>
    <w:rsid w:val="006A24F0"/>
    <w:rsid w:val="006A2662"/>
    <w:rsid w:val="006A2A5C"/>
    <w:rsid w:val="006A2A81"/>
    <w:rsid w:val="006A2B28"/>
    <w:rsid w:val="006A2FB2"/>
    <w:rsid w:val="006A340D"/>
    <w:rsid w:val="006A34BE"/>
    <w:rsid w:val="006A3624"/>
    <w:rsid w:val="006A3811"/>
    <w:rsid w:val="006A3B8B"/>
    <w:rsid w:val="006A40B9"/>
    <w:rsid w:val="006A4123"/>
    <w:rsid w:val="006A429C"/>
    <w:rsid w:val="006A499B"/>
    <w:rsid w:val="006A4A68"/>
    <w:rsid w:val="006A4CEC"/>
    <w:rsid w:val="006A5288"/>
    <w:rsid w:val="006A52D7"/>
    <w:rsid w:val="006A5893"/>
    <w:rsid w:val="006A59A3"/>
    <w:rsid w:val="006A5EDC"/>
    <w:rsid w:val="006A5FC0"/>
    <w:rsid w:val="006A6374"/>
    <w:rsid w:val="006A660C"/>
    <w:rsid w:val="006A67D4"/>
    <w:rsid w:val="006A6C39"/>
    <w:rsid w:val="006A6D99"/>
    <w:rsid w:val="006A6E60"/>
    <w:rsid w:val="006A6F69"/>
    <w:rsid w:val="006A71EA"/>
    <w:rsid w:val="006A7233"/>
    <w:rsid w:val="006A7396"/>
    <w:rsid w:val="006A7893"/>
    <w:rsid w:val="006A7A1A"/>
    <w:rsid w:val="006A7A5C"/>
    <w:rsid w:val="006A7B36"/>
    <w:rsid w:val="006A7D70"/>
    <w:rsid w:val="006B00A6"/>
    <w:rsid w:val="006B02BE"/>
    <w:rsid w:val="006B0303"/>
    <w:rsid w:val="006B0343"/>
    <w:rsid w:val="006B0389"/>
    <w:rsid w:val="006B03C2"/>
    <w:rsid w:val="006B044C"/>
    <w:rsid w:val="006B04EA"/>
    <w:rsid w:val="006B07D6"/>
    <w:rsid w:val="006B0908"/>
    <w:rsid w:val="006B09F8"/>
    <w:rsid w:val="006B0A46"/>
    <w:rsid w:val="006B0B1F"/>
    <w:rsid w:val="006B0B99"/>
    <w:rsid w:val="006B0CD7"/>
    <w:rsid w:val="006B0EA2"/>
    <w:rsid w:val="006B1225"/>
    <w:rsid w:val="006B131A"/>
    <w:rsid w:val="006B1522"/>
    <w:rsid w:val="006B1539"/>
    <w:rsid w:val="006B1617"/>
    <w:rsid w:val="006B162A"/>
    <w:rsid w:val="006B1DA1"/>
    <w:rsid w:val="006B1DF1"/>
    <w:rsid w:val="006B1DF2"/>
    <w:rsid w:val="006B21CA"/>
    <w:rsid w:val="006B23E5"/>
    <w:rsid w:val="006B2593"/>
    <w:rsid w:val="006B267C"/>
    <w:rsid w:val="006B27C3"/>
    <w:rsid w:val="006B2803"/>
    <w:rsid w:val="006B29C9"/>
    <w:rsid w:val="006B30CD"/>
    <w:rsid w:val="006B32C0"/>
    <w:rsid w:val="006B337E"/>
    <w:rsid w:val="006B3396"/>
    <w:rsid w:val="006B347B"/>
    <w:rsid w:val="006B34BA"/>
    <w:rsid w:val="006B34DC"/>
    <w:rsid w:val="006B366D"/>
    <w:rsid w:val="006B36AD"/>
    <w:rsid w:val="006B36FB"/>
    <w:rsid w:val="006B3853"/>
    <w:rsid w:val="006B3869"/>
    <w:rsid w:val="006B3947"/>
    <w:rsid w:val="006B3A22"/>
    <w:rsid w:val="006B3BE6"/>
    <w:rsid w:val="006B3E13"/>
    <w:rsid w:val="006B426F"/>
    <w:rsid w:val="006B42CA"/>
    <w:rsid w:val="006B434A"/>
    <w:rsid w:val="006B446E"/>
    <w:rsid w:val="006B4524"/>
    <w:rsid w:val="006B4636"/>
    <w:rsid w:val="006B4700"/>
    <w:rsid w:val="006B4905"/>
    <w:rsid w:val="006B499A"/>
    <w:rsid w:val="006B533D"/>
    <w:rsid w:val="006B56F4"/>
    <w:rsid w:val="006B5B2A"/>
    <w:rsid w:val="006B5C17"/>
    <w:rsid w:val="006B5CB1"/>
    <w:rsid w:val="006B5E2C"/>
    <w:rsid w:val="006B628F"/>
    <w:rsid w:val="006B634B"/>
    <w:rsid w:val="006B638D"/>
    <w:rsid w:val="006B644D"/>
    <w:rsid w:val="006B645F"/>
    <w:rsid w:val="006B66BC"/>
    <w:rsid w:val="006B672D"/>
    <w:rsid w:val="006B6747"/>
    <w:rsid w:val="006B6804"/>
    <w:rsid w:val="006B682A"/>
    <w:rsid w:val="006B6AF3"/>
    <w:rsid w:val="006B6E65"/>
    <w:rsid w:val="006B7161"/>
    <w:rsid w:val="006B718A"/>
    <w:rsid w:val="006B726F"/>
    <w:rsid w:val="006B7279"/>
    <w:rsid w:val="006B731E"/>
    <w:rsid w:val="006B774C"/>
    <w:rsid w:val="006B77A1"/>
    <w:rsid w:val="006B7A34"/>
    <w:rsid w:val="006B7A82"/>
    <w:rsid w:val="006B7B4F"/>
    <w:rsid w:val="006B7B6B"/>
    <w:rsid w:val="006B7D8E"/>
    <w:rsid w:val="006B7E5A"/>
    <w:rsid w:val="006C014A"/>
    <w:rsid w:val="006C041E"/>
    <w:rsid w:val="006C04B4"/>
    <w:rsid w:val="006C04D7"/>
    <w:rsid w:val="006C062C"/>
    <w:rsid w:val="006C09B0"/>
    <w:rsid w:val="006C0A0C"/>
    <w:rsid w:val="006C0CB0"/>
    <w:rsid w:val="006C0CFC"/>
    <w:rsid w:val="006C0D04"/>
    <w:rsid w:val="006C0DC5"/>
    <w:rsid w:val="006C1150"/>
    <w:rsid w:val="006C1168"/>
    <w:rsid w:val="006C1A01"/>
    <w:rsid w:val="006C1BCE"/>
    <w:rsid w:val="006C1EB7"/>
    <w:rsid w:val="006C1EB9"/>
    <w:rsid w:val="006C2010"/>
    <w:rsid w:val="006C2280"/>
    <w:rsid w:val="006C283D"/>
    <w:rsid w:val="006C2876"/>
    <w:rsid w:val="006C2A57"/>
    <w:rsid w:val="006C2BFE"/>
    <w:rsid w:val="006C2C83"/>
    <w:rsid w:val="006C2D22"/>
    <w:rsid w:val="006C31C0"/>
    <w:rsid w:val="006C35BB"/>
    <w:rsid w:val="006C35EF"/>
    <w:rsid w:val="006C362E"/>
    <w:rsid w:val="006C3768"/>
    <w:rsid w:val="006C37EB"/>
    <w:rsid w:val="006C3843"/>
    <w:rsid w:val="006C39BD"/>
    <w:rsid w:val="006C3A50"/>
    <w:rsid w:val="006C3A66"/>
    <w:rsid w:val="006C3C2D"/>
    <w:rsid w:val="006C3CC0"/>
    <w:rsid w:val="006C3E1A"/>
    <w:rsid w:val="006C3E82"/>
    <w:rsid w:val="006C3EE4"/>
    <w:rsid w:val="006C4082"/>
    <w:rsid w:val="006C43E6"/>
    <w:rsid w:val="006C47E2"/>
    <w:rsid w:val="006C4A12"/>
    <w:rsid w:val="006C4B2C"/>
    <w:rsid w:val="006C4BD5"/>
    <w:rsid w:val="006C4EC6"/>
    <w:rsid w:val="006C5029"/>
    <w:rsid w:val="006C51F4"/>
    <w:rsid w:val="006C521C"/>
    <w:rsid w:val="006C52FE"/>
    <w:rsid w:val="006C53DC"/>
    <w:rsid w:val="006C53F4"/>
    <w:rsid w:val="006C5401"/>
    <w:rsid w:val="006C5571"/>
    <w:rsid w:val="006C55DC"/>
    <w:rsid w:val="006C5774"/>
    <w:rsid w:val="006C5EC5"/>
    <w:rsid w:val="006C5F56"/>
    <w:rsid w:val="006C5F60"/>
    <w:rsid w:val="006C5F8D"/>
    <w:rsid w:val="006C60E2"/>
    <w:rsid w:val="006C61B5"/>
    <w:rsid w:val="006C62B7"/>
    <w:rsid w:val="006C6376"/>
    <w:rsid w:val="006C6572"/>
    <w:rsid w:val="006C6645"/>
    <w:rsid w:val="006C66FD"/>
    <w:rsid w:val="006C68D0"/>
    <w:rsid w:val="006C6A86"/>
    <w:rsid w:val="006C6EEE"/>
    <w:rsid w:val="006C6F1B"/>
    <w:rsid w:val="006C6FE9"/>
    <w:rsid w:val="006C76C0"/>
    <w:rsid w:val="006C7705"/>
    <w:rsid w:val="006C7858"/>
    <w:rsid w:val="006C78B7"/>
    <w:rsid w:val="006C7AC0"/>
    <w:rsid w:val="006C7AD5"/>
    <w:rsid w:val="006C7F40"/>
    <w:rsid w:val="006D0033"/>
    <w:rsid w:val="006D063E"/>
    <w:rsid w:val="006D076A"/>
    <w:rsid w:val="006D097F"/>
    <w:rsid w:val="006D0A48"/>
    <w:rsid w:val="006D0BE6"/>
    <w:rsid w:val="006D0D70"/>
    <w:rsid w:val="006D0DB4"/>
    <w:rsid w:val="006D0FAC"/>
    <w:rsid w:val="006D1010"/>
    <w:rsid w:val="006D109B"/>
    <w:rsid w:val="006D1371"/>
    <w:rsid w:val="006D13A2"/>
    <w:rsid w:val="006D151B"/>
    <w:rsid w:val="006D15D9"/>
    <w:rsid w:val="006D166E"/>
    <w:rsid w:val="006D18D8"/>
    <w:rsid w:val="006D1A95"/>
    <w:rsid w:val="006D1FCC"/>
    <w:rsid w:val="006D212E"/>
    <w:rsid w:val="006D2304"/>
    <w:rsid w:val="006D230D"/>
    <w:rsid w:val="006D23C6"/>
    <w:rsid w:val="006D24E8"/>
    <w:rsid w:val="006D2728"/>
    <w:rsid w:val="006D2B7C"/>
    <w:rsid w:val="006D2D24"/>
    <w:rsid w:val="006D2EC5"/>
    <w:rsid w:val="006D3353"/>
    <w:rsid w:val="006D336D"/>
    <w:rsid w:val="006D3484"/>
    <w:rsid w:val="006D34B3"/>
    <w:rsid w:val="006D34CD"/>
    <w:rsid w:val="006D3558"/>
    <w:rsid w:val="006D35B0"/>
    <w:rsid w:val="006D35B7"/>
    <w:rsid w:val="006D3A2E"/>
    <w:rsid w:val="006D3B2C"/>
    <w:rsid w:val="006D3BDC"/>
    <w:rsid w:val="006D41D6"/>
    <w:rsid w:val="006D4253"/>
    <w:rsid w:val="006D4355"/>
    <w:rsid w:val="006D45CC"/>
    <w:rsid w:val="006D479F"/>
    <w:rsid w:val="006D48A1"/>
    <w:rsid w:val="006D48F4"/>
    <w:rsid w:val="006D4A41"/>
    <w:rsid w:val="006D4AFD"/>
    <w:rsid w:val="006D4F7C"/>
    <w:rsid w:val="006D5170"/>
    <w:rsid w:val="006D5194"/>
    <w:rsid w:val="006D5253"/>
    <w:rsid w:val="006D54AF"/>
    <w:rsid w:val="006D5863"/>
    <w:rsid w:val="006D588A"/>
    <w:rsid w:val="006D5B7B"/>
    <w:rsid w:val="006D5D96"/>
    <w:rsid w:val="006D5E3F"/>
    <w:rsid w:val="006D6031"/>
    <w:rsid w:val="006D6135"/>
    <w:rsid w:val="006D613D"/>
    <w:rsid w:val="006D652E"/>
    <w:rsid w:val="006D657B"/>
    <w:rsid w:val="006D6603"/>
    <w:rsid w:val="006D67F2"/>
    <w:rsid w:val="006D6AE5"/>
    <w:rsid w:val="006D6C5B"/>
    <w:rsid w:val="006D725F"/>
    <w:rsid w:val="006D72AC"/>
    <w:rsid w:val="006D72D7"/>
    <w:rsid w:val="006D74E2"/>
    <w:rsid w:val="006D74EC"/>
    <w:rsid w:val="006D7A79"/>
    <w:rsid w:val="006D7AB4"/>
    <w:rsid w:val="006D7B1E"/>
    <w:rsid w:val="006D7E22"/>
    <w:rsid w:val="006D7E95"/>
    <w:rsid w:val="006D7FB5"/>
    <w:rsid w:val="006E0061"/>
    <w:rsid w:val="006E0506"/>
    <w:rsid w:val="006E0845"/>
    <w:rsid w:val="006E0A9B"/>
    <w:rsid w:val="006E0B56"/>
    <w:rsid w:val="006E0F4F"/>
    <w:rsid w:val="006E0FE7"/>
    <w:rsid w:val="006E10EB"/>
    <w:rsid w:val="006E12A8"/>
    <w:rsid w:val="006E12BB"/>
    <w:rsid w:val="006E14C6"/>
    <w:rsid w:val="006E15CB"/>
    <w:rsid w:val="006E16FB"/>
    <w:rsid w:val="006E174A"/>
    <w:rsid w:val="006E18E0"/>
    <w:rsid w:val="006E18E7"/>
    <w:rsid w:val="006E1B14"/>
    <w:rsid w:val="006E1B6E"/>
    <w:rsid w:val="006E1D0F"/>
    <w:rsid w:val="006E2552"/>
    <w:rsid w:val="006E2785"/>
    <w:rsid w:val="006E283C"/>
    <w:rsid w:val="006E2858"/>
    <w:rsid w:val="006E2865"/>
    <w:rsid w:val="006E2952"/>
    <w:rsid w:val="006E29E4"/>
    <w:rsid w:val="006E2A9D"/>
    <w:rsid w:val="006E2C9C"/>
    <w:rsid w:val="006E2CF7"/>
    <w:rsid w:val="006E2E21"/>
    <w:rsid w:val="006E343F"/>
    <w:rsid w:val="006E36DB"/>
    <w:rsid w:val="006E378F"/>
    <w:rsid w:val="006E38FE"/>
    <w:rsid w:val="006E3A54"/>
    <w:rsid w:val="006E3D37"/>
    <w:rsid w:val="006E3DEF"/>
    <w:rsid w:val="006E3E7F"/>
    <w:rsid w:val="006E3FE1"/>
    <w:rsid w:val="006E42B7"/>
    <w:rsid w:val="006E42C4"/>
    <w:rsid w:val="006E4B12"/>
    <w:rsid w:val="006E4B68"/>
    <w:rsid w:val="006E4FB1"/>
    <w:rsid w:val="006E4FEA"/>
    <w:rsid w:val="006E51AA"/>
    <w:rsid w:val="006E55D1"/>
    <w:rsid w:val="006E56BF"/>
    <w:rsid w:val="006E57D3"/>
    <w:rsid w:val="006E5A56"/>
    <w:rsid w:val="006E5A81"/>
    <w:rsid w:val="006E5B97"/>
    <w:rsid w:val="006E5BF5"/>
    <w:rsid w:val="006E5CD1"/>
    <w:rsid w:val="006E5E80"/>
    <w:rsid w:val="006E60A8"/>
    <w:rsid w:val="006E6211"/>
    <w:rsid w:val="006E666C"/>
    <w:rsid w:val="006E6697"/>
    <w:rsid w:val="006E6DA2"/>
    <w:rsid w:val="006E7036"/>
    <w:rsid w:val="006E704E"/>
    <w:rsid w:val="006E7406"/>
    <w:rsid w:val="006E7957"/>
    <w:rsid w:val="006E7A4A"/>
    <w:rsid w:val="006E7A77"/>
    <w:rsid w:val="006E7C52"/>
    <w:rsid w:val="006E7D5C"/>
    <w:rsid w:val="006E7E34"/>
    <w:rsid w:val="006E7E39"/>
    <w:rsid w:val="006F0120"/>
    <w:rsid w:val="006F019A"/>
    <w:rsid w:val="006F02ED"/>
    <w:rsid w:val="006F0621"/>
    <w:rsid w:val="006F073B"/>
    <w:rsid w:val="006F09D8"/>
    <w:rsid w:val="006F09FE"/>
    <w:rsid w:val="006F0B70"/>
    <w:rsid w:val="006F0BB2"/>
    <w:rsid w:val="006F0F2A"/>
    <w:rsid w:val="006F1053"/>
    <w:rsid w:val="006F1073"/>
    <w:rsid w:val="006F10E3"/>
    <w:rsid w:val="006F1130"/>
    <w:rsid w:val="006F122F"/>
    <w:rsid w:val="006F196A"/>
    <w:rsid w:val="006F1DDF"/>
    <w:rsid w:val="006F1FA2"/>
    <w:rsid w:val="006F2000"/>
    <w:rsid w:val="006F2593"/>
    <w:rsid w:val="006F2708"/>
    <w:rsid w:val="006F28D6"/>
    <w:rsid w:val="006F2E00"/>
    <w:rsid w:val="006F329F"/>
    <w:rsid w:val="006F33E7"/>
    <w:rsid w:val="006F3BAF"/>
    <w:rsid w:val="006F3CDF"/>
    <w:rsid w:val="006F3ED6"/>
    <w:rsid w:val="006F44D8"/>
    <w:rsid w:val="006F4874"/>
    <w:rsid w:val="006F4875"/>
    <w:rsid w:val="006F4956"/>
    <w:rsid w:val="006F4BE5"/>
    <w:rsid w:val="006F4E4D"/>
    <w:rsid w:val="006F4E7F"/>
    <w:rsid w:val="006F4E86"/>
    <w:rsid w:val="006F5296"/>
    <w:rsid w:val="006F5334"/>
    <w:rsid w:val="006F534B"/>
    <w:rsid w:val="006F54B2"/>
    <w:rsid w:val="006F5777"/>
    <w:rsid w:val="006F5BCC"/>
    <w:rsid w:val="006F5D1E"/>
    <w:rsid w:val="006F5D9C"/>
    <w:rsid w:val="006F5FEE"/>
    <w:rsid w:val="006F612B"/>
    <w:rsid w:val="006F654F"/>
    <w:rsid w:val="006F6647"/>
    <w:rsid w:val="006F671A"/>
    <w:rsid w:val="006F6770"/>
    <w:rsid w:val="006F68F5"/>
    <w:rsid w:val="006F6998"/>
    <w:rsid w:val="006F6A1E"/>
    <w:rsid w:val="006F6C51"/>
    <w:rsid w:val="006F6D7B"/>
    <w:rsid w:val="006F6E53"/>
    <w:rsid w:val="006F701A"/>
    <w:rsid w:val="006F73C1"/>
    <w:rsid w:val="006F793B"/>
    <w:rsid w:val="006F79C9"/>
    <w:rsid w:val="006F7B58"/>
    <w:rsid w:val="006F7E00"/>
    <w:rsid w:val="006F7E06"/>
    <w:rsid w:val="006F7E8E"/>
    <w:rsid w:val="00700076"/>
    <w:rsid w:val="007002B5"/>
    <w:rsid w:val="007002DE"/>
    <w:rsid w:val="007005B3"/>
    <w:rsid w:val="00700714"/>
    <w:rsid w:val="00700748"/>
    <w:rsid w:val="007007D5"/>
    <w:rsid w:val="00700E65"/>
    <w:rsid w:val="00701145"/>
    <w:rsid w:val="007013A1"/>
    <w:rsid w:val="00701781"/>
    <w:rsid w:val="00701864"/>
    <w:rsid w:val="00701C87"/>
    <w:rsid w:val="00702008"/>
    <w:rsid w:val="00702030"/>
    <w:rsid w:val="007020D5"/>
    <w:rsid w:val="007020D8"/>
    <w:rsid w:val="0070220D"/>
    <w:rsid w:val="0070240B"/>
    <w:rsid w:val="00702552"/>
    <w:rsid w:val="00702655"/>
    <w:rsid w:val="00702695"/>
    <w:rsid w:val="007027B0"/>
    <w:rsid w:val="0070280D"/>
    <w:rsid w:val="00702E5C"/>
    <w:rsid w:val="0070313F"/>
    <w:rsid w:val="00703193"/>
    <w:rsid w:val="007033BF"/>
    <w:rsid w:val="0070370E"/>
    <w:rsid w:val="007039D5"/>
    <w:rsid w:val="00703B7E"/>
    <w:rsid w:val="00703D9F"/>
    <w:rsid w:val="00703EF7"/>
    <w:rsid w:val="00704508"/>
    <w:rsid w:val="00704676"/>
    <w:rsid w:val="00704870"/>
    <w:rsid w:val="007048A9"/>
    <w:rsid w:val="00704947"/>
    <w:rsid w:val="00704AD8"/>
    <w:rsid w:val="00704B5C"/>
    <w:rsid w:val="007050B0"/>
    <w:rsid w:val="007051FA"/>
    <w:rsid w:val="00705727"/>
    <w:rsid w:val="00705793"/>
    <w:rsid w:val="007059B4"/>
    <w:rsid w:val="00705D62"/>
    <w:rsid w:val="00705F96"/>
    <w:rsid w:val="007062AB"/>
    <w:rsid w:val="007063E6"/>
    <w:rsid w:val="00706445"/>
    <w:rsid w:val="00706643"/>
    <w:rsid w:val="00706837"/>
    <w:rsid w:val="007068F1"/>
    <w:rsid w:val="00706A30"/>
    <w:rsid w:val="00706A31"/>
    <w:rsid w:val="00706C25"/>
    <w:rsid w:val="00707856"/>
    <w:rsid w:val="0070798C"/>
    <w:rsid w:val="007079D5"/>
    <w:rsid w:val="00710188"/>
    <w:rsid w:val="007102AF"/>
    <w:rsid w:val="0071045A"/>
    <w:rsid w:val="00710691"/>
    <w:rsid w:val="00710712"/>
    <w:rsid w:val="00710E57"/>
    <w:rsid w:val="00711043"/>
    <w:rsid w:val="00711115"/>
    <w:rsid w:val="0071115E"/>
    <w:rsid w:val="007117DD"/>
    <w:rsid w:val="007118B4"/>
    <w:rsid w:val="00711BF9"/>
    <w:rsid w:val="00711D86"/>
    <w:rsid w:val="00711DFD"/>
    <w:rsid w:val="00711E23"/>
    <w:rsid w:val="00711F36"/>
    <w:rsid w:val="0071228E"/>
    <w:rsid w:val="0071257E"/>
    <w:rsid w:val="00712843"/>
    <w:rsid w:val="0071289D"/>
    <w:rsid w:val="0071299F"/>
    <w:rsid w:val="00712AC7"/>
    <w:rsid w:val="00712BA9"/>
    <w:rsid w:val="00712F1F"/>
    <w:rsid w:val="00713048"/>
    <w:rsid w:val="0071316B"/>
    <w:rsid w:val="00713368"/>
    <w:rsid w:val="00713836"/>
    <w:rsid w:val="00713937"/>
    <w:rsid w:val="00713A50"/>
    <w:rsid w:val="00713CC5"/>
    <w:rsid w:val="00713D62"/>
    <w:rsid w:val="00713DC2"/>
    <w:rsid w:val="00713E4A"/>
    <w:rsid w:val="00713F68"/>
    <w:rsid w:val="00713F84"/>
    <w:rsid w:val="007142D8"/>
    <w:rsid w:val="00714415"/>
    <w:rsid w:val="00714452"/>
    <w:rsid w:val="00714891"/>
    <w:rsid w:val="00714938"/>
    <w:rsid w:val="007151E4"/>
    <w:rsid w:val="0071542E"/>
    <w:rsid w:val="0071543E"/>
    <w:rsid w:val="00715505"/>
    <w:rsid w:val="00715BB9"/>
    <w:rsid w:val="00715C0B"/>
    <w:rsid w:val="00715E51"/>
    <w:rsid w:val="0071610D"/>
    <w:rsid w:val="0071613C"/>
    <w:rsid w:val="00716182"/>
    <w:rsid w:val="0071621E"/>
    <w:rsid w:val="00716765"/>
    <w:rsid w:val="007167FD"/>
    <w:rsid w:val="00716804"/>
    <w:rsid w:val="007168DF"/>
    <w:rsid w:val="00716A5B"/>
    <w:rsid w:val="00716F7B"/>
    <w:rsid w:val="00716FEE"/>
    <w:rsid w:val="007170B9"/>
    <w:rsid w:val="007174B6"/>
    <w:rsid w:val="0071752F"/>
    <w:rsid w:val="007177B2"/>
    <w:rsid w:val="0071784F"/>
    <w:rsid w:val="007178EC"/>
    <w:rsid w:val="00717CB9"/>
    <w:rsid w:val="00720000"/>
    <w:rsid w:val="0072007E"/>
    <w:rsid w:val="0072018F"/>
    <w:rsid w:val="0072032F"/>
    <w:rsid w:val="00720397"/>
    <w:rsid w:val="007205A9"/>
    <w:rsid w:val="00720681"/>
    <w:rsid w:val="00720986"/>
    <w:rsid w:val="00720A53"/>
    <w:rsid w:val="00720BE0"/>
    <w:rsid w:val="00720C2D"/>
    <w:rsid w:val="00720D3C"/>
    <w:rsid w:val="00720DB7"/>
    <w:rsid w:val="00720F0A"/>
    <w:rsid w:val="00721471"/>
    <w:rsid w:val="007214F8"/>
    <w:rsid w:val="007216B1"/>
    <w:rsid w:val="0072196D"/>
    <w:rsid w:val="00721ADA"/>
    <w:rsid w:val="00721C33"/>
    <w:rsid w:val="00721E82"/>
    <w:rsid w:val="00721FF9"/>
    <w:rsid w:val="00722011"/>
    <w:rsid w:val="00722312"/>
    <w:rsid w:val="00722327"/>
    <w:rsid w:val="0072232E"/>
    <w:rsid w:val="007225F4"/>
    <w:rsid w:val="0072283C"/>
    <w:rsid w:val="007228FE"/>
    <w:rsid w:val="00722EDC"/>
    <w:rsid w:val="00722F03"/>
    <w:rsid w:val="00723431"/>
    <w:rsid w:val="007234BE"/>
    <w:rsid w:val="007234F4"/>
    <w:rsid w:val="007237AE"/>
    <w:rsid w:val="0072380A"/>
    <w:rsid w:val="00723A4A"/>
    <w:rsid w:val="00723B33"/>
    <w:rsid w:val="00723BAB"/>
    <w:rsid w:val="00723ED2"/>
    <w:rsid w:val="0072414C"/>
    <w:rsid w:val="0072428E"/>
    <w:rsid w:val="007243E4"/>
    <w:rsid w:val="00724450"/>
    <w:rsid w:val="00724476"/>
    <w:rsid w:val="007246A7"/>
    <w:rsid w:val="00724B55"/>
    <w:rsid w:val="00724CB9"/>
    <w:rsid w:val="00724CCD"/>
    <w:rsid w:val="00724DB8"/>
    <w:rsid w:val="00724F13"/>
    <w:rsid w:val="00724FD2"/>
    <w:rsid w:val="0072525F"/>
    <w:rsid w:val="0072574E"/>
    <w:rsid w:val="00725788"/>
    <w:rsid w:val="00725796"/>
    <w:rsid w:val="0072588C"/>
    <w:rsid w:val="00725A1C"/>
    <w:rsid w:val="0072619B"/>
    <w:rsid w:val="00726258"/>
    <w:rsid w:val="0072685A"/>
    <w:rsid w:val="00726A52"/>
    <w:rsid w:val="00726E82"/>
    <w:rsid w:val="00727166"/>
    <w:rsid w:val="007273ED"/>
    <w:rsid w:val="00727689"/>
    <w:rsid w:val="00727AD2"/>
    <w:rsid w:val="00727D3C"/>
    <w:rsid w:val="00730121"/>
    <w:rsid w:val="00730615"/>
    <w:rsid w:val="0073070A"/>
    <w:rsid w:val="00730993"/>
    <w:rsid w:val="00730B7E"/>
    <w:rsid w:val="00730DDC"/>
    <w:rsid w:val="00731760"/>
    <w:rsid w:val="007318F5"/>
    <w:rsid w:val="007319EF"/>
    <w:rsid w:val="00731C9F"/>
    <w:rsid w:val="00731D14"/>
    <w:rsid w:val="00731D67"/>
    <w:rsid w:val="00731D68"/>
    <w:rsid w:val="00731D83"/>
    <w:rsid w:val="00731F19"/>
    <w:rsid w:val="00731F83"/>
    <w:rsid w:val="00732237"/>
    <w:rsid w:val="0073255C"/>
    <w:rsid w:val="007326FF"/>
    <w:rsid w:val="0073335D"/>
    <w:rsid w:val="0073381E"/>
    <w:rsid w:val="0073391B"/>
    <w:rsid w:val="00733A14"/>
    <w:rsid w:val="00733BA7"/>
    <w:rsid w:val="00733D2A"/>
    <w:rsid w:val="00733D5F"/>
    <w:rsid w:val="00733E26"/>
    <w:rsid w:val="00733E79"/>
    <w:rsid w:val="00733F7C"/>
    <w:rsid w:val="00733FEB"/>
    <w:rsid w:val="00733FF4"/>
    <w:rsid w:val="007342BE"/>
    <w:rsid w:val="00734670"/>
    <w:rsid w:val="00734942"/>
    <w:rsid w:val="00734DA2"/>
    <w:rsid w:val="00734E41"/>
    <w:rsid w:val="00734EBE"/>
    <w:rsid w:val="0073535B"/>
    <w:rsid w:val="00735445"/>
    <w:rsid w:val="00735AD6"/>
    <w:rsid w:val="00735EA2"/>
    <w:rsid w:val="0073602C"/>
    <w:rsid w:val="00736050"/>
    <w:rsid w:val="0073611E"/>
    <w:rsid w:val="007363EA"/>
    <w:rsid w:val="0073644E"/>
    <w:rsid w:val="0073677A"/>
    <w:rsid w:val="00736B1C"/>
    <w:rsid w:val="00736C60"/>
    <w:rsid w:val="00736EE1"/>
    <w:rsid w:val="00737083"/>
    <w:rsid w:val="007377E4"/>
    <w:rsid w:val="00737908"/>
    <w:rsid w:val="00737930"/>
    <w:rsid w:val="00740100"/>
    <w:rsid w:val="007401E8"/>
    <w:rsid w:val="00740223"/>
    <w:rsid w:val="007405EA"/>
    <w:rsid w:val="00740619"/>
    <w:rsid w:val="007406C6"/>
    <w:rsid w:val="007408D0"/>
    <w:rsid w:val="00740AA4"/>
    <w:rsid w:val="00740AD8"/>
    <w:rsid w:val="00740CDD"/>
    <w:rsid w:val="007410C0"/>
    <w:rsid w:val="007411B3"/>
    <w:rsid w:val="0074120C"/>
    <w:rsid w:val="00741213"/>
    <w:rsid w:val="0074122F"/>
    <w:rsid w:val="007412BE"/>
    <w:rsid w:val="007416A2"/>
    <w:rsid w:val="007416C3"/>
    <w:rsid w:val="00741B2E"/>
    <w:rsid w:val="00741BAC"/>
    <w:rsid w:val="00741DD9"/>
    <w:rsid w:val="00741FBC"/>
    <w:rsid w:val="0074235B"/>
    <w:rsid w:val="0074263F"/>
    <w:rsid w:val="00742674"/>
    <w:rsid w:val="007428C8"/>
    <w:rsid w:val="00742A85"/>
    <w:rsid w:val="00742ADC"/>
    <w:rsid w:val="00742D39"/>
    <w:rsid w:val="00742D8E"/>
    <w:rsid w:val="00743056"/>
    <w:rsid w:val="00743097"/>
    <w:rsid w:val="00743353"/>
    <w:rsid w:val="00743466"/>
    <w:rsid w:val="00743601"/>
    <w:rsid w:val="0074372A"/>
    <w:rsid w:val="0074393B"/>
    <w:rsid w:val="007439AC"/>
    <w:rsid w:val="00743B0F"/>
    <w:rsid w:val="007442E7"/>
    <w:rsid w:val="00744AA6"/>
    <w:rsid w:val="00744BE5"/>
    <w:rsid w:val="00744D20"/>
    <w:rsid w:val="00744D23"/>
    <w:rsid w:val="00744F8F"/>
    <w:rsid w:val="00745083"/>
    <w:rsid w:val="007451FB"/>
    <w:rsid w:val="0074529A"/>
    <w:rsid w:val="00745786"/>
    <w:rsid w:val="007457B3"/>
    <w:rsid w:val="00745801"/>
    <w:rsid w:val="007458AA"/>
    <w:rsid w:val="00745929"/>
    <w:rsid w:val="00745ACE"/>
    <w:rsid w:val="007460BC"/>
    <w:rsid w:val="00746498"/>
    <w:rsid w:val="00746695"/>
    <w:rsid w:val="00746834"/>
    <w:rsid w:val="007468D0"/>
    <w:rsid w:val="0074694F"/>
    <w:rsid w:val="00746952"/>
    <w:rsid w:val="00746D4F"/>
    <w:rsid w:val="0074715D"/>
    <w:rsid w:val="0074743C"/>
    <w:rsid w:val="007475DC"/>
    <w:rsid w:val="007475DD"/>
    <w:rsid w:val="0074760F"/>
    <w:rsid w:val="00747633"/>
    <w:rsid w:val="007476E9"/>
    <w:rsid w:val="00747735"/>
    <w:rsid w:val="007477DB"/>
    <w:rsid w:val="00747843"/>
    <w:rsid w:val="00747C83"/>
    <w:rsid w:val="00747F78"/>
    <w:rsid w:val="0075005F"/>
    <w:rsid w:val="00750307"/>
    <w:rsid w:val="00750352"/>
    <w:rsid w:val="00750502"/>
    <w:rsid w:val="007505D9"/>
    <w:rsid w:val="007506CA"/>
    <w:rsid w:val="00750A75"/>
    <w:rsid w:val="00750ACC"/>
    <w:rsid w:val="00750BC4"/>
    <w:rsid w:val="00750F50"/>
    <w:rsid w:val="00750FB7"/>
    <w:rsid w:val="007510D5"/>
    <w:rsid w:val="00751131"/>
    <w:rsid w:val="007511BF"/>
    <w:rsid w:val="007512A4"/>
    <w:rsid w:val="00751C27"/>
    <w:rsid w:val="00751EC9"/>
    <w:rsid w:val="007520D0"/>
    <w:rsid w:val="007521A2"/>
    <w:rsid w:val="0075221C"/>
    <w:rsid w:val="007524CD"/>
    <w:rsid w:val="007525BA"/>
    <w:rsid w:val="00752680"/>
    <w:rsid w:val="007526EA"/>
    <w:rsid w:val="0075270D"/>
    <w:rsid w:val="0075272F"/>
    <w:rsid w:val="007528B9"/>
    <w:rsid w:val="007528D6"/>
    <w:rsid w:val="00752908"/>
    <w:rsid w:val="00752A1B"/>
    <w:rsid w:val="00752AE5"/>
    <w:rsid w:val="00752CBF"/>
    <w:rsid w:val="00753044"/>
    <w:rsid w:val="00753393"/>
    <w:rsid w:val="007533B6"/>
    <w:rsid w:val="00753684"/>
    <w:rsid w:val="007536F6"/>
    <w:rsid w:val="0075372B"/>
    <w:rsid w:val="0075382B"/>
    <w:rsid w:val="00753C7A"/>
    <w:rsid w:val="00753ED9"/>
    <w:rsid w:val="00753F24"/>
    <w:rsid w:val="00754545"/>
    <w:rsid w:val="007545B9"/>
    <w:rsid w:val="0075479A"/>
    <w:rsid w:val="007547D7"/>
    <w:rsid w:val="00754894"/>
    <w:rsid w:val="00754AE4"/>
    <w:rsid w:val="00754B10"/>
    <w:rsid w:val="00754CAB"/>
    <w:rsid w:val="00754DF7"/>
    <w:rsid w:val="007550FC"/>
    <w:rsid w:val="00755327"/>
    <w:rsid w:val="00755416"/>
    <w:rsid w:val="00755469"/>
    <w:rsid w:val="007554CC"/>
    <w:rsid w:val="007556CF"/>
    <w:rsid w:val="007556DF"/>
    <w:rsid w:val="00755A4A"/>
    <w:rsid w:val="00755AA2"/>
    <w:rsid w:val="00755B34"/>
    <w:rsid w:val="00755EA5"/>
    <w:rsid w:val="00756147"/>
    <w:rsid w:val="007561B9"/>
    <w:rsid w:val="00756322"/>
    <w:rsid w:val="0075638C"/>
    <w:rsid w:val="0075664B"/>
    <w:rsid w:val="007566C9"/>
    <w:rsid w:val="0075695C"/>
    <w:rsid w:val="00756A05"/>
    <w:rsid w:val="00756AD7"/>
    <w:rsid w:val="00756C69"/>
    <w:rsid w:val="00756C79"/>
    <w:rsid w:val="00756FBB"/>
    <w:rsid w:val="00757000"/>
    <w:rsid w:val="00757277"/>
    <w:rsid w:val="0075747F"/>
    <w:rsid w:val="00757680"/>
    <w:rsid w:val="00757850"/>
    <w:rsid w:val="00757890"/>
    <w:rsid w:val="007578DD"/>
    <w:rsid w:val="0075799E"/>
    <w:rsid w:val="00757D8B"/>
    <w:rsid w:val="00757E11"/>
    <w:rsid w:val="00757FE0"/>
    <w:rsid w:val="0076006B"/>
    <w:rsid w:val="00760593"/>
    <w:rsid w:val="0076085D"/>
    <w:rsid w:val="00760A1B"/>
    <w:rsid w:val="00760C3A"/>
    <w:rsid w:val="00760C97"/>
    <w:rsid w:val="00760DAE"/>
    <w:rsid w:val="00760DF1"/>
    <w:rsid w:val="007612BB"/>
    <w:rsid w:val="007614F9"/>
    <w:rsid w:val="00761586"/>
    <w:rsid w:val="00761803"/>
    <w:rsid w:val="00761B48"/>
    <w:rsid w:val="00761DFC"/>
    <w:rsid w:val="00761E4F"/>
    <w:rsid w:val="007622A8"/>
    <w:rsid w:val="00762392"/>
    <w:rsid w:val="0076247B"/>
    <w:rsid w:val="007624EB"/>
    <w:rsid w:val="00762927"/>
    <w:rsid w:val="00762951"/>
    <w:rsid w:val="00762A31"/>
    <w:rsid w:val="00762B2C"/>
    <w:rsid w:val="007630F0"/>
    <w:rsid w:val="0076310F"/>
    <w:rsid w:val="007631B6"/>
    <w:rsid w:val="00763311"/>
    <w:rsid w:val="0076344E"/>
    <w:rsid w:val="00763490"/>
    <w:rsid w:val="00763625"/>
    <w:rsid w:val="0076366B"/>
    <w:rsid w:val="0076369C"/>
    <w:rsid w:val="00763871"/>
    <w:rsid w:val="00763903"/>
    <w:rsid w:val="0076390E"/>
    <w:rsid w:val="00763AB6"/>
    <w:rsid w:val="00763CE2"/>
    <w:rsid w:val="00764115"/>
    <w:rsid w:val="007642AB"/>
    <w:rsid w:val="00764513"/>
    <w:rsid w:val="007645B0"/>
    <w:rsid w:val="007648D2"/>
    <w:rsid w:val="00764BFB"/>
    <w:rsid w:val="00764C85"/>
    <w:rsid w:val="00764D31"/>
    <w:rsid w:val="0076523E"/>
    <w:rsid w:val="0076559E"/>
    <w:rsid w:val="007655DB"/>
    <w:rsid w:val="0076566C"/>
    <w:rsid w:val="007659DB"/>
    <w:rsid w:val="00765ADF"/>
    <w:rsid w:val="00765DD0"/>
    <w:rsid w:val="00765DD4"/>
    <w:rsid w:val="00765F35"/>
    <w:rsid w:val="00765F5E"/>
    <w:rsid w:val="00766164"/>
    <w:rsid w:val="0076649F"/>
    <w:rsid w:val="00766525"/>
    <w:rsid w:val="0076653D"/>
    <w:rsid w:val="00766A49"/>
    <w:rsid w:val="00766AA3"/>
    <w:rsid w:val="00766BC7"/>
    <w:rsid w:val="00766D8D"/>
    <w:rsid w:val="00766D94"/>
    <w:rsid w:val="00766F1C"/>
    <w:rsid w:val="00767055"/>
    <w:rsid w:val="007671F0"/>
    <w:rsid w:val="00767237"/>
    <w:rsid w:val="007672B9"/>
    <w:rsid w:val="00767348"/>
    <w:rsid w:val="007673F5"/>
    <w:rsid w:val="00767467"/>
    <w:rsid w:val="007676B4"/>
    <w:rsid w:val="007676D0"/>
    <w:rsid w:val="00767A53"/>
    <w:rsid w:val="00767CC3"/>
    <w:rsid w:val="00767EA0"/>
    <w:rsid w:val="007700D7"/>
    <w:rsid w:val="00770151"/>
    <w:rsid w:val="007701AC"/>
    <w:rsid w:val="00770203"/>
    <w:rsid w:val="00770318"/>
    <w:rsid w:val="007703E6"/>
    <w:rsid w:val="00770B18"/>
    <w:rsid w:val="0077110C"/>
    <w:rsid w:val="00771129"/>
    <w:rsid w:val="00771468"/>
    <w:rsid w:val="007714C8"/>
    <w:rsid w:val="0077159C"/>
    <w:rsid w:val="007717A1"/>
    <w:rsid w:val="00771A10"/>
    <w:rsid w:val="00771AF9"/>
    <w:rsid w:val="007724C0"/>
    <w:rsid w:val="00772A6D"/>
    <w:rsid w:val="00772B9F"/>
    <w:rsid w:val="00772BEA"/>
    <w:rsid w:val="00773500"/>
    <w:rsid w:val="007735DE"/>
    <w:rsid w:val="007736B3"/>
    <w:rsid w:val="0077397E"/>
    <w:rsid w:val="00773C48"/>
    <w:rsid w:val="00773D04"/>
    <w:rsid w:val="00773D71"/>
    <w:rsid w:val="00773E0C"/>
    <w:rsid w:val="0077416A"/>
    <w:rsid w:val="00774234"/>
    <w:rsid w:val="00774458"/>
    <w:rsid w:val="0077474F"/>
    <w:rsid w:val="00774937"/>
    <w:rsid w:val="00774B65"/>
    <w:rsid w:val="00774BFE"/>
    <w:rsid w:val="00774EFB"/>
    <w:rsid w:val="00774F2D"/>
    <w:rsid w:val="007750C2"/>
    <w:rsid w:val="0077515B"/>
    <w:rsid w:val="0077522A"/>
    <w:rsid w:val="0077531E"/>
    <w:rsid w:val="00775A1E"/>
    <w:rsid w:val="00775AEB"/>
    <w:rsid w:val="00775B15"/>
    <w:rsid w:val="00775B39"/>
    <w:rsid w:val="00775C9B"/>
    <w:rsid w:val="00775DE3"/>
    <w:rsid w:val="00775DEA"/>
    <w:rsid w:val="00775DF3"/>
    <w:rsid w:val="00775E84"/>
    <w:rsid w:val="0077627A"/>
    <w:rsid w:val="007767E9"/>
    <w:rsid w:val="00776BBF"/>
    <w:rsid w:val="00776D2C"/>
    <w:rsid w:val="00776DA5"/>
    <w:rsid w:val="00776ED7"/>
    <w:rsid w:val="00776F59"/>
    <w:rsid w:val="007772BF"/>
    <w:rsid w:val="007773DB"/>
    <w:rsid w:val="007774B3"/>
    <w:rsid w:val="00777715"/>
    <w:rsid w:val="00777FCA"/>
    <w:rsid w:val="00780036"/>
    <w:rsid w:val="0078013C"/>
    <w:rsid w:val="007802ED"/>
    <w:rsid w:val="00780588"/>
    <w:rsid w:val="00780AF2"/>
    <w:rsid w:val="00780C0A"/>
    <w:rsid w:val="00780C83"/>
    <w:rsid w:val="00780FB6"/>
    <w:rsid w:val="007810D5"/>
    <w:rsid w:val="007811DA"/>
    <w:rsid w:val="00781203"/>
    <w:rsid w:val="007816FF"/>
    <w:rsid w:val="00781E84"/>
    <w:rsid w:val="0078208C"/>
    <w:rsid w:val="007820D1"/>
    <w:rsid w:val="00782336"/>
    <w:rsid w:val="00782391"/>
    <w:rsid w:val="00782681"/>
    <w:rsid w:val="00782928"/>
    <w:rsid w:val="00782D3C"/>
    <w:rsid w:val="0078327C"/>
    <w:rsid w:val="0078376A"/>
    <w:rsid w:val="0078382F"/>
    <w:rsid w:val="00783830"/>
    <w:rsid w:val="0078398F"/>
    <w:rsid w:val="00783A5D"/>
    <w:rsid w:val="00783A7E"/>
    <w:rsid w:val="00783C55"/>
    <w:rsid w:val="00783CF7"/>
    <w:rsid w:val="0078430C"/>
    <w:rsid w:val="00784517"/>
    <w:rsid w:val="00784F22"/>
    <w:rsid w:val="00784FCD"/>
    <w:rsid w:val="007853AE"/>
    <w:rsid w:val="00785429"/>
    <w:rsid w:val="00785451"/>
    <w:rsid w:val="007854D7"/>
    <w:rsid w:val="007856AC"/>
    <w:rsid w:val="007857DF"/>
    <w:rsid w:val="007858A1"/>
    <w:rsid w:val="007858AD"/>
    <w:rsid w:val="0078597C"/>
    <w:rsid w:val="00785999"/>
    <w:rsid w:val="00785E72"/>
    <w:rsid w:val="00785E8C"/>
    <w:rsid w:val="00785F31"/>
    <w:rsid w:val="00786108"/>
    <w:rsid w:val="0078644B"/>
    <w:rsid w:val="0078689B"/>
    <w:rsid w:val="007869CA"/>
    <w:rsid w:val="00786A80"/>
    <w:rsid w:val="00786D0D"/>
    <w:rsid w:val="00787093"/>
    <w:rsid w:val="00787097"/>
    <w:rsid w:val="00787343"/>
    <w:rsid w:val="00787420"/>
    <w:rsid w:val="0078749F"/>
    <w:rsid w:val="0078754A"/>
    <w:rsid w:val="00787D28"/>
    <w:rsid w:val="00787E73"/>
    <w:rsid w:val="00787E84"/>
    <w:rsid w:val="0079043F"/>
    <w:rsid w:val="00790463"/>
    <w:rsid w:val="00790618"/>
    <w:rsid w:val="0079071E"/>
    <w:rsid w:val="007907E1"/>
    <w:rsid w:val="00790B95"/>
    <w:rsid w:val="00790C7F"/>
    <w:rsid w:val="00790CE1"/>
    <w:rsid w:val="00790DD2"/>
    <w:rsid w:val="00790F3F"/>
    <w:rsid w:val="0079150B"/>
    <w:rsid w:val="00791573"/>
    <w:rsid w:val="007915B0"/>
    <w:rsid w:val="007917CB"/>
    <w:rsid w:val="00791857"/>
    <w:rsid w:val="00791985"/>
    <w:rsid w:val="00791A70"/>
    <w:rsid w:val="00791E8A"/>
    <w:rsid w:val="00791F1A"/>
    <w:rsid w:val="00792127"/>
    <w:rsid w:val="00792128"/>
    <w:rsid w:val="00792256"/>
    <w:rsid w:val="007924D2"/>
    <w:rsid w:val="007929AD"/>
    <w:rsid w:val="00792AC1"/>
    <w:rsid w:val="00792CB2"/>
    <w:rsid w:val="00792EF6"/>
    <w:rsid w:val="00792F41"/>
    <w:rsid w:val="007930D8"/>
    <w:rsid w:val="00793178"/>
    <w:rsid w:val="007931EF"/>
    <w:rsid w:val="00793264"/>
    <w:rsid w:val="0079326D"/>
    <w:rsid w:val="007933D3"/>
    <w:rsid w:val="00793462"/>
    <w:rsid w:val="0079356C"/>
    <w:rsid w:val="00793703"/>
    <w:rsid w:val="007937FD"/>
    <w:rsid w:val="0079389A"/>
    <w:rsid w:val="00793EC0"/>
    <w:rsid w:val="007941C2"/>
    <w:rsid w:val="007942F3"/>
    <w:rsid w:val="00794467"/>
    <w:rsid w:val="00794654"/>
    <w:rsid w:val="0079481D"/>
    <w:rsid w:val="007948E8"/>
    <w:rsid w:val="00794E40"/>
    <w:rsid w:val="00795347"/>
    <w:rsid w:val="007953B6"/>
    <w:rsid w:val="007958C6"/>
    <w:rsid w:val="00795CB2"/>
    <w:rsid w:val="00795D33"/>
    <w:rsid w:val="00795DBF"/>
    <w:rsid w:val="00795DC9"/>
    <w:rsid w:val="00795EB2"/>
    <w:rsid w:val="00795F25"/>
    <w:rsid w:val="00795FCB"/>
    <w:rsid w:val="00796259"/>
    <w:rsid w:val="00796480"/>
    <w:rsid w:val="007964C3"/>
    <w:rsid w:val="00796890"/>
    <w:rsid w:val="00796935"/>
    <w:rsid w:val="00796F69"/>
    <w:rsid w:val="00796FB1"/>
    <w:rsid w:val="00796FEE"/>
    <w:rsid w:val="00797266"/>
    <w:rsid w:val="00797490"/>
    <w:rsid w:val="0079767B"/>
    <w:rsid w:val="007976C0"/>
    <w:rsid w:val="00797867"/>
    <w:rsid w:val="007979FA"/>
    <w:rsid w:val="007979FB"/>
    <w:rsid w:val="00797B29"/>
    <w:rsid w:val="00797F22"/>
    <w:rsid w:val="007A0093"/>
    <w:rsid w:val="007A0104"/>
    <w:rsid w:val="007A02C1"/>
    <w:rsid w:val="007A035C"/>
    <w:rsid w:val="007A0A12"/>
    <w:rsid w:val="007A0FE7"/>
    <w:rsid w:val="007A13BE"/>
    <w:rsid w:val="007A14A1"/>
    <w:rsid w:val="007A14C2"/>
    <w:rsid w:val="007A15E4"/>
    <w:rsid w:val="007A1625"/>
    <w:rsid w:val="007A1884"/>
    <w:rsid w:val="007A1984"/>
    <w:rsid w:val="007A1BB8"/>
    <w:rsid w:val="007A1C0C"/>
    <w:rsid w:val="007A1CFD"/>
    <w:rsid w:val="007A1E4B"/>
    <w:rsid w:val="007A1F77"/>
    <w:rsid w:val="007A20B5"/>
    <w:rsid w:val="007A23D0"/>
    <w:rsid w:val="007A24FF"/>
    <w:rsid w:val="007A287F"/>
    <w:rsid w:val="007A294C"/>
    <w:rsid w:val="007A2A5C"/>
    <w:rsid w:val="007A2CD0"/>
    <w:rsid w:val="007A2EEA"/>
    <w:rsid w:val="007A3198"/>
    <w:rsid w:val="007A328B"/>
    <w:rsid w:val="007A33C3"/>
    <w:rsid w:val="007A3631"/>
    <w:rsid w:val="007A3666"/>
    <w:rsid w:val="007A36D0"/>
    <w:rsid w:val="007A3856"/>
    <w:rsid w:val="007A3953"/>
    <w:rsid w:val="007A3A03"/>
    <w:rsid w:val="007A3D98"/>
    <w:rsid w:val="007A3EFC"/>
    <w:rsid w:val="007A3F3B"/>
    <w:rsid w:val="007A412D"/>
    <w:rsid w:val="007A4211"/>
    <w:rsid w:val="007A433D"/>
    <w:rsid w:val="007A4437"/>
    <w:rsid w:val="007A45DD"/>
    <w:rsid w:val="007A46CE"/>
    <w:rsid w:val="007A493A"/>
    <w:rsid w:val="007A49F1"/>
    <w:rsid w:val="007A4AF7"/>
    <w:rsid w:val="007A4BB4"/>
    <w:rsid w:val="007A4F08"/>
    <w:rsid w:val="007A4FD3"/>
    <w:rsid w:val="007A4FE6"/>
    <w:rsid w:val="007A4FEE"/>
    <w:rsid w:val="007A504D"/>
    <w:rsid w:val="007A510D"/>
    <w:rsid w:val="007A5287"/>
    <w:rsid w:val="007A559A"/>
    <w:rsid w:val="007A55E2"/>
    <w:rsid w:val="007A5645"/>
    <w:rsid w:val="007A56A0"/>
    <w:rsid w:val="007A57D6"/>
    <w:rsid w:val="007A585C"/>
    <w:rsid w:val="007A59F5"/>
    <w:rsid w:val="007A5A9F"/>
    <w:rsid w:val="007A5AF1"/>
    <w:rsid w:val="007A5C93"/>
    <w:rsid w:val="007A5D3A"/>
    <w:rsid w:val="007A5ED7"/>
    <w:rsid w:val="007A5EFD"/>
    <w:rsid w:val="007A5F45"/>
    <w:rsid w:val="007A60F8"/>
    <w:rsid w:val="007A624F"/>
    <w:rsid w:val="007A6443"/>
    <w:rsid w:val="007A6839"/>
    <w:rsid w:val="007A684F"/>
    <w:rsid w:val="007A6B5E"/>
    <w:rsid w:val="007A6C1B"/>
    <w:rsid w:val="007A6D46"/>
    <w:rsid w:val="007A6F39"/>
    <w:rsid w:val="007A7367"/>
    <w:rsid w:val="007A73BD"/>
    <w:rsid w:val="007A746C"/>
    <w:rsid w:val="007A75D6"/>
    <w:rsid w:val="007A75E4"/>
    <w:rsid w:val="007A764E"/>
    <w:rsid w:val="007A76F9"/>
    <w:rsid w:val="007A7A5F"/>
    <w:rsid w:val="007A7C26"/>
    <w:rsid w:val="007A7D94"/>
    <w:rsid w:val="007A7FB6"/>
    <w:rsid w:val="007B0242"/>
    <w:rsid w:val="007B02CF"/>
    <w:rsid w:val="007B0618"/>
    <w:rsid w:val="007B064F"/>
    <w:rsid w:val="007B07F5"/>
    <w:rsid w:val="007B092C"/>
    <w:rsid w:val="007B0988"/>
    <w:rsid w:val="007B0B74"/>
    <w:rsid w:val="007B0DD4"/>
    <w:rsid w:val="007B0E81"/>
    <w:rsid w:val="007B108B"/>
    <w:rsid w:val="007B113B"/>
    <w:rsid w:val="007B1484"/>
    <w:rsid w:val="007B158E"/>
    <w:rsid w:val="007B16BF"/>
    <w:rsid w:val="007B175D"/>
    <w:rsid w:val="007B1CD3"/>
    <w:rsid w:val="007B1E1C"/>
    <w:rsid w:val="007B2217"/>
    <w:rsid w:val="007B2377"/>
    <w:rsid w:val="007B2386"/>
    <w:rsid w:val="007B2422"/>
    <w:rsid w:val="007B2580"/>
    <w:rsid w:val="007B25E9"/>
    <w:rsid w:val="007B26D5"/>
    <w:rsid w:val="007B28F8"/>
    <w:rsid w:val="007B2A3C"/>
    <w:rsid w:val="007B2E32"/>
    <w:rsid w:val="007B2E8C"/>
    <w:rsid w:val="007B2F8E"/>
    <w:rsid w:val="007B2F94"/>
    <w:rsid w:val="007B3271"/>
    <w:rsid w:val="007B32E0"/>
    <w:rsid w:val="007B33DB"/>
    <w:rsid w:val="007B34FD"/>
    <w:rsid w:val="007B34FE"/>
    <w:rsid w:val="007B351A"/>
    <w:rsid w:val="007B3745"/>
    <w:rsid w:val="007B37BF"/>
    <w:rsid w:val="007B38C0"/>
    <w:rsid w:val="007B3A12"/>
    <w:rsid w:val="007B3A4E"/>
    <w:rsid w:val="007B3C9F"/>
    <w:rsid w:val="007B3CF3"/>
    <w:rsid w:val="007B3FF2"/>
    <w:rsid w:val="007B4077"/>
    <w:rsid w:val="007B4145"/>
    <w:rsid w:val="007B42FF"/>
    <w:rsid w:val="007B4409"/>
    <w:rsid w:val="007B458F"/>
    <w:rsid w:val="007B468B"/>
    <w:rsid w:val="007B47E5"/>
    <w:rsid w:val="007B4891"/>
    <w:rsid w:val="007B49A7"/>
    <w:rsid w:val="007B4CDE"/>
    <w:rsid w:val="007B4D27"/>
    <w:rsid w:val="007B4DEA"/>
    <w:rsid w:val="007B4EDD"/>
    <w:rsid w:val="007B4F17"/>
    <w:rsid w:val="007B5006"/>
    <w:rsid w:val="007B515B"/>
    <w:rsid w:val="007B53F1"/>
    <w:rsid w:val="007B5609"/>
    <w:rsid w:val="007B5763"/>
    <w:rsid w:val="007B5785"/>
    <w:rsid w:val="007B5811"/>
    <w:rsid w:val="007B5837"/>
    <w:rsid w:val="007B5868"/>
    <w:rsid w:val="007B59EB"/>
    <w:rsid w:val="007B5DFC"/>
    <w:rsid w:val="007B5E21"/>
    <w:rsid w:val="007B610A"/>
    <w:rsid w:val="007B63D9"/>
    <w:rsid w:val="007B7247"/>
    <w:rsid w:val="007B775D"/>
    <w:rsid w:val="007B785E"/>
    <w:rsid w:val="007B7949"/>
    <w:rsid w:val="007B7E2C"/>
    <w:rsid w:val="007C0207"/>
    <w:rsid w:val="007C025B"/>
    <w:rsid w:val="007C03F1"/>
    <w:rsid w:val="007C06B1"/>
    <w:rsid w:val="007C0883"/>
    <w:rsid w:val="007C0A6D"/>
    <w:rsid w:val="007C0AE6"/>
    <w:rsid w:val="007C0C24"/>
    <w:rsid w:val="007C0D5B"/>
    <w:rsid w:val="007C1000"/>
    <w:rsid w:val="007C1060"/>
    <w:rsid w:val="007C1077"/>
    <w:rsid w:val="007C10A8"/>
    <w:rsid w:val="007C10ED"/>
    <w:rsid w:val="007C118E"/>
    <w:rsid w:val="007C1396"/>
    <w:rsid w:val="007C1558"/>
    <w:rsid w:val="007C184C"/>
    <w:rsid w:val="007C1982"/>
    <w:rsid w:val="007C1D5F"/>
    <w:rsid w:val="007C1DDD"/>
    <w:rsid w:val="007C1F0E"/>
    <w:rsid w:val="007C2027"/>
    <w:rsid w:val="007C20DF"/>
    <w:rsid w:val="007C213A"/>
    <w:rsid w:val="007C222C"/>
    <w:rsid w:val="007C24D0"/>
    <w:rsid w:val="007C24E4"/>
    <w:rsid w:val="007C28F5"/>
    <w:rsid w:val="007C28F7"/>
    <w:rsid w:val="007C2BBE"/>
    <w:rsid w:val="007C2D32"/>
    <w:rsid w:val="007C2D92"/>
    <w:rsid w:val="007C2FE3"/>
    <w:rsid w:val="007C3090"/>
    <w:rsid w:val="007C32BD"/>
    <w:rsid w:val="007C36AA"/>
    <w:rsid w:val="007C39D9"/>
    <w:rsid w:val="007C3A06"/>
    <w:rsid w:val="007C3D54"/>
    <w:rsid w:val="007C3EF2"/>
    <w:rsid w:val="007C4168"/>
    <w:rsid w:val="007C41E3"/>
    <w:rsid w:val="007C43A2"/>
    <w:rsid w:val="007C43D0"/>
    <w:rsid w:val="007C444D"/>
    <w:rsid w:val="007C4500"/>
    <w:rsid w:val="007C4570"/>
    <w:rsid w:val="007C4672"/>
    <w:rsid w:val="007C4713"/>
    <w:rsid w:val="007C478C"/>
    <w:rsid w:val="007C4A03"/>
    <w:rsid w:val="007C4B80"/>
    <w:rsid w:val="007C4B85"/>
    <w:rsid w:val="007C4E44"/>
    <w:rsid w:val="007C4EA8"/>
    <w:rsid w:val="007C4EC9"/>
    <w:rsid w:val="007C4FD9"/>
    <w:rsid w:val="007C502D"/>
    <w:rsid w:val="007C50B9"/>
    <w:rsid w:val="007C5116"/>
    <w:rsid w:val="007C5139"/>
    <w:rsid w:val="007C5474"/>
    <w:rsid w:val="007C5486"/>
    <w:rsid w:val="007C54A2"/>
    <w:rsid w:val="007C56A4"/>
    <w:rsid w:val="007C58F2"/>
    <w:rsid w:val="007C5AEF"/>
    <w:rsid w:val="007C5C75"/>
    <w:rsid w:val="007C5C7B"/>
    <w:rsid w:val="007C5CA7"/>
    <w:rsid w:val="007C5D52"/>
    <w:rsid w:val="007C5EE3"/>
    <w:rsid w:val="007C6136"/>
    <w:rsid w:val="007C637A"/>
    <w:rsid w:val="007C63F4"/>
    <w:rsid w:val="007C652D"/>
    <w:rsid w:val="007C69AE"/>
    <w:rsid w:val="007C7007"/>
    <w:rsid w:val="007C755F"/>
    <w:rsid w:val="007C7914"/>
    <w:rsid w:val="007C794A"/>
    <w:rsid w:val="007C7CC8"/>
    <w:rsid w:val="007C7D5C"/>
    <w:rsid w:val="007C7E39"/>
    <w:rsid w:val="007C7E8A"/>
    <w:rsid w:val="007D006A"/>
    <w:rsid w:val="007D0132"/>
    <w:rsid w:val="007D0164"/>
    <w:rsid w:val="007D035A"/>
    <w:rsid w:val="007D049E"/>
    <w:rsid w:val="007D064C"/>
    <w:rsid w:val="007D0696"/>
    <w:rsid w:val="007D0AE1"/>
    <w:rsid w:val="007D0B46"/>
    <w:rsid w:val="007D0D1A"/>
    <w:rsid w:val="007D0E43"/>
    <w:rsid w:val="007D104F"/>
    <w:rsid w:val="007D1053"/>
    <w:rsid w:val="007D1214"/>
    <w:rsid w:val="007D12FA"/>
    <w:rsid w:val="007D13FB"/>
    <w:rsid w:val="007D1663"/>
    <w:rsid w:val="007D1922"/>
    <w:rsid w:val="007D1A55"/>
    <w:rsid w:val="007D1B44"/>
    <w:rsid w:val="007D1BE2"/>
    <w:rsid w:val="007D1FCE"/>
    <w:rsid w:val="007D202D"/>
    <w:rsid w:val="007D22BF"/>
    <w:rsid w:val="007D2750"/>
    <w:rsid w:val="007D2B27"/>
    <w:rsid w:val="007D33A9"/>
    <w:rsid w:val="007D34FD"/>
    <w:rsid w:val="007D3547"/>
    <w:rsid w:val="007D3716"/>
    <w:rsid w:val="007D3809"/>
    <w:rsid w:val="007D3CD5"/>
    <w:rsid w:val="007D3E53"/>
    <w:rsid w:val="007D3E74"/>
    <w:rsid w:val="007D406B"/>
    <w:rsid w:val="007D41CD"/>
    <w:rsid w:val="007D421C"/>
    <w:rsid w:val="007D4713"/>
    <w:rsid w:val="007D4A98"/>
    <w:rsid w:val="007D4BC6"/>
    <w:rsid w:val="007D4EA5"/>
    <w:rsid w:val="007D4F15"/>
    <w:rsid w:val="007D51E6"/>
    <w:rsid w:val="007D529B"/>
    <w:rsid w:val="007D560F"/>
    <w:rsid w:val="007D59EB"/>
    <w:rsid w:val="007D5A25"/>
    <w:rsid w:val="007D5A27"/>
    <w:rsid w:val="007D5A83"/>
    <w:rsid w:val="007D5C55"/>
    <w:rsid w:val="007D60CA"/>
    <w:rsid w:val="007D6195"/>
    <w:rsid w:val="007D62DA"/>
    <w:rsid w:val="007D6440"/>
    <w:rsid w:val="007D64F4"/>
    <w:rsid w:val="007D650B"/>
    <w:rsid w:val="007D6554"/>
    <w:rsid w:val="007D67BC"/>
    <w:rsid w:val="007D68DD"/>
    <w:rsid w:val="007D6C5E"/>
    <w:rsid w:val="007D6CB5"/>
    <w:rsid w:val="007D6F39"/>
    <w:rsid w:val="007D6F71"/>
    <w:rsid w:val="007D70EF"/>
    <w:rsid w:val="007D70FF"/>
    <w:rsid w:val="007D7318"/>
    <w:rsid w:val="007D7649"/>
    <w:rsid w:val="007D784D"/>
    <w:rsid w:val="007D797E"/>
    <w:rsid w:val="007D7B48"/>
    <w:rsid w:val="007D7D53"/>
    <w:rsid w:val="007D7F44"/>
    <w:rsid w:val="007E00DD"/>
    <w:rsid w:val="007E0446"/>
    <w:rsid w:val="007E064A"/>
    <w:rsid w:val="007E0862"/>
    <w:rsid w:val="007E092D"/>
    <w:rsid w:val="007E09B0"/>
    <w:rsid w:val="007E09FE"/>
    <w:rsid w:val="007E0B72"/>
    <w:rsid w:val="007E0C76"/>
    <w:rsid w:val="007E0D6D"/>
    <w:rsid w:val="007E0F02"/>
    <w:rsid w:val="007E1021"/>
    <w:rsid w:val="007E107B"/>
    <w:rsid w:val="007E1321"/>
    <w:rsid w:val="007E1B80"/>
    <w:rsid w:val="007E1B88"/>
    <w:rsid w:val="007E1D3B"/>
    <w:rsid w:val="007E1FBE"/>
    <w:rsid w:val="007E255A"/>
    <w:rsid w:val="007E2788"/>
    <w:rsid w:val="007E27D4"/>
    <w:rsid w:val="007E2919"/>
    <w:rsid w:val="007E2B3C"/>
    <w:rsid w:val="007E2C44"/>
    <w:rsid w:val="007E2D23"/>
    <w:rsid w:val="007E2F39"/>
    <w:rsid w:val="007E3033"/>
    <w:rsid w:val="007E31CB"/>
    <w:rsid w:val="007E3214"/>
    <w:rsid w:val="007E3553"/>
    <w:rsid w:val="007E355D"/>
    <w:rsid w:val="007E3605"/>
    <w:rsid w:val="007E3B00"/>
    <w:rsid w:val="007E3B45"/>
    <w:rsid w:val="007E3B69"/>
    <w:rsid w:val="007E3CA3"/>
    <w:rsid w:val="007E3D9E"/>
    <w:rsid w:val="007E3DBE"/>
    <w:rsid w:val="007E3DC0"/>
    <w:rsid w:val="007E40DB"/>
    <w:rsid w:val="007E414A"/>
    <w:rsid w:val="007E45F7"/>
    <w:rsid w:val="007E4603"/>
    <w:rsid w:val="007E463A"/>
    <w:rsid w:val="007E48B1"/>
    <w:rsid w:val="007E4B3B"/>
    <w:rsid w:val="007E4CE8"/>
    <w:rsid w:val="007E4D6D"/>
    <w:rsid w:val="007E4E31"/>
    <w:rsid w:val="007E4FAB"/>
    <w:rsid w:val="007E50D1"/>
    <w:rsid w:val="007E52E4"/>
    <w:rsid w:val="007E566B"/>
    <w:rsid w:val="007E5C2D"/>
    <w:rsid w:val="007E5C31"/>
    <w:rsid w:val="007E5E80"/>
    <w:rsid w:val="007E5EC2"/>
    <w:rsid w:val="007E614B"/>
    <w:rsid w:val="007E615B"/>
    <w:rsid w:val="007E61B4"/>
    <w:rsid w:val="007E6211"/>
    <w:rsid w:val="007E65C5"/>
    <w:rsid w:val="007E6713"/>
    <w:rsid w:val="007E68B4"/>
    <w:rsid w:val="007E6AF3"/>
    <w:rsid w:val="007E6C32"/>
    <w:rsid w:val="007E6CB5"/>
    <w:rsid w:val="007E6CBA"/>
    <w:rsid w:val="007E6FFC"/>
    <w:rsid w:val="007E7135"/>
    <w:rsid w:val="007E7498"/>
    <w:rsid w:val="007E75FE"/>
    <w:rsid w:val="007E762C"/>
    <w:rsid w:val="007E7728"/>
    <w:rsid w:val="007E7787"/>
    <w:rsid w:val="007E7F07"/>
    <w:rsid w:val="007F0035"/>
    <w:rsid w:val="007F0069"/>
    <w:rsid w:val="007F05AB"/>
    <w:rsid w:val="007F0647"/>
    <w:rsid w:val="007F0772"/>
    <w:rsid w:val="007F07CD"/>
    <w:rsid w:val="007F07DA"/>
    <w:rsid w:val="007F094A"/>
    <w:rsid w:val="007F1200"/>
    <w:rsid w:val="007F17B2"/>
    <w:rsid w:val="007F17ED"/>
    <w:rsid w:val="007F1BB1"/>
    <w:rsid w:val="007F1ECF"/>
    <w:rsid w:val="007F2136"/>
    <w:rsid w:val="007F2207"/>
    <w:rsid w:val="007F23DF"/>
    <w:rsid w:val="007F24A9"/>
    <w:rsid w:val="007F25C0"/>
    <w:rsid w:val="007F2ADA"/>
    <w:rsid w:val="007F2F26"/>
    <w:rsid w:val="007F316D"/>
    <w:rsid w:val="007F3190"/>
    <w:rsid w:val="007F3227"/>
    <w:rsid w:val="007F3434"/>
    <w:rsid w:val="007F344F"/>
    <w:rsid w:val="007F35CF"/>
    <w:rsid w:val="007F36A1"/>
    <w:rsid w:val="007F3A46"/>
    <w:rsid w:val="007F3ABC"/>
    <w:rsid w:val="007F3AE3"/>
    <w:rsid w:val="007F3B44"/>
    <w:rsid w:val="007F3DEE"/>
    <w:rsid w:val="007F3E95"/>
    <w:rsid w:val="007F4062"/>
    <w:rsid w:val="007F4333"/>
    <w:rsid w:val="007F4381"/>
    <w:rsid w:val="007F446C"/>
    <w:rsid w:val="007F4E65"/>
    <w:rsid w:val="007F5176"/>
    <w:rsid w:val="007F560B"/>
    <w:rsid w:val="007F569D"/>
    <w:rsid w:val="007F5888"/>
    <w:rsid w:val="007F58D2"/>
    <w:rsid w:val="007F58DB"/>
    <w:rsid w:val="007F5D21"/>
    <w:rsid w:val="007F5E6E"/>
    <w:rsid w:val="007F5FE7"/>
    <w:rsid w:val="007F6076"/>
    <w:rsid w:val="007F6140"/>
    <w:rsid w:val="007F645D"/>
    <w:rsid w:val="007F66E4"/>
    <w:rsid w:val="007F670D"/>
    <w:rsid w:val="007F672F"/>
    <w:rsid w:val="007F6803"/>
    <w:rsid w:val="007F6B30"/>
    <w:rsid w:val="007F6EBB"/>
    <w:rsid w:val="007F6FB4"/>
    <w:rsid w:val="007F702D"/>
    <w:rsid w:val="007F7CA3"/>
    <w:rsid w:val="007F7CFE"/>
    <w:rsid w:val="007F7E08"/>
    <w:rsid w:val="007F7E6E"/>
    <w:rsid w:val="008002AA"/>
    <w:rsid w:val="008003DB"/>
    <w:rsid w:val="00800785"/>
    <w:rsid w:val="00800882"/>
    <w:rsid w:val="00800883"/>
    <w:rsid w:val="0080094A"/>
    <w:rsid w:val="00800A17"/>
    <w:rsid w:val="00800B85"/>
    <w:rsid w:val="00800C22"/>
    <w:rsid w:val="00800C6D"/>
    <w:rsid w:val="00800D51"/>
    <w:rsid w:val="00800F06"/>
    <w:rsid w:val="008010E3"/>
    <w:rsid w:val="0080149A"/>
    <w:rsid w:val="008015F1"/>
    <w:rsid w:val="008019DD"/>
    <w:rsid w:val="00801C38"/>
    <w:rsid w:val="00801C7B"/>
    <w:rsid w:val="00801D14"/>
    <w:rsid w:val="00801E11"/>
    <w:rsid w:val="00802251"/>
    <w:rsid w:val="008023D4"/>
    <w:rsid w:val="0080280E"/>
    <w:rsid w:val="00802B6D"/>
    <w:rsid w:val="00802E7D"/>
    <w:rsid w:val="00803240"/>
    <w:rsid w:val="0080332A"/>
    <w:rsid w:val="0080391C"/>
    <w:rsid w:val="00803AEA"/>
    <w:rsid w:val="00803C94"/>
    <w:rsid w:val="00803D47"/>
    <w:rsid w:val="00803DE7"/>
    <w:rsid w:val="00803F16"/>
    <w:rsid w:val="00803F90"/>
    <w:rsid w:val="008043B8"/>
    <w:rsid w:val="0080451A"/>
    <w:rsid w:val="00804528"/>
    <w:rsid w:val="00804745"/>
    <w:rsid w:val="00804782"/>
    <w:rsid w:val="00804B7E"/>
    <w:rsid w:val="00804BF7"/>
    <w:rsid w:val="00804C47"/>
    <w:rsid w:val="00804C8F"/>
    <w:rsid w:val="00804D9B"/>
    <w:rsid w:val="00804F12"/>
    <w:rsid w:val="00804FC3"/>
    <w:rsid w:val="008053A4"/>
    <w:rsid w:val="00805476"/>
    <w:rsid w:val="008055FA"/>
    <w:rsid w:val="0080563A"/>
    <w:rsid w:val="008058DA"/>
    <w:rsid w:val="0080592F"/>
    <w:rsid w:val="00805AAC"/>
    <w:rsid w:val="008062AA"/>
    <w:rsid w:val="00806439"/>
    <w:rsid w:val="008064E4"/>
    <w:rsid w:val="0080650F"/>
    <w:rsid w:val="008066CC"/>
    <w:rsid w:val="00806975"/>
    <w:rsid w:val="008069BC"/>
    <w:rsid w:val="00806A43"/>
    <w:rsid w:val="00806ADA"/>
    <w:rsid w:val="00806BB7"/>
    <w:rsid w:val="00807097"/>
    <w:rsid w:val="008070E4"/>
    <w:rsid w:val="00807239"/>
    <w:rsid w:val="008072B0"/>
    <w:rsid w:val="008074B1"/>
    <w:rsid w:val="008075F9"/>
    <w:rsid w:val="008076B9"/>
    <w:rsid w:val="00807AF5"/>
    <w:rsid w:val="00807E24"/>
    <w:rsid w:val="008100B5"/>
    <w:rsid w:val="0081014C"/>
    <w:rsid w:val="00810152"/>
    <w:rsid w:val="00810314"/>
    <w:rsid w:val="008103C2"/>
    <w:rsid w:val="008104E2"/>
    <w:rsid w:val="00810677"/>
    <w:rsid w:val="008107E1"/>
    <w:rsid w:val="00810C0F"/>
    <w:rsid w:val="00810CE0"/>
    <w:rsid w:val="00811038"/>
    <w:rsid w:val="008110A3"/>
    <w:rsid w:val="00811678"/>
    <w:rsid w:val="008117D5"/>
    <w:rsid w:val="0081187C"/>
    <w:rsid w:val="00811963"/>
    <w:rsid w:val="00811B0C"/>
    <w:rsid w:val="00811BA1"/>
    <w:rsid w:val="00811E93"/>
    <w:rsid w:val="00811ED5"/>
    <w:rsid w:val="00811F6C"/>
    <w:rsid w:val="00812081"/>
    <w:rsid w:val="0081216D"/>
    <w:rsid w:val="008122A5"/>
    <w:rsid w:val="008124A0"/>
    <w:rsid w:val="008124DB"/>
    <w:rsid w:val="008126F0"/>
    <w:rsid w:val="0081273D"/>
    <w:rsid w:val="00812810"/>
    <w:rsid w:val="00812B10"/>
    <w:rsid w:val="00812C2A"/>
    <w:rsid w:val="00812CBA"/>
    <w:rsid w:val="00812D1E"/>
    <w:rsid w:val="008130FF"/>
    <w:rsid w:val="00813532"/>
    <w:rsid w:val="008136FE"/>
    <w:rsid w:val="008138E5"/>
    <w:rsid w:val="00813A33"/>
    <w:rsid w:val="00813A79"/>
    <w:rsid w:val="00813B5C"/>
    <w:rsid w:val="00813B84"/>
    <w:rsid w:val="00813BE7"/>
    <w:rsid w:val="00813C38"/>
    <w:rsid w:val="0081422E"/>
    <w:rsid w:val="00814385"/>
    <w:rsid w:val="008143CA"/>
    <w:rsid w:val="00814562"/>
    <w:rsid w:val="008147EA"/>
    <w:rsid w:val="00814888"/>
    <w:rsid w:val="00814AF6"/>
    <w:rsid w:val="00814D14"/>
    <w:rsid w:val="00814FF8"/>
    <w:rsid w:val="00815047"/>
    <w:rsid w:val="0081517E"/>
    <w:rsid w:val="008154D1"/>
    <w:rsid w:val="00815696"/>
    <w:rsid w:val="0081579B"/>
    <w:rsid w:val="0081586B"/>
    <w:rsid w:val="00815C9F"/>
    <w:rsid w:val="00815D21"/>
    <w:rsid w:val="00815E58"/>
    <w:rsid w:val="00815F4E"/>
    <w:rsid w:val="00815FEE"/>
    <w:rsid w:val="008161BC"/>
    <w:rsid w:val="00816611"/>
    <w:rsid w:val="008166F6"/>
    <w:rsid w:val="008167A7"/>
    <w:rsid w:val="008169B5"/>
    <w:rsid w:val="00816A43"/>
    <w:rsid w:val="00816AC4"/>
    <w:rsid w:val="00816F18"/>
    <w:rsid w:val="00817374"/>
    <w:rsid w:val="0081763F"/>
    <w:rsid w:val="00817705"/>
    <w:rsid w:val="008178A6"/>
    <w:rsid w:val="00817B5F"/>
    <w:rsid w:val="00817BF7"/>
    <w:rsid w:val="00817D47"/>
    <w:rsid w:val="00817FDF"/>
    <w:rsid w:val="00820115"/>
    <w:rsid w:val="0082023A"/>
    <w:rsid w:val="008206F8"/>
    <w:rsid w:val="0082080D"/>
    <w:rsid w:val="00820A23"/>
    <w:rsid w:val="00820B30"/>
    <w:rsid w:val="00820C18"/>
    <w:rsid w:val="00820DB2"/>
    <w:rsid w:val="0082100B"/>
    <w:rsid w:val="0082125F"/>
    <w:rsid w:val="0082147B"/>
    <w:rsid w:val="008215A3"/>
    <w:rsid w:val="008216E7"/>
    <w:rsid w:val="00821859"/>
    <w:rsid w:val="0082186B"/>
    <w:rsid w:val="00821A1F"/>
    <w:rsid w:val="00821A7B"/>
    <w:rsid w:val="00821FB3"/>
    <w:rsid w:val="008220CE"/>
    <w:rsid w:val="00822163"/>
    <w:rsid w:val="008225DE"/>
    <w:rsid w:val="008226C3"/>
    <w:rsid w:val="00822929"/>
    <w:rsid w:val="00822B13"/>
    <w:rsid w:val="008237D0"/>
    <w:rsid w:val="00823C0E"/>
    <w:rsid w:val="00823FE7"/>
    <w:rsid w:val="00824089"/>
    <w:rsid w:val="00824107"/>
    <w:rsid w:val="00824496"/>
    <w:rsid w:val="008244A3"/>
    <w:rsid w:val="0082457E"/>
    <w:rsid w:val="0082478B"/>
    <w:rsid w:val="00824989"/>
    <w:rsid w:val="008249D7"/>
    <w:rsid w:val="00824A5B"/>
    <w:rsid w:val="00824D35"/>
    <w:rsid w:val="00824F3E"/>
    <w:rsid w:val="00824F92"/>
    <w:rsid w:val="008250A1"/>
    <w:rsid w:val="00825112"/>
    <w:rsid w:val="008251A0"/>
    <w:rsid w:val="008251B6"/>
    <w:rsid w:val="008252BF"/>
    <w:rsid w:val="008252E3"/>
    <w:rsid w:val="00825332"/>
    <w:rsid w:val="008253BD"/>
    <w:rsid w:val="008256F0"/>
    <w:rsid w:val="00825A60"/>
    <w:rsid w:val="00825C23"/>
    <w:rsid w:val="00825D9D"/>
    <w:rsid w:val="00826498"/>
    <w:rsid w:val="00826819"/>
    <w:rsid w:val="008268EC"/>
    <w:rsid w:val="00826A91"/>
    <w:rsid w:val="00826B3C"/>
    <w:rsid w:val="00826C0A"/>
    <w:rsid w:val="00826D3A"/>
    <w:rsid w:val="00826E07"/>
    <w:rsid w:val="00826E1A"/>
    <w:rsid w:val="00826ECF"/>
    <w:rsid w:val="0082742C"/>
    <w:rsid w:val="0082784B"/>
    <w:rsid w:val="00827E26"/>
    <w:rsid w:val="00827E8A"/>
    <w:rsid w:val="00827EA1"/>
    <w:rsid w:val="00830023"/>
    <w:rsid w:val="008300A3"/>
    <w:rsid w:val="0083022F"/>
    <w:rsid w:val="0083052A"/>
    <w:rsid w:val="008305AC"/>
    <w:rsid w:val="00830880"/>
    <w:rsid w:val="00830CD8"/>
    <w:rsid w:val="008310DD"/>
    <w:rsid w:val="008310E2"/>
    <w:rsid w:val="0083122D"/>
    <w:rsid w:val="008312BF"/>
    <w:rsid w:val="0083142E"/>
    <w:rsid w:val="00831BD3"/>
    <w:rsid w:val="00831EF1"/>
    <w:rsid w:val="00832108"/>
    <w:rsid w:val="00832733"/>
    <w:rsid w:val="00832B91"/>
    <w:rsid w:val="00832D6A"/>
    <w:rsid w:val="00832EA6"/>
    <w:rsid w:val="00833116"/>
    <w:rsid w:val="008331B7"/>
    <w:rsid w:val="00833575"/>
    <w:rsid w:val="008338B8"/>
    <w:rsid w:val="0083399B"/>
    <w:rsid w:val="00833B19"/>
    <w:rsid w:val="00834174"/>
    <w:rsid w:val="00834560"/>
    <w:rsid w:val="00834604"/>
    <w:rsid w:val="00834794"/>
    <w:rsid w:val="008347BB"/>
    <w:rsid w:val="008347C9"/>
    <w:rsid w:val="008347D5"/>
    <w:rsid w:val="0083484B"/>
    <w:rsid w:val="008348D9"/>
    <w:rsid w:val="00834AA5"/>
    <w:rsid w:val="00834BA1"/>
    <w:rsid w:val="00834BA3"/>
    <w:rsid w:val="00834BE0"/>
    <w:rsid w:val="00834C67"/>
    <w:rsid w:val="00834E95"/>
    <w:rsid w:val="00834EFB"/>
    <w:rsid w:val="00834F08"/>
    <w:rsid w:val="008351C2"/>
    <w:rsid w:val="0083520C"/>
    <w:rsid w:val="00835329"/>
    <w:rsid w:val="008353BC"/>
    <w:rsid w:val="00835549"/>
    <w:rsid w:val="008355C3"/>
    <w:rsid w:val="00835673"/>
    <w:rsid w:val="00835681"/>
    <w:rsid w:val="008358DE"/>
    <w:rsid w:val="00835BA9"/>
    <w:rsid w:val="00835E25"/>
    <w:rsid w:val="00835EA8"/>
    <w:rsid w:val="00835FC0"/>
    <w:rsid w:val="008361C9"/>
    <w:rsid w:val="008369E7"/>
    <w:rsid w:val="00836B5A"/>
    <w:rsid w:val="00836BC4"/>
    <w:rsid w:val="00836F2A"/>
    <w:rsid w:val="00837220"/>
    <w:rsid w:val="00837406"/>
    <w:rsid w:val="00837923"/>
    <w:rsid w:val="008400AD"/>
    <w:rsid w:val="0084015E"/>
    <w:rsid w:val="00840507"/>
    <w:rsid w:val="00840796"/>
    <w:rsid w:val="00840824"/>
    <w:rsid w:val="008408FF"/>
    <w:rsid w:val="00840ABE"/>
    <w:rsid w:val="00840B46"/>
    <w:rsid w:val="00840C2E"/>
    <w:rsid w:val="00840E35"/>
    <w:rsid w:val="00840EA0"/>
    <w:rsid w:val="00840FEB"/>
    <w:rsid w:val="0084117D"/>
    <w:rsid w:val="008412F7"/>
    <w:rsid w:val="00841391"/>
    <w:rsid w:val="008415D3"/>
    <w:rsid w:val="0084171D"/>
    <w:rsid w:val="0084177C"/>
    <w:rsid w:val="0084188A"/>
    <w:rsid w:val="00841B40"/>
    <w:rsid w:val="00841B61"/>
    <w:rsid w:val="00841D15"/>
    <w:rsid w:val="00841E5B"/>
    <w:rsid w:val="00841E87"/>
    <w:rsid w:val="00841EBD"/>
    <w:rsid w:val="00841F1F"/>
    <w:rsid w:val="00841F3E"/>
    <w:rsid w:val="00841F96"/>
    <w:rsid w:val="00841FC9"/>
    <w:rsid w:val="00841FE9"/>
    <w:rsid w:val="00842075"/>
    <w:rsid w:val="00842238"/>
    <w:rsid w:val="00842397"/>
    <w:rsid w:val="0084284A"/>
    <w:rsid w:val="00842917"/>
    <w:rsid w:val="0084293D"/>
    <w:rsid w:val="00842EA1"/>
    <w:rsid w:val="00842F10"/>
    <w:rsid w:val="008430D8"/>
    <w:rsid w:val="0084311B"/>
    <w:rsid w:val="00843140"/>
    <w:rsid w:val="0084393D"/>
    <w:rsid w:val="00843C90"/>
    <w:rsid w:val="00843E3B"/>
    <w:rsid w:val="00843F15"/>
    <w:rsid w:val="00843F40"/>
    <w:rsid w:val="00843FC7"/>
    <w:rsid w:val="00844071"/>
    <w:rsid w:val="008440E3"/>
    <w:rsid w:val="0084446E"/>
    <w:rsid w:val="008449CE"/>
    <w:rsid w:val="00844DFF"/>
    <w:rsid w:val="00844EBA"/>
    <w:rsid w:val="00844EC3"/>
    <w:rsid w:val="00845212"/>
    <w:rsid w:val="00845327"/>
    <w:rsid w:val="00845368"/>
    <w:rsid w:val="008455CB"/>
    <w:rsid w:val="008457F3"/>
    <w:rsid w:val="0084590C"/>
    <w:rsid w:val="0084591C"/>
    <w:rsid w:val="0084595D"/>
    <w:rsid w:val="00845A2D"/>
    <w:rsid w:val="00845A69"/>
    <w:rsid w:val="00845D93"/>
    <w:rsid w:val="00845DF2"/>
    <w:rsid w:val="00845EBA"/>
    <w:rsid w:val="00845FB4"/>
    <w:rsid w:val="00845FF1"/>
    <w:rsid w:val="00846171"/>
    <w:rsid w:val="008461D9"/>
    <w:rsid w:val="008463DC"/>
    <w:rsid w:val="0084668B"/>
    <w:rsid w:val="008466AB"/>
    <w:rsid w:val="00846932"/>
    <w:rsid w:val="00846BE4"/>
    <w:rsid w:val="00846DB3"/>
    <w:rsid w:val="00847047"/>
    <w:rsid w:val="0084737D"/>
    <w:rsid w:val="008473FE"/>
    <w:rsid w:val="00847685"/>
    <w:rsid w:val="00847B94"/>
    <w:rsid w:val="00847E09"/>
    <w:rsid w:val="00847FF0"/>
    <w:rsid w:val="008500D7"/>
    <w:rsid w:val="00850448"/>
    <w:rsid w:val="00850600"/>
    <w:rsid w:val="0085088A"/>
    <w:rsid w:val="00850BB1"/>
    <w:rsid w:val="00850E63"/>
    <w:rsid w:val="00851040"/>
    <w:rsid w:val="008510B1"/>
    <w:rsid w:val="00851284"/>
    <w:rsid w:val="0085130E"/>
    <w:rsid w:val="00851425"/>
    <w:rsid w:val="00851611"/>
    <w:rsid w:val="00851728"/>
    <w:rsid w:val="008517B5"/>
    <w:rsid w:val="008517FC"/>
    <w:rsid w:val="00851963"/>
    <w:rsid w:val="00851A76"/>
    <w:rsid w:val="00851AA1"/>
    <w:rsid w:val="00851E6C"/>
    <w:rsid w:val="00851E80"/>
    <w:rsid w:val="00852065"/>
    <w:rsid w:val="008521B5"/>
    <w:rsid w:val="008522E8"/>
    <w:rsid w:val="00852441"/>
    <w:rsid w:val="00852621"/>
    <w:rsid w:val="00852984"/>
    <w:rsid w:val="00852AAD"/>
    <w:rsid w:val="00852D54"/>
    <w:rsid w:val="008530A0"/>
    <w:rsid w:val="00853125"/>
    <w:rsid w:val="0085328A"/>
    <w:rsid w:val="00853928"/>
    <w:rsid w:val="0085395B"/>
    <w:rsid w:val="00853A44"/>
    <w:rsid w:val="00853A75"/>
    <w:rsid w:val="00853ADD"/>
    <w:rsid w:val="00853B32"/>
    <w:rsid w:val="00853E62"/>
    <w:rsid w:val="00854275"/>
    <w:rsid w:val="0085460A"/>
    <w:rsid w:val="00854747"/>
    <w:rsid w:val="008548E0"/>
    <w:rsid w:val="00854915"/>
    <w:rsid w:val="00854DF4"/>
    <w:rsid w:val="00854FAE"/>
    <w:rsid w:val="00855023"/>
    <w:rsid w:val="0085546D"/>
    <w:rsid w:val="00855999"/>
    <w:rsid w:val="00855B76"/>
    <w:rsid w:val="00855B8E"/>
    <w:rsid w:val="00855EE5"/>
    <w:rsid w:val="00855F06"/>
    <w:rsid w:val="0085607E"/>
    <w:rsid w:val="0085626B"/>
    <w:rsid w:val="008562FD"/>
    <w:rsid w:val="008563DE"/>
    <w:rsid w:val="00856406"/>
    <w:rsid w:val="00856865"/>
    <w:rsid w:val="0085694B"/>
    <w:rsid w:val="008569C8"/>
    <w:rsid w:val="00856AE1"/>
    <w:rsid w:val="00856CA9"/>
    <w:rsid w:val="00856EA3"/>
    <w:rsid w:val="00856F07"/>
    <w:rsid w:val="008571DF"/>
    <w:rsid w:val="008572AA"/>
    <w:rsid w:val="0085744F"/>
    <w:rsid w:val="008577AD"/>
    <w:rsid w:val="00857B0D"/>
    <w:rsid w:val="00857BA2"/>
    <w:rsid w:val="00857BC7"/>
    <w:rsid w:val="00860000"/>
    <w:rsid w:val="00860061"/>
    <w:rsid w:val="008601E6"/>
    <w:rsid w:val="008603B5"/>
    <w:rsid w:val="00860447"/>
    <w:rsid w:val="0086075A"/>
    <w:rsid w:val="008608E8"/>
    <w:rsid w:val="00860986"/>
    <w:rsid w:val="00860BA5"/>
    <w:rsid w:val="00860C34"/>
    <w:rsid w:val="00860CE1"/>
    <w:rsid w:val="00861378"/>
    <w:rsid w:val="008614E6"/>
    <w:rsid w:val="008615FB"/>
    <w:rsid w:val="0086166F"/>
    <w:rsid w:val="0086181C"/>
    <w:rsid w:val="0086194D"/>
    <w:rsid w:val="008619C2"/>
    <w:rsid w:val="00861AAA"/>
    <w:rsid w:val="00861B3C"/>
    <w:rsid w:val="00861CED"/>
    <w:rsid w:val="00861CF9"/>
    <w:rsid w:val="00861DEC"/>
    <w:rsid w:val="00861ECD"/>
    <w:rsid w:val="0086200B"/>
    <w:rsid w:val="008621AF"/>
    <w:rsid w:val="00862461"/>
    <w:rsid w:val="0086246E"/>
    <w:rsid w:val="00862603"/>
    <w:rsid w:val="0086262D"/>
    <w:rsid w:val="00862A6C"/>
    <w:rsid w:val="00862B5A"/>
    <w:rsid w:val="00862DF7"/>
    <w:rsid w:val="00862FF4"/>
    <w:rsid w:val="0086303C"/>
    <w:rsid w:val="008631C5"/>
    <w:rsid w:val="008632EA"/>
    <w:rsid w:val="00863555"/>
    <w:rsid w:val="008635F6"/>
    <w:rsid w:val="00863715"/>
    <w:rsid w:val="008637FA"/>
    <w:rsid w:val="00863A9E"/>
    <w:rsid w:val="00863BEF"/>
    <w:rsid w:val="00863E47"/>
    <w:rsid w:val="00863E81"/>
    <w:rsid w:val="00863F44"/>
    <w:rsid w:val="00863FD1"/>
    <w:rsid w:val="0086401F"/>
    <w:rsid w:val="0086407E"/>
    <w:rsid w:val="008641BF"/>
    <w:rsid w:val="008641D5"/>
    <w:rsid w:val="00864249"/>
    <w:rsid w:val="0086425C"/>
    <w:rsid w:val="0086452A"/>
    <w:rsid w:val="008645C6"/>
    <w:rsid w:val="008646AD"/>
    <w:rsid w:val="008647FF"/>
    <w:rsid w:val="00864EE6"/>
    <w:rsid w:val="00865214"/>
    <w:rsid w:val="008652C2"/>
    <w:rsid w:val="0086540C"/>
    <w:rsid w:val="00865410"/>
    <w:rsid w:val="00865752"/>
    <w:rsid w:val="00865897"/>
    <w:rsid w:val="00865B7D"/>
    <w:rsid w:val="00866416"/>
    <w:rsid w:val="008668B5"/>
    <w:rsid w:val="00866972"/>
    <w:rsid w:val="0086698D"/>
    <w:rsid w:val="00866A19"/>
    <w:rsid w:val="00866A5C"/>
    <w:rsid w:val="00866CE8"/>
    <w:rsid w:val="00866D70"/>
    <w:rsid w:val="00866D9F"/>
    <w:rsid w:val="00866DC8"/>
    <w:rsid w:val="00866E8B"/>
    <w:rsid w:val="00867118"/>
    <w:rsid w:val="00867294"/>
    <w:rsid w:val="00867590"/>
    <w:rsid w:val="0086759C"/>
    <w:rsid w:val="008676C4"/>
    <w:rsid w:val="00867A1E"/>
    <w:rsid w:val="00867C68"/>
    <w:rsid w:val="008700F0"/>
    <w:rsid w:val="008702BC"/>
    <w:rsid w:val="00870369"/>
    <w:rsid w:val="008703B7"/>
    <w:rsid w:val="008707D0"/>
    <w:rsid w:val="00870A43"/>
    <w:rsid w:val="00870A84"/>
    <w:rsid w:val="00870AF5"/>
    <w:rsid w:val="00870CC0"/>
    <w:rsid w:val="00870E65"/>
    <w:rsid w:val="00870EFE"/>
    <w:rsid w:val="00870F6B"/>
    <w:rsid w:val="008710B4"/>
    <w:rsid w:val="008710F4"/>
    <w:rsid w:val="008711BF"/>
    <w:rsid w:val="008711E4"/>
    <w:rsid w:val="0087120F"/>
    <w:rsid w:val="00871325"/>
    <w:rsid w:val="0087133D"/>
    <w:rsid w:val="0087143C"/>
    <w:rsid w:val="0087155F"/>
    <w:rsid w:val="008716FE"/>
    <w:rsid w:val="0087185A"/>
    <w:rsid w:val="00871939"/>
    <w:rsid w:val="00871B8B"/>
    <w:rsid w:val="00871D71"/>
    <w:rsid w:val="00871E23"/>
    <w:rsid w:val="00872023"/>
    <w:rsid w:val="0087218B"/>
    <w:rsid w:val="008726AF"/>
    <w:rsid w:val="008726F0"/>
    <w:rsid w:val="00872881"/>
    <w:rsid w:val="008728D5"/>
    <w:rsid w:val="008729D3"/>
    <w:rsid w:val="00872A62"/>
    <w:rsid w:val="00872AA8"/>
    <w:rsid w:val="00872AC3"/>
    <w:rsid w:val="00872B98"/>
    <w:rsid w:val="00872C16"/>
    <w:rsid w:val="00872C38"/>
    <w:rsid w:val="00872C92"/>
    <w:rsid w:val="00872DDB"/>
    <w:rsid w:val="00872FA2"/>
    <w:rsid w:val="00872FE5"/>
    <w:rsid w:val="00873263"/>
    <w:rsid w:val="00873368"/>
    <w:rsid w:val="00873388"/>
    <w:rsid w:val="00873474"/>
    <w:rsid w:val="0087347C"/>
    <w:rsid w:val="008734A1"/>
    <w:rsid w:val="008735ED"/>
    <w:rsid w:val="00873615"/>
    <w:rsid w:val="00873EB5"/>
    <w:rsid w:val="00873F84"/>
    <w:rsid w:val="008740EE"/>
    <w:rsid w:val="00874336"/>
    <w:rsid w:val="00874572"/>
    <w:rsid w:val="00874624"/>
    <w:rsid w:val="00874642"/>
    <w:rsid w:val="008746B7"/>
    <w:rsid w:val="00874818"/>
    <w:rsid w:val="008748F5"/>
    <w:rsid w:val="00874902"/>
    <w:rsid w:val="008749F3"/>
    <w:rsid w:val="00874A59"/>
    <w:rsid w:val="00874BA1"/>
    <w:rsid w:val="00874BC0"/>
    <w:rsid w:val="00874D8F"/>
    <w:rsid w:val="00874F07"/>
    <w:rsid w:val="00874FCD"/>
    <w:rsid w:val="00875297"/>
    <w:rsid w:val="00875303"/>
    <w:rsid w:val="008753AE"/>
    <w:rsid w:val="00875446"/>
    <w:rsid w:val="0087565A"/>
    <w:rsid w:val="008758AE"/>
    <w:rsid w:val="008758C8"/>
    <w:rsid w:val="008758F4"/>
    <w:rsid w:val="00875C05"/>
    <w:rsid w:val="00875C86"/>
    <w:rsid w:val="00875CA6"/>
    <w:rsid w:val="00876077"/>
    <w:rsid w:val="0087615F"/>
    <w:rsid w:val="0087618B"/>
    <w:rsid w:val="00876249"/>
    <w:rsid w:val="0087625D"/>
    <w:rsid w:val="00876279"/>
    <w:rsid w:val="0087658D"/>
    <w:rsid w:val="0087689A"/>
    <w:rsid w:val="0087697F"/>
    <w:rsid w:val="00876DBE"/>
    <w:rsid w:val="00876F2B"/>
    <w:rsid w:val="00876F96"/>
    <w:rsid w:val="008770AC"/>
    <w:rsid w:val="008770E5"/>
    <w:rsid w:val="00877116"/>
    <w:rsid w:val="008772A3"/>
    <w:rsid w:val="00877390"/>
    <w:rsid w:val="008773FF"/>
    <w:rsid w:val="0087778B"/>
    <w:rsid w:val="00877B41"/>
    <w:rsid w:val="00880078"/>
    <w:rsid w:val="0088085B"/>
    <w:rsid w:val="00880D1B"/>
    <w:rsid w:val="00880DD7"/>
    <w:rsid w:val="00880F64"/>
    <w:rsid w:val="0088133F"/>
    <w:rsid w:val="00881499"/>
    <w:rsid w:val="008814D5"/>
    <w:rsid w:val="008815C7"/>
    <w:rsid w:val="00881742"/>
    <w:rsid w:val="0088181A"/>
    <w:rsid w:val="00881BAA"/>
    <w:rsid w:val="00881CDD"/>
    <w:rsid w:val="00881E9B"/>
    <w:rsid w:val="00882050"/>
    <w:rsid w:val="00882110"/>
    <w:rsid w:val="0088213D"/>
    <w:rsid w:val="008821F9"/>
    <w:rsid w:val="0088239E"/>
    <w:rsid w:val="0088240D"/>
    <w:rsid w:val="008824F0"/>
    <w:rsid w:val="008825B5"/>
    <w:rsid w:val="00882831"/>
    <w:rsid w:val="008828C0"/>
    <w:rsid w:val="008828DC"/>
    <w:rsid w:val="00882A2D"/>
    <w:rsid w:val="00882B87"/>
    <w:rsid w:val="00882BCC"/>
    <w:rsid w:val="00882EC7"/>
    <w:rsid w:val="00882FD8"/>
    <w:rsid w:val="00883168"/>
    <w:rsid w:val="00883479"/>
    <w:rsid w:val="00883922"/>
    <w:rsid w:val="00883A55"/>
    <w:rsid w:val="00883B54"/>
    <w:rsid w:val="00883DED"/>
    <w:rsid w:val="00883ED2"/>
    <w:rsid w:val="00883F10"/>
    <w:rsid w:val="00883FB3"/>
    <w:rsid w:val="00884047"/>
    <w:rsid w:val="008841D7"/>
    <w:rsid w:val="008842EF"/>
    <w:rsid w:val="0088434F"/>
    <w:rsid w:val="008843AC"/>
    <w:rsid w:val="008844A7"/>
    <w:rsid w:val="00884819"/>
    <w:rsid w:val="008849B2"/>
    <w:rsid w:val="00884A33"/>
    <w:rsid w:val="00884EED"/>
    <w:rsid w:val="00885071"/>
    <w:rsid w:val="0088518E"/>
    <w:rsid w:val="008851BC"/>
    <w:rsid w:val="00885237"/>
    <w:rsid w:val="00885268"/>
    <w:rsid w:val="00885878"/>
    <w:rsid w:val="008860C3"/>
    <w:rsid w:val="00886179"/>
    <w:rsid w:val="008862FF"/>
    <w:rsid w:val="0088649E"/>
    <w:rsid w:val="008864E0"/>
    <w:rsid w:val="008866E6"/>
    <w:rsid w:val="00886871"/>
    <w:rsid w:val="00886AB3"/>
    <w:rsid w:val="00886D57"/>
    <w:rsid w:val="00886E7F"/>
    <w:rsid w:val="008870C2"/>
    <w:rsid w:val="0088727D"/>
    <w:rsid w:val="008875E9"/>
    <w:rsid w:val="008879E8"/>
    <w:rsid w:val="00887A92"/>
    <w:rsid w:val="00887BA5"/>
    <w:rsid w:val="00887BBC"/>
    <w:rsid w:val="00887ED5"/>
    <w:rsid w:val="008901EB"/>
    <w:rsid w:val="00890475"/>
    <w:rsid w:val="00890565"/>
    <w:rsid w:val="00890898"/>
    <w:rsid w:val="008908F2"/>
    <w:rsid w:val="00890A5B"/>
    <w:rsid w:val="00890CE9"/>
    <w:rsid w:val="00890DAC"/>
    <w:rsid w:val="00890DB7"/>
    <w:rsid w:val="00890F00"/>
    <w:rsid w:val="00891139"/>
    <w:rsid w:val="00891360"/>
    <w:rsid w:val="00891436"/>
    <w:rsid w:val="008917AC"/>
    <w:rsid w:val="0089189B"/>
    <w:rsid w:val="00891992"/>
    <w:rsid w:val="00891B51"/>
    <w:rsid w:val="00891E2C"/>
    <w:rsid w:val="00891EFB"/>
    <w:rsid w:val="00891FEE"/>
    <w:rsid w:val="008925C3"/>
    <w:rsid w:val="00892656"/>
    <w:rsid w:val="008926BC"/>
    <w:rsid w:val="0089276F"/>
    <w:rsid w:val="00892818"/>
    <w:rsid w:val="008928D9"/>
    <w:rsid w:val="0089292B"/>
    <w:rsid w:val="00892BFE"/>
    <w:rsid w:val="00892CB1"/>
    <w:rsid w:val="008932BC"/>
    <w:rsid w:val="0089346C"/>
    <w:rsid w:val="0089376C"/>
    <w:rsid w:val="0089377F"/>
    <w:rsid w:val="0089378A"/>
    <w:rsid w:val="00893B22"/>
    <w:rsid w:val="00893BD5"/>
    <w:rsid w:val="00893C5F"/>
    <w:rsid w:val="00893CAB"/>
    <w:rsid w:val="00893DF2"/>
    <w:rsid w:val="00893ECD"/>
    <w:rsid w:val="00894316"/>
    <w:rsid w:val="0089446E"/>
    <w:rsid w:val="0089482B"/>
    <w:rsid w:val="008948BE"/>
    <w:rsid w:val="008949B1"/>
    <w:rsid w:val="00894B02"/>
    <w:rsid w:val="00894CF7"/>
    <w:rsid w:val="00894F11"/>
    <w:rsid w:val="0089503F"/>
    <w:rsid w:val="00895343"/>
    <w:rsid w:val="00895350"/>
    <w:rsid w:val="00895391"/>
    <w:rsid w:val="00895428"/>
    <w:rsid w:val="008954E6"/>
    <w:rsid w:val="00895587"/>
    <w:rsid w:val="008955FB"/>
    <w:rsid w:val="008958B4"/>
    <w:rsid w:val="00895B94"/>
    <w:rsid w:val="00895BEB"/>
    <w:rsid w:val="00895E1B"/>
    <w:rsid w:val="008960E5"/>
    <w:rsid w:val="00896129"/>
    <w:rsid w:val="008961B6"/>
    <w:rsid w:val="008963DE"/>
    <w:rsid w:val="0089673A"/>
    <w:rsid w:val="00896751"/>
    <w:rsid w:val="00896B3E"/>
    <w:rsid w:val="00896BAD"/>
    <w:rsid w:val="00896BD2"/>
    <w:rsid w:val="00896BF7"/>
    <w:rsid w:val="00896CFB"/>
    <w:rsid w:val="00896D15"/>
    <w:rsid w:val="00896D87"/>
    <w:rsid w:val="00896E07"/>
    <w:rsid w:val="00896E29"/>
    <w:rsid w:val="008971F4"/>
    <w:rsid w:val="008973CE"/>
    <w:rsid w:val="00897525"/>
    <w:rsid w:val="00897631"/>
    <w:rsid w:val="00897696"/>
    <w:rsid w:val="008976D2"/>
    <w:rsid w:val="0089778B"/>
    <w:rsid w:val="00897B3E"/>
    <w:rsid w:val="00897D32"/>
    <w:rsid w:val="00897E30"/>
    <w:rsid w:val="008A01FE"/>
    <w:rsid w:val="008A024D"/>
    <w:rsid w:val="008A0321"/>
    <w:rsid w:val="008A03E3"/>
    <w:rsid w:val="008A04E5"/>
    <w:rsid w:val="008A050F"/>
    <w:rsid w:val="008A0647"/>
    <w:rsid w:val="008A0840"/>
    <w:rsid w:val="008A0B9A"/>
    <w:rsid w:val="008A0BE7"/>
    <w:rsid w:val="008A0D9A"/>
    <w:rsid w:val="008A0E8E"/>
    <w:rsid w:val="008A0FC9"/>
    <w:rsid w:val="008A1210"/>
    <w:rsid w:val="008A15C2"/>
    <w:rsid w:val="008A1947"/>
    <w:rsid w:val="008A1AED"/>
    <w:rsid w:val="008A1B1F"/>
    <w:rsid w:val="008A1DAE"/>
    <w:rsid w:val="008A1F06"/>
    <w:rsid w:val="008A213F"/>
    <w:rsid w:val="008A219B"/>
    <w:rsid w:val="008A2447"/>
    <w:rsid w:val="008A259A"/>
    <w:rsid w:val="008A27DA"/>
    <w:rsid w:val="008A2D1A"/>
    <w:rsid w:val="008A2DAD"/>
    <w:rsid w:val="008A2F7B"/>
    <w:rsid w:val="008A2FC6"/>
    <w:rsid w:val="008A310D"/>
    <w:rsid w:val="008A313B"/>
    <w:rsid w:val="008A3536"/>
    <w:rsid w:val="008A3623"/>
    <w:rsid w:val="008A39E0"/>
    <w:rsid w:val="008A3AA1"/>
    <w:rsid w:val="008A3B49"/>
    <w:rsid w:val="008A3D9B"/>
    <w:rsid w:val="008A3DD9"/>
    <w:rsid w:val="008A402A"/>
    <w:rsid w:val="008A4120"/>
    <w:rsid w:val="008A4132"/>
    <w:rsid w:val="008A4693"/>
    <w:rsid w:val="008A472F"/>
    <w:rsid w:val="008A49EE"/>
    <w:rsid w:val="008A4A80"/>
    <w:rsid w:val="008A4BA6"/>
    <w:rsid w:val="008A51C6"/>
    <w:rsid w:val="008A5239"/>
    <w:rsid w:val="008A5361"/>
    <w:rsid w:val="008A558B"/>
    <w:rsid w:val="008A55B3"/>
    <w:rsid w:val="008A5891"/>
    <w:rsid w:val="008A58CC"/>
    <w:rsid w:val="008A5A6F"/>
    <w:rsid w:val="008A5B30"/>
    <w:rsid w:val="008A5D01"/>
    <w:rsid w:val="008A5D1D"/>
    <w:rsid w:val="008A5E5E"/>
    <w:rsid w:val="008A5F6B"/>
    <w:rsid w:val="008A630F"/>
    <w:rsid w:val="008A6494"/>
    <w:rsid w:val="008A64A4"/>
    <w:rsid w:val="008A6545"/>
    <w:rsid w:val="008A657B"/>
    <w:rsid w:val="008A65EA"/>
    <w:rsid w:val="008A6661"/>
    <w:rsid w:val="008A68FC"/>
    <w:rsid w:val="008A6FE5"/>
    <w:rsid w:val="008A709C"/>
    <w:rsid w:val="008A7146"/>
    <w:rsid w:val="008A7795"/>
    <w:rsid w:val="008A7C1C"/>
    <w:rsid w:val="008A7CC8"/>
    <w:rsid w:val="008A7D00"/>
    <w:rsid w:val="008A7D9D"/>
    <w:rsid w:val="008A7DF7"/>
    <w:rsid w:val="008A7E45"/>
    <w:rsid w:val="008A7E89"/>
    <w:rsid w:val="008B00B3"/>
    <w:rsid w:val="008B0181"/>
    <w:rsid w:val="008B01D6"/>
    <w:rsid w:val="008B0287"/>
    <w:rsid w:val="008B08BE"/>
    <w:rsid w:val="008B0973"/>
    <w:rsid w:val="008B0974"/>
    <w:rsid w:val="008B0CB8"/>
    <w:rsid w:val="008B0D9B"/>
    <w:rsid w:val="008B0E70"/>
    <w:rsid w:val="008B0FB2"/>
    <w:rsid w:val="008B1057"/>
    <w:rsid w:val="008B107D"/>
    <w:rsid w:val="008B1363"/>
    <w:rsid w:val="008B14A1"/>
    <w:rsid w:val="008B16FE"/>
    <w:rsid w:val="008B2060"/>
    <w:rsid w:val="008B2211"/>
    <w:rsid w:val="008B22ED"/>
    <w:rsid w:val="008B2468"/>
    <w:rsid w:val="008B261E"/>
    <w:rsid w:val="008B2750"/>
    <w:rsid w:val="008B27BB"/>
    <w:rsid w:val="008B28BB"/>
    <w:rsid w:val="008B29B0"/>
    <w:rsid w:val="008B2A05"/>
    <w:rsid w:val="008B2B07"/>
    <w:rsid w:val="008B2C53"/>
    <w:rsid w:val="008B2D2E"/>
    <w:rsid w:val="008B2DB3"/>
    <w:rsid w:val="008B31DF"/>
    <w:rsid w:val="008B326B"/>
    <w:rsid w:val="008B33A5"/>
    <w:rsid w:val="008B3566"/>
    <w:rsid w:val="008B377E"/>
    <w:rsid w:val="008B3906"/>
    <w:rsid w:val="008B3A99"/>
    <w:rsid w:val="008B3D15"/>
    <w:rsid w:val="008B3D71"/>
    <w:rsid w:val="008B3E12"/>
    <w:rsid w:val="008B3E41"/>
    <w:rsid w:val="008B3F8E"/>
    <w:rsid w:val="008B4014"/>
    <w:rsid w:val="008B417E"/>
    <w:rsid w:val="008B422E"/>
    <w:rsid w:val="008B422F"/>
    <w:rsid w:val="008B42D3"/>
    <w:rsid w:val="008B44C3"/>
    <w:rsid w:val="008B4710"/>
    <w:rsid w:val="008B482E"/>
    <w:rsid w:val="008B498A"/>
    <w:rsid w:val="008B4BEB"/>
    <w:rsid w:val="008B4C88"/>
    <w:rsid w:val="008B4D69"/>
    <w:rsid w:val="008B4EE2"/>
    <w:rsid w:val="008B4FD5"/>
    <w:rsid w:val="008B5C5D"/>
    <w:rsid w:val="008B614C"/>
    <w:rsid w:val="008B62F3"/>
    <w:rsid w:val="008B635E"/>
    <w:rsid w:val="008B657C"/>
    <w:rsid w:val="008B65F6"/>
    <w:rsid w:val="008B6A76"/>
    <w:rsid w:val="008B6C4D"/>
    <w:rsid w:val="008B6E81"/>
    <w:rsid w:val="008B6F42"/>
    <w:rsid w:val="008B6F7A"/>
    <w:rsid w:val="008B7258"/>
    <w:rsid w:val="008B72EF"/>
    <w:rsid w:val="008B743C"/>
    <w:rsid w:val="008B7537"/>
    <w:rsid w:val="008B75FE"/>
    <w:rsid w:val="008B7AFD"/>
    <w:rsid w:val="008B7CA7"/>
    <w:rsid w:val="008B7E2F"/>
    <w:rsid w:val="008B7EB5"/>
    <w:rsid w:val="008C0061"/>
    <w:rsid w:val="008C00BB"/>
    <w:rsid w:val="008C0131"/>
    <w:rsid w:val="008C0174"/>
    <w:rsid w:val="008C02A4"/>
    <w:rsid w:val="008C0308"/>
    <w:rsid w:val="008C03EA"/>
    <w:rsid w:val="008C05D6"/>
    <w:rsid w:val="008C0DEB"/>
    <w:rsid w:val="008C0E15"/>
    <w:rsid w:val="008C12CD"/>
    <w:rsid w:val="008C1453"/>
    <w:rsid w:val="008C1566"/>
    <w:rsid w:val="008C1BC7"/>
    <w:rsid w:val="008C1C05"/>
    <w:rsid w:val="008C1C6F"/>
    <w:rsid w:val="008C210F"/>
    <w:rsid w:val="008C220B"/>
    <w:rsid w:val="008C2272"/>
    <w:rsid w:val="008C239E"/>
    <w:rsid w:val="008C2452"/>
    <w:rsid w:val="008C24F6"/>
    <w:rsid w:val="008C275C"/>
    <w:rsid w:val="008C29C5"/>
    <w:rsid w:val="008C2A15"/>
    <w:rsid w:val="008C2A76"/>
    <w:rsid w:val="008C2AE9"/>
    <w:rsid w:val="008C2BE7"/>
    <w:rsid w:val="008C2C0A"/>
    <w:rsid w:val="008C3032"/>
    <w:rsid w:val="008C3074"/>
    <w:rsid w:val="008C308A"/>
    <w:rsid w:val="008C33B8"/>
    <w:rsid w:val="008C33EF"/>
    <w:rsid w:val="008C348E"/>
    <w:rsid w:val="008C356E"/>
    <w:rsid w:val="008C36D5"/>
    <w:rsid w:val="008C396D"/>
    <w:rsid w:val="008C39C5"/>
    <w:rsid w:val="008C3A70"/>
    <w:rsid w:val="008C3B8B"/>
    <w:rsid w:val="008C3BBA"/>
    <w:rsid w:val="008C406C"/>
    <w:rsid w:val="008C40AC"/>
    <w:rsid w:val="008C414F"/>
    <w:rsid w:val="008C4298"/>
    <w:rsid w:val="008C45E9"/>
    <w:rsid w:val="008C4679"/>
    <w:rsid w:val="008C490C"/>
    <w:rsid w:val="008C4975"/>
    <w:rsid w:val="008C4AE0"/>
    <w:rsid w:val="008C4B77"/>
    <w:rsid w:val="008C4C5A"/>
    <w:rsid w:val="008C4CE6"/>
    <w:rsid w:val="008C4CF1"/>
    <w:rsid w:val="008C4D01"/>
    <w:rsid w:val="008C4DCA"/>
    <w:rsid w:val="008C4F5D"/>
    <w:rsid w:val="008C530B"/>
    <w:rsid w:val="008C57F0"/>
    <w:rsid w:val="008C58AF"/>
    <w:rsid w:val="008C5959"/>
    <w:rsid w:val="008C59B9"/>
    <w:rsid w:val="008C5CB7"/>
    <w:rsid w:val="008C5F4F"/>
    <w:rsid w:val="008C5FD5"/>
    <w:rsid w:val="008C6208"/>
    <w:rsid w:val="008C6294"/>
    <w:rsid w:val="008C642A"/>
    <w:rsid w:val="008C652C"/>
    <w:rsid w:val="008C657A"/>
    <w:rsid w:val="008C6792"/>
    <w:rsid w:val="008C68A6"/>
    <w:rsid w:val="008C68E1"/>
    <w:rsid w:val="008C6932"/>
    <w:rsid w:val="008C69B0"/>
    <w:rsid w:val="008C6AA0"/>
    <w:rsid w:val="008C6B41"/>
    <w:rsid w:val="008C6BA8"/>
    <w:rsid w:val="008C6CB2"/>
    <w:rsid w:val="008C6CD2"/>
    <w:rsid w:val="008C6CF0"/>
    <w:rsid w:val="008C6D85"/>
    <w:rsid w:val="008C6DFF"/>
    <w:rsid w:val="008C7001"/>
    <w:rsid w:val="008C7029"/>
    <w:rsid w:val="008C7042"/>
    <w:rsid w:val="008C7082"/>
    <w:rsid w:val="008C7606"/>
    <w:rsid w:val="008C76FA"/>
    <w:rsid w:val="008C772E"/>
    <w:rsid w:val="008C777C"/>
    <w:rsid w:val="008C77DB"/>
    <w:rsid w:val="008C7993"/>
    <w:rsid w:val="008C7BAE"/>
    <w:rsid w:val="008C7CFA"/>
    <w:rsid w:val="008C7F5D"/>
    <w:rsid w:val="008C7FD7"/>
    <w:rsid w:val="008C7FEA"/>
    <w:rsid w:val="008D00CD"/>
    <w:rsid w:val="008D039B"/>
    <w:rsid w:val="008D03E4"/>
    <w:rsid w:val="008D054A"/>
    <w:rsid w:val="008D05AF"/>
    <w:rsid w:val="008D0879"/>
    <w:rsid w:val="008D14E3"/>
    <w:rsid w:val="008D14E6"/>
    <w:rsid w:val="008D17C3"/>
    <w:rsid w:val="008D1818"/>
    <w:rsid w:val="008D186E"/>
    <w:rsid w:val="008D1B0C"/>
    <w:rsid w:val="008D21AE"/>
    <w:rsid w:val="008D22AB"/>
    <w:rsid w:val="008D2322"/>
    <w:rsid w:val="008D2797"/>
    <w:rsid w:val="008D2B01"/>
    <w:rsid w:val="008D2B7D"/>
    <w:rsid w:val="008D2E86"/>
    <w:rsid w:val="008D311E"/>
    <w:rsid w:val="008D327E"/>
    <w:rsid w:val="008D333A"/>
    <w:rsid w:val="008D3559"/>
    <w:rsid w:val="008D35FF"/>
    <w:rsid w:val="008D367B"/>
    <w:rsid w:val="008D36F8"/>
    <w:rsid w:val="008D3966"/>
    <w:rsid w:val="008D39BF"/>
    <w:rsid w:val="008D3A19"/>
    <w:rsid w:val="008D3AD0"/>
    <w:rsid w:val="008D3CEB"/>
    <w:rsid w:val="008D422F"/>
    <w:rsid w:val="008D42F8"/>
    <w:rsid w:val="008D44C5"/>
    <w:rsid w:val="008D44E9"/>
    <w:rsid w:val="008D4613"/>
    <w:rsid w:val="008D46FE"/>
    <w:rsid w:val="008D4784"/>
    <w:rsid w:val="008D4955"/>
    <w:rsid w:val="008D4A3E"/>
    <w:rsid w:val="008D4BBE"/>
    <w:rsid w:val="008D4D2B"/>
    <w:rsid w:val="008D4D56"/>
    <w:rsid w:val="008D4E4D"/>
    <w:rsid w:val="008D4F9C"/>
    <w:rsid w:val="008D51CC"/>
    <w:rsid w:val="008D523F"/>
    <w:rsid w:val="008D537E"/>
    <w:rsid w:val="008D53FF"/>
    <w:rsid w:val="008D5802"/>
    <w:rsid w:val="008D5839"/>
    <w:rsid w:val="008D5895"/>
    <w:rsid w:val="008D58BD"/>
    <w:rsid w:val="008D5983"/>
    <w:rsid w:val="008D5A5F"/>
    <w:rsid w:val="008D5B50"/>
    <w:rsid w:val="008D5C04"/>
    <w:rsid w:val="008D5C35"/>
    <w:rsid w:val="008D5EB7"/>
    <w:rsid w:val="008D5F46"/>
    <w:rsid w:val="008D6133"/>
    <w:rsid w:val="008D633F"/>
    <w:rsid w:val="008D6A45"/>
    <w:rsid w:val="008D6ED2"/>
    <w:rsid w:val="008D6FAC"/>
    <w:rsid w:val="008D6FC6"/>
    <w:rsid w:val="008D7093"/>
    <w:rsid w:val="008D716A"/>
    <w:rsid w:val="008D718C"/>
    <w:rsid w:val="008D720B"/>
    <w:rsid w:val="008D7564"/>
    <w:rsid w:val="008D75BC"/>
    <w:rsid w:val="008D7611"/>
    <w:rsid w:val="008D7756"/>
    <w:rsid w:val="008D77BE"/>
    <w:rsid w:val="008D77EE"/>
    <w:rsid w:val="008D7CF7"/>
    <w:rsid w:val="008D7D09"/>
    <w:rsid w:val="008D7DD2"/>
    <w:rsid w:val="008D7F49"/>
    <w:rsid w:val="008E051D"/>
    <w:rsid w:val="008E06C0"/>
    <w:rsid w:val="008E0837"/>
    <w:rsid w:val="008E09D3"/>
    <w:rsid w:val="008E0B4F"/>
    <w:rsid w:val="008E0D24"/>
    <w:rsid w:val="008E0FE0"/>
    <w:rsid w:val="008E126B"/>
    <w:rsid w:val="008E127F"/>
    <w:rsid w:val="008E12CC"/>
    <w:rsid w:val="008E1660"/>
    <w:rsid w:val="008E1686"/>
    <w:rsid w:val="008E172F"/>
    <w:rsid w:val="008E1880"/>
    <w:rsid w:val="008E1C51"/>
    <w:rsid w:val="008E1CA7"/>
    <w:rsid w:val="008E1F3A"/>
    <w:rsid w:val="008E1FDA"/>
    <w:rsid w:val="008E2003"/>
    <w:rsid w:val="008E201C"/>
    <w:rsid w:val="008E212C"/>
    <w:rsid w:val="008E212D"/>
    <w:rsid w:val="008E227D"/>
    <w:rsid w:val="008E228B"/>
    <w:rsid w:val="008E2310"/>
    <w:rsid w:val="008E2405"/>
    <w:rsid w:val="008E2669"/>
    <w:rsid w:val="008E2893"/>
    <w:rsid w:val="008E2964"/>
    <w:rsid w:val="008E2A82"/>
    <w:rsid w:val="008E2AFE"/>
    <w:rsid w:val="008E2FA4"/>
    <w:rsid w:val="008E31DC"/>
    <w:rsid w:val="008E3520"/>
    <w:rsid w:val="008E3732"/>
    <w:rsid w:val="008E3A24"/>
    <w:rsid w:val="008E3C56"/>
    <w:rsid w:val="008E3D90"/>
    <w:rsid w:val="008E3E18"/>
    <w:rsid w:val="008E3E65"/>
    <w:rsid w:val="008E3F15"/>
    <w:rsid w:val="008E4057"/>
    <w:rsid w:val="008E407C"/>
    <w:rsid w:val="008E4100"/>
    <w:rsid w:val="008E414C"/>
    <w:rsid w:val="008E425B"/>
    <w:rsid w:val="008E428B"/>
    <w:rsid w:val="008E42BC"/>
    <w:rsid w:val="008E4331"/>
    <w:rsid w:val="008E43E9"/>
    <w:rsid w:val="008E4484"/>
    <w:rsid w:val="008E4658"/>
    <w:rsid w:val="008E4843"/>
    <w:rsid w:val="008E48B7"/>
    <w:rsid w:val="008E49BB"/>
    <w:rsid w:val="008E4C9D"/>
    <w:rsid w:val="008E4ED2"/>
    <w:rsid w:val="008E4F85"/>
    <w:rsid w:val="008E502C"/>
    <w:rsid w:val="008E53D4"/>
    <w:rsid w:val="008E5B6E"/>
    <w:rsid w:val="008E5C9F"/>
    <w:rsid w:val="008E5F3C"/>
    <w:rsid w:val="008E6120"/>
    <w:rsid w:val="008E6297"/>
    <w:rsid w:val="008E667D"/>
    <w:rsid w:val="008E66EC"/>
    <w:rsid w:val="008E66F9"/>
    <w:rsid w:val="008E68B8"/>
    <w:rsid w:val="008E6985"/>
    <w:rsid w:val="008E69CF"/>
    <w:rsid w:val="008E69FB"/>
    <w:rsid w:val="008E6AF2"/>
    <w:rsid w:val="008E6EFD"/>
    <w:rsid w:val="008E703B"/>
    <w:rsid w:val="008E71BA"/>
    <w:rsid w:val="008E71E6"/>
    <w:rsid w:val="008E72C7"/>
    <w:rsid w:val="008E7441"/>
    <w:rsid w:val="008E75FB"/>
    <w:rsid w:val="008E7811"/>
    <w:rsid w:val="008E7CC7"/>
    <w:rsid w:val="008E7DED"/>
    <w:rsid w:val="008E7F38"/>
    <w:rsid w:val="008F02E8"/>
    <w:rsid w:val="008F067C"/>
    <w:rsid w:val="008F077E"/>
    <w:rsid w:val="008F088F"/>
    <w:rsid w:val="008F0A2A"/>
    <w:rsid w:val="008F0A30"/>
    <w:rsid w:val="008F0BE2"/>
    <w:rsid w:val="008F0D5D"/>
    <w:rsid w:val="008F0E79"/>
    <w:rsid w:val="008F1227"/>
    <w:rsid w:val="008F146D"/>
    <w:rsid w:val="008F14F7"/>
    <w:rsid w:val="008F15A7"/>
    <w:rsid w:val="008F15DC"/>
    <w:rsid w:val="008F1631"/>
    <w:rsid w:val="008F1866"/>
    <w:rsid w:val="008F1A9A"/>
    <w:rsid w:val="008F1C12"/>
    <w:rsid w:val="008F1D5A"/>
    <w:rsid w:val="008F1FE0"/>
    <w:rsid w:val="008F205B"/>
    <w:rsid w:val="008F22D9"/>
    <w:rsid w:val="008F242F"/>
    <w:rsid w:val="008F2571"/>
    <w:rsid w:val="008F273C"/>
    <w:rsid w:val="008F27E2"/>
    <w:rsid w:val="008F286D"/>
    <w:rsid w:val="008F29EB"/>
    <w:rsid w:val="008F2C82"/>
    <w:rsid w:val="008F2D27"/>
    <w:rsid w:val="008F2D57"/>
    <w:rsid w:val="008F2E11"/>
    <w:rsid w:val="008F2EBD"/>
    <w:rsid w:val="008F2F13"/>
    <w:rsid w:val="008F2F25"/>
    <w:rsid w:val="008F3048"/>
    <w:rsid w:val="008F3110"/>
    <w:rsid w:val="008F36E8"/>
    <w:rsid w:val="008F395F"/>
    <w:rsid w:val="008F3B86"/>
    <w:rsid w:val="008F3CC4"/>
    <w:rsid w:val="008F3EBA"/>
    <w:rsid w:val="008F3FD2"/>
    <w:rsid w:val="008F421D"/>
    <w:rsid w:val="008F42C0"/>
    <w:rsid w:val="008F443D"/>
    <w:rsid w:val="008F47DB"/>
    <w:rsid w:val="008F4864"/>
    <w:rsid w:val="008F4AA2"/>
    <w:rsid w:val="008F4AC7"/>
    <w:rsid w:val="008F4B1C"/>
    <w:rsid w:val="008F4C51"/>
    <w:rsid w:val="008F4D8F"/>
    <w:rsid w:val="008F50AF"/>
    <w:rsid w:val="008F519D"/>
    <w:rsid w:val="008F55A4"/>
    <w:rsid w:val="008F56FF"/>
    <w:rsid w:val="008F577F"/>
    <w:rsid w:val="008F5805"/>
    <w:rsid w:val="008F5887"/>
    <w:rsid w:val="008F58D9"/>
    <w:rsid w:val="008F5919"/>
    <w:rsid w:val="008F593E"/>
    <w:rsid w:val="008F59B3"/>
    <w:rsid w:val="008F5EA2"/>
    <w:rsid w:val="008F5F7B"/>
    <w:rsid w:val="008F5FFA"/>
    <w:rsid w:val="008F644B"/>
    <w:rsid w:val="008F6467"/>
    <w:rsid w:val="008F6527"/>
    <w:rsid w:val="008F67C0"/>
    <w:rsid w:val="008F6973"/>
    <w:rsid w:val="008F6A9C"/>
    <w:rsid w:val="008F6B7B"/>
    <w:rsid w:val="008F6DCA"/>
    <w:rsid w:val="008F726F"/>
    <w:rsid w:val="008F76CB"/>
    <w:rsid w:val="008F7706"/>
    <w:rsid w:val="008F7BAE"/>
    <w:rsid w:val="008F7BC1"/>
    <w:rsid w:val="008F7C5D"/>
    <w:rsid w:val="008F7CEF"/>
    <w:rsid w:val="008F7DE7"/>
    <w:rsid w:val="008F7E09"/>
    <w:rsid w:val="008F7E9F"/>
    <w:rsid w:val="008F7ED1"/>
    <w:rsid w:val="008F7F23"/>
    <w:rsid w:val="008F7F84"/>
    <w:rsid w:val="00900033"/>
    <w:rsid w:val="00900071"/>
    <w:rsid w:val="009000DF"/>
    <w:rsid w:val="00900319"/>
    <w:rsid w:val="0090062E"/>
    <w:rsid w:val="009006D5"/>
    <w:rsid w:val="009006F9"/>
    <w:rsid w:val="009007DF"/>
    <w:rsid w:val="00900B2B"/>
    <w:rsid w:val="00900E74"/>
    <w:rsid w:val="00900E9E"/>
    <w:rsid w:val="0090107C"/>
    <w:rsid w:val="00901082"/>
    <w:rsid w:val="00901582"/>
    <w:rsid w:val="00901A21"/>
    <w:rsid w:val="00901A7B"/>
    <w:rsid w:val="00901B16"/>
    <w:rsid w:val="00901BDE"/>
    <w:rsid w:val="00901C0C"/>
    <w:rsid w:val="00901DF2"/>
    <w:rsid w:val="00901E91"/>
    <w:rsid w:val="00902134"/>
    <w:rsid w:val="009024F6"/>
    <w:rsid w:val="0090263A"/>
    <w:rsid w:val="00902669"/>
    <w:rsid w:val="00902887"/>
    <w:rsid w:val="009029D3"/>
    <w:rsid w:val="00902A0F"/>
    <w:rsid w:val="00902C16"/>
    <w:rsid w:val="00902F3B"/>
    <w:rsid w:val="00902F7F"/>
    <w:rsid w:val="0090307E"/>
    <w:rsid w:val="00903510"/>
    <w:rsid w:val="00903981"/>
    <w:rsid w:val="009039D3"/>
    <w:rsid w:val="00903A5D"/>
    <w:rsid w:val="00903B86"/>
    <w:rsid w:val="00903BC9"/>
    <w:rsid w:val="00903CE5"/>
    <w:rsid w:val="00903DEF"/>
    <w:rsid w:val="00903F4F"/>
    <w:rsid w:val="00903F5A"/>
    <w:rsid w:val="0090408F"/>
    <w:rsid w:val="009040B0"/>
    <w:rsid w:val="00904237"/>
    <w:rsid w:val="00904496"/>
    <w:rsid w:val="00904C0C"/>
    <w:rsid w:val="00904C44"/>
    <w:rsid w:val="00904DD6"/>
    <w:rsid w:val="0090501D"/>
    <w:rsid w:val="00905080"/>
    <w:rsid w:val="009051CF"/>
    <w:rsid w:val="009051DE"/>
    <w:rsid w:val="009052C9"/>
    <w:rsid w:val="009052DD"/>
    <w:rsid w:val="00905384"/>
    <w:rsid w:val="0090550C"/>
    <w:rsid w:val="009056FE"/>
    <w:rsid w:val="00905734"/>
    <w:rsid w:val="0090573E"/>
    <w:rsid w:val="00905748"/>
    <w:rsid w:val="00905A28"/>
    <w:rsid w:val="00905B66"/>
    <w:rsid w:val="00905D03"/>
    <w:rsid w:val="00905D0C"/>
    <w:rsid w:val="00905D6A"/>
    <w:rsid w:val="00905EC7"/>
    <w:rsid w:val="00905F45"/>
    <w:rsid w:val="00906269"/>
    <w:rsid w:val="00906283"/>
    <w:rsid w:val="009064F6"/>
    <w:rsid w:val="009069A2"/>
    <w:rsid w:val="00906A32"/>
    <w:rsid w:val="00906F32"/>
    <w:rsid w:val="009072DC"/>
    <w:rsid w:val="0090796B"/>
    <w:rsid w:val="00907A57"/>
    <w:rsid w:val="00907BE2"/>
    <w:rsid w:val="00907D33"/>
    <w:rsid w:val="00907E81"/>
    <w:rsid w:val="00907F36"/>
    <w:rsid w:val="0091003C"/>
    <w:rsid w:val="009102E3"/>
    <w:rsid w:val="0091051D"/>
    <w:rsid w:val="009105BD"/>
    <w:rsid w:val="009106AC"/>
    <w:rsid w:val="009107B6"/>
    <w:rsid w:val="00910A0A"/>
    <w:rsid w:val="00910DF1"/>
    <w:rsid w:val="00911062"/>
    <w:rsid w:val="009112D1"/>
    <w:rsid w:val="00911354"/>
    <w:rsid w:val="00911588"/>
    <w:rsid w:val="009115A7"/>
    <w:rsid w:val="0091162E"/>
    <w:rsid w:val="009117C9"/>
    <w:rsid w:val="0091191D"/>
    <w:rsid w:val="00911B2C"/>
    <w:rsid w:val="00911B5D"/>
    <w:rsid w:val="00911BAC"/>
    <w:rsid w:val="009122F1"/>
    <w:rsid w:val="009125AB"/>
    <w:rsid w:val="0091268D"/>
    <w:rsid w:val="009126DD"/>
    <w:rsid w:val="0091272D"/>
    <w:rsid w:val="009127C9"/>
    <w:rsid w:val="00912811"/>
    <w:rsid w:val="0091288F"/>
    <w:rsid w:val="00912C99"/>
    <w:rsid w:val="00912D35"/>
    <w:rsid w:val="00912E26"/>
    <w:rsid w:val="00913084"/>
    <w:rsid w:val="0091310A"/>
    <w:rsid w:val="009131E7"/>
    <w:rsid w:val="00913316"/>
    <w:rsid w:val="00913477"/>
    <w:rsid w:val="00913575"/>
    <w:rsid w:val="0091359D"/>
    <w:rsid w:val="00913621"/>
    <w:rsid w:val="00913629"/>
    <w:rsid w:val="009137FE"/>
    <w:rsid w:val="00913B5F"/>
    <w:rsid w:val="00913DA2"/>
    <w:rsid w:val="00913E38"/>
    <w:rsid w:val="00913FFE"/>
    <w:rsid w:val="00914257"/>
    <w:rsid w:val="0091454F"/>
    <w:rsid w:val="009145DD"/>
    <w:rsid w:val="00914987"/>
    <w:rsid w:val="00914988"/>
    <w:rsid w:val="00914CEC"/>
    <w:rsid w:val="00914D87"/>
    <w:rsid w:val="00914DE8"/>
    <w:rsid w:val="00914EDD"/>
    <w:rsid w:val="00915059"/>
    <w:rsid w:val="009150A4"/>
    <w:rsid w:val="00915471"/>
    <w:rsid w:val="0091589C"/>
    <w:rsid w:val="0091589D"/>
    <w:rsid w:val="009158A0"/>
    <w:rsid w:val="009158BE"/>
    <w:rsid w:val="00915B01"/>
    <w:rsid w:val="00915BA3"/>
    <w:rsid w:val="00915BFF"/>
    <w:rsid w:val="00915DAB"/>
    <w:rsid w:val="00915DCA"/>
    <w:rsid w:val="00915DEC"/>
    <w:rsid w:val="00915F75"/>
    <w:rsid w:val="009160CB"/>
    <w:rsid w:val="009162E2"/>
    <w:rsid w:val="00916329"/>
    <w:rsid w:val="00916538"/>
    <w:rsid w:val="0091656E"/>
    <w:rsid w:val="0091667F"/>
    <w:rsid w:val="009169BB"/>
    <w:rsid w:val="00916C4E"/>
    <w:rsid w:val="00916E14"/>
    <w:rsid w:val="00916F3B"/>
    <w:rsid w:val="009171E1"/>
    <w:rsid w:val="0091741B"/>
    <w:rsid w:val="009179CF"/>
    <w:rsid w:val="009179E9"/>
    <w:rsid w:val="00917B63"/>
    <w:rsid w:val="00917BB2"/>
    <w:rsid w:val="00917F2E"/>
    <w:rsid w:val="00920064"/>
    <w:rsid w:val="009201AA"/>
    <w:rsid w:val="00920309"/>
    <w:rsid w:val="00920525"/>
    <w:rsid w:val="009207BB"/>
    <w:rsid w:val="00920917"/>
    <w:rsid w:val="00920FEC"/>
    <w:rsid w:val="00921237"/>
    <w:rsid w:val="0092139F"/>
    <w:rsid w:val="009214B4"/>
    <w:rsid w:val="00921618"/>
    <w:rsid w:val="0092161B"/>
    <w:rsid w:val="00921746"/>
    <w:rsid w:val="0092175D"/>
    <w:rsid w:val="009218D2"/>
    <w:rsid w:val="00921A99"/>
    <w:rsid w:val="00921C16"/>
    <w:rsid w:val="00921EB7"/>
    <w:rsid w:val="00921F9C"/>
    <w:rsid w:val="009223B1"/>
    <w:rsid w:val="00922490"/>
    <w:rsid w:val="009226C4"/>
    <w:rsid w:val="009226D2"/>
    <w:rsid w:val="00922707"/>
    <w:rsid w:val="0092297A"/>
    <w:rsid w:val="00922A47"/>
    <w:rsid w:val="00922B1C"/>
    <w:rsid w:val="00922DA2"/>
    <w:rsid w:val="00922E51"/>
    <w:rsid w:val="00922ED9"/>
    <w:rsid w:val="0092360B"/>
    <w:rsid w:val="00923BEB"/>
    <w:rsid w:val="00923F24"/>
    <w:rsid w:val="00923F5D"/>
    <w:rsid w:val="00923F64"/>
    <w:rsid w:val="00923F89"/>
    <w:rsid w:val="009240FF"/>
    <w:rsid w:val="009241CE"/>
    <w:rsid w:val="009242EE"/>
    <w:rsid w:val="009243E6"/>
    <w:rsid w:val="00924585"/>
    <w:rsid w:val="009245FC"/>
    <w:rsid w:val="009247A3"/>
    <w:rsid w:val="0092492E"/>
    <w:rsid w:val="00924A19"/>
    <w:rsid w:val="00924B80"/>
    <w:rsid w:val="00924E3B"/>
    <w:rsid w:val="009256A8"/>
    <w:rsid w:val="0092583D"/>
    <w:rsid w:val="00925857"/>
    <w:rsid w:val="00925DD2"/>
    <w:rsid w:val="00925E61"/>
    <w:rsid w:val="00925F79"/>
    <w:rsid w:val="0092620D"/>
    <w:rsid w:val="00926467"/>
    <w:rsid w:val="0092652C"/>
    <w:rsid w:val="00926586"/>
    <w:rsid w:val="009265D6"/>
    <w:rsid w:val="009266EE"/>
    <w:rsid w:val="0092672C"/>
    <w:rsid w:val="00926831"/>
    <w:rsid w:val="0092696F"/>
    <w:rsid w:val="00926CB3"/>
    <w:rsid w:val="00926CFE"/>
    <w:rsid w:val="00926F97"/>
    <w:rsid w:val="009270CB"/>
    <w:rsid w:val="00927351"/>
    <w:rsid w:val="00927478"/>
    <w:rsid w:val="00927BCD"/>
    <w:rsid w:val="00927BD5"/>
    <w:rsid w:val="00927C8D"/>
    <w:rsid w:val="00927C95"/>
    <w:rsid w:val="00927E53"/>
    <w:rsid w:val="0093011C"/>
    <w:rsid w:val="00930382"/>
    <w:rsid w:val="009303C6"/>
    <w:rsid w:val="009306C8"/>
    <w:rsid w:val="00930919"/>
    <w:rsid w:val="009309B9"/>
    <w:rsid w:val="00930AC1"/>
    <w:rsid w:val="00930CA4"/>
    <w:rsid w:val="00930EC1"/>
    <w:rsid w:val="00931093"/>
    <w:rsid w:val="009310F2"/>
    <w:rsid w:val="00931113"/>
    <w:rsid w:val="00931365"/>
    <w:rsid w:val="00931372"/>
    <w:rsid w:val="00931434"/>
    <w:rsid w:val="00931563"/>
    <w:rsid w:val="0093159B"/>
    <w:rsid w:val="0093166F"/>
    <w:rsid w:val="00931671"/>
    <w:rsid w:val="009317DD"/>
    <w:rsid w:val="0093189D"/>
    <w:rsid w:val="009318F8"/>
    <w:rsid w:val="00931911"/>
    <w:rsid w:val="0093193E"/>
    <w:rsid w:val="00931A44"/>
    <w:rsid w:val="00931A9A"/>
    <w:rsid w:val="00931C5D"/>
    <w:rsid w:val="00931DB2"/>
    <w:rsid w:val="0093220D"/>
    <w:rsid w:val="0093229D"/>
    <w:rsid w:val="009323AF"/>
    <w:rsid w:val="00932442"/>
    <w:rsid w:val="009326D2"/>
    <w:rsid w:val="00932A82"/>
    <w:rsid w:val="00932B8C"/>
    <w:rsid w:val="00932CEA"/>
    <w:rsid w:val="00932D6B"/>
    <w:rsid w:val="00932DAE"/>
    <w:rsid w:val="00932EBD"/>
    <w:rsid w:val="00932F28"/>
    <w:rsid w:val="00932F7E"/>
    <w:rsid w:val="0093307A"/>
    <w:rsid w:val="00933183"/>
    <w:rsid w:val="009334E2"/>
    <w:rsid w:val="009336A5"/>
    <w:rsid w:val="00933893"/>
    <w:rsid w:val="0093390B"/>
    <w:rsid w:val="00933DED"/>
    <w:rsid w:val="00933E00"/>
    <w:rsid w:val="00933FBB"/>
    <w:rsid w:val="009342C6"/>
    <w:rsid w:val="0093440F"/>
    <w:rsid w:val="00934CDF"/>
    <w:rsid w:val="0093518C"/>
    <w:rsid w:val="009353C8"/>
    <w:rsid w:val="009353C9"/>
    <w:rsid w:val="009358BB"/>
    <w:rsid w:val="00935A3E"/>
    <w:rsid w:val="00935E5A"/>
    <w:rsid w:val="009360DA"/>
    <w:rsid w:val="009363AB"/>
    <w:rsid w:val="00936545"/>
    <w:rsid w:val="0093656F"/>
    <w:rsid w:val="00936578"/>
    <w:rsid w:val="009366F4"/>
    <w:rsid w:val="0093675F"/>
    <w:rsid w:val="009369FE"/>
    <w:rsid w:val="00936D88"/>
    <w:rsid w:val="00936E71"/>
    <w:rsid w:val="00936E7D"/>
    <w:rsid w:val="00937058"/>
    <w:rsid w:val="009371AF"/>
    <w:rsid w:val="00937286"/>
    <w:rsid w:val="00937319"/>
    <w:rsid w:val="009375F4"/>
    <w:rsid w:val="0093763A"/>
    <w:rsid w:val="00937744"/>
    <w:rsid w:val="009378B8"/>
    <w:rsid w:val="00937B08"/>
    <w:rsid w:val="00937C71"/>
    <w:rsid w:val="00937D7E"/>
    <w:rsid w:val="00937DB9"/>
    <w:rsid w:val="00937F52"/>
    <w:rsid w:val="0094010A"/>
    <w:rsid w:val="00940448"/>
    <w:rsid w:val="0094049D"/>
    <w:rsid w:val="009404AD"/>
    <w:rsid w:val="009407B4"/>
    <w:rsid w:val="0094090E"/>
    <w:rsid w:val="00940B05"/>
    <w:rsid w:val="00940B33"/>
    <w:rsid w:val="00940B86"/>
    <w:rsid w:val="00940E45"/>
    <w:rsid w:val="00940FEE"/>
    <w:rsid w:val="00941101"/>
    <w:rsid w:val="0094112C"/>
    <w:rsid w:val="00941157"/>
    <w:rsid w:val="00941349"/>
    <w:rsid w:val="009413B2"/>
    <w:rsid w:val="009413F4"/>
    <w:rsid w:val="00941783"/>
    <w:rsid w:val="00941979"/>
    <w:rsid w:val="00941A31"/>
    <w:rsid w:val="00941C38"/>
    <w:rsid w:val="00941C48"/>
    <w:rsid w:val="00941CD7"/>
    <w:rsid w:val="00941D84"/>
    <w:rsid w:val="00941F29"/>
    <w:rsid w:val="009421F3"/>
    <w:rsid w:val="0094268C"/>
    <w:rsid w:val="009429B2"/>
    <w:rsid w:val="00942FD7"/>
    <w:rsid w:val="0094337A"/>
    <w:rsid w:val="0094357A"/>
    <w:rsid w:val="00943792"/>
    <w:rsid w:val="00943913"/>
    <w:rsid w:val="00943B2B"/>
    <w:rsid w:val="00943B38"/>
    <w:rsid w:val="00943DCF"/>
    <w:rsid w:val="00943EA1"/>
    <w:rsid w:val="0094411F"/>
    <w:rsid w:val="00944311"/>
    <w:rsid w:val="009447C6"/>
    <w:rsid w:val="0094496D"/>
    <w:rsid w:val="009449B2"/>
    <w:rsid w:val="00944B2A"/>
    <w:rsid w:val="00944E6F"/>
    <w:rsid w:val="00945206"/>
    <w:rsid w:val="00945659"/>
    <w:rsid w:val="009457B6"/>
    <w:rsid w:val="009458E8"/>
    <w:rsid w:val="00945A4C"/>
    <w:rsid w:val="00945C44"/>
    <w:rsid w:val="00945C79"/>
    <w:rsid w:val="0094616E"/>
    <w:rsid w:val="00946204"/>
    <w:rsid w:val="009464D8"/>
    <w:rsid w:val="009465C1"/>
    <w:rsid w:val="00946661"/>
    <w:rsid w:val="0094670A"/>
    <w:rsid w:val="009469E3"/>
    <w:rsid w:val="00946A3C"/>
    <w:rsid w:val="00946B2F"/>
    <w:rsid w:val="00946C14"/>
    <w:rsid w:val="00946D21"/>
    <w:rsid w:val="00946D85"/>
    <w:rsid w:val="00947269"/>
    <w:rsid w:val="0094743F"/>
    <w:rsid w:val="009474AF"/>
    <w:rsid w:val="0094762A"/>
    <w:rsid w:val="009476E0"/>
    <w:rsid w:val="0094797D"/>
    <w:rsid w:val="00947A9A"/>
    <w:rsid w:val="00947C04"/>
    <w:rsid w:val="00947E52"/>
    <w:rsid w:val="00947F78"/>
    <w:rsid w:val="00950069"/>
    <w:rsid w:val="009501DB"/>
    <w:rsid w:val="00950396"/>
    <w:rsid w:val="0095040C"/>
    <w:rsid w:val="0095043A"/>
    <w:rsid w:val="00950629"/>
    <w:rsid w:val="00950648"/>
    <w:rsid w:val="00950721"/>
    <w:rsid w:val="009508CF"/>
    <w:rsid w:val="00950AEF"/>
    <w:rsid w:val="00950CF0"/>
    <w:rsid w:val="00950D14"/>
    <w:rsid w:val="00950DC2"/>
    <w:rsid w:val="00950DFA"/>
    <w:rsid w:val="00951405"/>
    <w:rsid w:val="009515A1"/>
    <w:rsid w:val="0095160C"/>
    <w:rsid w:val="009516E3"/>
    <w:rsid w:val="0095179B"/>
    <w:rsid w:val="009518DA"/>
    <w:rsid w:val="009519C1"/>
    <w:rsid w:val="009519C3"/>
    <w:rsid w:val="009519FF"/>
    <w:rsid w:val="00951A88"/>
    <w:rsid w:val="00951AE8"/>
    <w:rsid w:val="00951BBA"/>
    <w:rsid w:val="009521B6"/>
    <w:rsid w:val="00952216"/>
    <w:rsid w:val="009522EE"/>
    <w:rsid w:val="0095282A"/>
    <w:rsid w:val="009528BB"/>
    <w:rsid w:val="009528CC"/>
    <w:rsid w:val="00952AF0"/>
    <w:rsid w:val="00952C0A"/>
    <w:rsid w:val="00952CDC"/>
    <w:rsid w:val="00952E20"/>
    <w:rsid w:val="00952E72"/>
    <w:rsid w:val="0095309F"/>
    <w:rsid w:val="009533DE"/>
    <w:rsid w:val="0095353F"/>
    <w:rsid w:val="00953701"/>
    <w:rsid w:val="00953854"/>
    <w:rsid w:val="009539D7"/>
    <w:rsid w:val="009539FD"/>
    <w:rsid w:val="00953C7D"/>
    <w:rsid w:val="00953EC3"/>
    <w:rsid w:val="009540E6"/>
    <w:rsid w:val="009541BE"/>
    <w:rsid w:val="009541EE"/>
    <w:rsid w:val="0095423C"/>
    <w:rsid w:val="00954382"/>
    <w:rsid w:val="00954754"/>
    <w:rsid w:val="009549BF"/>
    <w:rsid w:val="00954FE0"/>
    <w:rsid w:val="00954FEB"/>
    <w:rsid w:val="00954FFB"/>
    <w:rsid w:val="00955479"/>
    <w:rsid w:val="00955487"/>
    <w:rsid w:val="00955519"/>
    <w:rsid w:val="00955673"/>
    <w:rsid w:val="009556C4"/>
    <w:rsid w:val="00955825"/>
    <w:rsid w:val="009559E3"/>
    <w:rsid w:val="00955BAD"/>
    <w:rsid w:val="00955BB3"/>
    <w:rsid w:val="00955CE7"/>
    <w:rsid w:val="00955D19"/>
    <w:rsid w:val="00955E71"/>
    <w:rsid w:val="00956104"/>
    <w:rsid w:val="00956307"/>
    <w:rsid w:val="00956472"/>
    <w:rsid w:val="009564C2"/>
    <w:rsid w:val="009564EB"/>
    <w:rsid w:val="009565AF"/>
    <w:rsid w:val="00956683"/>
    <w:rsid w:val="00956705"/>
    <w:rsid w:val="0095697E"/>
    <w:rsid w:val="009569DC"/>
    <w:rsid w:val="00956A82"/>
    <w:rsid w:val="00956ABD"/>
    <w:rsid w:val="00956BD6"/>
    <w:rsid w:val="00956CC3"/>
    <w:rsid w:val="00956D6F"/>
    <w:rsid w:val="00956D7C"/>
    <w:rsid w:val="00957042"/>
    <w:rsid w:val="00957251"/>
    <w:rsid w:val="0095733A"/>
    <w:rsid w:val="009574D7"/>
    <w:rsid w:val="009575D1"/>
    <w:rsid w:val="0095787C"/>
    <w:rsid w:val="009578CF"/>
    <w:rsid w:val="00957934"/>
    <w:rsid w:val="00957AB0"/>
    <w:rsid w:val="00957B4D"/>
    <w:rsid w:val="00957F61"/>
    <w:rsid w:val="00957FA4"/>
    <w:rsid w:val="0096033D"/>
    <w:rsid w:val="009604F6"/>
    <w:rsid w:val="00960704"/>
    <w:rsid w:val="0096097E"/>
    <w:rsid w:val="009609FF"/>
    <w:rsid w:val="00960DE8"/>
    <w:rsid w:val="00960FBA"/>
    <w:rsid w:val="009611B5"/>
    <w:rsid w:val="009611FA"/>
    <w:rsid w:val="0096124E"/>
    <w:rsid w:val="0096126C"/>
    <w:rsid w:val="00961427"/>
    <w:rsid w:val="0096144F"/>
    <w:rsid w:val="009615A1"/>
    <w:rsid w:val="009617B0"/>
    <w:rsid w:val="009618D5"/>
    <w:rsid w:val="0096198C"/>
    <w:rsid w:val="009619D3"/>
    <w:rsid w:val="00961AAD"/>
    <w:rsid w:val="00962209"/>
    <w:rsid w:val="00962634"/>
    <w:rsid w:val="009626E6"/>
    <w:rsid w:val="009627AD"/>
    <w:rsid w:val="009627D3"/>
    <w:rsid w:val="00962A3B"/>
    <w:rsid w:val="00962BF4"/>
    <w:rsid w:val="00962C3B"/>
    <w:rsid w:val="00962D6E"/>
    <w:rsid w:val="00962E79"/>
    <w:rsid w:val="00962F0A"/>
    <w:rsid w:val="00962F42"/>
    <w:rsid w:val="00963AA9"/>
    <w:rsid w:val="00963BD3"/>
    <w:rsid w:val="00963E56"/>
    <w:rsid w:val="00963FFD"/>
    <w:rsid w:val="009641F6"/>
    <w:rsid w:val="0096424F"/>
    <w:rsid w:val="00964252"/>
    <w:rsid w:val="0096429E"/>
    <w:rsid w:val="00964318"/>
    <w:rsid w:val="00964397"/>
    <w:rsid w:val="0096485F"/>
    <w:rsid w:val="0096495C"/>
    <w:rsid w:val="00964BE0"/>
    <w:rsid w:val="00964C2D"/>
    <w:rsid w:val="00964CDA"/>
    <w:rsid w:val="00964DBB"/>
    <w:rsid w:val="00964FF1"/>
    <w:rsid w:val="009650B5"/>
    <w:rsid w:val="0096524C"/>
    <w:rsid w:val="00965629"/>
    <w:rsid w:val="009659A0"/>
    <w:rsid w:val="00965A54"/>
    <w:rsid w:val="00965B53"/>
    <w:rsid w:val="00965C25"/>
    <w:rsid w:val="00965D6C"/>
    <w:rsid w:val="00965F2F"/>
    <w:rsid w:val="0096615E"/>
    <w:rsid w:val="009662C2"/>
    <w:rsid w:val="00966451"/>
    <w:rsid w:val="00966601"/>
    <w:rsid w:val="00966819"/>
    <w:rsid w:val="00966F07"/>
    <w:rsid w:val="00966F13"/>
    <w:rsid w:val="0096731D"/>
    <w:rsid w:val="0096734C"/>
    <w:rsid w:val="009673B3"/>
    <w:rsid w:val="009674A0"/>
    <w:rsid w:val="009674EE"/>
    <w:rsid w:val="00967513"/>
    <w:rsid w:val="00967945"/>
    <w:rsid w:val="009679D0"/>
    <w:rsid w:val="00967D31"/>
    <w:rsid w:val="009701A2"/>
    <w:rsid w:val="00970555"/>
    <w:rsid w:val="00970B46"/>
    <w:rsid w:val="00971048"/>
    <w:rsid w:val="009710CC"/>
    <w:rsid w:val="00971443"/>
    <w:rsid w:val="00971526"/>
    <w:rsid w:val="00971632"/>
    <w:rsid w:val="00971843"/>
    <w:rsid w:val="00971873"/>
    <w:rsid w:val="009718D1"/>
    <w:rsid w:val="00971C4A"/>
    <w:rsid w:val="00971DB5"/>
    <w:rsid w:val="00972288"/>
    <w:rsid w:val="009722DE"/>
    <w:rsid w:val="00972313"/>
    <w:rsid w:val="00972365"/>
    <w:rsid w:val="009723BE"/>
    <w:rsid w:val="00972421"/>
    <w:rsid w:val="0097243E"/>
    <w:rsid w:val="0097260F"/>
    <w:rsid w:val="009726E1"/>
    <w:rsid w:val="009727D9"/>
    <w:rsid w:val="009727DF"/>
    <w:rsid w:val="009729F8"/>
    <w:rsid w:val="00972B1C"/>
    <w:rsid w:val="00972B23"/>
    <w:rsid w:val="00972D6C"/>
    <w:rsid w:val="00973309"/>
    <w:rsid w:val="009733D4"/>
    <w:rsid w:val="0097343F"/>
    <w:rsid w:val="00973488"/>
    <w:rsid w:val="009734AA"/>
    <w:rsid w:val="00973509"/>
    <w:rsid w:val="0097360D"/>
    <w:rsid w:val="009737B5"/>
    <w:rsid w:val="009737D7"/>
    <w:rsid w:val="00973861"/>
    <w:rsid w:val="0097397B"/>
    <w:rsid w:val="009739E5"/>
    <w:rsid w:val="00973A5C"/>
    <w:rsid w:val="00973CE1"/>
    <w:rsid w:val="00973D2A"/>
    <w:rsid w:val="00973F6A"/>
    <w:rsid w:val="009742EC"/>
    <w:rsid w:val="0097468A"/>
    <w:rsid w:val="0097484A"/>
    <w:rsid w:val="009749A3"/>
    <w:rsid w:val="00974B80"/>
    <w:rsid w:val="00974BB8"/>
    <w:rsid w:val="00974DD6"/>
    <w:rsid w:val="00974F47"/>
    <w:rsid w:val="00975314"/>
    <w:rsid w:val="00975862"/>
    <w:rsid w:val="0097592A"/>
    <w:rsid w:val="00976070"/>
    <w:rsid w:val="009762BC"/>
    <w:rsid w:val="009762D3"/>
    <w:rsid w:val="0097633C"/>
    <w:rsid w:val="0097647A"/>
    <w:rsid w:val="009765DB"/>
    <w:rsid w:val="009768F3"/>
    <w:rsid w:val="009769CF"/>
    <w:rsid w:val="00976ADE"/>
    <w:rsid w:val="00976AF8"/>
    <w:rsid w:val="00976B05"/>
    <w:rsid w:val="00976D51"/>
    <w:rsid w:val="00976DB4"/>
    <w:rsid w:val="00976DE2"/>
    <w:rsid w:val="00976F6F"/>
    <w:rsid w:val="009771C2"/>
    <w:rsid w:val="00977230"/>
    <w:rsid w:val="00977361"/>
    <w:rsid w:val="0097761D"/>
    <w:rsid w:val="009776BE"/>
    <w:rsid w:val="00977710"/>
    <w:rsid w:val="009778FB"/>
    <w:rsid w:val="0097798E"/>
    <w:rsid w:val="00977CB4"/>
    <w:rsid w:val="00977D4B"/>
    <w:rsid w:val="00977FFD"/>
    <w:rsid w:val="00980074"/>
    <w:rsid w:val="00980176"/>
    <w:rsid w:val="009801C9"/>
    <w:rsid w:val="009805CA"/>
    <w:rsid w:val="009805FA"/>
    <w:rsid w:val="009806C6"/>
    <w:rsid w:val="00980794"/>
    <w:rsid w:val="00980970"/>
    <w:rsid w:val="00980ACE"/>
    <w:rsid w:val="00980B4C"/>
    <w:rsid w:val="00980BA6"/>
    <w:rsid w:val="00980DE7"/>
    <w:rsid w:val="00980EBB"/>
    <w:rsid w:val="00980EBC"/>
    <w:rsid w:val="00980ECD"/>
    <w:rsid w:val="00980F30"/>
    <w:rsid w:val="009810C4"/>
    <w:rsid w:val="00981401"/>
    <w:rsid w:val="009815FA"/>
    <w:rsid w:val="009817A4"/>
    <w:rsid w:val="0098192A"/>
    <w:rsid w:val="00981997"/>
    <w:rsid w:val="00981B2F"/>
    <w:rsid w:val="00981D92"/>
    <w:rsid w:val="00981E6F"/>
    <w:rsid w:val="00981EAB"/>
    <w:rsid w:val="00981F01"/>
    <w:rsid w:val="00981F29"/>
    <w:rsid w:val="0098206D"/>
    <w:rsid w:val="00982459"/>
    <w:rsid w:val="009824B9"/>
    <w:rsid w:val="0098251F"/>
    <w:rsid w:val="009826AC"/>
    <w:rsid w:val="0098289E"/>
    <w:rsid w:val="009828F0"/>
    <w:rsid w:val="00982982"/>
    <w:rsid w:val="009830E3"/>
    <w:rsid w:val="00983244"/>
    <w:rsid w:val="009832AC"/>
    <w:rsid w:val="0098331C"/>
    <w:rsid w:val="0098379F"/>
    <w:rsid w:val="0098393B"/>
    <w:rsid w:val="00983AFE"/>
    <w:rsid w:val="00983B04"/>
    <w:rsid w:val="00983C6B"/>
    <w:rsid w:val="00983CE0"/>
    <w:rsid w:val="00983DD1"/>
    <w:rsid w:val="00983E45"/>
    <w:rsid w:val="00983F41"/>
    <w:rsid w:val="009843C3"/>
    <w:rsid w:val="009845F2"/>
    <w:rsid w:val="0098471C"/>
    <w:rsid w:val="00984C34"/>
    <w:rsid w:val="00984F85"/>
    <w:rsid w:val="009851FD"/>
    <w:rsid w:val="00985200"/>
    <w:rsid w:val="0098570C"/>
    <w:rsid w:val="009857D5"/>
    <w:rsid w:val="00985B9D"/>
    <w:rsid w:val="00985C20"/>
    <w:rsid w:val="00985C97"/>
    <w:rsid w:val="00985D9D"/>
    <w:rsid w:val="00985DAA"/>
    <w:rsid w:val="00985DEF"/>
    <w:rsid w:val="00986090"/>
    <w:rsid w:val="00986153"/>
    <w:rsid w:val="00986249"/>
    <w:rsid w:val="00986661"/>
    <w:rsid w:val="0098693E"/>
    <w:rsid w:val="00986984"/>
    <w:rsid w:val="00986C36"/>
    <w:rsid w:val="00986F68"/>
    <w:rsid w:val="0098700C"/>
    <w:rsid w:val="00987017"/>
    <w:rsid w:val="0098713A"/>
    <w:rsid w:val="0098764C"/>
    <w:rsid w:val="0098799B"/>
    <w:rsid w:val="009879BC"/>
    <w:rsid w:val="00987A7C"/>
    <w:rsid w:val="00987C57"/>
    <w:rsid w:val="00987C6D"/>
    <w:rsid w:val="00987D47"/>
    <w:rsid w:val="00987F10"/>
    <w:rsid w:val="00990544"/>
    <w:rsid w:val="009906C3"/>
    <w:rsid w:val="00990978"/>
    <w:rsid w:val="00990E22"/>
    <w:rsid w:val="00990F70"/>
    <w:rsid w:val="00990FDC"/>
    <w:rsid w:val="009910C2"/>
    <w:rsid w:val="0099136F"/>
    <w:rsid w:val="00991429"/>
    <w:rsid w:val="0099149A"/>
    <w:rsid w:val="009914D8"/>
    <w:rsid w:val="00991573"/>
    <w:rsid w:val="009915B7"/>
    <w:rsid w:val="0099174C"/>
    <w:rsid w:val="00991BD6"/>
    <w:rsid w:val="00991BEA"/>
    <w:rsid w:val="00991DA2"/>
    <w:rsid w:val="00991DBA"/>
    <w:rsid w:val="009921EE"/>
    <w:rsid w:val="00992251"/>
    <w:rsid w:val="009924F6"/>
    <w:rsid w:val="00992600"/>
    <w:rsid w:val="00992782"/>
    <w:rsid w:val="00992E66"/>
    <w:rsid w:val="00992FA1"/>
    <w:rsid w:val="00992FD9"/>
    <w:rsid w:val="009931FE"/>
    <w:rsid w:val="0099325A"/>
    <w:rsid w:val="00993261"/>
    <w:rsid w:val="009932D8"/>
    <w:rsid w:val="00993397"/>
    <w:rsid w:val="009935BC"/>
    <w:rsid w:val="0099380F"/>
    <w:rsid w:val="00993A7C"/>
    <w:rsid w:val="00993A8F"/>
    <w:rsid w:val="00993C44"/>
    <w:rsid w:val="00993CFF"/>
    <w:rsid w:val="00993E76"/>
    <w:rsid w:val="009940D9"/>
    <w:rsid w:val="009940F9"/>
    <w:rsid w:val="009941CF"/>
    <w:rsid w:val="009943E4"/>
    <w:rsid w:val="009944B8"/>
    <w:rsid w:val="0099452C"/>
    <w:rsid w:val="009947D3"/>
    <w:rsid w:val="00994828"/>
    <w:rsid w:val="009948A4"/>
    <w:rsid w:val="00994925"/>
    <w:rsid w:val="00994A03"/>
    <w:rsid w:val="00994A58"/>
    <w:rsid w:val="00994AD4"/>
    <w:rsid w:val="00994B3C"/>
    <w:rsid w:val="00994D57"/>
    <w:rsid w:val="00994F89"/>
    <w:rsid w:val="0099521B"/>
    <w:rsid w:val="00995352"/>
    <w:rsid w:val="0099579A"/>
    <w:rsid w:val="00995966"/>
    <w:rsid w:val="009959C0"/>
    <w:rsid w:val="00995AE2"/>
    <w:rsid w:val="00995BA9"/>
    <w:rsid w:val="00995DC6"/>
    <w:rsid w:val="00995DF9"/>
    <w:rsid w:val="00996096"/>
    <w:rsid w:val="00996121"/>
    <w:rsid w:val="00996164"/>
    <w:rsid w:val="009961C7"/>
    <w:rsid w:val="0099624D"/>
    <w:rsid w:val="009962B9"/>
    <w:rsid w:val="0099646D"/>
    <w:rsid w:val="0099664C"/>
    <w:rsid w:val="00996768"/>
    <w:rsid w:val="00996BE6"/>
    <w:rsid w:val="00996BEC"/>
    <w:rsid w:val="00997355"/>
    <w:rsid w:val="0099740E"/>
    <w:rsid w:val="00997439"/>
    <w:rsid w:val="009974FF"/>
    <w:rsid w:val="00997571"/>
    <w:rsid w:val="00997621"/>
    <w:rsid w:val="00997A4E"/>
    <w:rsid w:val="00997AC9"/>
    <w:rsid w:val="00997ECC"/>
    <w:rsid w:val="009A01A8"/>
    <w:rsid w:val="009A04AE"/>
    <w:rsid w:val="009A04B9"/>
    <w:rsid w:val="009A061E"/>
    <w:rsid w:val="009A0648"/>
    <w:rsid w:val="009A0716"/>
    <w:rsid w:val="009A0B31"/>
    <w:rsid w:val="009A0C75"/>
    <w:rsid w:val="009A0C88"/>
    <w:rsid w:val="009A11F3"/>
    <w:rsid w:val="009A1267"/>
    <w:rsid w:val="009A12A4"/>
    <w:rsid w:val="009A1658"/>
    <w:rsid w:val="009A1847"/>
    <w:rsid w:val="009A1878"/>
    <w:rsid w:val="009A18F6"/>
    <w:rsid w:val="009A1985"/>
    <w:rsid w:val="009A1BEA"/>
    <w:rsid w:val="009A1CA9"/>
    <w:rsid w:val="009A1D93"/>
    <w:rsid w:val="009A1F5C"/>
    <w:rsid w:val="009A1F96"/>
    <w:rsid w:val="009A2168"/>
    <w:rsid w:val="009A216F"/>
    <w:rsid w:val="009A2172"/>
    <w:rsid w:val="009A21B4"/>
    <w:rsid w:val="009A23D1"/>
    <w:rsid w:val="009A253B"/>
    <w:rsid w:val="009A272A"/>
    <w:rsid w:val="009A279E"/>
    <w:rsid w:val="009A2978"/>
    <w:rsid w:val="009A2E37"/>
    <w:rsid w:val="009A2EBB"/>
    <w:rsid w:val="009A2FA2"/>
    <w:rsid w:val="009A3196"/>
    <w:rsid w:val="009A346B"/>
    <w:rsid w:val="009A3824"/>
    <w:rsid w:val="009A3876"/>
    <w:rsid w:val="009A3954"/>
    <w:rsid w:val="009A3958"/>
    <w:rsid w:val="009A3995"/>
    <w:rsid w:val="009A3A85"/>
    <w:rsid w:val="009A3C58"/>
    <w:rsid w:val="009A3C83"/>
    <w:rsid w:val="009A3F77"/>
    <w:rsid w:val="009A407D"/>
    <w:rsid w:val="009A46A8"/>
    <w:rsid w:val="009A46D4"/>
    <w:rsid w:val="009A4774"/>
    <w:rsid w:val="009A486B"/>
    <w:rsid w:val="009A4878"/>
    <w:rsid w:val="009A48DE"/>
    <w:rsid w:val="009A48EC"/>
    <w:rsid w:val="009A4E5F"/>
    <w:rsid w:val="009A4F28"/>
    <w:rsid w:val="009A4F86"/>
    <w:rsid w:val="009A4F8F"/>
    <w:rsid w:val="009A506B"/>
    <w:rsid w:val="009A53B0"/>
    <w:rsid w:val="009A5443"/>
    <w:rsid w:val="009A54C4"/>
    <w:rsid w:val="009A54E5"/>
    <w:rsid w:val="009A5510"/>
    <w:rsid w:val="009A5607"/>
    <w:rsid w:val="009A566C"/>
    <w:rsid w:val="009A5D12"/>
    <w:rsid w:val="009A5D42"/>
    <w:rsid w:val="009A5EC4"/>
    <w:rsid w:val="009A600C"/>
    <w:rsid w:val="009A6238"/>
    <w:rsid w:val="009A67F3"/>
    <w:rsid w:val="009A69FA"/>
    <w:rsid w:val="009A6AE9"/>
    <w:rsid w:val="009A6D4E"/>
    <w:rsid w:val="009A6F36"/>
    <w:rsid w:val="009A6FEC"/>
    <w:rsid w:val="009A7317"/>
    <w:rsid w:val="009A73BA"/>
    <w:rsid w:val="009A74A6"/>
    <w:rsid w:val="009A7557"/>
    <w:rsid w:val="009A769D"/>
    <w:rsid w:val="009A79E8"/>
    <w:rsid w:val="009A7F5C"/>
    <w:rsid w:val="009B00B6"/>
    <w:rsid w:val="009B043F"/>
    <w:rsid w:val="009B05E2"/>
    <w:rsid w:val="009B0688"/>
    <w:rsid w:val="009B069B"/>
    <w:rsid w:val="009B0B8F"/>
    <w:rsid w:val="009B0BD9"/>
    <w:rsid w:val="009B0F57"/>
    <w:rsid w:val="009B0F96"/>
    <w:rsid w:val="009B1021"/>
    <w:rsid w:val="009B11F4"/>
    <w:rsid w:val="009B125D"/>
    <w:rsid w:val="009B12EA"/>
    <w:rsid w:val="009B140E"/>
    <w:rsid w:val="009B14DD"/>
    <w:rsid w:val="009B15C6"/>
    <w:rsid w:val="009B170C"/>
    <w:rsid w:val="009B18F2"/>
    <w:rsid w:val="009B1DD3"/>
    <w:rsid w:val="009B1E77"/>
    <w:rsid w:val="009B1E90"/>
    <w:rsid w:val="009B1F9C"/>
    <w:rsid w:val="009B20D0"/>
    <w:rsid w:val="009B22C5"/>
    <w:rsid w:val="009B230E"/>
    <w:rsid w:val="009B2490"/>
    <w:rsid w:val="009B2622"/>
    <w:rsid w:val="009B2631"/>
    <w:rsid w:val="009B28C3"/>
    <w:rsid w:val="009B29EB"/>
    <w:rsid w:val="009B2BC5"/>
    <w:rsid w:val="009B2CD6"/>
    <w:rsid w:val="009B2F49"/>
    <w:rsid w:val="009B31BA"/>
    <w:rsid w:val="009B32BA"/>
    <w:rsid w:val="009B337D"/>
    <w:rsid w:val="009B3732"/>
    <w:rsid w:val="009B39DD"/>
    <w:rsid w:val="009B39F3"/>
    <w:rsid w:val="009B3CB5"/>
    <w:rsid w:val="009B3DDB"/>
    <w:rsid w:val="009B445A"/>
    <w:rsid w:val="009B47CD"/>
    <w:rsid w:val="009B47F8"/>
    <w:rsid w:val="009B49E2"/>
    <w:rsid w:val="009B4A54"/>
    <w:rsid w:val="009B4A63"/>
    <w:rsid w:val="009B4A7F"/>
    <w:rsid w:val="009B4BB1"/>
    <w:rsid w:val="009B4CA5"/>
    <w:rsid w:val="009B4DA7"/>
    <w:rsid w:val="009B4DBF"/>
    <w:rsid w:val="009B4F5D"/>
    <w:rsid w:val="009B51B4"/>
    <w:rsid w:val="009B5378"/>
    <w:rsid w:val="009B5606"/>
    <w:rsid w:val="009B576D"/>
    <w:rsid w:val="009B594F"/>
    <w:rsid w:val="009B5AC3"/>
    <w:rsid w:val="009B5D92"/>
    <w:rsid w:val="009B61C4"/>
    <w:rsid w:val="009B680C"/>
    <w:rsid w:val="009B684D"/>
    <w:rsid w:val="009B6B74"/>
    <w:rsid w:val="009B6BCC"/>
    <w:rsid w:val="009B6C35"/>
    <w:rsid w:val="009B6E5F"/>
    <w:rsid w:val="009B6F2F"/>
    <w:rsid w:val="009B71B7"/>
    <w:rsid w:val="009B7347"/>
    <w:rsid w:val="009B7523"/>
    <w:rsid w:val="009B7568"/>
    <w:rsid w:val="009B7676"/>
    <w:rsid w:val="009B76BB"/>
    <w:rsid w:val="009B774F"/>
    <w:rsid w:val="009B77C1"/>
    <w:rsid w:val="009B781C"/>
    <w:rsid w:val="009B7849"/>
    <w:rsid w:val="009B7A10"/>
    <w:rsid w:val="009B7AB8"/>
    <w:rsid w:val="009B7D8A"/>
    <w:rsid w:val="009B7FFC"/>
    <w:rsid w:val="009C00E5"/>
    <w:rsid w:val="009C01BF"/>
    <w:rsid w:val="009C03FC"/>
    <w:rsid w:val="009C0415"/>
    <w:rsid w:val="009C0734"/>
    <w:rsid w:val="009C0880"/>
    <w:rsid w:val="009C09F9"/>
    <w:rsid w:val="009C0B77"/>
    <w:rsid w:val="009C0E4E"/>
    <w:rsid w:val="009C11F1"/>
    <w:rsid w:val="009C12DA"/>
    <w:rsid w:val="009C14CC"/>
    <w:rsid w:val="009C178B"/>
    <w:rsid w:val="009C19FC"/>
    <w:rsid w:val="009C1C38"/>
    <w:rsid w:val="009C1E18"/>
    <w:rsid w:val="009C1E81"/>
    <w:rsid w:val="009C1F22"/>
    <w:rsid w:val="009C1FAA"/>
    <w:rsid w:val="009C2314"/>
    <w:rsid w:val="009C2320"/>
    <w:rsid w:val="009C23EF"/>
    <w:rsid w:val="009C24CA"/>
    <w:rsid w:val="009C257A"/>
    <w:rsid w:val="009C2683"/>
    <w:rsid w:val="009C2879"/>
    <w:rsid w:val="009C2A60"/>
    <w:rsid w:val="009C2AD8"/>
    <w:rsid w:val="009C2E6A"/>
    <w:rsid w:val="009C2EB4"/>
    <w:rsid w:val="009C3119"/>
    <w:rsid w:val="009C3296"/>
    <w:rsid w:val="009C3941"/>
    <w:rsid w:val="009C3A69"/>
    <w:rsid w:val="009C3AAA"/>
    <w:rsid w:val="009C3B20"/>
    <w:rsid w:val="009C3B24"/>
    <w:rsid w:val="009C3B2D"/>
    <w:rsid w:val="009C3B45"/>
    <w:rsid w:val="009C3D12"/>
    <w:rsid w:val="009C3FC6"/>
    <w:rsid w:val="009C4331"/>
    <w:rsid w:val="009C43DD"/>
    <w:rsid w:val="009C4700"/>
    <w:rsid w:val="009C470E"/>
    <w:rsid w:val="009C477C"/>
    <w:rsid w:val="009C484D"/>
    <w:rsid w:val="009C4934"/>
    <w:rsid w:val="009C4B1E"/>
    <w:rsid w:val="009C4CFD"/>
    <w:rsid w:val="009C4D7F"/>
    <w:rsid w:val="009C4D9B"/>
    <w:rsid w:val="009C4E2B"/>
    <w:rsid w:val="009C5296"/>
    <w:rsid w:val="009C54D6"/>
    <w:rsid w:val="009C560F"/>
    <w:rsid w:val="009C5619"/>
    <w:rsid w:val="009C57A3"/>
    <w:rsid w:val="009C59A9"/>
    <w:rsid w:val="009C59B6"/>
    <w:rsid w:val="009C5C26"/>
    <w:rsid w:val="009C5CC2"/>
    <w:rsid w:val="009C5F8A"/>
    <w:rsid w:val="009C6046"/>
    <w:rsid w:val="009C6384"/>
    <w:rsid w:val="009C6610"/>
    <w:rsid w:val="009C6720"/>
    <w:rsid w:val="009C67BC"/>
    <w:rsid w:val="009C69D3"/>
    <w:rsid w:val="009C6A25"/>
    <w:rsid w:val="009C6AA6"/>
    <w:rsid w:val="009C6B2B"/>
    <w:rsid w:val="009C6D8E"/>
    <w:rsid w:val="009C709E"/>
    <w:rsid w:val="009C70C6"/>
    <w:rsid w:val="009C715B"/>
    <w:rsid w:val="009C7261"/>
    <w:rsid w:val="009C73EF"/>
    <w:rsid w:val="009C740F"/>
    <w:rsid w:val="009C79C8"/>
    <w:rsid w:val="009C79D6"/>
    <w:rsid w:val="009C79DC"/>
    <w:rsid w:val="009C7B78"/>
    <w:rsid w:val="009C7CD9"/>
    <w:rsid w:val="009C7CEB"/>
    <w:rsid w:val="009D0078"/>
    <w:rsid w:val="009D0087"/>
    <w:rsid w:val="009D020F"/>
    <w:rsid w:val="009D0277"/>
    <w:rsid w:val="009D0686"/>
    <w:rsid w:val="009D08F4"/>
    <w:rsid w:val="009D0BDD"/>
    <w:rsid w:val="009D0F3E"/>
    <w:rsid w:val="009D10C8"/>
    <w:rsid w:val="009D1279"/>
    <w:rsid w:val="009D166C"/>
    <w:rsid w:val="009D189B"/>
    <w:rsid w:val="009D18A6"/>
    <w:rsid w:val="009D19E5"/>
    <w:rsid w:val="009D1A79"/>
    <w:rsid w:val="009D1B22"/>
    <w:rsid w:val="009D1DF9"/>
    <w:rsid w:val="009D1EA6"/>
    <w:rsid w:val="009D1EBD"/>
    <w:rsid w:val="009D1F0D"/>
    <w:rsid w:val="009D2064"/>
    <w:rsid w:val="009D20DE"/>
    <w:rsid w:val="009D235D"/>
    <w:rsid w:val="009D2391"/>
    <w:rsid w:val="009D26A1"/>
    <w:rsid w:val="009D288C"/>
    <w:rsid w:val="009D2A3C"/>
    <w:rsid w:val="009D2E45"/>
    <w:rsid w:val="009D2E65"/>
    <w:rsid w:val="009D2E99"/>
    <w:rsid w:val="009D3024"/>
    <w:rsid w:val="009D32DB"/>
    <w:rsid w:val="009D35C8"/>
    <w:rsid w:val="009D3651"/>
    <w:rsid w:val="009D37A7"/>
    <w:rsid w:val="009D38BF"/>
    <w:rsid w:val="009D3AAA"/>
    <w:rsid w:val="009D3CC1"/>
    <w:rsid w:val="009D3D19"/>
    <w:rsid w:val="009D3D35"/>
    <w:rsid w:val="009D3D48"/>
    <w:rsid w:val="009D3EC2"/>
    <w:rsid w:val="009D4175"/>
    <w:rsid w:val="009D434F"/>
    <w:rsid w:val="009D4450"/>
    <w:rsid w:val="009D4583"/>
    <w:rsid w:val="009D4653"/>
    <w:rsid w:val="009D4A26"/>
    <w:rsid w:val="009D4C29"/>
    <w:rsid w:val="009D4CCA"/>
    <w:rsid w:val="009D4DD8"/>
    <w:rsid w:val="009D4E3E"/>
    <w:rsid w:val="009D4E81"/>
    <w:rsid w:val="009D4F12"/>
    <w:rsid w:val="009D4F28"/>
    <w:rsid w:val="009D4FE5"/>
    <w:rsid w:val="009D5103"/>
    <w:rsid w:val="009D520B"/>
    <w:rsid w:val="009D5441"/>
    <w:rsid w:val="009D5444"/>
    <w:rsid w:val="009D561D"/>
    <w:rsid w:val="009D5687"/>
    <w:rsid w:val="009D580F"/>
    <w:rsid w:val="009D589A"/>
    <w:rsid w:val="009D5976"/>
    <w:rsid w:val="009D59A5"/>
    <w:rsid w:val="009D5A2E"/>
    <w:rsid w:val="009D5F7B"/>
    <w:rsid w:val="009D600F"/>
    <w:rsid w:val="009D63E0"/>
    <w:rsid w:val="009D645A"/>
    <w:rsid w:val="009D645C"/>
    <w:rsid w:val="009D6795"/>
    <w:rsid w:val="009D6889"/>
    <w:rsid w:val="009D68D2"/>
    <w:rsid w:val="009D6A63"/>
    <w:rsid w:val="009D6B73"/>
    <w:rsid w:val="009D6BF2"/>
    <w:rsid w:val="009D6CFC"/>
    <w:rsid w:val="009D6E9A"/>
    <w:rsid w:val="009D6ED4"/>
    <w:rsid w:val="009D6FD0"/>
    <w:rsid w:val="009D71A4"/>
    <w:rsid w:val="009D7287"/>
    <w:rsid w:val="009D78F4"/>
    <w:rsid w:val="009D7B15"/>
    <w:rsid w:val="009D7B56"/>
    <w:rsid w:val="009D7FB9"/>
    <w:rsid w:val="009E022F"/>
    <w:rsid w:val="009E0319"/>
    <w:rsid w:val="009E05A1"/>
    <w:rsid w:val="009E0668"/>
    <w:rsid w:val="009E0726"/>
    <w:rsid w:val="009E0797"/>
    <w:rsid w:val="009E08DC"/>
    <w:rsid w:val="009E0941"/>
    <w:rsid w:val="009E0946"/>
    <w:rsid w:val="009E09D0"/>
    <w:rsid w:val="009E10B6"/>
    <w:rsid w:val="009E1201"/>
    <w:rsid w:val="009E1269"/>
    <w:rsid w:val="009E1311"/>
    <w:rsid w:val="009E131A"/>
    <w:rsid w:val="009E14CD"/>
    <w:rsid w:val="009E1747"/>
    <w:rsid w:val="009E19A6"/>
    <w:rsid w:val="009E1A5F"/>
    <w:rsid w:val="009E1AAE"/>
    <w:rsid w:val="009E1CF6"/>
    <w:rsid w:val="009E1D3E"/>
    <w:rsid w:val="009E20E4"/>
    <w:rsid w:val="009E23F0"/>
    <w:rsid w:val="009E252E"/>
    <w:rsid w:val="009E2571"/>
    <w:rsid w:val="009E2593"/>
    <w:rsid w:val="009E2AF7"/>
    <w:rsid w:val="009E2CC3"/>
    <w:rsid w:val="009E2D46"/>
    <w:rsid w:val="009E3074"/>
    <w:rsid w:val="009E34A7"/>
    <w:rsid w:val="009E34B4"/>
    <w:rsid w:val="009E3566"/>
    <w:rsid w:val="009E363D"/>
    <w:rsid w:val="009E36F4"/>
    <w:rsid w:val="009E3894"/>
    <w:rsid w:val="009E39D9"/>
    <w:rsid w:val="009E3D3C"/>
    <w:rsid w:val="009E3F36"/>
    <w:rsid w:val="009E3FDF"/>
    <w:rsid w:val="009E4162"/>
    <w:rsid w:val="009E4270"/>
    <w:rsid w:val="009E4354"/>
    <w:rsid w:val="009E43C8"/>
    <w:rsid w:val="009E45D2"/>
    <w:rsid w:val="009E4745"/>
    <w:rsid w:val="009E4780"/>
    <w:rsid w:val="009E4A13"/>
    <w:rsid w:val="009E4AA3"/>
    <w:rsid w:val="009E4C03"/>
    <w:rsid w:val="009E4CAD"/>
    <w:rsid w:val="009E4CD9"/>
    <w:rsid w:val="009E4D0A"/>
    <w:rsid w:val="009E4ED3"/>
    <w:rsid w:val="009E507F"/>
    <w:rsid w:val="009E5485"/>
    <w:rsid w:val="009E54E2"/>
    <w:rsid w:val="009E557C"/>
    <w:rsid w:val="009E55FA"/>
    <w:rsid w:val="009E5812"/>
    <w:rsid w:val="009E5968"/>
    <w:rsid w:val="009E5A51"/>
    <w:rsid w:val="009E5BD7"/>
    <w:rsid w:val="009E5DB7"/>
    <w:rsid w:val="009E5E7C"/>
    <w:rsid w:val="009E5F64"/>
    <w:rsid w:val="009E5F7E"/>
    <w:rsid w:val="009E6046"/>
    <w:rsid w:val="009E60DE"/>
    <w:rsid w:val="009E6283"/>
    <w:rsid w:val="009E62C7"/>
    <w:rsid w:val="009E63FE"/>
    <w:rsid w:val="009E65D9"/>
    <w:rsid w:val="009E66F9"/>
    <w:rsid w:val="009E68BC"/>
    <w:rsid w:val="009E6A99"/>
    <w:rsid w:val="009E6CFD"/>
    <w:rsid w:val="009E6EEF"/>
    <w:rsid w:val="009E6FC2"/>
    <w:rsid w:val="009E702F"/>
    <w:rsid w:val="009E7049"/>
    <w:rsid w:val="009E7092"/>
    <w:rsid w:val="009E7238"/>
    <w:rsid w:val="009E73FC"/>
    <w:rsid w:val="009E74AC"/>
    <w:rsid w:val="009E74FC"/>
    <w:rsid w:val="009E75C8"/>
    <w:rsid w:val="009E7676"/>
    <w:rsid w:val="009E76E1"/>
    <w:rsid w:val="009E7BA0"/>
    <w:rsid w:val="009E7E53"/>
    <w:rsid w:val="009E7F0E"/>
    <w:rsid w:val="009F046F"/>
    <w:rsid w:val="009F04A2"/>
    <w:rsid w:val="009F05FE"/>
    <w:rsid w:val="009F060C"/>
    <w:rsid w:val="009F0619"/>
    <w:rsid w:val="009F0EAA"/>
    <w:rsid w:val="009F0F58"/>
    <w:rsid w:val="009F130D"/>
    <w:rsid w:val="009F14FF"/>
    <w:rsid w:val="009F1927"/>
    <w:rsid w:val="009F1ADA"/>
    <w:rsid w:val="009F1BAA"/>
    <w:rsid w:val="009F1C19"/>
    <w:rsid w:val="009F1CF6"/>
    <w:rsid w:val="009F1F2A"/>
    <w:rsid w:val="009F216C"/>
    <w:rsid w:val="009F22FB"/>
    <w:rsid w:val="009F2508"/>
    <w:rsid w:val="009F27B6"/>
    <w:rsid w:val="009F2870"/>
    <w:rsid w:val="009F28AA"/>
    <w:rsid w:val="009F2941"/>
    <w:rsid w:val="009F2A4D"/>
    <w:rsid w:val="009F2AF0"/>
    <w:rsid w:val="009F2B0B"/>
    <w:rsid w:val="009F2C58"/>
    <w:rsid w:val="009F3540"/>
    <w:rsid w:val="009F3687"/>
    <w:rsid w:val="009F37E5"/>
    <w:rsid w:val="009F384D"/>
    <w:rsid w:val="009F3990"/>
    <w:rsid w:val="009F3B3D"/>
    <w:rsid w:val="009F3C52"/>
    <w:rsid w:val="009F3E1F"/>
    <w:rsid w:val="009F3E26"/>
    <w:rsid w:val="009F3F38"/>
    <w:rsid w:val="009F3FCB"/>
    <w:rsid w:val="009F4007"/>
    <w:rsid w:val="009F40EF"/>
    <w:rsid w:val="009F418F"/>
    <w:rsid w:val="009F42CB"/>
    <w:rsid w:val="009F45FF"/>
    <w:rsid w:val="009F4612"/>
    <w:rsid w:val="009F47D7"/>
    <w:rsid w:val="009F47E9"/>
    <w:rsid w:val="009F4807"/>
    <w:rsid w:val="009F488A"/>
    <w:rsid w:val="009F4A59"/>
    <w:rsid w:val="009F4B36"/>
    <w:rsid w:val="009F4C85"/>
    <w:rsid w:val="009F4FF5"/>
    <w:rsid w:val="009F5011"/>
    <w:rsid w:val="009F55F6"/>
    <w:rsid w:val="009F564A"/>
    <w:rsid w:val="009F5656"/>
    <w:rsid w:val="009F573D"/>
    <w:rsid w:val="009F57B1"/>
    <w:rsid w:val="009F5881"/>
    <w:rsid w:val="009F58D5"/>
    <w:rsid w:val="009F595B"/>
    <w:rsid w:val="009F59DC"/>
    <w:rsid w:val="009F5ADB"/>
    <w:rsid w:val="009F5BBB"/>
    <w:rsid w:val="009F5BCF"/>
    <w:rsid w:val="009F5E88"/>
    <w:rsid w:val="009F67EB"/>
    <w:rsid w:val="009F6B99"/>
    <w:rsid w:val="009F6DA8"/>
    <w:rsid w:val="009F6EDD"/>
    <w:rsid w:val="009F6F58"/>
    <w:rsid w:val="009F70AB"/>
    <w:rsid w:val="009F72C3"/>
    <w:rsid w:val="009F72E1"/>
    <w:rsid w:val="009F72F5"/>
    <w:rsid w:val="009F732A"/>
    <w:rsid w:val="009F7541"/>
    <w:rsid w:val="009F7628"/>
    <w:rsid w:val="009F77B8"/>
    <w:rsid w:val="009F78BD"/>
    <w:rsid w:val="009F7C8E"/>
    <w:rsid w:val="009F7CAE"/>
    <w:rsid w:val="009F7EBB"/>
    <w:rsid w:val="00A00579"/>
    <w:rsid w:val="00A006FF"/>
    <w:rsid w:val="00A00813"/>
    <w:rsid w:val="00A00814"/>
    <w:rsid w:val="00A0092B"/>
    <w:rsid w:val="00A009CB"/>
    <w:rsid w:val="00A00A11"/>
    <w:rsid w:val="00A00A5B"/>
    <w:rsid w:val="00A00B91"/>
    <w:rsid w:val="00A00C0D"/>
    <w:rsid w:val="00A00C6D"/>
    <w:rsid w:val="00A00CDD"/>
    <w:rsid w:val="00A00D41"/>
    <w:rsid w:val="00A01120"/>
    <w:rsid w:val="00A01319"/>
    <w:rsid w:val="00A0132B"/>
    <w:rsid w:val="00A013AE"/>
    <w:rsid w:val="00A016BB"/>
    <w:rsid w:val="00A01886"/>
    <w:rsid w:val="00A0189A"/>
    <w:rsid w:val="00A01DC1"/>
    <w:rsid w:val="00A01EFF"/>
    <w:rsid w:val="00A0233A"/>
    <w:rsid w:val="00A0247E"/>
    <w:rsid w:val="00A02AB6"/>
    <w:rsid w:val="00A02ACF"/>
    <w:rsid w:val="00A02B7B"/>
    <w:rsid w:val="00A02EF6"/>
    <w:rsid w:val="00A03419"/>
    <w:rsid w:val="00A0353E"/>
    <w:rsid w:val="00A03543"/>
    <w:rsid w:val="00A03857"/>
    <w:rsid w:val="00A03B15"/>
    <w:rsid w:val="00A03CEB"/>
    <w:rsid w:val="00A03DFE"/>
    <w:rsid w:val="00A03EAF"/>
    <w:rsid w:val="00A03EED"/>
    <w:rsid w:val="00A03F3D"/>
    <w:rsid w:val="00A041E3"/>
    <w:rsid w:val="00A044BE"/>
    <w:rsid w:val="00A04795"/>
    <w:rsid w:val="00A04925"/>
    <w:rsid w:val="00A04E1D"/>
    <w:rsid w:val="00A04E99"/>
    <w:rsid w:val="00A050B8"/>
    <w:rsid w:val="00A050EC"/>
    <w:rsid w:val="00A052FA"/>
    <w:rsid w:val="00A053A4"/>
    <w:rsid w:val="00A05445"/>
    <w:rsid w:val="00A0575D"/>
    <w:rsid w:val="00A05D3F"/>
    <w:rsid w:val="00A06144"/>
    <w:rsid w:val="00A06271"/>
    <w:rsid w:val="00A06283"/>
    <w:rsid w:val="00A06324"/>
    <w:rsid w:val="00A063A2"/>
    <w:rsid w:val="00A06649"/>
    <w:rsid w:val="00A06BBF"/>
    <w:rsid w:val="00A06BDE"/>
    <w:rsid w:val="00A06D6A"/>
    <w:rsid w:val="00A06F0C"/>
    <w:rsid w:val="00A070FF"/>
    <w:rsid w:val="00A07114"/>
    <w:rsid w:val="00A0719C"/>
    <w:rsid w:val="00A073CD"/>
    <w:rsid w:val="00A074D2"/>
    <w:rsid w:val="00A07557"/>
    <w:rsid w:val="00A075C7"/>
    <w:rsid w:val="00A0763F"/>
    <w:rsid w:val="00A0765D"/>
    <w:rsid w:val="00A07664"/>
    <w:rsid w:val="00A0783A"/>
    <w:rsid w:val="00A0785F"/>
    <w:rsid w:val="00A07A1A"/>
    <w:rsid w:val="00A07B1F"/>
    <w:rsid w:val="00A07D01"/>
    <w:rsid w:val="00A07FDF"/>
    <w:rsid w:val="00A109AE"/>
    <w:rsid w:val="00A10A64"/>
    <w:rsid w:val="00A10A89"/>
    <w:rsid w:val="00A10CEF"/>
    <w:rsid w:val="00A10EA8"/>
    <w:rsid w:val="00A110F3"/>
    <w:rsid w:val="00A11101"/>
    <w:rsid w:val="00A11488"/>
    <w:rsid w:val="00A114E0"/>
    <w:rsid w:val="00A1167B"/>
    <w:rsid w:val="00A11CB8"/>
    <w:rsid w:val="00A123AB"/>
    <w:rsid w:val="00A126EC"/>
    <w:rsid w:val="00A12BE7"/>
    <w:rsid w:val="00A132C0"/>
    <w:rsid w:val="00A13349"/>
    <w:rsid w:val="00A134F5"/>
    <w:rsid w:val="00A134F6"/>
    <w:rsid w:val="00A13535"/>
    <w:rsid w:val="00A1357E"/>
    <w:rsid w:val="00A135FA"/>
    <w:rsid w:val="00A13BE0"/>
    <w:rsid w:val="00A13C5A"/>
    <w:rsid w:val="00A13D88"/>
    <w:rsid w:val="00A13E30"/>
    <w:rsid w:val="00A13FAF"/>
    <w:rsid w:val="00A14026"/>
    <w:rsid w:val="00A142EC"/>
    <w:rsid w:val="00A14749"/>
    <w:rsid w:val="00A1476C"/>
    <w:rsid w:val="00A14955"/>
    <w:rsid w:val="00A14D3F"/>
    <w:rsid w:val="00A14D47"/>
    <w:rsid w:val="00A14D72"/>
    <w:rsid w:val="00A153C9"/>
    <w:rsid w:val="00A1553F"/>
    <w:rsid w:val="00A15553"/>
    <w:rsid w:val="00A15574"/>
    <w:rsid w:val="00A1577D"/>
    <w:rsid w:val="00A15783"/>
    <w:rsid w:val="00A15824"/>
    <w:rsid w:val="00A15866"/>
    <w:rsid w:val="00A15B04"/>
    <w:rsid w:val="00A15D9E"/>
    <w:rsid w:val="00A15EE8"/>
    <w:rsid w:val="00A15EF1"/>
    <w:rsid w:val="00A16245"/>
    <w:rsid w:val="00A163E4"/>
    <w:rsid w:val="00A164B8"/>
    <w:rsid w:val="00A164BF"/>
    <w:rsid w:val="00A16682"/>
    <w:rsid w:val="00A166D7"/>
    <w:rsid w:val="00A16765"/>
    <w:rsid w:val="00A167DA"/>
    <w:rsid w:val="00A16964"/>
    <w:rsid w:val="00A16A06"/>
    <w:rsid w:val="00A16BC5"/>
    <w:rsid w:val="00A16C07"/>
    <w:rsid w:val="00A16C1A"/>
    <w:rsid w:val="00A16D02"/>
    <w:rsid w:val="00A16D59"/>
    <w:rsid w:val="00A16F16"/>
    <w:rsid w:val="00A16F26"/>
    <w:rsid w:val="00A170A6"/>
    <w:rsid w:val="00A17160"/>
    <w:rsid w:val="00A17239"/>
    <w:rsid w:val="00A175F7"/>
    <w:rsid w:val="00A176D9"/>
    <w:rsid w:val="00A176EE"/>
    <w:rsid w:val="00A17CAB"/>
    <w:rsid w:val="00A17D38"/>
    <w:rsid w:val="00A17DB3"/>
    <w:rsid w:val="00A17FEE"/>
    <w:rsid w:val="00A2001F"/>
    <w:rsid w:val="00A2018F"/>
    <w:rsid w:val="00A2031D"/>
    <w:rsid w:val="00A20634"/>
    <w:rsid w:val="00A20666"/>
    <w:rsid w:val="00A206A9"/>
    <w:rsid w:val="00A2077D"/>
    <w:rsid w:val="00A20797"/>
    <w:rsid w:val="00A20798"/>
    <w:rsid w:val="00A20973"/>
    <w:rsid w:val="00A20AB9"/>
    <w:rsid w:val="00A20D13"/>
    <w:rsid w:val="00A20DD8"/>
    <w:rsid w:val="00A20E3F"/>
    <w:rsid w:val="00A212E6"/>
    <w:rsid w:val="00A2133E"/>
    <w:rsid w:val="00A21375"/>
    <w:rsid w:val="00A21666"/>
    <w:rsid w:val="00A21803"/>
    <w:rsid w:val="00A21863"/>
    <w:rsid w:val="00A21B3A"/>
    <w:rsid w:val="00A21DD9"/>
    <w:rsid w:val="00A21E51"/>
    <w:rsid w:val="00A21EC6"/>
    <w:rsid w:val="00A21EDD"/>
    <w:rsid w:val="00A22138"/>
    <w:rsid w:val="00A22555"/>
    <w:rsid w:val="00A225A5"/>
    <w:rsid w:val="00A225FC"/>
    <w:rsid w:val="00A227F8"/>
    <w:rsid w:val="00A22BFE"/>
    <w:rsid w:val="00A22C25"/>
    <w:rsid w:val="00A22C73"/>
    <w:rsid w:val="00A22C96"/>
    <w:rsid w:val="00A22D5D"/>
    <w:rsid w:val="00A22DF2"/>
    <w:rsid w:val="00A22EF5"/>
    <w:rsid w:val="00A2305E"/>
    <w:rsid w:val="00A2316B"/>
    <w:rsid w:val="00A2336E"/>
    <w:rsid w:val="00A2337F"/>
    <w:rsid w:val="00A2347B"/>
    <w:rsid w:val="00A234AA"/>
    <w:rsid w:val="00A23BA3"/>
    <w:rsid w:val="00A23BAF"/>
    <w:rsid w:val="00A23C88"/>
    <w:rsid w:val="00A23CAF"/>
    <w:rsid w:val="00A23F06"/>
    <w:rsid w:val="00A23F55"/>
    <w:rsid w:val="00A240DD"/>
    <w:rsid w:val="00A24154"/>
    <w:rsid w:val="00A2448B"/>
    <w:rsid w:val="00A2453C"/>
    <w:rsid w:val="00A245E0"/>
    <w:rsid w:val="00A24685"/>
    <w:rsid w:val="00A24866"/>
    <w:rsid w:val="00A249ED"/>
    <w:rsid w:val="00A24A5C"/>
    <w:rsid w:val="00A24BB8"/>
    <w:rsid w:val="00A24C1F"/>
    <w:rsid w:val="00A24C41"/>
    <w:rsid w:val="00A24CB9"/>
    <w:rsid w:val="00A24D61"/>
    <w:rsid w:val="00A24D84"/>
    <w:rsid w:val="00A24D9E"/>
    <w:rsid w:val="00A24E2D"/>
    <w:rsid w:val="00A251CC"/>
    <w:rsid w:val="00A251ED"/>
    <w:rsid w:val="00A2546D"/>
    <w:rsid w:val="00A258CC"/>
    <w:rsid w:val="00A25B18"/>
    <w:rsid w:val="00A25C0D"/>
    <w:rsid w:val="00A26281"/>
    <w:rsid w:val="00A267B6"/>
    <w:rsid w:val="00A26928"/>
    <w:rsid w:val="00A26A6A"/>
    <w:rsid w:val="00A26B6F"/>
    <w:rsid w:val="00A26D3D"/>
    <w:rsid w:val="00A2711A"/>
    <w:rsid w:val="00A27526"/>
    <w:rsid w:val="00A27879"/>
    <w:rsid w:val="00A2796A"/>
    <w:rsid w:val="00A279CC"/>
    <w:rsid w:val="00A27AB8"/>
    <w:rsid w:val="00A27B95"/>
    <w:rsid w:val="00A27C00"/>
    <w:rsid w:val="00A27CE5"/>
    <w:rsid w:val="00A27DD9"/>
    <w:rsid w:val="00A27EA1"/>
    <w:rsid w:val="00A27F35"/>
    <w:rsid w:val="00A30078"/>
    <w:rsid w:val="00A300F5"/>
    <w:rsid w:val="00A30111"/>
    <w:rsid w:val="00A301D1"/>
    <w:rsid w:val="00A3030C"/>
    <w:rsid w:val="00A3048F"/>
    <w:rsid w:val="00A3059B"/>
    <w:rsid w:val="00A305EF"/>
    <w:rsid w:val="00A30694"/>
    <w:rsid w:val="00A3090A"/>
    <w:rsid w:val="00A30C36"/>
    <w:rsid w:val="00A30DB5"/>
    <w:rsid w:val="00A30EEB"/>
    <w:rsid w:val="00A30F4A"/>
    <w:rsid w:val="00A31062"/>
    <w:rsid w:val="00A3128C"/>
    <w:rsid w:val="00A312AC"/>
    <w:rsid w:val="00A31304"/>
    <w:rsid w:val="00A314E2"/>
    <w:rsid w:val="00A3158B"/>
    <w:rsid w:val="00A316AE"/>
    <w:rsid w:val="00A316FA"/>
    <w:rsid w:val="00A3185C"/>
    <w:rsid w:val="00A319FD"/>
    <w:rsid w:val="00A31AC4"/>
    <w:rsid w:val="00A31C85"/>
    <w:rsid w:val="00A32159"/>
    <w:rsid w:val="00A322F9"/>
    <w:rsid w:val="00A323AD"/>
    <w:rsid w:val="00A323D9"/>
    <w:rsid w:val="00A32484"/>
    <w:rsid w:val="00A324AB"/>
    <w:rsid w:val="00A32640"/>
    <w:rsid w:val="00A3274C"/>
    <w:rsid w:val="00A3276A"/>
    <w:rsid w:val="00A32BB3"/>
    <w:rsid w:val="00A32CD2"/>
    <w:rsid w:val="00A32E95"/>
    <w:rsid w:val="00A33122"/>
    <w:rsid w:val="00A331F0"/>
    <w:rsid w:val="00A33413"/>
    <w:rsid w:val="00A33678"/>
    <w:rsid w:val="00A3384C"/>
    <w:rsid w:val="00A338D4"/>
    <w:rsid w:val="00A3390E"/>
    <w:rsid w:val="00A33995"/>
    <w:rsid w:val="00A33A2B"/>
    <w:rsid w:val="00A33A36"/>
    <w:rsid w:val="00A33AFA"/>
    <w:rsid w:val="00A3426F"/>
    <w:rsid w:val="00A34368"/>
    <w:rsid w:val="00A343A5"/>
    <w:rsid w:val="00A343AB"/>
    <w:rsid w:val="00A344B6"/>
    <w:rsid w:val="00A34530"/>
    <w:rsid w:val="00A3483C"/>
    <w:rsid w:val="00A34B51"/>
    <w:rsid w:val="00A34C77"/>
    <w:rsid w:val="00A34CB2"/>
    <w:rsid w:val="00A34CE8"/>
    <w:rsid w:val="00A34D04"/>
    <w:rsid w:val="00A3515C"/>
    <w:rsid w:val="00A35273"/>
    <w:rsid w:val="00A35745"/>
    <w:rsid w:val="00A359BB"/>
    <w:rsid w:val="00A35B7A"/>
    <w:rsid w:val="00A35D79"/>
    <w:rsid w:val="00A35D94"/>
    <w:rsid w:val="00A35E4F"/>
    <w:rsid w:val="00A35FBC"/>
    <w:rsid w:val="00A36122"/>
    <w:rsid w:val="00A361D4"/>
    <w:rsid w:val="00A36609"/>
    <w:rsid w:val="00A36885"/>
    <w:rsid w:val="00A368B5"/>
    <w:rsid w:val="00A36BC6"/>
    <w:rsid w:val="00A36FA6"/>
    <w:rsid w:val="00A371F9"/>
    <w:rsid w:val="00A37274"/>
    <w:rsid w:val="00A37279"/>
    <w:rsid w:val="00A37308"/>
    <w:rsid w:val="00A37361"/>
    <w:rsid w:val="00A3771D"/>
    <w:rsid w:val="00A37879"/>
    <w:rsid w:val="00A378E1"/>
    <w:rsid w:val="00A37B17"/>
    <w:rsid w:val="00A37CA2"/>
    <w:rsid w:val="00A37CAC"/>
    <w:rsid w:val="00A37E07"/>
    <w:rsid w:val="00A37E0C"/>
    <w:rsid w:val="00A400AA"/>
    <w:rsid w:val="00A400E3"/>
    <w:rsid w:val="00A4011B"/>
    <w:rsid w:val="00A404FD"/>
    <w:rsid w:val="00A4052E"/>
    <w:rsid w:val="00A405AB"/>
    <w:rsid w:val="00A407B1"/>
    <w:rsid w:val="00A407B4"/>
    <w:rsid w:val="00A408D3"/>
    <w:rsid w:val="00A408F2"/>
    <w:rsid w:val="00A40A04"/>
    <w:rsid w:val="00A40BBE"/>
    <w:rsid w:val="00A40E85"/>
    <w:rsid w:val="00A40F0A"/>
    <w:rsid w:val="00A410F0"/>
    <w:rsid w:val="00A41170"/>
    <w:rsid w:val="00A41318"/>
    <w:rsid w:val="00A413AB"/>
    <w:rsid w:val="00A4158F"/>
    <w:rsid w:val="00A41775"/>
    <w:rsid w:val="00A41876"/>
    <w:rsid w:val="00A41D02"/>
    <w:rsid w:val="00A41D7A"/>
    <w:rsid w:val="00A41DE8"/>
    <w:rsid w:val="00A42199"/>
    <w:rsid w:val="00A4228C"/>
    <w:rsid w:val="00A425ED"/>
    <w:rsid w:val="00A42668"/>
    <w:rsid w:val="00A428B5"/>
    <w:rsid w:val="00A42FB2"/>
    <w:rsid w:val="00A43035"/>
    <w:rsid w:val="00A43097"/>
    <w:rsid w:val="00A43240"/>
    <w:rsid w:val="00A432BE"/>
    <w:rsid w:val="00A433D9"/>
    <w:rsid w:val="00A43B6B"/>
    <w:rsid w:val="00A43D93"/>
    <w:rsid w:val="00A43E67"/>
    <w:rsid w:val="00A441C6"/>
    <w:rsid w:val="00A44356"/>
    <w:rsid w:val="00A445AD"/>
    <w:rsid w:val="00A445B7"/>
    <w:rsid w:val="00A446D5"/>
    <w:rsid w:val="00A448CA"/>
    <w:rsid w:val="00A44A9F"/>
    <w:rsid w:val="00A4507D"/>
    <w:rsid w:val="00A451FF"/>
    <w:rsid w:val="00A453E1"/>
    <w:rsid w:val="00A454E9"/>
    <w:rsid w:val="00A45513"/>
    <w:rsid w:val="00A457ED"/>
    <w:rsid w:val="00A4587C"/>
    <w:rsid w:val="00A458B0"/>
    <w:rsid w:val="00A45A0D"/>
    <w:rsid w:val="00A45C1E"/>
    <w:rsid w:val="00A45C3D"/>
    <w:rsid w:val="00A45D26"/>
    <w:rsid w:val="00A45E75"/>
    <w:rsid w:val="00A45F00"/>
    <w:rsid w:val="00A45F03"/>
    <w:rsid w:val="00A45F52"/>
    <w:rsid w:val="00A45F62"/>
    <w:rsid w:val="00A462F0"/>
    <w:rsid w:val="00A46414"/>
    <w:rsid w:val="00A46658"/>
    <w:rsid w:val="00A467C4"/>
    <w:rsid w:val="00A4686F"/>
    <w:rsid w:val="00A46C32"/>
    <w:rsid w:val="00A46CC1"/>
    <w:rsid w:val="00A46E9C"/>
    <w:rsid w:val="00A46F15"/>
    <w:rsid w:val="00A473C9"/>
    <w:rsid w:val="00A474F7"/>
    <w:rsid w:val="00A47647"/>
    <w:rsid w:val="00A47675"/>
    <w:rsid w:val="00A476F2"/>
    <w:rsid w:val="00A4774B"/>
    <w:rsid w:val="00A479FF"/>
    <w:rsid w:val="00A47A44"/>
    <w:rsid w:val="00A47CCA"/>
    <w:rsid w:val="00A47E23"/>
    <w:rsid w:val="00A47E9A"/>
    <w:rsid w:val="00A50064"/>
    <w:rsid w:val="00A505F2"/>
    <w:rsid w:val="00A50984"/>
    <w:rsid w:val="00A509F2"/>
    <w:rsid w:val="00A50B81"/>
    <w:rsid w:val="00A50C5F"/>
    <w:rsid w:val="00A50EC6"/>
    <w:rsid w:val="00A5137C"/>
    <w:rsid w:val="00A51386"/>
    <w:rsid w:val="00A5181D"/>
    <w:rsid w:val="00A51B7A"/>
    <w:rsid w:val="00A51BEF"/>
    <w:rsid w:val="00A51C81"/>
    <w:rsid w:val="00A51EC8"/>
    <w:rsid w:val="00A51FC2"/>
    <w:rsid w:val="00A52027"/>
    <w:rsid w:val="00A52154"/>
    <w:rsid w:val="00A5222F"/>
    <w:rsid w:val="00A523BB"/>
    <w:rsid w:val="00A5252D"/>
    <w:rsid w:val="00A526AC"/>
    <w:rsid w:val="00A5299E"/>
    <w:rsid w:val="00A52A69"/>
    <w:rsid w:val="00A52F01"/>
    <w:rsid w:val="00A5335A"/>
    <w:rsid w:val="00A53410"/>
    <w:rsid w:val="00A534FB"/>
    <w:rsid w:val="00A5388F"/>
    <w:rsid w:val="00A538B9"/>
    <w:rsid w:val="00A53CAE"/>
    <w:rsid w:val="00A53DB0"/>
    <w:rsid w:val="00A53DEB"/>
    <w:rsid w:val="00A53E51"/>
    <w:rsid w:val="00A53F4B"/>
    <w:rsid w:val="00A5448D"/>
    <w:rsid w:val="00A54525"/>
    <w:rsid w:val="00A547FF"/>
    <w:rsid w:val="00A54895"/>
    <w:rsid w:val="00A548E7"/>
    <w:rsid w:val="00A5492E"/>
    <w:rsid w:val="00A54942"/>
    <w:rsid w:val="00A5495B"/>
    <w:rsid w:val="00A5495C"/>
    <w:rsid w:val="00A54A1B"/>
    <w:rsid w:val="00A54C60"/>
    <w:rsid w:val="00A54C74"/>
    <w:rsid w:val="00A54D67"/>
    <w:rsid w:val="00A54E71"/>
    <w:rsid w:val="00A54E87"/>
    <w:rsid w:val="00A552AB"/>
    <w:rsid w:val="00A553E7"/>
    <w:rsid w:val="00A553F6"/>
    <w:rsid w:val="00A5547D"/>
    <w:rsid w:val="00A5560F"/>
    <w:rsid w:val="00A55644"/>
    <w:rsid w:val="00A558FA"/>
    <w:rsid w:val="00A55EDE"/>
    <w:rsid w:val="00A56138"/>
    <w:rsid w:val="00A5620E"/>
    <w:rsid w:val="00A56482"/>
    <w:rsid w:val="00A5663B"/>
    <w:rsid w:val="00A566FC"/>
    <w:rsid w:val="00A5691C"/>
    <w:rsid w:val="00A56995"/>
    <w:rsid w:val="00A56B7E"/>
    <w:rsid w:val="00A56DEA"/>
    <w:rsid w:val="00A56E8F"/>
    <w:rsid w:val="00A57048"/>
    <w:rsid w:val="00A57125"/>
    <w:rsid w:val="00A57200"/>
    <w:rsid w:val="00A574D4"/>
    <w:rsid w:val="00A57556"/>
    <w:rsid w:val="00A57700"/>
    <w:rsid w:val="00A578E3"/>
    <w:rsid w:val="00A5799F"/>
    <w:rsid w:val="00A57BD3"/>
    <w:rsid w:val="00A57E7F"/>
    <w:rsid w:val="00A57FEE"/>
    <w:rsid w:val="00A602DC"/>
    <w:rsid w:val="00A603CA"/>
    <w:rsid w:val="00A60709"/>
    <w:rsid w:val="00A607D8"/>
    <w:rsid w:val="00A60808"/>
    <w:rsid w:val="00A60B4D"/>
    <w:rsid w:val="00A60B88"/>
    <w:rsid w:val="00A60C66"/>
    <w:rsid w:val="00A61136"/>
    <w:rsid w:val="00A611CC"/>
    <w:rsid w:val="00A611FF"/>
    <w:rsid w:val="00A61352"/>
    <w:rsid w:val="00A6146B"/>
    <w:rsid w:val="00A6164D"/>
    <w:rsid w:val="00A61BC3"/>
    <w:rsid w:val="00A61CD1"/>
    <w:rsid w:val="00A61EBB"/>
    <w:rsid w:val="00A61F21"/>
    <w:rsid w:val="00A62298"/>
    <w:rsid w:val="00A62369"/>
    <w:rsid w:val="00A624A0"/>
    <w:rsid w:val="00A62648"/>
    <w:rsid w:val="00A626F0"/>
    <w:rsid w:val="00A627E7"/>
    <w:rsid w:val="00A62A97"/>
    <w:rsid w:val="00A62BBD"/>
    <w:rsid w:val="00A62BF4"/>
    <w:rsid w:val="00A62CE6"/>
    <w:rsid w:val="00A62D9A"/>
    <w:rsid w:val="00A62ED2"/>
    <w:rsid w:val="00A62F86"/>
    <w:rsid w:val="00A62FC5"/>
    <w:rsid w:val="00A63210"/>
    <w:rsid w:val="00A6328E"/>
    <w:rsid w:val="00A63346"/>
    <w:rsid w:val="00A633D3"/>
    <w:rsid w:val="00A6345E"/>
    <w:rsid w:val="00A6348D"/>
    <w:rsid w:val="00A63534"/>
    <w:rsid w:val="00A63773"/>
    <w:rsid w:val="00A63883"/>
    <w:rsid w:val="00A63AF8"/>
    <w:rsid w:val="00A63B15"/>
    <w:rsid w:val="00A63CCF"/>
    <w:rsid w:val="00A63EF3"/>
    <w:rsid w:val="00A63FB6"/>
    <w:rsid w:val="00A63FF7"/>
    <w:rsid w:val="00A640FD"/>
    <w:rsid w:val="00A6431B"/>
    <w:rsid w:val="00A643FD"/>
    <w:rsid w:val="00A6480E"/>
    <w:rsid w:val="00A6498A"/>
    <w:rsid w:val="00A6499C"/>
    <w:rsid w:val="00A64AD9"/>
    <w:rsid w:val="00A64B37"/>
    <w:rsid w:val="00A64B9C"/>
    <w:rsid w:val="00A64D82"/>
    <w:rsid w:val="00A6518C"/>
    <w:rsid w:val="00A652BE"/>
    <w:rsid w:val="00A653B8"/>
    <w:rsid w:val="00A654E7"/>
    <w:rsid w:val="00A654ED"/>
    <w:rsid w:val="00A6562E"/>
    <w:rsid w:val="00A657B0"/>
    <w:rsid w:val="00A65875"/>
    <w:rsid w:val="00A658CF"/>
    <w:rsid w:val="00A65A4C"/>
    <w:rsid w:val="00A65AF4"/>
    <w:rsid w:val="00A65D88"/>
    <w:rsid w:val="00A6642F"/>
    <w:rsid w:val="00A66572"/>
    <w:rsid w:val="00A66796"/>
    <w:rsid w:val="00A669D2"/>
    <w:rsid w:val="00A66B1E"/>
    <w:rsid w:val="00A66BF0"/>
    <w:rsid w:val="00A66CCF"/>
    <w:rsid w:val="00A66E04"/>
    <w:rsid w:val="00A6713E"/>
    <w:rsid w:val="00A671A0"/>
    <w:rsid w:val="00A67259"/>
    <w:rsid w:val="00A672DE"/>
    <w:rsid w:val="00A675A7"/>
    <w:rsid w:val="00A678DD"/>
    <w:rsid w:val="00A67918"/>
    <w:rsid w:val="00A6799B"/>
    <w:rsid w:val="00A67C89"/>
    <w:rsid w:val="00A67F3F"/>
    <w:rsid w:val="00A700AA"/>
    <w:rsid w:val="00A70187"/>
    <w:rsid w:val="00A7030F"/>
    <w:rsid w:val="00A70333"/>
    <w:rsid w:val="00A70474"/>
    <w:rsid w:val="00A7066C"/>
    <w:rsid w:val="00A70707"/>
    <w:rsid w:val="00A70752"/>
    <w:rsid w:val="00A70B42"/>
    <w:rsid w:val="00A70CA2"/>
    <w:rsid w:val="00A71848"/>
    <w:rsid w:val="00A7195E"/>
    <w:rsid w:val="00A71A23"/>
    <w:rsid w:val="00A71AB8"/>
    <w:rsid w:val="00A71B31"/>
    <w:rsid w:val="00A71F1D"/>
    <w:rsid w:val="00A720DD"/>
    <w:rsid w:val="00A723F8"/>
    <w:rsid w:val="00A7247D"/>
    <w:rsid w:val="00A725C4"/>
    <w:rsid w:val="00A727D4"/>
    <w:rsid w:val="00A72AE9"/>
    <w:rsid w:val="00A72B53"/>
    <w:rsid w:val="00A72BA1"/>
    <w:rsid w:val="00A72CD7"/>
    <w:rsid w:val="00A72DC0"/>
    <w:rsid w:val="00A72DFA"/>
    <w:rsid w:val="00A72EA9"/>
    <w:rsid w:val="00A72ED1"/>
    <w:rsid w:val="00A72F7F"/>
    <w:rsid w:val="00A72F9D"/>
    <w:rsid w:val="00A730EE"/>
    <w:rsid w:val="00A730F4"/>
    <w:rsid w:val="00A73263"/>
    <w:rsid w:val="00A737CD"/>
    <w:rsid w:val="00A73BA9"/>
    <w:rsid w:val="00A73D03"/>
    <w:rsid w:val="00A73E59"/>
    <w:rsid w:val="00A74214"/>
    <w:rsid w:val="00A74217"/>
    <w:rsid w:val="00A74457"/>
    <w:rsid w:val="00A7459C"/>
    <w:rsid w:val="00A74AB1"/>
    <w:rsid w:val="00A74B1E"/>
    <w:rsid w:val="00A74BDC"/>
    <w:rsid w:val="00A74D8D"/>
    <w:rsid w:val="00A74E0C"/>
    <w:rsid w:val="00A74E9E"/>
    <w:rsid w:val="00A75123"/>
    <w:rsid w:val="00A754B0"/>
    <w:rsid w:val="00A75531"/>
    <w:rsid w:val="00A75A51"/>
    <w:rsid w:val="00A75DA1"/>
    <w:rsid w:val="00A75DDB"/>
    <w:rsid w:val="00A75F2C"/>
    <w:rsid w:val="00A760F1"/>
    <w:rsid w:val="00A7633D"/>
    <w:rsid w:val="00A763B1"/>
    <w:rsid w:val="00A7641C"/>
    <w:rsid w:val="00A76486"/>
    <w:rsid w:val="00A764CD"/>
    <w:rsid w:val="00A76510"/>
    <w:rsid w:val="00A76764"/>
    <w:rsid w:val="00A76B1D"/>
    <w:rsid w:val="00A76D28"/>
    <w:rsid w:val="00A76F2E"/>
    <w:rsid w:val="00A770EB"/>
    <w:rsid w:val="00A772CD"/>
    <w:rsid w:val="00A7731E"/>
    <w:rsid w:val="00A77B42"/>
    <w:rsid w:val="00A77BCA"/>
    <w:rsid w:val="00A77C3A"/>
    <w:rsid w:val="00A77C70"/>
    <w:rsid w:val="00A77D4C"/>
    <w:rsid w:val="00A77E4F"/>
    <w:rsid w:val="00A77E63"/>
    <w:rsid w:val="00A77FAB"/>
    <w:rsid w:val="00A77FC6"/>
    <w:rsid w:val="00A80040"/>
    <w:rsid w:val="00A800EE"/>
    <w:rsid w:val="00A802FB"/>
    <w:rsid w:val="00A80822"/>
    <w:rsid w:val="00A808B1"/>
    <w:rsid w:val="00A809FE"/>
    <w:rsid w:val="00A80AA0"/>
    <w:rsid w:val="00A80B89"/>
    <w:rsid w:val="00A80BCC"/>
    <w:rsid w:val="00A80C6C"/>
    <w:rsid w:val="00A81164"/>
    <w:rsid w:val="00A81288"/>
    <w:rsid w:val="00A81581"/>
    <w:rsid w:val="00A8167A"/>
    <w:rsid w:val="00A816A7"/>
    <w:rsid w:val="00A81BD9"/>
    <w:rsid w:val="00A81C56"/>
    <w:rsid w:val="00A81E97"/>
    <w:rsid w:val="00A81F2D"/>
    <w:rsid w:val="00A824A2"/>
    <w:rsid w:val="00A826D0"/>
    <w:rsid w:val="00A82898"/>
    <w:rsid w:val="00A8299E"/>
    <w:rsid w:val="00A82A9E"/>
    <w:rsid w:val="00A82AAD"/>
    <w:rsid w:val="00A82B92"/>
    <w:rsid w:val="00A82BB8"/>
    <w:rsid w:val="00A82DFC"/>
    <w:rsid w:val="00A82FAA"/>
    <w:rsid w:val="00A83103"/>
    <w:rsid w:val="00A832A6"/>
    <w:rsid w:val="00A8330E"/>
    <w:rsid w:val="00A83576"/>
    <w:rsid w:val="00A83643"/>
    <w:rsid w:val="00A83676"/>
    <w:rsid w:val="00A83796"/>
    <w:rsid w:val="00A8396B"/>
    <w:rsid w:val="00A83EDB"/>
    <w:rsid w:val="00A83F2C"/>
    <w:rsid w:val="00A83F9E"/>
    <w:rsid w:val="00A84070"/>
    <w:rsid w:val="00A840AF"/>
    <w:rsid w:val="00A841D9"/>
    <w:rsid w:val="00A84245"/>
    <w:rsid w:val="00A842F3"/>
    <w:rsid w:val="00A84399"/>
    <w:rsid w:val="00A84427"/>
    <w:rsid w:val="00A84684"/>
    <w:rsid w:val="00A8468B"/>
    <w:rsid w:val="00A84697"/>
    <w:rsid w:val="00A846A0"/>
    <w:rsid w:val="00A8470E"/>
    <w:rsid w:val="00A84869"/>
    <w:rsid w:val="00A84962"/>
    <w:rsid w:val="00A84ADC"/>
    <w:rsid w:val="00A84C38"/>
    <w:rsid w:val="00A84CA2"/>
    <w:rsid w:val="00A84CEB"/>
    <w:rsid w:val="00A84CFB"/>
    <w:rsid w:val="00A84F82"/>
    <w:rsid w:val="00A84F88"/>
    <w:rsid w:val="00A851E5"/>
    <w:rsid w:val="00A852D1"/>
    <w:rsid w:val="00A85363"/>
    <w:rsid w:val="00A855A7"/>
    <w:rsid w:val="00A855BD"/>
    <w:rsid w:val="00A855D9"/>
    <w:rsid w:val="00A85829"/>
    <w:rsid w:val="00A85919"/>
    <w:rsid w:val="00A85A89"/>
    <w:rsid w:val="00A85AAF"/>
    <w:rsid w:val="00A85E38"/>
    <w:rsid w:val="00A8608F"/>
    <w:rsid w:val="00A860F6"/>
    <w:rsid w:val="00A861A1"/>
    <w:rsid w:val="00A861A9"/>
    <w:rsid w:val="00A863AE"/>
    <w:rsid w:val="00A863CE"/>
    <w:rsid w:val="00A86594"/>
    <w:rsid w:val="00A868F7"/>
    <w:rsid w:val="00A8690E"/>
    <w:rsid w:val="00A86B3E"/>
    <w:rsid w:val="00A86BB3"/>
    <w:rsid w:val="00A86E84"/>
    <w:rsid w:val="00A870D1"/>
    <w:rsid w:val="00A870DC"/>
    <w:rsid w:val="00A87359"/>
    <w:rsid w:val="00A87393"/>
    <w:rsid w:val="00A8743F"/>
    <w:rsid w:val="00A87548"/>
    <w:rsid w:val="00A87569"/>
    <w:rsid w:val="00A87705"/>
    <w:rsid w:val="00A8778C"/>
    <w:rsid w:val="00A87836"/>
    <w:rsid w:val="00A8795C"/>
    <w:rsid w:val="00A87B6F"/>
    <w:rsid w:val="00A87C49"/>
    <w:rsid w:val="00A87E11"/>
    <w:rsid w:val="00A9000C"/>
    <w:rsid w:val="00A900F0"/>
    <w:rsid w:val="00A901E0"/>
    <w:rsid w:val="00A903C1"/>
    <w:rsid w:val="00A90B8D"/>
    <w:rsid w:val="00A90D52"/>
    <w:rsid w:val="00A90F10"/>
    <w:rsid w:val="00A90F1A"/>
    <w:rsid w:val="00A91135"/>
    <w:rsid w:val="00A91251"/>
    <w:rsid w:val="00A913A0"/>
    <w:rsid w:val="00A9149C"/>
    <w:rsid w:val="00A916D5"/>
    <w:rsid w:val="00A918BF"/>
    <w:rsid w:val="00A918C6"/>
    <w:rsid w:val="00A91C30"/>
    <w:rsid w:val="00A91CC9"/>
    <w:rsid w:val="00A91EB6"/>
    <w:rsid w:val="00A92051"/>
    <w:rsid w:val="00A922A7"/>
    <w:rsid w:val="00A92301"/>
    <w:rsid w:val="00A924FD"/>
    <w:rsid w:val="00A925A3"/>
    <w:rsid w:val="00A927BC"/>
    <w:rsid w:val="00A92CEC"/>
    <w:rsid w:val="00A92D08"/>
    <w:rsid w:val="00A9305F"/>
    <w:rsid w:val="00A931B0"/>
    <w:rsid w:val="00A93258"/>
    <w:rsid w:val="00A93491"/>
    <w:rsid w:val="00A9367B"/>
    <w:rsid w:val="00A93754"/>
    <w:rsid w:val="00A9384D"/>
    <w:rsid w:val="00A939CC"/>
    <w:rsid w:val="00A93A7A"/>
    <w:rsid w:val="00A93B4A"/>
    <w:rsid w:val="00A93C4C"/>
    <w:rsid w:val="00A93C85"/>
    <w:rsid w:val="00A93CD1"/>
    <w:rsid w:val="00A93DDA"/>
    <w:rsid w:val="00A93FD2"/>
    <w:rsid w:val="00A94006"/>
    <w:rsid w:val="00A941EB"/>
    <w:rsid w:val="00A942A1"/>
    <w:rsid w:val="00A94348"/>
    <w:rsid w:val="00A9436A"/>
    <w:rsid w:val="00A943D2"/>
    <w:rsid w:val="00A94764"/>
    <w:rsid w:val="00A9482A"/>
    <w:rsid w:val="00A94951"/>
    <w:rsid w:val="00A94E1C"/>
    <w:rsid w:val="00A94FB3"/>
    <w:rsid w:val="00A9519E"/>
    <w:rsid w:val="00A9540C"/>
    <w:rsid w:val="00A95424"/>
    <w:rsid w:val="00A9542A"/>
    <w:rsid w:val="00A955C1"/>
    <w:rsid w:val="00A9572C"/>
    <w:rsid w:val="00A957A8"/>
    <w:rsid w:val="00A95802"/>
    <w:rsid w:val="00A9591C"/>
    <w:rsid w:val="00A95F47"/>
    <w:rsid w:val="00A95FFF"/>
    <w:rsid w:val="00A96036"/>
    <w:rsid w:val="00A96119"/>
    <w:rsid w:val="00A961D9"/>
    <w:rsid w:val="00A96290"/>
    <w:rsid w:val="00A96466"/>
    <w:rsid w:val="00A96857"/>
    <w:rsid w:val="00A968A7"/>
    <w:rsid w:val="00A9690C"/>
    <w:rsid w:val="00A96973"/>
    <w:rsid w:val="00A969AC"/>
    <w:rsid w:val="00A96B1E"/>
    <w:rsid w:val="00A96B26"/>
    <w:rsid w:val="00A96B37"/>
    <w:rsid w:val="00A973FF"/>
    <w:rsid w:val="00A97413"/>
    <w:rsid w:val="00A975DB"/>
    <w:rsid w:val="00A9784F"/>
    <w:rsid w:val="00A9792B"/>
    <w:rsid w:val="00A97B21"/>
    <w:rsid w:val="00A97BFC"/>
    <w:rsid w:val="00A97C4C"/>
    <w:rsid w:val="00A97FEF"/>
    <w:rsid w:val="00AA0155"/>
    <w:rsid w:val="00AA0273"/>
    <w:rsid w:val="00AA0323"/>
    <w:rsid w:val="00AA068C"/>
    <w:rsid w:val="00AA0699"/>
    <w:rsid w:val="00AA082C"/>
    <w:rsid w:val="00AA0A8B"/>
    <w:rsid w:val="00AA0AA7"/>
    <w:rsid w:val="00AA0B8D"/>
    <w:rsid w:val="00AA0CE9"/>
    <w:rsid w:val="00AA1121"/>
    <w:rsid w:val="00AA13CA"/>
    <w:rsid w:val="00AA1886"/>
    <w:rsid w:val="00AA189B"/>
    <w:rsid w:val="00AA1A09"/>
    <w:rsid w:val="00AA1BD1"/>
    <w:rsid w:val="00AA1BE1"/>
    <w:rsid w:val="00AA1C35"/>
    <w:rsid w:val="00AA1E33"/>
    <w:rsid w:val="00AA2128"/>
    <w:rsid w:val="00AA219B"/>
    <w:rsid w:val="00AA2288"/>
    <w:rsid w:val="00AA2297"/>
    <w:rsid w:val="00AA252E"/>
    <w:rsid w:val="00AA2937"/>
    <w:rsid w:val="00AA2CF7"/>
    <w:rsid w:val="00AA2E6C"/>
    <w:rsid w:val="00AA33D9"/>
    <w:rsid w:val="00AA34B5"/>
    <w:rsid w:val="00AA3709"/>
    <w:rsid w:val="00AA373F"/>
    <w:rsid w:val="00AA3805"/>
    <w:rsid w:val="00AA3982"/>
    <w:rsid w:val="00AA3A3F"/>
    <w:rsid w:val="00AA4007"/>
    <w:rsid w:val="00AA4225"/>
    <w:rsid w:val="00AA44BE"/>
    <w:rsid w:val="00AA462E"/>
    <w:rsid w:val="00AA49AC"/>
    <w:rsid w:val="00AA4BCC"/>
    <w:rsid w:val="00AA4C50"/>
    <w:rsid w:val="00AA4F48"/>
    <w:rsid w:val="00AA5017"/>
    <w:rsid w:val="00AA501C"/>
    <w:rsid w:val="00AA5199"/>
    <w:rsid w:val="00AA51DB"/>
    <w:rsid w:val="00AA5224"/>
    <w:rsid w:val="00AA54BA"/>
    <w:rsid w:val="00AA5513"/>
    <w:rsid w:val="00AA5541"/>
    <w:rsid w:val="00AA56E8"/>
    <w:rsid w:val="00AA581A"/>
    <w:rsid w:val="00AA5899"/>
    <w:rsid w:val="00AA596C"/>
    <w:rsid w:val="00AA59E2"/>
    <w:rsid w:val="00AA5C00"/>
    <w:rsid w:val="00AA5C19"/>
    <w:rsid w:val="00AA611A"/>
    <w:rsid w:val="00AA6163"/>
    <w:rsid w:val="00AA62AE"/>
    <w:rsid w:val="00AA63C6"/>
    <w:rsid w:val="00AA63D6"/>
    <w:rsid w:val="00AA6451"/>
    <w:rsid w:val="00AA64D3"/>
    <w:rsid w:val="00AA68BF"/>
    <w:rsid w:val="00AA68DF"/>
    <w:rsid w:val="00AA6A01"/>
    <w:rsid w:val="00AA6AC1"/>
    <w:rsid w:val="00AA6AC4"/>
    <w:rsid w:val="00AA6AFC"/>
    <w:rsid w:val="00AA6BDB"/>
    <w:rsid w:val="00AA6D6A"/>
    <w:rsid w:val="00AA6EAA"/>
    <w:rsid w:val="00AA6F0C"/>
    <w:rsid w:val="00AA6FD8"/>
    <w:rsid w:val="00AA7099"/>
    <w:rsid w:val="00AA71D8"/>
    <w:rsid w:val="00AA7474"/>
    <w:rsid w:val="00AA7556"/>
    <w:rsid w:val="00AA7B01"/>
    <w:rsid w:val="00AA7C73"/>
    <w:rsid w:val="00AA7CC3"/>
    <w:rsid w:val="00AA7DF1"/>
    <w:rsid w:val="00AA7EAF"/>
    <w:rsid w:val="00AA7F29"/>
    <w:rsid w:val="00AA7F4D"/>
    <w:rsid w:val="00AB03E6"/>
    <w:rsid w:val="00AB06D0"/>
    <w:rsid w:val="00AB07BD"/>
    <w:rsid w:val="00AB0929"/>
    <w:rsid w:val="00AB0999"/>
    <w:rsid w:val="00AB0F00"/>
    <w:rsid w:val="00AB1058"/>
    <w:rsid w:val="00AB136E"/>
    <w:rsid w:val="00AB1848"/>
    <w:rsid w:val="00AB1959"/>
    <w:rsid w:val="00AB19F3"/>
    <w:rsid w:val="00AB1A32"/>
    <w:rsid w:val="00AB1A38"/>
    <w:rsid w:val="00AB1B72"/>
    <w:rsid w:val="00AB1DD5"/>
    <w:rsid w:val="00AB1E8B"/>
    <w:rsid w:val="00AB1FF5"/>
    <w:rsid w:val="00AB20A9"/>
    <w:rsid w:val="00AB251E"/>
    <w:rsid w:val="00AB261B"/>
    <w:rsid w:val="00AB27CD"/>
    <w:rsid w:val="00AB2996"/>
    <w:rsid w:val="00AB29F9"/>
    <w:rsid w:val="00AB2C13"/>
    <w:rsid w:val="00AB31CE"/>
    <w:rsid w:val="00AB31EA"/>
    <w:rsid w:val="00AB3779"/>
    <w:rsid w:val="00AB39E8"/>
    <w:rsid w:val="00AB3AF4"/>
    <w:rsid w:val="00AB3EBB"/>
    <w:rsid w:val="00AB3F26"/>
    <w:rsid w:val="00AB3F61"/>
    <w:rsid w:val="00AB42B8"/>
    <w:rsid w:val="00AB4305"/>
    <w:rsid w:val="00AB4830"/>
    <w:rsid w:val="00AB48D1"/>
    <w:rsid w:val="00AB4986"/>
    <w:rsid w:val="00AB49A5"/>
    <w:rsid w:val="00AB49C6"/>
    <w:rsid w:val="00AB4A5B"/>
    <w:rsid w:val="00AB4A9F"/>
    <w:rsid w:val="00AB4AAB"/>
    <w:rsid w:val="00AB4B4F"/>
    <w:rsid w:val="00AB4B6A"/>
    <w:rsid w:val="00AB4BF9"/>
    <w:rsid w:val="00AB4ECC"/>
    <w:rsid w:val="00AB4FCE"/>
    <w:rsid w:val="00AB5179"/>
    <w:rsid w:val="00AB51D2"/>
    <w:rsid w:val="00AB526F"/>
    <w:rsid w:val="00AB52E3"/>
    <w:rsid w:val="00AB5310"/>
    <w:rsid w:val="00AB54DC"/>
    <w:rsid w:val="00AB5A36"/>
    <w:rsid w:val="00AB5A96"/>
    <w:rsid w:val="00AB5BDC"/>
    <w:rsid w:val="00AB5BF4"/>
    <w:rsid w:val="00AB5CA6"/>
    <w:rsid w:val="00AB5FCC"/>
    <w:rsid w:val="00AB600E"/>
    <w:rsid w:val="00AB617C"/>
    <w:rsid w:val="00AB6257"/>
    <w:rsid w:val="00AB637D"/>
    <w:rsid w:val="00AB648B"/>
    <w:rsid w:val="00AB64EA"/>
    <w:rsid w:val="00AB66D5"/>
    <w:rsid w:val="00AB6784"/>
    <w:rsid w:val="00AB6A43"/>
    <w:rsid w:val="00AB6A9A"/>
    <w:rsid w:val="00AB6D24"/>
    <w:rsid w:val="00AB6D48"/>
    <w:rsid w:val="00AB6DBE"/>
    <w:rsid w:val="00AB6E86"/>
    <w:rsid w:val="00AB6EDE"/>
    <w:rsid w:val="00AB705C"/>
    <w:rsid w:val="00AB748C"/>
    <w:rsid w:val="00AB74EA"/>
    <w:rsid w:val="00AB7516"/>
    <w:rsid w:val="00AB753F"/>
    <w:rsid w:val="00AB76C6"/>
    <w:rsid w:val="00AB777A"/>
    <w:rsid w:val="00AB7A83"/>
    <w:rsid w:val="00AB7C6D"/>
    <w:rsid w:val="00AB7CF1"/>
    <w:rsid w:val="00AC07DC"/>
    <w:rsid w:val="00AC091C"/>
    <w:rsid w:val="00AC0E20"/>
    <w:rsid w:val="00AC0E60"/>
    <w:rsid w:val="00AC11E6"/>
    <w:rsid w:val="00AC12EA"/>
    <w:rsid w:val="00AC15F7"/>
    <w:rsid w:val="00AC188B"/>
    <w:rsid w:val="00AC19B9"/>
    <w:rsid w:val="00AC1ACD"/>
    <w:rsid w:val="00AC1B57"/>
    <w:rsid w:val="00AC2016"/>
    <w:rsid w:val="00AC2189"/>
    <w:rsid w:val="00AC2741"/>
    <w:rsid w:val="00AC27F6"/>
    <w:rsid w:val="00AC2869"/>
    <w:rsid w:val="00AC2AE7"/>
    <w:rsid w:val="00AC2C26"/>
    <w:rsid w:val="00AC2D16"/>
    <w:rsid w:val="00AC2D63"/>
    <w:rsid w:val="00AC2E93"/>
    <w:rsid w:val="00AC32C9"/>
    <w:rsid w:val="00AC330E"/>
    <w:rsid w:val="00AC336D"/>
    <w:rsid w:val="00AC3718"/>
    <w:rsid w:val="00AC37C2"/>
    <w:rsid w:val="00AC383C"/>
    <w:rsid w:val="00AC38F5"/>
    <w:rsid w:val="00AC3A1B"/>
    <w:rsid w:val="00AC3B7C"/>
    <w:rsid w:val="00AC41F9"/>
    <w:rsid w:val="00AC430D"/>
    <w:rsid w:val="00AC467D"/>
    <w:rsid w:val="00AC46F8"/>
    <w:rsid w:val="00AC487E"/>
    <w:rsid w:val="00AC4894"/>
    <w:rsid w:val="00AC4B8F"/>
    <w:rsid w:val="00AC4B90"/>
    <w:rsid w:val="00AC4CEA"/>
    <w:rsid w:val="00AC4D80"/>
    <w:rsid w:val="00AC4DAC"/>
    <w:rsid w:val="00AC4E68"/>
    <w:rsid w:val="00AC4E6A"/>
    <w:rsid w:val="00AC4F7D"/>
    <w:rsid w:val="00AC512E"/>
    <w:rsid w:val="00AC51E1"/>
    <w:rsid w:val="00AC529C"/>
    <w:rsid w:val="00AC538B"/>
    <w:rsid w:val="00AC5494"/>
    <w:rsid w:val="00AC560E"/>
    <w:rsid w:val="00AC59EB"/>
    <w:rsid w:val="00AC5AF8"/>
    <w:rsid w:val="00AC5B80"/>
    <w:rsid w:val="00AC5D4D"/>
    <w:rsid w:val="00AC5D82"/>
    <w:rsid w:val="00AC5EA4"/>
    <w:rsid w:val="00AC5F08"/>
    <w:rsid w:val="00AC5F1D"/>
    <w:rsid w:val="00AC60E2"/>
    <w:rsid w:val="00AC620A"/>
    <w:rsid w:val="00AC6245"/>
    <w:rsid w:val="00AC6472"/>
    <w:rsid w:val="00AC6683"/>
    <w:rsid w:val="00AC67A6"/>
    <w:rsid w:val="00AC6C40"/>
    <w:rsid w:val="00AC6D65"/>
    <w:rsid w:val="00AC6E3F"/>
    <w:rsid w:val="00AC6F85"/>
    <w:rsid w:val="00AC7176"/>
    <w:rsid w:val="00AC727D"/>
    <w:rsid w:val="00AC7436"/>
    <w:rsid w:val="00AC746C"/>
    <w:rsid w:val="00AC762F"/>
    <w:rsid w:val="00AC76E5"/>
    <w:rsid w:val="00AC7740"/>
    <w:rsid w:val="00AC77FB"/>
    <w:rsid w:val="00AC7962"/>
    <w:rsid w:val="00AC7CAE"/>
    <w:rsid w:val="00AC7CF4"/>
    <w:rsid w:val="00AC7D54"/>
    <w:rsid w:val="00AD00C4"/>
    <w:rsid w:val="00AD0335"/>
    <w:rsid w:val="00AD08FF"/>
    <w:rsid w:val="00AD094C"/>
    <w:rsid w:val="00AD0AC3"/>
    <w:rsid w:val="00AD0C86"/>
    <w:rsid w:val="00AD0C89"/>
    <w:rsid w:val="00AD0D1C"/>
    <w:rsid w:val="00AD0D2A"/>
    <w:rsid w:val="00AD0F12"/>
    <w:rsid w:val="00AD0F7B"/>
    <w:rsid w:val="00AD10E3"/>
    <w:rsid w:val="00AD1547"/>
    <w:rsid w:val="00AD1780"/>
    <w:rsid w:val="00AD1B4D"/>
    <w:rsid w:val="00AD1D8C"/>
    <w:rsid w:val="00AD1EC9"/>
    <w:rsid w:val="00AD2029"/>
    <w:rsid w:val="00AD202D"/>
    <w:rsid w:val="00AD2061"/>
    <w:rsid w:val="00AD235E"/>
    <w:rsid w:val="00AD2509"/>
    <w:rsid w:val="00AD25E7"/>
    <w:rsid w:val="00AD27F4"/>
    <w:rsid w:val="00AD297B"/>
    <w:rsid w:val="00AD29AC"/>
    <w:rsid w:val="00AD2E57"/>
    <w:rsid w:val="00AD312F"/>
    <w:rsid w:val="00AD3141"/>
    <w:rsid w:val="00AD3170"/>
    <w:rsid w:val="00AD34E3"/>
    <w:rsid w:val="00AD359C"/>
    <w:rsid w:val="00AD378E"/>
    <w:rsid w:val="00AD3A90"/>
    <w:rsid w:val="00AD3CC4"/>
    <w:rsid w:val="00AD405E"/>
    <w:rsid w:val="00AD4223"/>
    <w:rsid w:val="00AD42E7"/>
    <w:rsid w:val="00AD45E7"/>
    <w:rsid w:val="00AD4773"/>
    <w:rsid w:val="00AD47EC"/>
    <w:rsid w:val="00AD4BB6"/>
    <w:rsid w:val="00AD50E2"/>
    <w:rsid w:val="00AD5322"/>
    <w:rsid w:val="00AD5940"/>
    <w:rsid w:val="00AD597B"/>
    <w:rsid w:val="00AD5BC6"/>
    <w:rsid w:val="00AD5CCC"/>
    <w:rsid w:val="00AD5F30"/>
    <w:rsid w:val="00AD60FE"/>
    <w:rsid w:val="00AD617F"/>
    <w:rsid w:val="00AD6559"/>
    <w:rsid w:val="00AD6787"/>
    <w:rsid w:val="00AD6831"/>
    <w:rsid w:val="00AD6B12"/>
    <w:rsid w:val="00AD6C40"/>
    <w:rsid w:val="00AD6C5A"/>
    <w:rsid w:val="00AD6D4E"/>
    <w:rsid w:val="00AD6EFD"/>
    <w:rsid w:val="00AD6FD2"/>
    <w:rsid w:val="00AD72D0"/>
    <w:rsid w:val="00AD769D"/>
    <w:rsid w:val="00AD7A14"/>
    <w:rsid w:val="00AD7B57"/>
    <w:rsid w:val="00AD7E03"/>
    <w:rsid w:val="00AD7F27"/>
    <w:rsid w:val="00AE031F"/>
    <w:rsid w:val="00AE039A"/>
    <w:rsid w:val="00AE03E9"/>
    <w:rsid w:val="00AE06C2"/>
    <w:rsid w:val="00AE0775"/>
    <w:rsid w:val="00AE08B6"/>
    <w:rsid w:val="00AE0A45"/>
    <w:rsid w:val="00AE0B1F"/>
    <w:rsid w:val="00AE10C6"/>
    <w:rsid w:val="00AE12A3"/>
    <w:rsid w:val="00AE12E0"/>
    <w:rsid w:val="00AE1F07"/>
    <w:rsid w:val="00AE1FAF"/>
    <w:rsid w:val="00AE20D6"/>
    <w:rsid w:val="00AE21D7"/>
    <w:rsid w:val="00AE21F9"/>
    <w:rsid w:val="00AE2242"/>
    <w:rsid w:val="00AE2322"/>
    <w:rsid w:val="00AE24DA"/>
    <w:rsid w:val="00AE2569"/>
    <w:rsid w:val="00AE2925"/>
    <w:rsid w:val="00AE2C0B"/>
    <w:rsid w:val="00AE2C8A"/>
    <w:rsid w:val="00AE2D7F"/>
    <w:rsid w:val="00AE2E1B"/>
    <w:rsid w:val="00AE2E26"/>
    <w:rsid w:val="00AE2E51"/>
    <w:rsid w:val="00AE3148"/>
    <w:rsid w:val="00AE31AD"/>
    <w:rsid w:val="00AE32CC"/>
    <w:rsid w:val="00AE32E4"/>
    <w:rsid w:val="00AE33AC"/>
    <w:rsid w:val="00AE3548"/>
    <w:rsid w:val="00AE35FF"/>
    <w:rsid w:val="00AE3638"/>
    <w:rsid w:val="00AE36E5"/>
    <w:rsid w:val="00AE3977"/>
    <w:rsid w:val="00AE3D77"/>
    <w:rsid w:val="00AE3E41"/>
    <w:rsid w:val="00AE3E48"/>
    <w:rsid w:val="00AE3FC9"/>
    <w:rsid w:val="00AE3FF4"/>
    <w:rsid w:val="00AE420D"/>
    <w:rsid w:val="00AE42EA"/>
    <w:rsid w:val="00AE4405"/>
    <w:rsid w:val="00AE45CD"/>
    <w:rsid w:val="00AE4706"/>
    <w:rsid w:val="00AE49B1"/>
    <w:rsid w:val="00AE4DCA"/>
    <w:rsid w:val="00AE4F12"/>
    <w:rsid w:val="00AE502B"/>
    <w:rsid w:val="00AE50BE"/>
    <w:rsid w:val="00AE54E2"/>
    <w:rsid w:val="00AE56FD"/>
    <w:rsid w:val="00AE5792"/>
    <w:rsid w:val="00AE5910"/>
    <w:rsid w:val="00AE59A3"/>
    <w:rsid w:val="00AE5B42"/>
    <w:rsid w:val="00AE5C92"/>
    <w:rsid w:val="00AE5E76"/>
    <w:rsid w:val="00AE60DE"/>
    <w:rsid w:val="00AE6167"/>
    <w:rsid w:val="00AE6915"/>
    <w:rsid w:val="00AE6AFC"/>
    <w:rsid w:val="00AE6D76"/>
    <w:rsid w:val="00AE6DEF"/>
    <w:rsid w:val="00AE6F64"/>
    <w:rsid w:val="00AE6FCC"/>
    <w:rsid w:val="00AE711D"/>
    <w:rsid w:val="00AE733B"/>
    <w:rsid w:val="00AE7546"/>
    <w:rsid w:val="00AE7807"/>
    <w:rsid w:val="00AE7C76"/>
    <w:rsid w:val="00AE7D30"/>
    <w:rsid w:val="00AF016C"/>
    <w:rsid w:val="00AF01EF"/>
    <w:rsid w:val="00AF03F0"/>
    <w:rsid w:val="00AF04EC"/>
    <w:rsid w:val="00AF0530"/>
    <w:rsid w:val="00AF071F"/>
    <w:rsid w:val="00AF088E"/>
    <w:rsid w:val="00AF098D"/>
    <w:rsid w:val="00AF125C"/>
    <w:rsid w:val="00AF126A"/>
    <w:rsid w:val="00AF15E3"/>
    <w:rsid w:val="00AF18F7"/>
    <w:rsid w:val="00AF19B6"/>
    <w:rsid w:val="00AF19C6"/>
    <w:rsid w:val="00AF1CDB"/>
    <w:rsid w:val="00AF1CF5"/>
    <w:rsid w:val="00AF1E5C"/>
    <w:rsid w:val="00AF1F43"/>
    <w:rsid w:val="00AF22B3"/>
    <w:rsid w:val="00AF235F"/>
    <w:rsid w:val="00AF2528"/>
    <w:rsid w:val="00AF266B"/>
    <w:rsid w:val="00AF2891"/>
    <w:rsid w:val="00AF28D5"/>
    <w:rsid w:val="00AF2B77"/>
    <w:rsid w:val="00AF2E03"/>
    <w:rsid w:val="00AF2E0D"/>
    <w:rsid w:val="00AF2F19"/>
    <w:rsid w:val="00AF30B6"/>
    <w:rsid w:val="00AF30DF"/>
    <w:rsid w:val="00AF3137"/>
    <w:rsid w:val="00AF3278"/>
    <w:rsid w:val="00AF3562"/>
    <w:rsid w:val="00AF3728"/>
    <w:rsid w:val="00AF3773"/>
    <w:rsid w:val="00AF37F9"/>
    <w:rsid w:val="00AF389E"/>
    <w:rsid w:val="00AF38AA"/>
    <w:rsid w:val="00AF39D8"/>
    <w:rsid w:val="00AF3A08"/>
    <w:rsid w:val="00AF3DC5"/>
    <w:rsid w:val="00AF3E5A"/>
    <w:rsid w:val="00AF4452"/>
    <w:rsid w:val="00AF4522"/>
    <w:rsid w:val="00AF4700"/>
    <w:rsid w:val="00AF4739"/>
    <w:rsid w:val="00AF47ED"/>
    <w:rsid w:val="00AF4822"/>
    <w:rsid w:val="00AF4877"/>
    <w:rsid w:val="00AF487F"/>
    <w:rsid w:val="00AF4D54"/>
    <w:rsid w:val="00AF4E98"/>
    <w:rsid w:val="00AF4EA2"/>
    <w:rsid w:val="00AF500B"/>
    <w:rsid w:val="00AF5213"/>
    <w:rsid w:val="00AF569C"/>
    <w:rsid w:val="00AF5773"/>
    <w:rsid w:val="00AF591C"/>
    <w:rsid w:val="00AF5A90"/>
    <w:rsid w:val="00AF5E98"/>
    <w:rsid w:val="00AF5F5F"/>
    <w:rsid w:val="00AF6376"/>
    <w:rsid w:val="00AF6415"/>
    <w:rsid w:val="00AF660F"/>
    <w:rsid w:val="00AF67B4"/>
    <w:rsid w:val="00AF6860"/>
    <w:rsid w:val="00AF68DB"/>
    <w:rsid w:val="00AF6BE4"/>
    <w:rsid w:val="00AF6D36"/>
    <w:rsid w:val="00AF6DBF"/>
    <w:rsid w:val="00AF7120"/>
    <w:rsid w:val="00AF7132"/>
    <w:rsid w:val="00AF761F"/>
    <w:rsid w:val="00AF76BA"/>
    <w:rsid w:val="00AF7B13"/>
    <w:rsid w:val="00AF7BCD"/>
    <w:rsid w:val="00AF7BDC"/>
    <w:rsid w:val="00AF7BE7"/>
    <w:rsid w:val="00AF7CE2"/>
    <w:rsid w:val="00AF7D0C"/>
    <w:rsid w:val="00AF7E7D"/>
    <w:rsid w:val="00AF7F50"/>
    <w:rsid w:val="00B0026C"/>
    <w:rsid w:val="00B002F4"/>
    <w:rsid w:val="00B005EB"/>
    <w:rsid w:val="00B00A13"/>
    <w:rsid w:val="00B00E70"/>
    <w:rsid w:val="00B01385"/>
    <w:rsid w:val="00B016E7"/>
    <w:rsid w:val="00B01905"/>
    <w:rsid w:val="00B01941"/>
    <w:rsid w:val="00B01E6F"/>
    <w:rsid w:val="00B024D5"/>
    <w:rsid w:val="00B0256C"/>
    <w:rsid w:val="00B025AB"/>
    <w:rsid w:val="00B026C9"/>
    <w:rsid w:val="00B02A73"/>
    <w:rsid w:val="00B02B4F"/>
    <w:rsid w:val="00B02B57"/>
    <w:rsid w:val="00B02C0D"/>
    <w:rsid w:val="00B02D30"/>
    <w:rsid w:val="00B02E32"/>
    <w:rsid w:val="00B02F12"/>
    <w:rsid w:val="00B03193"/>
    <w:rsid w:val="00B0322B"/>
    <w:rsid w:val="00B032C3"/>
    <w:rsid w:val="00B034AA"/>
    <w:rsid w:val="00B034FC"/>
    <w:rsid w:val="00B0369B"/>
    <w:rsid w:val="00B0384F"/>
    <w:rsid w:val="00B03860"/>
    <w:rsid w:val="00B03A77"/>
    <w:rsid w:val="00B03B2A"/>
    <w:rsid w:val="00B03CD4"/>
    <w:rsid w:val="00B03D75"/>
    <w:rsid w:val="00B03D78"/>
    <w:rsid w:val="00B03F11"/>
    <w:rsid w:val="00B040AA"/>
    <w:rsid w:val="00B04296"/>
    <w:rsid w:val="00B0460F"/>
    <w:rsid w:val="00B046A4"/>
    <w:rsid w:val="00B049C5"/>
    <w:rsid w:val="00B04B70"/>
    <w:rsid w:val="00B04E65"/>
    <w:rsid w:val="00B04E96"/>
    <w:rsid w:val="00B04F6B"/>
    <w:rsid w:val="00B0513E"/>
    <w:rsid w:val="00B054A4"/>
    <w:rsid w:val="00B055CC"/>
    <w:rsid w:val="00B058B6"/>
    <w:rsid w:val="00B05955"/>
    <w:rsid w:val="00B05A1D"/>
    <w:rsid w:val="00B05BCF"/>
    <w:rsid w:val="00B06094"/>
    <w:rsid w:val="00B062B4"/>
    <w:rsid w:val="00B065A2"/>
    <w:rsid w:val="00B0670B"/>
    <w:rsid w:val="00B06773"/>
    <w:rsid w:val="00B067CE"/>
    <w:rsid w:val="00B06B83"/>
    <w:rsid w:val="00B06CA9"/>
    <w:rsid w:val="00B06FD3"/>
    <w:rsid w:val="00B07325"/>
    <w:rsid w:val="00B0738E"/>
    <w:rsid w:val="00B073E0"/>
    <w:rsid w:val="00B07778"/>
    <w:rsid w:val="00B07A47"/>
    <w:rsid w:val="00B07A92"/>
    <w:rsid w:val="00B07DC6"/>
    <w:rsid w:val="00B07FBE"/>
    <w:rsid w:val="00B101F2"/>
    <w:rsid w:val="00B10247"/>
    <w:rsid w:val="00B1062F"/>
    <w:rsid w:val="00B106B9"/>
    <w:rsid w:val="00B10B35"/>
    <w:rsid w:val="00B10C53"/>
    <w:rsid w:val="00B10CF1"/>
    <w:rsid w:val="00B10EDD"/>
    <w:rsid w:val="00B10F82"/>
    <w:rsid w:val="00B10FD7"/>
    <w:rsid w:val="00B11012"/>
    <w:rsid w:val="00B110A1"/>
    <w:rsid w:val="00B11378"/>
    <w:rsid w:val="00B119C0"/>
    <w:rsid w:val="00B119F1"/>
    <w:rsid w:val="00B11A2D"/>
    <w:rsid w:val="00B11B10"/>
    <w:rsid w:val="00B11C4F"/>
    <w:rsid w:val="00B120DD"/>
    <w:rsid w:val="00B123B9"/>
    <w:rsid w:val="00B124B7"/>
    <w:rsid w:val="00B12558"/>
    <w:rsid w:val="00B128CD"/>
    <w:rsid w:val="00B129B5"/>
    <w:rsid w:val="00B12A33"/>
    <w:rsid w:val="00B12D7A"/>
    <w:rsid w:val="00B132D4"/>
    <w:rsid w:val="00B13356"/>
    <w:rsid w:val="00B1336A"/>
    <w:rsid w:val="00B133B1"/>
    <w:rsid w:val="00B13845"/>
    <w:rsid w:val="00B13B2B"/>
    <w:rsid w:val="00B13BA5"/>
    <w:rsid w:val="00B14350"/>
    <w:rsid w:val="00B14638"/>
    <w:rsid w:val="00B1468A"/>
    <w:rsid w:val="00B14753"/>
    <w:rsid w:val="00B1495C"/>
    <w:rsid w:val="00B14A23"/>
    <w:rsid w:val="00B15001"/>
    <w:rsid w:val="00B15395"/>
    <w:rsid w:val="00B153DF"/>
    <w:rsid w:val="00B1551D"/>
    <w:rsid w:val="00B1562C"/>
    <w:rsid w:val="00B15701"/>
    <w:rsid w:val="00B158D0"/>
    <w:rsid w:val="00B15A54"/>
    <w:rsid w:val="00B15BEE"/>
    <w:rsid w:val="00B15C24"/>
    <w:rsid w:val="00B15E21"/>
    <w:rsid w:val="00B1637F"/>
    <w:rsid w:val="00B163DC"/>
    <w:rsid w:val="00B165DF"/>
    <w:rsid w:val="00B169DE"/>
    <w:rsid w:val="00B16BD7"/>
    <w:rsid w:val="00B170C3"/>
    <w:rsid w:val="00B1714A"/>
    <w:rsid w:val="00B175DC"/>
    <w:rsid w:val="00B17C54"/>
    <w:rsid w:val="00B17C68"/>
    <w:rsid w:val="00B17D1F"/>
    <w:rsid w:val="00B17E78"/>
    <w:rsid w:val="00B17EC7"/>
    <w:rsid w:val="00B17FE0"/>
    <w:rsid w:val="00B20236"/>
    <w:rsid w:val="00B2028E"/>
    <w:rsid w:val="00B202C6"/>
    <w:rsid w:val="00B20360"/>
    <w:rsid w:val="00B206AE"/>
    <w:rsid w:val="00B2085E"/>
    <w:rsid w:val="00B2096D"/>
    <w:rsid w:val="00B20B6D"/>
    <w:rsid w:val="00B20B80"/>
    <w:rsid w:val="00B20B83"/>
    <w:rsid w:val="00B20EE3"/>
    <w:rsid w:val="00B20F90"/>
    <w:rsid w:val="00B213AD"/>
    <w:rsid w:val="00B21811"/>
    <w:rsid w:val="00B219DB"/>
    <w:rsid w:val="00B21AD0"/>
    <w:rsid w:val="00B21FA4"/>
    <w:rsid w:val="00B22178"/>
    <w:rsid w:val="00B22189"/>
    <w:rsid w:val="00B22349"/>
    <w:rsid w:val="00B22560"/>
    <w:rsid w:val="00B22659"/>
    <w:rsid w:val="00B22839"/>
    <w:rsid w:val="00B22868"/>
    <w:rsid w:val="00B228C0"/>
    <w:rsid w:val="00B22A97"/>
    <w:rsid w:val="00B22C6B"/>
    <w:rsid w:val="00B22C85"/>
    <w:rsid w:val="00B22CB2"/>
    <w:rsid w:val="00B22EB1"/>
    <w:rsid w:val="00B22FA9"/>
    <w:rsid w:val="00B233E4"/>
    <w:rsid w:val="00B2353E"/>
    <w:rsid w:val="00B2369B"/>
    <w:rsid w:val="00B236AC"/>
    <w:rsid w:val="00B236F7"/>
    <w:rsid w:val="00B2372B"/>
    <w:rsid w:val="00B237D5"/>
    <w:rsid w:val="00B2381C"/>
    <w:rsid w:val="00B2386B"/>
    <w:rsid w:val="00B23A0D"/>
    <w:rsid w:val="00B23C25"/>
    <w:rsid w:val="00B240C4"/>
    <w:rsid w:val="00B24142"/>
    <w:rsid w:val="00B241CC"/>
    <w:rsid w:val="00B24AB9"/>
    <w:rsid w:val="00B24B34"/>
    <w:rsid w:val="00B24BDB"/>
    <w:rsid w:val="00B24C59"/>
    <w:rsid w:val="00B24D7F"/>
    <w:rsid w:val="00B25238"/>
    <w:rsid w:val="00B25315"/>
    <w:rsid w:val="00B2548F"/>
    <w:rsid w:val="00B254CE"/>
    <w:rsid w:val="00B25604"/>
    <w:rsid w:val="00B25619"/>
    <w:rsid w:val="00B2576E"/>
    <w:rsid w:val="00B257DD"/>
    <w:rsid w:val="00B259E6"/>
    <w:rsid w:val="00B25BB4"/>
    <w:rsid w:val="00B25BF0"/>
    <w:rsid w:val="00B25E6D"/>
    <w:rsid w:val="00B25EBA"/>
    <w:rsid w:val="00B263FB"/>
    <w:rsid w:val="00B264F7"/>
    <w:rsid w:val="00B26969"/>
    <w:rsid w:val="00B269B3"/>
    <w:rsid w:val="00B26BC7"/>
    <w:rsid w:val="00B26CD7"/>
    <w:rsid w:val="00B26D38"/>
    <w:rsid w:val="00B270F5"/>
    <w:rsid w:val="00B2714F"/>
    <w:rsid w:val="00B274CF"/>
    <w:rsid w:val="00B27877"/>
    <w:rsid w:val="00B279D0"/>
    <w:rsid w:val="00B279D3"/>
    <w:rsid w:val="00B27A78"/>
    <w:rsid w:val="00B27BAF"/>
    <w:rsid w:val="00B27CD5"/>
    <w:rsid w:val="00B27D8E"/>
    <w:rsid w:val="00B27DD9"/>
    <w:rsid w:val="00B27E98"/>
    <w:rsid w:val="00B27F60"/>
    <w:rsid w:val="00B27F61"/>
    <w:rsid w:val="00B27F8D"/>
    <w:rsid w:val="00B3010C"/>
    <w:rsid w:val="00B301CD"/>
    <w:rsid w:val="00B30639"/>
    <w:rsid w:val="00B3093A"/>
    <w:rsid w:val="00B30CAC"/>
    <w:rsid w:val="00B30D9B"/>
    <w:rsid w:val="00B30DE7"/>
    <w:rsid w:val="00B30E13"/>
    <w:rsid w:val="00B30FA3"/>
    <w:rsid w:val="00B31208"/>
    <w:rsid w:val="00B31229"/>
    <w:rsid w:val="00B3160A"/>
    <w:rsid w:val="00B31637"/>
    <w:rsid w:val="00B3181D"/>
    <w:rsid w:val="00B318F0"/>
    <w:rsid w:val="00B31E86"/>
    <w:rsid w:val="00B31F20"/>
    <w:rsid w:val="00B31FEF"/>
    <w:rsid w:val="00B3209D"/>
    <w:rsid w:val="00B320CF"/>
    <w:rsid w:val="00B32104"/>
    <w:rsid w:val="00B32155"/>
    <w:rsid w:val="00B32302"/>
    <w:rsid w:val="00B324BB"/>
    <w:rsid w:val="00B3289E"/>
    <w:rsid w:val="00B32A1D"/>
    <w:rsid w:val="00B32BD8"/>
    <w:rsid w:val="00B32D50"/>
    <w:rsid w:val="00B3316D"/>
    <w:rsid w:val="00B331B8"/>
    <w:rsid w:val="00B3321F"/>
    <w:rsid w:val="00B334FE"/>
    <w:rsid w:val="00B33527"/>
    <w:rsid w:val="00B33535"/>
    <w:rsid w:val="00B335CE"/>
    <w:rsid w:val="00B33688"/>
    <w:rsid w:val="00B33D41"/>
    <w:rsid w:val="00B33E8F"/>
    <w:rsid w:val="00B33EAC"/>
    <w:rsid w:val="00B33F53"/>
    <w:rsid w:val="00B33F8C"/>
    <w:rsid w:val="00B33F96"/>
    <w:rsid w:val="00B34011"/>
    <w:rsid w:val="00B34270"/>
    <w:rsid w:val="00B344BF"/>
    <w:rsid w:val="00B34A5D"/>
    <w:rsid w:val="00B34B96"/>
    <w:rsid w:val="00B34C69"/>
    <w:rsid w:val="00B34F58"/>
    <w:rsid w:val="00B350B8"/>
    <w:rsid w:val="00B352C6"/>
    <w:rsid w:val="00B352D2"/>
    <w:rsid w:val="00B35407"/>
    <w:rsid w:val="00B35B2E"/>
    <w:rsid w:val="00B35B7E"/>
    <w:rsid w:val="00B35E60"/>
    <w:rsid w:val="00B35FF4"/>
    <w:rsid w:val="00B36115"/>
    <w:rsid w:val="00B364BB"/>
    <w:rsid w:val="00B36575"/>
    <w:rsid w:val="00B366F5"/>
    <w:rsid w:val="00B3675B"/>
    <w:rsid w:val="00B36934"/>
    <w:rsid w:val="00B36BD4"/>
    <w:rsid w:val="00B36BE6"/>
    <w:rsid w:val="00B36CCE"/>
    <w:rsid w:val="00B36E06"/>
    <w:rsid w:val="00B3710C"/>
    <w:rsid w:val="00B37129"/>
    <w:rsid w:val="00B372BA"/>
    <w:rsid w:val="00B37325"/>
    <w:rsid w:val="00B373C2"/>
    <w:rsid w:val="00B373CF"/>
    <w:rsid w:val="00B37612"/>
    <w:rsid w:val="00B37D17"/>
    <w:rsid w:val="00B37EE8"/>
    <w:rsid w:val="00B40183"/>
    <w:rsid w:val="00B40211"/>
    <w:rsid w:val="00B4035E"/>
    <w:rsid w:val="00B403A7"/>
    <w:rsid w:val="00B403B2"/>
    <w:rsid w:val="00B403E0"/>
    <w:rsid w:val="00B4053E"/>
    <w:rsid w:val="00B4063A"/>
    <w:rsid w:val="00B40B07"/>
    <w:rsid w:val="00B4142D"/>
    <w:rsid w:val="00B41448"/>
    <w:rsid w:val="00B41469"/>
    <w:rsid w:val="00B41565"/>
    <w:rsid w:val="00B4186E"/>
    <w:rsid w:val="00B41EFA"/>
    <w:rsid w:val="00B41F62"/>
    <w:rsid w:val="00B42029"/>
    <w:rsid w:val="00B4226C"/>
    <w:rsid w:val="00B423F9"/>
    <w:rsid w:val="00B42439"/>
    <w:rsid w:val="00B42486"/>
    <w:rsid w:val="00B42AA1"/>
    <w:rsid w:val="00B42B84"/>
    <w:rsid w:val="00B43197"/>
    <w:rsid w:val="00B43471"/>
    <w:rsid w:val="00B43653"/>
    <w:rsid w:val="00B4370C"/>
    <w:rsid w:val="00B43867"/>
    <w:rsid w:val="00B439C3"/>
    <w:rsid w:val="00B439D6"/>
    <w:rsid w:val="00B43AD8"/>
    <w:rsid w:val="00B43AFA"/>
    <w:rsid w:val="00B43D7B"/>
    <w:rsid w:val="00B44033"/>
    <w:rsid w:val="00B4414A"/>
    <w:rsid w:val="00B44150"/>
    <w:rsid w:val="00B442CE"/>
    <w:rsid w:val="00B446CF"/>
    <w:rsid w:val="00B44985"/>
    <w:rsid w:val="00B44B0F"/>
    <w:rsid w:val="00B44C64"/>
    <w:rsid w:val="00B44E4D"/>
    <w:rsid w:val="00B44F17"/>
    <w:rsid w:val="00B45227"/>
    <w:rsid w:val="00B4538D"/>
    <w:rsid w:val="00B45523"/>
    <w:rsid w:val="00B45951"/>
    <w:rsid w:val="00B4598A"/>
    <w:rsid w:val="00B45A6D"/>
    <w:rsid w:val="00B45D38"/>
    <w:rsid w:val="00B465DA"/>
    <w:rsid w:val="00B466BD"/>
    <w:rsid w:val="00B46987"/>
    <w:rsid w:val="00B46C05"/>
    <w:rsid w:val="00B46CA1"/>
    <w:rsid w:val="00B46D3D"/>
    <w:rsid w:val="00B46F9F"/>
    <w:rsid w:val="00B46FC9"/>
    <w:rsid w:val="00B470AF"/>
    <w:rsid w:val="00B47399"/>
    <w:rsid w:val="00B47598"/>
    <w:rsid w:val="00B479B7"/>
    <w:rsid w:val="00B47ADE"/>
    <w:rsid w:val="00B47BD0"/>
    <w:rsid w:val="00B47C98"/>
    <w:rsid w:val="00B47CFC"/>
    <w:rsid w:val="00B502E0"/>
    <w:rsid w:val="00B50527"/>
    <w:rsid w:val="00B505F3"/>
    <w:rsid w:val="00B506A9"/>
    <w:rsid w:val="00B50B16"/>
    <w:rsid w:val="00B50EFA"/>
    <w:rsid w:val="00B510FB"/>
    <w:rsid w:val="00B5129F"/>
    <w:rsid w:val="00B51618"/>
    <w:rsid w:val="00B518C9"/>
    <w:rsid w:val="00B51A8E"/>
    <w:rsid w:val="00B51CC8"/>
    <w:rsid w:val="00B51D5B"/>
    <w:rsid w:val="00B51F4A"/>
    <w:rsid w:val="00B51FA8"/>
    <w:rsid w:val="00B5226D"/>
    <w:rsid w:val="00B5264B"/>
    <w:rsid w:val="00B52AAB"/>
    <w:rsid w:val="00B52CAA"/>
    <w:rsid w:val="00B52DE6"/>
    <w:rsid w:val="00B52DEB"/>
    <w:rsid w:val="00B530B4"/>
    <w:rsid w:val="00B5333A"/>
    <w:rsid w:val="00B53349"/>
    <w:rsid w:val="00B53467"/>
    <w:rsid w:val="00B53527"/>
    <w:rsid w:val="00B5352F"/>
    <w:rsid w:val="00B53582"/>
    <w:rsid w:val="00B53952"/>
    <w:rsid w:val="00B53AB7"/>
    <w:rsid w:val="00B53EAD"/>
    <w:rsid w:val="00B53EF4"/>
    <w:rsid w:val="00B53F78"/>
    <w:rsid w:val="00B54327"/>
    <w:rsid w:val="00B5434E"/>
    <w:rsid w:val="00B5455D"/>
    <w:rsid w:val="00B547A2"/>
    <w:rsid w:val="00B54920"/>
    <w:rsid w:val="00B5494F"/>
    <w:rsid w:val="00B54C01"/>
    <w:rsid w:val="00B54E2C"/>
    <w:rsid w:val="00B55021"/>
    <w:rsid w:val="00B553F6"/>
    <w:rsid w:val="00B554D0"/>
    <w:rsid w:val="00B555E0"/>
    <w:rsid w:val="00B556C8"/>
    <w:rsid w:val="00B55726"/>
    <w:rsid w:val="00B5590F"/>
    <w:rsid w:val="00B55A27"/>
    <w:rsid w:val="00B55B09"/>
    <w:rsid w:val="00B55B68"/>
    <w:rsid w:val="00B55E6A"/>
    <w:rsid w:val="00B55F61"/>
    <w:rsid w:val="00B5605A"/>
    <w:rsid w:val="00B56508"/>
    <w:rsid w:val="00B5651F"/>
    <w:rsid w:val="00B5675D"/>
    <w:rsid w:val="00B56985"/>
    <w:rsid w:val="00B56A12"/>
    <w:rsid w:val="00B56A63"/>
    <w:rsid w:val="00B56BC8"/>
    <w:rsid w:val="00B56BC9"/>
    <w:rsid w:val="00B56EBF"/>
    <w:rsid w:val="00B57296"/>
    <w:rsid w:val="00B57506"/>
    <w:rsid w:val="00B577A3"/>
    <w:rsid w:val="00B57994"/>
    <w:rsid w:val="00B57BF1"/>
    <w:rsid w:val="00B57EC9"/>
    <w:rsid w:val="00B57F3B"/>
    <w:rsid w:val="00B60182"/>
    <w:rsid w:val="00B6018A"/>
    <w:rsid w:val="00B601BD"/>
    <w:rsid w:val="00B6039E"/>
    <w:rsid w:val="00B6053D"/>
    <w:rsid w:val="00B60727"/>
    <w:rsid w:val="00B60881"/>
    <w:rsid w:val="00B60D9F"/>
    <w:rsid w:val="00B61077"/>
    <w:rsid w:val="00B612FA"/>
    <w:rsid w:val="00B61449"/>
    <w:rsid w:val="00B615FD"/>
    <w:rsid w:val="00B6163E"/>
    <w:rsid w:val="00B6169F"/>
    <w:rsid w:val="00B616C1"/>
    <w:rsid w:val="00B616F9"/>
    <w:rsid w:val="00B618F6"/>
    <w:rsid w:val="00B61AEA"/>
    <w:rsid w:val="00B61C7A"/>
    <w:rsid w:val="00B61EAE"/>
    <w:rsid w:val="00B62019"/>
    <w:rsid w:val="00B62052"/>
    <w:rsid w:val="00B620ED"/>
    <w:rsid w:val="00B62113"/>
    <w:rsid w:val="00B622C6"/>
    <w:rsid w:val="00B624FA"/>
    <w:rsid w:val="00B625DC"/>
    <w:rsid w:val="00B626D0"/>
    <w:rsid w:val="00B628F6"/>
    <w:rsid w:val="00B629AE"/>
    <w:rsid w:val="00B62A64"/>
    <w:rsid w:val="00B62D02"/>
    <w:rsid w:val="00B62DC8"/>
    <w:rsid w:val="00B6327F"/>
    <w:rsid w:val="00B633F8"/>
    <w:rsid w:val="00B63432"/>
    <w:rsid w:val="00B6384B"/>
    <w:rsid w:val="00B638B0"/>
    <w:rsid w:val="00B6399F"/>
    <w:rsid w:val="00B63BF3"/>
    <w:rsid w:val="00B63FCF"/>
    <w:rsid w:val="00B64019"/>
    <w:rsid w:val="00B6431B"/>
    <w:rsid w:val="00B64452"/>
    <w:rsid w:val="00B646D4"/>
    <w:rsid w:val="00B64739"/>
    <w:rsid w:val="00B647EF"/>
    <w:rsid w:val="00B64816"/>
    <w:rsid w:val="00B64840"/>
    <w:rsid w:val="00B6488F"/>
    <w:rsid w:val="00B64932"/>
    <w:rsid w:val="00B64B74"/>
    <w:rsid w:val="00B64FA5"/>
    <w:rsid w:val="00B65014"/>
    <w:rsid w:val="00B65130"/>
    <w:rsid w:val="00B6528F"/>
    <w:rsid w:val="00B6549C"/>
    <w:rsid w:val="00B654E0"/>
    <w:rsid w:val="00B655BA"/>
    <w:rsid w:val="00B655D7"/>
    <w:rsid w:val="00B65827"/>
    <w:rsid w:val="00B65992"/>
    <w:rsid w:val="00B65B07"/>
    <w:rsid w:val="00B65C3E"/>
    <w:rsid w:val="00B65C67"/>
    <w:rsid w:val="00B65F95"/>
    <w:rsid w:val="00B660BE"/>
    <w:rsid w:val="00B66151"/>
    <w:rsid w:val="00B6617C"/>
    <w:rsid w:val="00B661B2"/>
    <w:rsid w:val="00B66515"/>
    <w:rsid w:val="00B66535"/>
    <w:rsid w:val="00B66601"/>
    <w:rsid w:val="00B666BE"/>
    <w:rsid w:val="00B6678C"/>
    <w:rsid w:val="00B66B39"/>
    <w:rsid w:val="00B66D8F"/>
    <w:rsid w:val="00B66F89"/>
    <w:rsid w:val="00B67103"/>
    <w:rsid w:val="00B67338"/>
    <w:rsid w:val="00B674F1"/>
    <w:rsid w:val="00B675D3"/>
    <w:rsid w:val="00B67635"/>
    <w:rsid w:val="00B6767A"/>
    <w:rsid w:val="00B6791B"/>
    <w:rsid w:val="00B67C8C"/>
    <w:rsid w:val="00B67E11"/>
    <w:rsid w:val="00B67EC8"/>
    <w:rsid w:val="00B700A8"/>
    <w:rsid w:val="00B70113"/>
    <w:rsid w:val="00B70349"/>
    <w:rsid w:val="00B70384"/>
    <w:rsid w:val="00B703FB"/>
    <w:rsid w:val="00B705EE"/>
    <w:rsid w:val="00B706A3"/>
    <w:rsid w:val="00B706CB"/>
    <w:rsid w:val="00B707DF"/>
    <w:rsid w:val="00B7097D"/>
    <w:rsid w:val="00B709D6"/>
    <w:rsid w:val="00B70ABD"/>
    <w:rsid w:val="00B70BD1"/>
    <w:rsid w:val="00B70FA0"/>
    <w:rsid w:val="00B71173"/>
    <w:rsid w:val="00B711B6"/>
    <w:rsid w:val="00B7135C"/>
    <w:rsid w:val="00B7175E"/>
    <w:rsid w:val="00B718CA"/>
    <w:rsid w:val="00B71A26"/>
    <w:rsid w:val="00B71AE5"/>
    <w:rsid w:val="00B71C20"/>
    <w:rsid w:val="00B71CF2"/>
    <w:rsid w:val="00B71E4D"/>
    <w:rsid w:val="00B71F1A"/>
    <w:rsid w:val="00B71F30"/>
    <w:rsid w:val="00B72267"/>
    <w:rsid w:val="00B72601"/>
    <w:rsid w:val="00B72638"/>
    <w:rsid w:val="00B72651"/>
    <w:rsid w:val="00B727A1"/>
    <w:rsid w:val="00B7281F"/>
    <w:rsid w:val="00B72824"/>
    <w:rsid w:val="00B7283F"/>
    <w:rsid w:val="00B728D5"/>
    <w:rsid w:val="00B72A47"/>
    <w:rsid w:val="00B72E2A"/>
    <w:rsid w:val="00B72E49"/>
    <w:rsid w:val="00B732F4"/>
    <w:rsid w:val="00B73336"/>
    <w:rsid w:val="00B733F6"/>
    <w:rsid w:val="00B73748"/>
    <w:rsid w:val="00B738B7"/>
    <w:rsid w:val="00B739F9"/>
    <w:rsid w:val="00B73B19"/>
    <w:rsid w:val="00B73B8D"/>
    <w:rsid w:val="00B73CE0"/>
    <w:rsid w:val="00B73D92"/>
    <w:rsid w:val="00B73F06"/>
    <w:rsid w:val="00B7408F"/>
    <w:rsid w:val="00B740DB"/>
    <w:rsid w:val="00B74434"/>
    <w:rsid w:val="00B74671"/>
    <w:rsid w:val="00B746C8"/>
    <w:rsid w:val="00B7471E"/>
    <w:rsid w:val="00B747FE"/>
    <w:rsid w:val="00B7499A"/>
    <w:rsid w:val="00B74BA0"/>
    <w:rsid w:val="00B74CB6"/>
    <w:rsid w:val="00B74D52"/>
    <w:rsid w:val="00B74D97"/>
    <w:rsid w:val="00B74E79"/>
    <w:rsid w:val="00B750DB"/>
    <w:rsid w:val="00B757A0"/>
    <w:rsid w:val="00B758BC"/>
    <w:rsid w:val="00B75939"/>
    <w:rsid w:val="00B759AA"/>
    <w:rsid w:val="00B75B0B"/>
    <w:rsid w:val="00B75B85"/>
    <w:rsid w:val="00B75E82"/>
    <w:rsid w:val="00B75F01"/>
    <w:rsid w:val="00B760B4"/>
    <w:rsid w:val="00B760D6"/>
    <w:rsid w:val="00B76116"/>
    <w:rsid w:val="00B76141"/>
    <w:rsid w:val="00B761D7"/>
    <w:rsid w:val="00B761F5"/>
    <w:rsid w:val="00B763E9"/>
    <w:rsid w:val="00B764BB"/>
    <w:rsid w:val="00B7664D"/>
    <w:rsid w:val="00B7666B"/>
    <w:rsid w:val="00B76916"/>
    <w:rsid w:val="00B76AE2"/>
    <w:rsid w:val="00B76D2E"/>
    <w:rsid w:val="00B76F11"/>
    <w:rsid w:val="00B7705E"/>
    <w:rsid w:val="00B77149"/>
    <w:rsid w:val="00B7789B"/>
    <w:rsid w:val="00B77A36"/>
    <w:rsid w:val="00B77A75"/>
    <w:rsid w:val="00B77D12"/>
    <w:rsid w:val="00B77DB0"/>
    <w:rsid w:val="00B77DF2"/>
    <w:rsid w:val="00B77E19"/>
    <w:rsid w:val="00B77ECD"/>
    <w:rsid w:val="00B77EF8"/>
    <w:rsid w:val="00B77F9B"/>
    <w:rsid w:val="00B80067"/>
    <w:rsid w:val="00B8021C"/>
    <w:rsid w:val="00B8027F"/>
    <w:rsid w:val="00B802AD"/>
    <w:rsid w:val="00B803D4"/>
    <w:rsid w:val="00B8042B"/>
    <w:rsid w:val="00B8062B"/>
    <w:rsid w:val="00B806A7"/>
    <w:rsid w:val="00B806D0"/>
    <w:rsid w:val="00B8079F"/>
    <w:rsid w:val="00B80861"/>
    <w:rsid w:val="00B80A30"/>
    <w:rsid w:val="00B810C6"/>
    <w:rsid w:val="00B81277"/>
    <w:rsid w:val="00B8134C"/>
    <w:rsid w:val="00B818FA"/>
    <w:rsid w:val="00B81AFE"/>
    <w:rsid w:val="00B81CE2"/>
    <w:rsid w:val="00B81D7B"/>
    <w:rsid w:val="00B81D9D"/>
    <w:rsid w:val="00B82019"/>
    <w:rsid w:val="00B82355"/>
    <w:rsid w:val="00B82363"/>
    <w:rsid w:val="00B823B7"/>
    <w:rsid w:val="00B82648"/>
    <w:rsid w:val="00B826AB"/>
    <w:rsid w:val="00B826DF"/>
    <w:rsid w:val="00B82780"/>
    <w:rsid w:val="00B82B70"/>
    <w:rsid w:val="00B82B8F"/>
    <w:rsid w:val="00B82CD3"/>
    <w:rsid w:val="00B82DC8"/>
    <w:rsid w:val="00B83080"/>
    <w:rsid w:val="00B83146"/>
    <w:rsid w:val="00B83154"/>
    <w:rsid w:val="00B8334D"/>
    <w:rsid w:val="00B833F5"/>
    <w:rsid w:val="00B83530"/>
    <w:rsid w:val="00B83549"/>
    <w:rsid w:val="00B83659"/>
    <w:rsid w:val="00B8379C"/>
    <w:rsid w:val="00B838B6"/>
    <w:rsid w:val="00B83DC0"/>
    <w:rsid w:val="00B83DF9"/>
    <w:rsid w:val="00B83EA9"/>
    <w:rsid w:val="00B83EE2"/>
    <w:rsid w:val="00B83F13"/>
    <w:rsid w:val="00B83FAD"/>
    <w:rsid w:val="00B84479"/>
    <w:rsid w:val="00B847FE"/>
    <w:rsid w:val="00B84D86"/>
    <w:rsid w:val="00B8508A"/>
    <w:rsid w:val="00B850F4"/>
    <w:rsid w:val="00B8520D"/>
    <w:rsid w:val="00B85280"/>
    <w:rsid w:val="00B85376"/>
    <w:rsid w:val="00B854C4"/>
    <w:rsid w:val="00B854C5"/>
    <w:rsid w:val="00B859D3"/>
    <w:rsid w:val="00B85A9A"/>
    <w:rsid w:val="00B85AAE"/>
    <w:rsid w:val="00B85B1B"/>
    <w:rsid w:val="00B85E15"/>
    <w:rsid w:val="00B85F2C"/>
    <w:rsid w:val="00B85F51"/>
    <w:rsid w:val="00B86042"/>
    <w:rsid w:val="00B86071"/>
    <w:rsid w:val="00B860F4"/>
    <w:rsid w:val="00B8633C"/>
    <w:rsid w:val="00B8637A"/>
    <w:rsid w:val="00B863C3"/>
    <w:rsid w:val="00B865F8"/>
    <w:rsid w:val="00B8676F"/>
    <w:rsid w:val="00B868D4"/>
    <w:rsid w:val="00B86ADD"/>
    <w:rsid w:val="00B86BA8"/>
    <w:rsid w:val="00B86BCE"/>
    <w:rsid w:val="00B86D0C"/>
    <w:rsid w:val="00B86E01"/>
    <w:rsid w:val="00B87039"/>
    <w:rsid w:val="00B87128"/>
    <w:rsid w:val="00B8715E"/>
    <w:rsid w:val="00B87219"/>
    <w:rsid w:val="00B87334"/>
    <w:rsid w:val="00B87337"/>
    <w:rsid w:val="00B87514"/>
    <w:rsid w:val="00B8762C"/>
    <w:rsid w:val="00B8774C"/>
    <w:rsid w:val="00B877C1"/>
    <w:rsid w:val="00B87894"/>
    <w:rsid w:val="00B8796C"/>
    <w:rsid w:val="00B87C2B"/>
    <w:rsid w:val="00B90046"/>
    <w:rsid w:val="00B9064B"/>
    <w:rsid w:val="00B908CA"/>
    <w:rsid w:val="00B90950"/>
    <w:rsid w:val="00B909E5"/>
    <w:rsid w:val="00B90A64"/>
    <w:rsid w:val="00B90FCB"/>
    <w:rsid w:val="00B910EF"/>
    <w:rsid w:val="00B91267"/>
    <w:rsid w:val="00B916C2"/>
    <w:rsid w:val="00B917A8"/>
    <w:rsid w:val="00B918CE"/>
    <w:rsid w:val="00B91A2B"/>
    <w:rsid w:val="00B91A43"/>
    <w:rsid w:val="00B91A85"/>
    <w:rsid w:val="00B91BFD"/>
    <w:rsid w:val="00B91C03"/>
    <w:rsid w:val="00B91CA2"/>
    <w:rsid w:val="00B91E82"/>
    <w:rsid w:val="00B91FF2"/>
    <w:rsid w:val="00B92035"/>
    <w:rsid w:val="00B92170"/>
    <w:rsid w:val="00B9226B"/>
    <w:rsid w:val="00B922BF"/>
    <w:rsid w:val="00B922E7"/>
    <w:rsid w:val="00B9246C"/>
    <w:rsid w:val="00B926F7"/>
    <w:rsid w:val="00B926F8"/>
    <w:rsid w:val="00B9296A"/>
    <w:rsid w:val="00B92A07"/>
    <w:rsid w:val="00B92A0E"/>
    <w:rsid w:val="00B92B83"/>
    <w:rsid w:val="00B92C8A"/>
    <w:rsid w:val="00B92DEA"/>
    <w:rsid w:val="00B92FF5"/>
    <w:rsid w:val="00B93301"/>
    <w:rsid w:val="00B93408"/>
    <w:rsid w:val="00B936E0"/>
    <w:rsid w:val="00B938A8"/>
    <w:rsid w:val="00B93938"/>
    <w:rsid w:val="00B93AB9"/>
    <w:rsid w:val="00B93D97"/>
    <w:rsid w:val="00B93E67"/>
    <w:rsid w:val="00B93FFD"/>
    <w:rsid w:val="00B94087"/>
    <w:rsid w:val="00B94088"/>
    <w:rsid w:val="00B94276"/>
    <w:rsid w:val="00B942CF"/>
    <w:rsid w:val="00B943D7"/>
    <w:rsid w:val="00B9452B"/>
    <w:rsid w:val="00B9496B"/>
    <w:rsid w:val="00B94B2D"/>
    <w:rsid w:val="00B94BB7"/>
    <w:rsid w:val="00B95194"/>
    <w:rsid w:val="00B9535A"/>
    <w:rsid w:val="00B95518"/>
    <w:rsid w:val="00B955DF"/>
    <w:rsid w:val="00B95846"/>
    <w:rsid w:val="00B95A3E"/>
    <w:rsid w:val="00B95E61"/>
    <w:rsid w:val="00B95F23"/>
    <w:rsid w:val="00B95FC6"/>
    <w:rsid w:val="00B961C9"/>
    <w:rsid w:val="00B96207"/>
    <w:rsid w:val="00B9641D"/>
    <w:rsid w:val="00B964A6"/>
    <w:rsid w:val="00B96665"/>
    <w:rsid w:val="00B96695"/>
    <w:rsid w:val="00B966A7"/>
    <w:rsid w:val="00B96721"/>
    <w:rsid w:val="00B96748"/>
    <w:rsid w:val="00B967AA"/>
    <w:rsid w:val="00B96981"/>
    <w:rsid w:val="00B96A2D"/>
    <w:rsid w:val="00B96A75"/>
    <w:rsid w:val="00B96BE0"/>
    <w:rsid w:val="00B96D19"/>
    <w:rsid w:val="00B96E81"/>
    <w:rsid w:val="00B96F7B"/>
    <w:rsid w:val="00B97047"/>
    <w:rsid w:val="00B97283"/>
    <w:rsid w:val="00B97443"/>
    <w:rsid w:val="00B97502"/>
    <w:rsid w:val="00B975DF"/>
    <w:rsid w:val="00B977BB"/>
    <w:rsid w:val="00B977E0"/>
    <w:rsid w:val="00B97868"/>
    <w:rsid w:val="00B979F4"/>
    <w:rsid w:val="00B97A53"/>
    <w:rsid w:val="00B97E26"/>
    <w:rsid w:val="00BA0029"/>
    <w:rsid w:val="00BA0081"/>
    <w:rsid w:val="00BA03B3"/>
    <w:rsid w:val="00BA06E3"/>
    <w:rsid w:val="00BA0D16"/>
    <w:rsid w:val="00BA0D3E"/>
    <w:rsid w:val="00BA102B"/>
    <w:rsid w:val="00BA1067"/>
    <w:rsid w:val="00BA1135"/>
    <w:rsid w:val="00BA129C"/>
    <w:rsid w:val="00BA18D4"/>
    <w:rsid w:val="00BA1927"/>
    <w:rsid w:val="00BA1AF8"/>
    <w:rsid w:val="00BA1B07"/>
    <w:rsid w:val="00BA1C19"/>
    <w:rsid w:val="00BA1CE6"/>
    <w:rsid w:val="00BA1DEB"/>
    <w:rsid w:val="00BA206C"/>
    <w:rsid w:val="00BA2115"/>
    <w:rsid w:val="00BA232B"/>
    <w:rsid w:val="00BA2485"/>
    <w:rsid w:val="00BA2898"/>
    <w:rsid w:val="00BA2925"/>
    <w:rsid w:val="00BA2BAF"/>
    <w:rsid w:val="00BA2D7E"/>
    <w:rsid w:val="00BA30D7"/>
    <w:rsid w:val="00BA32BF"/>
    <w:rsid w:val="00BA33D1"/>
    <w:rsid w:val="00BA35ED"/>
    <w:rsid w:val="00BA3653"/>
    <w:rsid w:val="00BA3A18"/>
    <w:rsid w:val="00BA3A7D"/>
    <w:rsid w:val="00BA3AA9"/>
    <w:rsid w:val="00BA3C66"/>
    <w:rsid w:val="00BA3CA0"/>
    <w:rsid w:val="00BA3E3A"/>
    <w:rsid w:val="00BA3F6A"/>
    <w:rsid w:val="00BA407B"/>
    <w:rsid w:val="00BA4179"/>
    <w:rsid w:val="00BA41D7"/>
    <w:rsid w:val="00BA440F"/>
    <w:rsid w:val="00BA4677"/>
    <w:rsid w:val="00BA4739"/>
    <w:rsid w:val="00BA4B6A"/>
    <w:rsid w:val="00BA5021"/>
    <w:rsid w:val="00BA51DB"/>
    <w:rsid w:val="00BA5B97"/>
    <w:rsid w:val="00BA63B3"/>
    <w:rsid w:val="00BA64B7"/>
    <w:rsid w:val="00BA6922"/>
    <w:rsid w:val="00BA6946"/>
    <w:rsid w:val="00BA6CF5"/>
    <w:rsid w:val="00BA6FD2"/>
    <w:rsid w:val="00BA7025"/>
    <w:rsid w:val="00BA706F"/>
    <w:rsid w:val="00BA7135"/>
    <w:rsid w:val="00BA72FA"/>
    <w:rsid w:val="00BA7582"/>
    <w:rsid w:val="00BA766B"/>
    <w:rsid w:val="00BA7807"/>
    <w:rsid w:val="00BA78C4"/>
    <w:rsid w:val="00BA7AAC"/>
    <w:rsid w:val="00BA7C3C"/>
    <w:rsid w:val="00BA7CF6"/>
    <w:rsid w:val="00BA7D5F"/>
    <w:rsid w:val="00BB05CA"/>
    <w:rsid w:val="00BB0630"/>
    <w:rsid w:val="00BB0A4E"/>
    <w:rsid w:val="00BB0A98"/>
    <w:rsid w:val="00BB1000"/>
    <w:rsid w:val="00BB10DD"/>
    <w:rsid w:val="00BB11B9"/>
    <w:rsid w:val="00BB1301"/>
    <w:rsid w:val="00BB1333"/>
    <w:rsid w:val="00BB14A8"/>
    <w:rsid w:val="00BB14B7"/>
    <w:rsid w:val="00BB14C2"/>
    <w:rsid w:val="00BB1DEC"/>
    <w:rsid w:val="00BB1F4F"/>
    <w:rsid w:val="00BB2078"/>
    <w:rsid w:val="00BB20A5"/>
    <w:rsid w:val="00BB2443"/>
    <w:rsid w:val="00BB2611"/>
    <w:rsid w:val="00BB2613"/>
    <w:rsid w:val="00BB26AE"/>
    <w:rsid w:val="00BB2796"/>
    <w:rsid w:val="00BB2A8B"/>
    <w:rsid w:val="00BB2AA3"/>
    <w:rsid w:val="00BB2B93"/>
    <w:rsid w:val="00BB2E02"/>
    <w:rsid w:val="00BB32EE"/>
    <w:rsid w:val="00BB33F2"/>
    <w:rsid w:val="00BB3607"/>
    <w:rsid w:val="00BB378C"/>
    <w:rsid w:val="00BB3999"/>
    <w:rsid w:val="00BB3A0A"/>
    <w:rsid w:val="00BB3B63"/>
    <w:rsid w:val="00BB3C39"/>
    <w:rsid w:val="00BB3C71"/>
    <w:rsid w:val="00BB3C84"/>
    <w:rsid w:val="00BB42F1"/>
    <w:rsid w:val="00BB430A"/>
    <w:rsid w:val="00BB4616"/>
    <w:rsid w:val="00BB4628"/>
    <w:rsid w:val="00BB4691"/>
    <w:rsid w:val="00BB48D4"/>
    <w:rsid w:val="00BB48DE"/>
    <w:rsid w:val="00BB4994"/>
    <w:rsid w:val="00BB4BF5"/>
    <w:rsid w:val="00BB4E38"/>
    <w:rsid w:val="00BB4E43"/>
    <w:rsid w:val="00BB50B8"/>
    <w:rsid w:val="00BB5709"/>
    <w:rsid w:val="00BB5772"/>
    <w:rsid w:val="00BB5783"/>
    <w:rsid w:val="00BB5C18"/>
    <w:rsid w:val="00BB5CD1"/>
    <w:rsid w:val="00BB5EBB"/>
    <w:rsid w:val="00BB5FAA"/>
    <w:rsid w:val="00BB62CB"/>
    <w:rsid w:val="00BB63A2"/>
    <w:rsid w:val="00BB6416"/>
    <w:rsid w:val="00BB6432"/>
    <w:rsid w:val="00BB64B9"/>
    <w:rsid w:val="00BB6510"/>
    <w:rsid w:val="00BB678B"/>
    <w:rsid w:val="00BB6A13"/>
    <w:rsid w:val="00BB6DC2"/>
    <w:rsid w:val="00BB6EE0"/>
    <w:rsid w:val="00BB710A"/>
    <w:rsid w:val="00BB72DB"/>
    <w:rsid w:val="00BB759D"/>
    <w:rsid w:val="00BB77CF"/>
    <w:rsid w:val="00BB7820"/>
    <w:rsid w:val="00BB796F"/>
    <w:rsid w:val="00BB79C6"/>
    <w:rsid w:val="00BB7A0B"/>
    <w:rsid w:val="00BB7A56"/>
    <w:rsid w:val="00BC00BC"/>
    <w:rsid w:val="00BC0105"/>
    <w:rsid w:val="00BC02BB"/>
    <w:rsid w:val="00BC0359"/>
    <w:rsid w:val="00BC085F"/>
    <w:rsid w:val="00BC08FC"/>
    <w:rsid w:val="00BC0902"/>
    <w:rsid w:val="00BC09BF"/>
    <w:rsid w:val="00BC0C0C"/>
    <w:rsid w:val="00BC0CC4"/>
    <w:rsid w:val="00BC0E48"/>
    <w:rsid w:val="00BC0E92"/>
    <w:rsid w:val="00BC0F4A"/>
    <w:rsid w:val="00BC1153"/>
    <w:rsid w:val="00BC11CA"/>
    <w:rsid w:val="00BC12D3"/>
    <w:rsid w:val="00BC13A2"/>
    <w:rsid w:val="00BC13AA"/>
    <w:rsid w:val="00BC13FB"/>
    <w:rsid w:val="00BC149C"/>
    <w:rsid w:val="00BC1763"/>
    <w:rsid w:val="00BC1925"/>
    <w:rsid w:val="00BC1E63"/>
    <w:rsid w:val="00BC1E6E"/>
    <w:rsid w:val="00BC1E8E"/>
    <w:rsid w:val="00BC20CF"/>
    <w:rsid w:val="00BC21A2"/>
    <w:rsid w:val="00BC2304"/>
    <w:rsid w:val="00BC249C"/>
    <w:rsid w:val="00BC251F"/>
    <w:rsid w:val="00BC26CC"/>
    <w:rsid w:val="00BC26E6"/>
    <w:rsid w:val="00BC2855"/>
    <w:rsid w:val="00BC296C"/>
    <w:rsid w:val="00BC29A7"/>
    <w:rsid w:val="00BC2B50"/>
    <w:rsid w:val="00BC2C67"/>
    <w:rsid w:val="00BC2D4C"/>
    <w:rsid w:val="00BC2F76"/>
    <w:rsid w:val="00BC3056"/>
    <w:rsid w:val="00BC3059"/>
    <w:rsid w:val="00BC30A4"/>
    <w:rsid w:val="00BC3162"/>
    <w:rsid w:val="00BC33B6"/>
    <w:rsid w:val="00BC33F8"/>
    <w:rsid w:val="00BC340B"/>
    <w:rsid w:val="00BC352D"/>
    <w:rsid w:val="00BC3541"/>
    <w:rsid w:val="00BC360F"/>
    <w:rsid w:val="00BC367D"/>
    <w:rsid w:val="00BC36C1"/>
    <w:rsid w:val="00BC3C37"/>
    <w:rsid w:val="00BC3ECA"/>
    <w:rsid w:val="00BC3F26"/>
    <w:rsid w:val="00BC3FA5"/>
    <w:rsid w:val="00BC409E"/>
    <w:rsid w:val="00BC4215"/>
    <w:rsid w:val="00BC43EC"/>
    <w:rsid w:val="00BC455E"/>
    <w:rsid w:val="00BC487A"/>
    <w:rsid w:val="00BC4945"/>
    <w:rsid w:val="00BC4977"/>
    <w:rsid w:val="00BC4AE7"/>
    <w:rsid w:val="00BC4AF9"/>
    <w:rsid w:val="00BC4D6B"/>
    <w:rsid w:val="00BC4F56"/>
    <w:rsid w:val="00BC4FE6"/>
    <w:rsid w:val="00BC50DA"/>
    <w:rsid w:val="00BC5144"/>
    <w:rsid w:val="00BC51F8"/>
    <w:rsid w:val="00BC5283"/>
    <w:rsid w:val="00BC53F0"/>
    <w:rsid w:val="00BC54B7"/>
    <w:rsid w:val="00BC5540"/>
    <w:rsid w:val="00BC5672"/>
    <w:rsid w:val="00BC59D3"/>
    <w:rsid w:val="00BC5A38"/>
    <w:rsid w:val="00BC5AEA"/>
    <w:rsid w:val="00BC6058"/>
    <w:rsid w:val="00BC6066"/>
    <w:rsid w:val="00BC63A7"/>
    <w:rsid w:val="00BC6435"/>
    <w:rsid w:val="00BC64EE"/>
    <w:rsid w:val="00BC6777"/>
    <w:rsid w:val="00BC6926"/>
    <w:rsid w:val="00BC69A1"/>
    <w:rsid w:val="00BC6B5E"/>
    <w:rsid w:val="00BC6B6A"/>
    <w:rsid w:val="00BC6C07"/>
    <w:rsid w:val="00BC6C0F"/>
    <w:rsid w:val="00BC6D49"/>
    <w:rsid w:val="00BC6E69"/>
    <w:rsid w:val="00BC7559"/>
    <w:rsid w:val="00BC7571"/>
    <w:rsid w:val="00BC7691"/>
    <w:rsid w:val="00BC7745"/>
    <w:rsid w:val="00BC79D4"/>
    <w:rsid w:val="00BC7A8A"/>
    <w:rsid w:val="00BC7B0C"/>
    <w:rsid w:val="00BC7B57"/>
    <w:rsid w:val="00BC7CB2"/>
    <w:rsid w:val="00BC7E60"/>
    <w:rsid w:val="00BC7E8E"/>
    <w:rsid w:val="00BC7EC2"/>
    <w:rsid w:val="00BD022C"/>
    <w:rsid w:val="00BD047E"/>
    <w:rsid w:val="00BD058E"/>
    <w:rsid w:val="00BD07B1"/>
    <w:rsid w:val="00BD07D5"/>
    <w:rsid w:val="00BD0B1A"/>
    <w:rsid w:val="00BD0B2B"/>
    <w:rsid w:val="00BD0BED"/>
    <w:rsid w:val="00BD0CF6"/>
    <w:rsid w:val="00BD0EFD"/>
    <w:rsid w:val="00BD10BA"/>
    <w:rsid w:val="00BD1226"/>
    <w:rsid w:val="00BD1593"/>
    <w:rsid w:val="00BD16A9"/>
    <w:rsid w:val="00BD174E"/>
    <w:rsid w:val="00BD181A"/>
    <w:rsid w:val="00BD1BCF"/>
    <w:rsid w:val="00BD1C4B"/>
    <w:rsid w:val="00BD1D4B"/>
    <w:rsid w:val="00BD1D88"/>
    <w:rsid w:val="00BD1FBA"/>
    <w:rsid w:val="00BD1FF1"/>
    <w:rsid w:val="00BD204F"/>
    <w:rsid w:val="00BD2147"/>
    <w:rsid w:val="00BD2204"/>
    <w:rsid w:val="00BD2445"/>
    <w:rsid w:val="00BD25B5"/>
    <w:rsid w:val="00BD25F9"/>
    <w:rsid w:val="00BD26EB"/>
    <w:rsid w:val="00BD2A80"/>
    <w:rsid w:val="00BD2BCA"/>
    <w:rsid w:val="00BD2CB7"/>
    <w:rsid w:val="00BD2CF8"/>
    <w:rsid w:val="00BD2D7B"/>
    <w:rsid w:val="00BD3196"/>
    <w:rsid w:val="00BD3207"/>
    <w:rsid w:val="00BD32A1"/>
    <w:rsid w:val="00BD3405"/>
    <w:rsid w:val="00BD348D"/>
    <w:rsid w:val="00BD39F3"/>
    <w:rsid w:val="00BD3E11"/>
    <w:rsid w:val="00BD3E37"/>
    <w:rsid w:val="00BD3E85"/>
    <w:rsid w:val="00BD4471"/>
    <w:rsid w:val="00BD448F"/>
    <w:rsid w:val="00BD457C"/>
    <w:rsid w:val="00BD473A"/>
    <w:rsid w:val="00BD4848"/>
    <w:rsid w:val="00BD4874"/>
    <w:rsid w:val="00BD4B56"/>
    <w:rsid w:val="00BD4F8D"/>
    <w:rsid w:val="00BD4F9E"/>
    <w:rsid w:val="00BD50D1"/>
    <w:rsid w:val="00BD53AD"/>
    <w:rsid w:val="00BD5AA3"/>
    <w:rsid w:val="00BD5CFE"/>
    <w:rsid w:val="00BD600A"/>
    <w:rsid w:val="00BD63DC"/>
    <w:rsid w:val="00BD655E"/>
    <w:rsid w:val="00BD679A"/>
    <w:rsid w:val="00BD67B9"/>
    <w:rsid w:val="00BD67DD"/>
    <w:rsid w:val="00BD6863"/>
    <w:rsid w:val="00BD69C3"/>
    <w:rsid w:val="00BD6DA5"/>
    <w:rsid w:val="00BD6E59"/>
    <w:rsid w:val="00BD7098"/>
    <w:rsid w:val="00BD70E6"/>
    <w:rsid w:val="00BD7313"/>
    <w:rsid w:val="00BD7400"/>
    <w:rsid w:val="00BD7797"/>
    <w:rsid w:val="00BD791F"/>
    <w:rsid w:val="00BD7974"/>
    <w:rsid w:val="00BD798F"/>
    <w:rsid w:val="00BD7B10"/>
    <w:rsid w:val="00BD7C1F"/>
    <w:rsid w:val="00BD7E3E"/>
    <w:rsid w:val="00BD7E5A"/>
    <w:rsid w:val="00BD7F3E"/>
    <w:rsid w:val="00BE01B6"/>
    <w:rsid w:val="00BE0576"/>
    <w:rsid w:val="00BE05EB"/>
    <w:rsid w:val="00BE0717"/>
    <w:rsid w:val="00BE0B18"/>
    <w:rsid w:val="00BE0BBB"/>
    <w:rsid w:val="00BE0BDE"/>
    <w:rsid w:val="00BE0BE1"/>
    <w:rsid w:val="00BE0DC3"/>
    <w:rsid w:val="00BE0E72"/>
    <w:rsid w:val="00BE0EBA"/>
    <w:rsid w:val="00BE1093"/>
    <w:rsid w:val="00BE10A9"/>
    <w:rsid w:val="00BE1105"/>
    <w:rsid w:val="00BE130D"/>
    <w:rsid w:val="00BE14BF"/>
    <w:rsid w:val="00BE16AD"/>
    <w:rsid w:val="00BE1720"/>
    <w:rsid w:val="00BE1765"/>
    <w:rsid w:val="00BE1789"/>
    <w:rsid w:val="00BE198B"/>
    <w:rsid w:val="00BE1BAB"/>
    <w:rsid w:val="00BE1C0A"/>
    <w:rsid w:val="00BE1C61"/>
    <w:rsid w:val="00BE1D37"/>
    <w:rsid w:val="00BE1D8A"/>
    <w:rsid w:val="00BE1E66"/>
    <w:rsid w:val="00BE1ED0"/>
    <w:rsid w:val="00BE2108"/>
    <w:rsid w:val="00BE2318"/>
    <w:rsid w:val="00BE231D"/>
    <w:rsid w:val="00BE23FE"/>
    <w:rsid w:val="00BE2475"/>
    <w:rsid w:val="00BE24E6"/>
    <w:rsid w:val="00BE25B7"/>
    <w:rsid w:val="00BE25E5"/>
    <w:rsid w:val="00BE26F8"/>
    <w:rsid w:val="00BE27F2"/>
    <w:rsid w:val="00BE2830"/>
    <w:rsid w:val="00BE2B15"/>
    <w:rsid w:val="00BE2D08"/>
    <w:rsid w:val="00BE2E51"/>
    <w:rsid w:val="00BE2FB3"/>
    <w:rsid w:val="00BE3014"/>
    <w:rsid w:val="00BE31BF"/>
    <w:rsid w:val="00BE3216"/>
    <w:rsid w:val="00BE3348"/>
    <w:rsid w:val="00BE3359"/>
    <w:rsid w:val="00BE33F5"/>
    <w:rsid w:val="00BE34C3"/>
    <w:rsid w:val="00BE360E"/>
    <w:rsid w:val="00BE362B"/>
    <w:rsid w:val="00BE3B82"/>
    <w:rsid w:val="00BE442F"/>
    <w:rsid w:val="00BE4433"/>
    <w:rsid w:val="00BE4500"/>
    <w:rsid w:val="00BE463E"/>
    <w:rsid w:val="00BE4A1D"/>
    <w:rsid w:val="00BE4B34"/>
    <w:rsid w:val="00BE4EC9"/>
    <w:rsid w:val="00BE4F84"/>
    <w:rsid w:val="00BE4FB9"/>
    <w:rsid w:val="00BE4FEB"/>
    <w:rsid w:val="00BE50CE"/>
    <w:rsid w:val="00BE56B7"/>
    <w:rsid w:val="00BE5907"/>
    <w:rsid w:val="00BE5A10"/>
    <w:rsid w:val="00BE5B49"/>
    <w:rsid w:val="00BE61F9"/>
    <w:rsid w:val="00BE6451"/>
    <w:rsid w:val="00BE653A"/>
    <w:rsid w:val="00BE6B8F"/>
    <w:rsid w:val="00BE6C80"/>
    <w:rsid w:val="00BE6E50"/>
    <w:rsid w:val="00BE71F9"/>
    <w:rsid w:val="00BE74CC"/>
    <w:rsid w:val="00BE774D"/>
    <w:rsid w:val="00BE77EB"/>
    <w:rsid w:val="00BE7807"/>
    <w:rsid w:val="00BE7812"/>
    <w:rsid w:val="00BE7A8E"/>
    <w:rsid w:val="00BF00BE"/>
    <w:rsid w:val="00BF00D0"/>
    <w:rsid w:val="00BF0106"/>
    <w:rsid w:val="00BF0220"/>
    <w:rsid w:val="00BF04B2"/>
    <w:rsid w:val="00BF0912"/>
    <w:rsid w:val="00BF0A73"/>
    <w:rsid w:val="00BF0C26"/>
    <w:rsid w:val="00BF0C30"/>
    <w:rsid w:val="00BF0F24"/>
    <w:rsid w:val="00BF1249"/>
    <w:rsid w:val="00BF12FD"/>
    <w:rsid w:val="00BF13ED"/>
    <w:rsid w:val="00BF1451"/>
    <w:rsid w:val="00BF1575"/>
    <w:rsid w:val="00BF1767"/>
    <w:rsid w:val="00BF177A"/>
    <w:rsid w:val="00BF1848"/>
    <w:rsid w:val="00BF1B1F"/>
    <w:rsid w:val="00BF1BD5"/>
    <w:rsid w:val="00BF2093"/>
    <w:rsid w:val="00BF20CC"/>
    <w:rsid w:val="00BF219A"/>
    <w:rsid w:val="00BF24B0"/>
    <w:rsid w:val="00BF24C5"/>
    <w:rsid w:val="00BF24F8"/>
    <w:rsid w:val="00BF272A"/>
    <w:rsid w:val="00BF2873"/>
    <w:rsid w:val="00BF29C0"/>
    <w:rsid w:val="00BF2A35"/>
    <w:rsid w:val="00BF2B15"/>
    <w:rsid w:val="00BF2E6C"/>
    <w:rsid w:val="00BF307F"/>
    <w:rsid w:val="00BF308D"/>
    <w:rsid w:val="00BF3267"/>
    <w:rsid w:val="00BF344E"/>
    <w:rsid w:val="00BF358D"/>
    <w:rsid w:val="00BF3601"/>
    <w:rsid w:val="00BF37CA"/>
    <w:rsid w:val="00BF381F"/>
    <w:rsid w:val="00BF391F"/>
    <w:rsid w:val="00BF3A20"/>
    <w:rsid w:val="00BF3C13"/>
    <w:rsid w:val="00BF3D0C"/>
    <w:rsid w:val="00BF3EF4"/>
    <w:rsid w:val="00BF3F63"/>
    <w:rsid w:val="00BF40D9"/>
    <w:rsid w:val="00BF40E8"/>
    <w:rsid w:val="00BF425B"/>
    <w:rsid w:val="00BF4269"/>
    <w:rsid w:val="00BF427D"/>
    <w:rsid w:val="00BF42DF"/>
    <w:rsid w:val="00BF42FF"/>
    <w:rsid w:val="00BF4302"/>
    <w:rsid w:val="00BF4330"/>
    <w:rsid w:val="00BF47C2"/>
    <w:rsid w:val="00BF4928"/>
    <w:rsid w:val="00BF498E"/>
    <w:rsid w:val="00BF4A63"/>
    <w:rsid w:val="00BF4D9D"/>
    <w:rsid w:val="00BF4EAB"/>
    <w:rsid w:val="00BF4FEB"/>
    <w:rsid w:val="00BF5340"/>
    <w:rsid w:val="00BF5398"/>
    <w:rsid w:val="00BF53D9"/>
    <w:rsid w:val="00BF54EE"/>
    <w:rsid w:val="00BF55EA"/>
    <w:rsid w:val="00BF56AB"/>
    <w:rsid w:val="00BF56BE"/>
    <w:rsid w:val="00BF58D7"/>
    <w:rsid w:val="00BF5ABE"/>
    <w:rsid w:val="00BF5F27"/>
    <w:rsid w:val="00BF6283"/>
    <w:rsid w:val="00BF6410"/>
    <w:rsid w:val="00BF6919"/>
    <w:rsid w:val="00BF692D"/>
    <w:rsid w:val="00BF6A62"/>
    <w:rsid w:val="00BF6A90"/>
    <w:rsid w:val="00BF6B35"/>
    <w:rsid w:val="00BF6BA6"/>
    <w:rsid w:val="00BF6DAD"/>
    <w:rsid w:val="00BF6E2D"/>
    <w:rsid w:val="00BF6FF7"/>
    <w:rsid w:val="00BF6FFB"/>
    <w:rsid w:val="00BF70CE"/>
    <w:rsid w:val="00BF7174"/>
    <w:rsid w:val="00BF7374"/>
    <w:rsid w:val="00BF7415"/>
    <w:rsid w:val="00BF7863"/>
    <w:rsid w:val="00BF7A8B"/>
    <w:rsid w:val="00BF7B12"/>
    <w:rsid w:val="00BF7B9B"/>
    <w:rsid w:val="00BF7C57"/>
    <w:rsid w:val="00BF7DCD"/>
    <w:rsid w:val="00BF7E07"/>
    <w:rsid w:val="00C0019C"/>
    <w:rsid w:val="00C00204"/>
    <w:rsid w:val="00C002D5"/>
    <w:rsid w:val="00C0077F"/>
    <w:rsid w:val="00C00932"/>
    <w:rsid w:val="00C009D3"/>
    <w:rsid w:val="00C00B98"/>
    <w:rsid w:val="00C00BCF"/>
    <w:rsid w:val="00C01255"/>
    <w:rsid w:val="00C01327"/>
    <w:rsid w:val="00C0135A"/>
    <w:rsid w:val="00C019D7"/>
    <w:rsid w:val="00C01AC3"/>
    <w:rsid w:val="00C01AFE"/>
    <w:rsid w:val="00C01B41"/>
    <w:rsid w:val="00C01D31"/>
    <w:rsid w:val="00C01D49"/>
    <w:rsid w:val="00C01E15"/>
    <w:rsid w:val="00C01E8A"/>
    <w:rsid w:val="00C02432"/>
    <w:rsid w:val="00C0247B"/>
    <w:rsid w:val="00C02599"/>
    <w:rsid w:val="00C026C4"/>
    <w:rsid w:val="00C0274A"/>
    <w:rsid w:val="00C027BE"/>
    <w:rsid w:val="00C02AA6"/>
    <w:rsid w:val="00C02B5D"/>
    <w:rsid w:val="00C02E22"/>
    <w:rsid w:val="00C02F9D"/>
    <w:rsid w:val="00C030D9"/>
    <w:rsid w:val="00C032F0"/>
    <w:rsid w:val="00C035AA"/>
    <w:rsid w:val="00C036D6"/>
    <w:rsid w:val="00C036F8"/>
    <w:rsid w:val="00C037E1"/>
    <w:rsid w:val="00C03ABC"/>
    <w:rsid w:val="00C03B5F"/>
    <w:rsid w:val="00C03C22"/>
    <w:rsid w:val="00C03C84"/>
    <w:rsid w:val="00C03CE1"/>
    <w:rsid w:val="00C03EC3"/>
    <w:rsid w:val="00C03F3D"/>
    <w:rsid w:val="00C042E1"/>
    <w:rsid w:val="00C042E4"/>
    <w:rsid w:val="00C045B2"/>
    <w:rsid w:val="00C0477A"/>
    <w:rsid w:val="00C0487C"/>
    <w:rsid w:val="00C0489A"/>
    <w:rsid w:val="00C04A9C"/>
    <w:rsid w:val="00C04C1D"/>
    <w:rsid w:val="00C04C25"/>
    <w:rsid w:val="00C0504A"/>
    <w:rsid w:val="00C0504E"/>
    <w:rsid w:val="00C050B2"/>
    <w:rsid w:val="00C050B4"/>
    <w:rsid w:val="00C0511B"/>
    <w:rsid w:val="00C052DF"/>
    <w:rsid w:val="00C05578"/>
    <w:rsid w:val="00C055EE"/>
    <w:rsid w:val="00C0577F"/>
    <w:rsid w:val="00C05849"/>
    <w:rsid w:val="00C05959"/>
    <w:rsid w:val="00C059E4"/>
    <w:rsid w:val="00C05A13"/>
    <w:rsid w:val="00C05A7A"/>
    <w:rsid w:val="00C05CEF"/>
    <w:rsid w:val="00C05E18"/>
    <w:rsid w:val="00C0676E"/>
    <w:rsid w:val="00C068AA"/>
    <w:rsid w:val="00C06916"/>
    <w:rsid w:val="00C06966"/>
    <w:rsid w:val="00C06A3D"/>
    <w:rsid w:val="00C06E14"/>
    <w:rsid w:val="00C07156"/>
    <w:rsid w:val="00C0732E"/>
    <w:rsid w:val="00C074A6"/>
    <w:rsid w:val="00C074FD"/>
    <w:rsid w:val="00C075B1"/>
    <w:rsid w:val="00C075EF"/>
    <w:rsid w:val="00C07692"/>
    <w:rsid w:val="00C07B35"/>
    <w:rsid w:val="00C07BD3"/>
    <w:rsid w:val="00C07CD8"/>
    <w:rsid w:val="00C07E21"/>
    <w:rsid w:val="00C10262"/>
    <w:rsid w:val="00C102F3"/>
    <w:rsid w:val="00C1058F"/>
    <w:rsid w:val="00C1064F"/>
    <w:rsid w:val="00C10824"/>
    <w:rsid w:val="00C10842"/>
    <w:rsid w:val="00C108B9"/>
    <w:rsid w:val="00C10C92"/>
    <w:rsid w:val="00C11090"/>
    <w:rsid w:val="00C110BD"/>
    <w:rsid w:val="00C110EC"/>
    <w:rsid w:val="00C11143"/>
    <w:rsid w:val="00C117A6"/>
    <w:rsid w:val="00C119A9"/>
    <w:rsid w:val="00C11B55"/>
    <w:rsid w:val="00C11CA3"/>
    <w:rsid w:val="00C11CC2"/>
    <w:rsid w:val="00C11E47"/>
    <w:rsid w:val="00C11E52"/>
    <w:rsid w:val="00C11ED7"/>
    <w:rsid w:val="00C1203B"/>
    <w:rsid w:val="00C1219B"/>
    <w:rsid w:val="00C1256A"/>
    <w:rsid w:val="00C125DF"/>
    <w:rsid w:val="00C12766"/>
    <w:rsid w:val="00C12780"/>
    <w:rsid w:val="00C12A51"/>
    <w:rsid w:val="00C12D43"/>
    <w:rsid w:val="00C12D6D"/>
    <w:rsid w:val="00C12ECD"/>
    <w:rsid w:val="00C12ED9"/>
    <w:rsid w:val="00C12EE1"/>
    <w:rsid w:val="00C12F55"/>
    <w:rsid w:val="00C1317A"/>
    <w:rsid w:val="00C131FC"/>
    <w:rsid w:val="00C1364D"/>
    <w:rsid w:val="00C136A3"/>
    <w:rsid w:val="00C136EE"/>
    <w:rsid w:val="00C137BF"/>
    <w:rsid w:val="00C137D3"/>
    <w:rsid w:val="00C1399B"/>
    <w:rsid w:val="00C13C23"/>
    <w:rsid w:val="00C13DF1"/>
    <w:rsid w:val="00C13F63"/>
    <w:rsid w:val="00C1429B"/>
    <w:rsid w:val="00C142EE"/>
    <w:rsid w:val="00C142F5"/>
    <w:rsid w:val="00C143FC"/>
    <w:rsid w:val="00C144A1"/>
    <w:rsid w:val="00C146F3"/>
    <w:rsid w:val="00C147EE"/>
    <w:rsid w:val="00C148D9"/>
    <w:rsid w:val="00C14940"/>
    <w:rsid w:val="00C14CE4"/>
    <w:rsid w:val="00C14D1D"/>
    <w:rsid w:val="00C14E46"/>
    <w:rsid w:val="00C15081"/>
    <w:rsid w:val="00C152E4"/>
    <w:rsid w:val="00C154F0"/>
    <w:rsid w:val="00C155DA"/>
    <w:rsid w:val="00C1566E"/>
    <w:rsid w:val="00C15817"/>
    <w:rsid w:val="00C15911"/>
    <w:rsid w:val="00C15D9D"/>
    <w:rsid w:val="00C15DC7"/>
    <w:rsid w:val="00C15EE1"/>
    <w:rsid w:val="00C15F5D"/>
    <w:rsid w:val="00C15F5E"/>
    <w:rsid w:val="00C160D3"/>
    <w:rsid w:val="00C16320"/>
    <w:rsid w:val="00C16764"/>
    <w:rsid w:val="00C1680A"/>
    <w:rsid w:val="00C1682B"/>
    <w:rsid w:val="00C169DA"/>
    <w:rsid w:val="00C16C0C"/>
    <w:rsid w:val="00C16E32"/>
    <w:rsid w:val="00C16E3C"/>
    <w:rsid w:val="00C16E8F"/>
    <w:rsid w:val="00C16EDA"/>
    <w:rsid w:val="00C171FA"/>
    <w:rsid w:val="00C17259"/>
    <w:rsid w:val="00C173D1"/>
    <w:rsid w:val="00C174A5"/>
    <w:rsid w:val="00C17561"/>
    <w:rsid w:val="00C17632"/>
    <w:rsid w:val="00C17721"/>
    <w:rsid w:val="00C179AE"/>
    <w:rsid w:val="00C17ABC"/>
    <w:rsid w:val="00C17BD7"/>
    <w:rsid w:val="00C17EB6"/>
    <w:rsid w:val="00C17FCF"/>
    <w:rsid w:val="00C20071"/>
    <w:rsid w:val="00C20472"/>
    <w:rsid w:val="00C20589"/>
    <w:rsid w:val="00C20805"/>
    <w:rsid w:val="00C208A0"/>
    <w:rsid w:val="00C209DB"/>
    <w:rsid w:val="00C209E0"/>
    <w:rsid w:val="00C20C9A"/>
    <w:rsid w:val="00C20D6F"/>
    <w:rsid w:val="00C20E32"/>
    <w:rsid w:val="00C20E7E"/>
    <w:rsid w:val="00C21098"/>
    <w:rsid w:val="00C21234"/>
    <w:rsid w:val="00C21626"/>
    <w:rsid w:val="00C21642"/>
    <w:rsid w:val="00C21927"/>
    <w:rsid w:val="00C2192C"/>
    <w:rsid w:val="00C21C4B"/>
    <w:rsid w:val="00C21E08"/>
    <w:rsid w:val="00C21FBC"/>
    <w:rsid w:val="00C22018"/>
    <w:rsid w:val="00C2243F"/>
    <w:rsid w:val="00C2299B"/>
    <w:rsid w:val="00C22B9A"/>
    <w:rsid w:val="00C22F98"/>
    <w:rsid w:val="00C2318D"/>
    <w:rsid w:val="00C23381"/>
    <w:rsid w:val="00C23669"/>
    <w:rsid w:val="00C23829"/>
    <w:rsid w:val="00C239BE"/>
    <w:rsid w:val="00C239D9"/>
    <w:rsid w:val="00C23B02"/>
    <w:rsid w:val="00C23B8C"/>
    <w:rsid w:val="00C23BD3"/>
    <w:rsid w:val="00C23CF9"/>
    <w:rsid w:val="00C23DE1"/>
    <w:rsid w:val="00C23E87"/>
    <w:rsid w:val="00C23EA9"/>
    <w:rsid w:val="00C24131"/>
    <w:rsid w:val="00C2416F"/>
    <w:rsid w:val="00C2417D"/>
    <w:rsid w:val="00C2418A"/>
    <w:rsid w:val="00C2424D"/>
    <w:rsid w:val="00C243D2"/>
    <w:rsid w:val="00C243EB"/>
    <w:rsid w:val="00C24555"/>
    <w:rsid w:val="00C247B8"/>
    <w:rsid w:val="00C24B4C"/>
    <w:rsid w:val="00C24E04"/>
    <w:rsid w:val="00C252E0"/>
    <w:rsid w:val="00C254EE"/>
    <w:rsid w:val="00C25580"/>
    <w:rsid w:val="00C255E0"/>
    <w:rsid w:val="00C25790"/>
    <w:rsid w:val="00C259BC"/>
    <w:rsid w:val="00C25A5C"/>
    <w:rsid w:val="00C25BC0"/>
    <w:rsid w:val="00C25BF4"/>
    <w:rsid w:val="00C26072"/>
    <w:rsid w:val="00C265F7"/>
    <w:rsid w:val="00C2660A"/>
    <w:rsid w:val="00C26838"/>
    <w:rsid w:val="00C26860"/>
    <w:rsid w:val="00C2699F"/>
    <w:rsid w:val="00C26CF7"/>
    <w:rsid w:val="00C26D73"/>
    <w:rsid w:val="00C27161"/>
    <w:rsid w:val="00C276D5"/>
    <w:rsid w:val="00C27A04"/>
    <w:rsid w:val="00C27CE2"/>
    <w:rsid w:val="00C27CF6"/>
    <w:rsid w:val="00C27F12"/>
    <w:rsid w:val="00C30251"/>
    <w:rsid w:val="00C30256"/>
    <w:rsid w:val="00C302E2"/>
    <w:rsid w:val="00C30548"/>
    <w:rsid w:val="00C309C1"/>
    <w:rsid w:val="00C30C5B"/>
    <w:rsid w:val="00C30DD0"/>
    <w:rsid w:val="00C31083"/>
    <w:rsid w:val="00C31086"/>
    <w:rsid w:val="00C31221"/>
    <w:rsid w:val="00C315C7"/>
    <w:rsid w:val="00C31684"/>
    <w:rsid w:val="00C317D8"/>
    <w:rsid w:val="00C319B4"/>
    <w:rsid w:val="00C31A69"/>
    <w:rsid w:val="00C31A86"/>
    <w:rsid w:val="00C31C9D"/>
    <w:rsid w:val="00C31E1D"/>
    <w:rsid w:val="00C31EA4"/>
    <w:rsid w:val="00C32043"/>
    <w:rsid w:val="00C3204B"/>
    <w:rsid w:val="00C32067"/>
    <w:rsid w:val="00C3217C"/>
    <w:rsid w:val="00C3218C"/>
    <w:rsid w:val="00C32260"/>
    <w:rsid w:val="00C3228F"/>
    <w:rsid w:val="00C3236A"/>
    <w:rsid w:val="00C329D4"/>
    <w:rsid w:val="00C32AAF"/>
    <w:rsid w:val="00C32D6E"/>
    <w:rsid w:val="00C32E1C"/>
    <w:rsid w:val="00C32E37"/>
    <w:rsid w:val="00C3301E"/>
    <w:rsid w:val="00C33091"/>
    <w:rsid w:val="00C33227"/>
    <w:rsid w:val="00C33352"/>
    <w:rsid w:val="00C33649"/>
    <w:rsid w:val="00C33690"/>
    <w:rsid w:val="00C3373F"/>
    <w:rsid w:val="00C338E3"/>
    <w:rsid w:val="00C33DF4"/>
    <w:rsid w:val="00C34071"/>
    <w:rsid w:val="00C34222"/>
    <w:rsid w:val="00C34437"/>
    <w:rsid w:val="00C34507"/>
    <w:rsid w:val="00C34560"/>
    <w:rsid w:val="00C3482D"/>
    <w:rsid w:val="00C3488C"/>
    <w:rsid w:val="00C34AD0"/>
    <w:rsid w:val="00C34AEF"/>
    <w:rsid w:val="00C34C2B"/>
    <w:rsid w:val="00C34E20"/>
    <w:rsid w:val="00C34FB2"/>
    <w:rsid w:val="00C3523A"/>
    <w:rsid w:val="00C352ED"/>
    <w:rsid w:val="00C355C8"/>
    <w:rsid w:val="00C357B3"/>
    <w:rsid w:val="00C357CE"/>
    <w:rsid w:val="00C357EA"/>
    <w:rsid w:val="00C35805"/>
    <w:rsid w:val="00C35904"/>
    <w:rsid w:val="00C35D4C"/>
    <w:rsid w:val="00C35E71"/>
    <w:rsid w:val="00C35F75"/>
    <w:rsid w:val="00C36195"/>
    <w:rsid w:val="00C36453"/>
    <w:rsid w:val="00C36A34"/>
    <w:rsid w:val="00C36A4C"/>
    <w:rsid w:val="00C36AA8"/>
    <w:rsid w:val="00C36ACB"/>
    <w:rsid w:val="00C36D1E"/>
    <w:rsid w:val="00C370E3"/>
    <w:rsid w:val="00C37212"/>
    <w:rsid w:val="00C37389"/>
    <w:rsid w:val="00C37441"/>
    <w:rsid w:val="00C375B6"/>
    <w:rsid w:val="00C375C8"/>
    <w:rsid w:val="00C37660"/>
    <w:rsid w:val="00C379F5"/>
    <w:rsid w:val="00C37A1D"/>
    <w:rsid w:val="00C37BB1"/>
    <w:rsid w:val="00C37C50"/>
    <w:rsid w:val="00C37D32"/>
    <w:rsid w:val="00C37DE4"/>
    <w:rsid w:val="00C37DF9"/>
    <w:rsid w:val="00C37E16"/>
    <w:rsid w:val="00C400E2"/>
    <w:rsid w:val="00C40579"/>
    <w:rsid w:val="00C405C4"/>
    <w:rsid w:val="00C408A0"/>
    <w:rsid w:val="00C40B9C"/>
    <w:rsid w:val="00C40BC1"/>
    <w:rsid w:val="00C40BE9"/>
    <w:rsid w:val="00C40BF6"/>
    <w:rsid w:val="00C40D3B"/>
    <w:rsid w:val="00C40E44"/>
    <w:rsid w:val="00C40E98"/>
    <w:rsid w:val="00C40ECE"/>
    <w:rsid w:val="00C40FA8"/>
    <w:rsid w:val="00C40FC0"/>
    <w:rsid w:val="00C4152D"/>
    <w:rsid w:val="00C4166E"/>
    <w:rsid w:val="00C4177B"/>
    <w:rsid w:val="00C419D1"/>
    <w:rsid w:val="00C41BBC"/>
    <w:rsid w:val="00C41D2F"/>
    <w:rsid w:val="00C41E24"/>
    <w:rsid w:val="00C421E6"/>
    <w:rsid w:val="00C42643"/>
    <w:rsid w:val="00C426C6"/>
    <w:rsid w:val="00C42941"/>
    <w:rsid w:val="00C42BFE"/>
    <w:rsid w:val="00C43410"/>
    <w:rsid w:val="00C4343F"/>
    <w:rsid w:val="00C439B1"/>
    <w:rsid w:val="00C43A8F"/>
    <w:rsid w:val="00C43C1D"/>
    <w:rsid w:val="00C43D75"/>
    <w:rsid w:val="00C44383"/>
    <w:rsid w:val="00C4441B"/>
    <w:rsid w:val="00C4449F"/>
    <w:rsid w:val="00C44A5B"/>
    <w:rsid w:val="00C44BC5"/>
    <w:rsid w:val="00C44C02"/>
    <w:rsid w:val="00C44FA9"/>
    <w:rsid w:val="00C4502A"/>
    <w:rsid w:val="00C45293"/>
    <w:rsid w:val="00C452D6"/>
    <w:rsid w:val="00C45405"/>
    <w:rsid w:val="00C454EE"/>
    <w:rsid w:val="00C4563E"/>
    <w:rsid w:val="00C45874"/>
    <w:rsid w:val="00C45888"/>
    <w:rsid w:val="00C458C1"/>
    <w:rsid w:val="00C45A38"/>
    <w:rsid w:val="00C45C7D"/>
    <w:rsid w:val="00C4602E"/>
    <w:rsid w:val="00C46158"/>
    <w:rsid w:val="00C46252"/>
    <w:rsid w:val="00C462A0"/>
    <w:rsid w:val="00C4644B"/>
    <w:rsid w:val="00C464F3"/>
    <w:rsid w:val="00C4669A"/>
    <w:rsid w:val="00C46961"/>
    <w:rsid w:val="00C46A9C"/>
    <w:rsid w:val="00C46CBF"/>
    <w:rsid w:val="00C46F2A"/>
    <w:rsid w:val="00C47137"/>
    <w:rsid w:val="00C471C7"/>
    <w:rsid w:val="00C47358"/>
    <w:rsid w:val="00C47363"/>
    <w:rsid w:val="00C47449"/>
    <w:rsid w:val="00C476BE"/>
    <w:rsid w:val="00C47768"/>
    <w:rsid w:val="00C4790B"/>
    <w:rsid w:val="00C47CF5"/>
    <w:rsid w:val="00C47E6F"/>
    <w:rsid w:val="00C50045"/>
    <w:rsid w:val="00C50513"/>
    <w:rsid w:val="00C506BE"/>
    <w:rsid w:val="00C50750"/>
    <w:rsid w:val="00C50839"/>
    <w:rsid w:val="00C50A70"/>
    <w:rsid w:val="00C50D45"/>
    <w:rsid w:val="00C50E50"/>
    <w:rsid w:val="00C51138"/>
    <w:rsid w:val="00C51506"/>
    <w:rsid w:val="00C51556"/>
    <w:rsid w:val="00C51781"/>
    <w:rsid w:val="00C51D78"/>
    <w:rsid w:val="00C52172"/>
    <w:rsid w:val="00C521C3"/>
    <w:rsid w:val="00C522E9"/>
    <w:rsid w:val="00C52382"/>
    <w:rsid w:val="00C52389"/>
    <w:rsid w:val="00C528BA"/>
    <w:rsid w:val="00C529B7"/>
    <w:rsid w:val="00C529C1"/>
    <w:rsid w:val="00C52A3A"/>
    <w:rsid w:val="00C52D51"/>
    <w:rsid w:val="00C52E8F"/>
    <w:rsid w:val="00C5305B"/>
    <w:rsid w:val="00C5315E"/>
    <w:rsid w:val="00C5327C"/>
    <w:rsid w:val="00C5339D"/>
    <w:rsid w:val="00C534BA"/>
    <w:rsid w:val="00C53561"/>
    <w:rsid w:val="00C53631"/>
    <w:rsid w:val="00C53977"/>
    <w:rsid w:val="00C539C6"/>
    <w:rsid w:val="00C53AE0"/>
    <w:rsid w:val="00C53BCB"/>
    <w:rsid w:val="00C53BF4"/>
    <w:rsid w:val="00C53FE5"/>
    <w:rsid w:val="00C54322"/>
    <w:rsid w:val="00C5452B"/>
    <w:rsid w:val="00C5461E"/>
    <w:rsid w:val="00C54B6F"/>
    <w:rsid w:val="00C54C55"/>
    <w:rsid w:val="00C54ECC"/>
    <w:rsid w:val="00C54F0A"/>
    <w:rsid w:val="00C54F72"/>
    <w:rsid w:val="00C54F7F"/>
    <w:rsid w:val="00C54F95"/>
    <w:rsid w:val="00C5539E"/>
    <w:rsid w:val="00C55626"/>
    <w:rsid w:val="00C55935"/>
    <w:rsid w:val="00C55B3D"/>
    <w:rsid w:val="00C55F6D"/>
    <w:rsid w:val="00C56464"/>
    <w:rsid w:val="00C564C9"/>
    <w:rsid w:val="00C564F4"/>
    <w:rsid w:val="00C565E5"/>
    <w:rsid w:val="00C568F9"/>
    <w:rsid w:val="00C56A8D"/>
    <w:rsid w:val="00C56BD8"/>
    <w:rsid w:val="00C56CE9"/>
    <w:rsid w:val="00C56E33"/>
    <w:rsid w:val="00C56FAD"/>
    <w:rsid w:val="00C56FD8"/>
    <w:rsid w:val="00C573A2"/>
    <w:rsid w:val="00C574AD"/>
    <w:rsid w:val="00C577DD"/>
    <w:rsid w:val="00C57AB4"/>
    <w:rsid w:val="00C6010D"/>
    <w:rsid w:val="00C601BF"/>
    <w:rsid w:val="00C60811"/>
    <w:rsid w:val="00C6084E"/>
    <w:rsid w:val="00C609E9"/>
    <w:rsid w:val="00C60D4E"/>
    <w:rsid w:val="00C60FBC"/>
    <w:rsid w:val="00C61172"/>
    <w:rsid w:val="00C61205"/>
    <w:rsid w:val="00C613F0"/>
    <w:rsid w:val="00C617ED"/>
    <w:rsid w:val="00C618C0"/>
    <w:rsid w:val="00C619B6"/>
    <w:rsid w:val="00C61A50"/>
    <w:rsid w:val="00C61A5D"/>
    <w:rsid w:val="00C61ACB"/>
    <w:rsid w:val="00C61DCB"/>
    <w:rsid w:val="00C61E3D"/>
    <w:rsid w:val="00C61E47"/>
    <w:rsid w:val="00C621EC"/>
    <w:rsid w:val="00C62287"/>
    <w:rsid w:val="00C622BF"/>
    <w:rsid w:val="00C62475"/>
    <w:rsid w:val="00C624D8"/>
    <w:rsid w:val="00C62663"/>
    <w:rsid w:val="00C62676"/>
    <w:rsid w:val="00C62B67"/>
    <w:rsid w:val="00C62C77"/>
    <w:rsid w:val="00C62D05"/>
    <w:rsid w:val="00C62E94"/>
    <w:rsid w:val="00C631B5"/>
    <w:rsid w:val="00C631F8"/>
    <w:rsid w:val="00C63358"/>
    <w:rsid w:val="00C6349E"/>
    <w:rsid w:val="00C635D6"/>
    <w:rsid w:val="00C63795"/>
    <w:rsid w:val="00C63861"/>
    <w:rsid w:val="00C638AA"/>
    <w:rsid w:val="00C639E7"/>
    <w:rsid w:val="00C63A9C"/>
    <w:rsid w:val="00C63CCA"/>
    <w:rsid w:val="00C63DFF"/>
    <w:rsid w:val="00C63F1F"/>
    <w:rsid w:val="00C63F34"/>
    <w:rsid w:val="00C64078"/>
    <w:rsid w:val="00C642FE"/>
    <w:rsid w:val="00C64371"/>
    <w:rsid w:val="00C646F3"/>
    <w:rsid w:val="00C64815"/>
    <w:rsid w:val="00C64850"/>
    <w:rsid w:val="00C6498C"/>
    <w:rsid w:val="00C64B37"/>
    <w:rsid w:val="00C64B73"/>
    <w:rsid w:val="00C64C21"/>
    <w:rsid w:val="00C64E62"/>
    <w:rsid w:val="00C64F2F"/>
    <w:rsid w:val="00C65020"/>
    <w:rsid w:val="00C65219"/>
    <w:rsid w:val="00C653AE"/>
    <w:rsid w:val="00C654FA"/>
    <w:rsid w:val="00C655A1"/>
    <w:rsid w:val="00C655ED"/>
    <w:rsid w:val="00C656F3"/>
    <w:rsid w:val="00C657EE"/>
    <w:rsid w:val="00C65887"/>
    <w:rsid w:val="00C65931"/>
    <w:rsid w:val="00C65EEB"/>
    <w:rsid w:val="00C65F1C"/>
    <w:rsid w:val="00C66014"/>
    <w:rsid w:val="00C660F0"/>
    <w:rsid w:val="00C663EA"/>
    <w:rsid w:val="00C6645B"/>
    <w:rsid w:val="00C66718"/>
    <w:rsid w:val="00C66A29"/>
    <w:rsid w:val="00C66B0C"/>
    <w:rsid w:val="00C66B81"/>
    <w:rsid w:val="00C66E48"/>
    <w:rsid w:val="00C670BC"/>
    <w:rsid w:val="00C670D5"/>
    <w:rsid w:val="00C67137"/>
    <w:rsid w:val="00C6714D"/>
    <w:rsid w:val="00C6725E"/>
    <w:rsid w:val="00C67393"/>
    <w:rsid w:val="00C67521"/>
    <w:rsid w:val="00C67C1F"/>
    <w:rsid w:val="00C67C41"/>
    <w:rsid w:val="00C67F00"/>
    <w:rsid w:val="00C7015B"/>
    <w:rsid w:val="00C70224"/>
    <w:rsid w:val="00C7047F"/>
    <w:rsid w:val="00C705B1"/>
    <w:rsid w:val="00C7088E"/>
    <w:rsid w:val="00C7093A"/>
    <w:rsid w:val="00C7097F"/>
    <w:rsid w:val="00C70C77"/>
    <w:rsid w:val="00C7126D"/>
    <w:rsid w:val="00C7142E"/>
    <w:rsid w:val="00C714D2"/>
    <w:rsid w:val="00C71595"/>
    <w:rsid w:val="00C7192B"/>
    <w:rsid w:val="00C7194C"/>
    <w:rsid w:val="00C71D80"/>
    <w:rsid w:val="00C7200F"/>
    <w:rsid w:val="00C72045"/>
    <w:rsid w:val="00C72093"/>
    <w:rsid w:val="00C7230C"/>
    <w:rsid w:val="00C723D4"/>
    <w:rsid w:val="00C724D5"/>
    <w:rsid w:val="00C72708"/>
    <w:rsid w:val="00C7275A"/>
    <w:rsid w:val="00C72901"/>
    <w:rsid w:val="00C72AC9"/>
    <w:rsid w:val="00C72B26"/>
    <w:rsid w:val="00C72D70"/>
    <w:rsid w:val="00C72D82"/>
    <w:rsid w:val="00C72F47"/>
    <w:rsid w:val="00C73044"/>
    <w:rsid w:val="00C73101"/>
    <w:rsid w:val="00C732CD"/>
    <w:rsid w:val="00C73840"/>
    <w:rsid w:val="00C738C3"/>
    <w:rsid w:val="00C73907"/>
    <w:rsid w:val="00C73ACF"/>
    <w:rsid w:val="00C73E12"/>
    <w:rsid w:val="00C73F4B"/>
    <w:rsid w:val="00C73FCA"/>
    <w:rsid w:val="00C7418A"/>
    <w:rsid w:val="00C74195"/>
    <w:rsid w:val="00C7422F"/>
    <w:rsid w:val="00C74236"/>
    <w:rsid w:val="00C7440C"/>
    <w:rsid w:val="00C74617"/>
    <w:rsid w:val="00C7469F"/>
    <w:rsid w:val="00C7473A"/>
    <w:rsid w:val="00C747F6"/>
    <w:rsid w:val="00C7496B"/>
    <w:rsid w:val="00C74B08"/>
    <w:rsid w:val="00C74B66"/>
    <w:rsid w:val="00C74FAD"/>
    <w:rsid w:val="00C75094"/>
    <w:rsid w:val="00C7534A"/>
    <w:rsid w:val="00C7556F"/>
    <w:rsid w:val="00C75591"/>
    <w:rsid w:val="00C7584C"/>
    <w:rsid w:val="00C7599C"/>
    <w:rsid w:val="00C760AE"/>
    <w:rsid w:val="00C7619E"/>
    <w:rsid w:val="00C76406"/>
    <w:rsid w:val="00C76476"/>
    <w:rsid w:val="00C7665D"/>
    <w:rsid w:val="00C76A70"/>
    <w:rsid w:val="00C76A84"/>
    <w:rsid w:val="00C76C1C"/>
    <w:rsid w:val="00C76E05"/>
    <w:rsid w:val="00C77154"/>
    <w:rsid w:val="00C773E7"/>
    <w:rsid w:val="00C7766C"/>
    <w:rsid w:val="00C778B6"/>
    <w:rsid w:val="00C77F37"/>
    <w:rsid w:val="00C77F3F"/>
    <w:rsid w:val="00C800BB"/>
    <w:rsid w:val="00C80145"/>
    <w:rsid w:val="00C8019D"/>
    <w:rsid w:val="00C80399"/>
    <w:rsid w:val="00C80558"/>
    <w:rsid w:val="00C805E0"/>
    <w:rsid w:val="00C806EF"/>
    <w:rsid w:val="00C80946"/>
    <w:rsid w:val="00C80A54"/>
    <w:rsid w:val="00C80C53"/>
    <w:rsid w:val="00C80EA2"/>
    <w:rsid w:val="00C80FAE"/>
    <w:rsid w:val="00C81025"/>
    <w:rsid w:val="00C8124C"/>
    <w:rsid w:val="00C81381"/>
    <w:rsid w:val="00C81602"/>
    <w:rsid w:val="00C816F7"/>
    <w:rsid w:val="00C817D4"/>
    <w:rsid w:val="00C81DAE"/>
    <w:rsid w:val="00C82198"/>
    <w:rsid w:val="00C8221C"/>
    <w:rsid w:val="00C8235D"/>
    <w:rsid w:val="00C823C9"/>
    <w:rsid w:val="00C8247C"/>
    <w:rsid w:val="00C826D4"/>
    <w:rsid w:val="00C826D5"/>
    <w:rsid w:val="00C82D71"/>
    <w:rsid w:val="00C82E4E"/>
    <w:rsid w:val="00C82FA9"/>
    <w:rsid w:val="00C832C6"/>
    <w:rsid w:val="00C833B6"/>
    <w:rsid w:val="00C835F4"/>
    <w:rsid w:val="00C836EA"/>
    <w:rsid w:val="00C837BB"/>
    <w:rsid w:val="00C839C3"/>
    <w:rsid w:val="00C83C91"/>
    <w:rsid w:val="00C83E06"/>
    <w:rsid w:val="00C83FFF"/>
    <w:rsid w:val="00C8415A"/>
    <w:rsid w:val="00C84214"/>
    <w:rsid w:val="00C8421E"/>
    <w:rsid w:val="00C846D8"/>
    <w:rsid w:val="00C84712"/>
    <w:rsid w:val="00C8494E"/>
    <w:rsid w:val="00C84995"/>
    <w:rsid w:val="00C84A96"/>
    <w:rsid w:val="00C84AC5"/>
    <w:rsid w:val="00C84ACA"/>
    <w:rsid w:val="00C84C67"/>
    <w:rsid w:val="00C84D79"/>
    <w:rsid w:val="00C84DD7"/>
    <w:rsid w:val="00C8511D"/>
    <w:rsid w:val="00C854DB"/>
    <w:rsid w:val="00C8552A"/>
    <w:rsid w:val="00C857B0"/>
    <w:rsid w:val="00C8588C"/>
    <w:rsid w:val="00C85AC5"/>
    <w:rsid w:val="00C85AD8"/>
    <w:rsid w:val="00C85DDF"/>
    <w:rsid w:val="00C85E0D"/>
    <w:rsid w:val="00C85EA7"/>
    <w:rsid w:val="00C85FA4"/>
    <w:rsid w:val="00C860D6"/>
    <w:rsid w:val="00C862F2"/>
    <w:rsid w:val="00C8642C"/>
    <w:rsid w:val="00C8644C"/>
    <w:rsid w:val="00C86A72"/>
    <w:rsid w:val="00C86B9B"/>
    <w:rsid w:val="00C86C96"/>
    <w:rsid w:val="00C86D41"/>
    <w:rsid w:val="00C86DAE"/>
    <w:rsid w:val="00C86E18"/>
    <w:rsid w:val="00C86E8B"/>
    <w:rsid w:val="00C8711F"/>
    <w:rsid w:val="00C87203"/>
    <w:rsid w:val="00C8726D"/>
    <w:rsid w:val="00C8726E"/>
    <w:rsid w:val="00C87336"/>
    <w:rsid w:val="00C87476"/>
    <w:rsid w:val="00C875B4"/>
    <w:rsid w:val="00C87DA6"/>
    <w:rsid w:val="00C87E3E"/>
    <w:rsid w:val="00C90000"/>
    <w:rsid w:val="00C90038"/>
    <w:rsid w:val="00C902BD"/>
    <w:rsid w:val="00C903A6"/>
    <w:rsid w:val="00C9044C"/>
    <w:rsid w:val="00C905C1"/>
    <w:rsid w:val="00C90850"/>
    <w:rsid w:val="00C90910"/>
    <w:rsid w:val="00C90A19"/>
    <w:rsid w:val="00C90A6C"/>
    <w:rsid w:val="00C90B63"/>
    <w:rsid w:val="00C90B90"/>
    <w:rsid w:val="00C90EAF"/>
    <w:rsid w:val="00C90F2A"/>
    <w:rsid w:val="00C90F7C"/>
    <w:rsid w:val="00C90FCA"/>
    <w:rsid w:val="00C90FDD"/>
    <w:rsid w:val="00C90FE1"/>
    <w:rsid w:val="00C9100C"/>
    <w:rsid w:val="00C91116"/>
    <w:rsid w:val="00C912A1"/>
    <w:rsid w:val="00C9138D"/>
    <w:rsid w:val="00C91654"/>
    <w:rsid w:val="00C9171C"/>
    <w:rsid w:val="00C9172F"/>
    <w:rsid w:val="00C91891"/>
    <w:rsid w:val="00C91A4E"/>
    <w:rsid w:val="00C91A9E"/>
    <w:rsid w:val="00C91BD3"/>
    <w:rsid w:val="00C91DCB"/>
    <w:rsid w:val="00C91F0B"/>
    <w:rsid w:val="00C92288"/>
    <w:rsid w:val="00C922CA"/>
    <w:rsid w:val="00C924EE"/>
    <w:rsid w:val="00C92776"/>
    <w:rsid w:val="00C92A4B"/>
    <w:rsid w:val="00C92CF5"/>
    <w:rsid w:val="00C93185"/>
    <w:rsid w:val="00C931FB"/>
    <w:rsid w:val="00C934DC"/>
    <w:rsid w:val="00C9361B"/>
    <w:rsid w:val="00C93830"/>
    <w:rsid w:val="00C938C6"/>
    <w:rsid w:val="00C938D9"/>
    <w:rsid w:val="00C9391D"/>
    <w:rsid w:val="00C93C59"/>
    <w:rsid w:val="00C93CCA"/>
    <w:rsid w:val="00C93CD7"/>
    <w:rsid w:val="00C93D72"/>
    <w:rsid w:val="00C93DBA"/>
    <w:rsid w:val="00C93F1A"/>
    <w:rsid w:val="00C93F24"/>
    <w:rsid w:val="00C9405E"/>
    <w:rsid w:val="00C94273"/>
    <w:rsid w:val="00C944FB"/>
    <w:rsid w:val="00C9453F"/>
    <w:rsid w:val="00C946F6"/>
    <w:rsid w:val="00C94813"/>
    <w:rsid w:val="00C94AC3"/>
    <w:rsid w:val="00C94C9A"/>
    <w:rsid w:val="00C94CBB"/>
    <w:rsid w:val="00C95015"/>
    <w:rsid w:val="00C950E3"/>
    <w:rsid w:val="00C9515D"/>
    <w:rsid w:val="00C95325"/>
    <w:rsid w:val="00C9540B"/>
    <w:rsid w:val="00C95433"/>
    <w:rsid w:val="00C954DC"/>
    <w:rsid w:val="00C9589C"/>
    <w:rsid w:val="00C95C9C"/>
    <w:rsid w:val="00C95E22"/>
    <w:rsid w:val="00C95E6E"/>
    <w:rsid w:val="00C95F7A"/>
    <w:rsid w:val="00C9604F"/>
    <w:rsid w:val="00C961A1"/>
    <w:rsid w:val="00C9631E"/>
    <w:rsid w:val="00C96406"/>
    <w:rsid w:val="00C967E5"/>
    <w:rsid w:val="00C96927"/>
    <w:rsid w:val="00C96940"/>
    <w:rsid w:val="00C96BC5"/>
    <w:rsid w:val="00C96BCF"/>
    <w:rsid w:val="00C96E23"/>
    <w:rsid w:val="00C96E65"/>
    <w:rsid w:val="00C96E90"/>
    <w:rsid w:val="00C97148"/>
    <w:rsid w:val="00C973E5"/>
    <w:rsid w:val="00C974F4"/>
    <w:rsid w:val="00C97543"/>
    <w:rsid w:val="00C97818"/>
    <w:rsid w:val="00C978C9"/>
    <w:rsid w:val="00C978CD"/>
    <w:rsid w:val="00CA028C"/>
    <w:rsid w:val="00CA02CF"/>
    <w:rsid w:val="00CA0599"/>
    <w:rsid w:val="00CA067A"/>
    <w:rsid w:val="00CA09AD"/>
    <w:rsid w:val="00CA0A3A"/>
    <w:rsid w:val="00CA0E1F"/>
    <w:rsid w:val="00CA0E27"/>
    <w:rsid w:val="00CA0E7F"/>
    <w:rsid w:val="00CA0F4D"/>
    <w:rsid w:val="00CA121B"/>
    <w:rsid w:val="00CA12FC"/>
    <w:rsid w:val="00CA1624"/>
    <w:rsid w:val="00CA1633"/>
    <w:rsid w:val="00CA16D6"/>
    <w:rsid w:val="00CA1906"/>
    <w:rsid w:val="00CA19F4"/>
    <w:rsid w:val="00CA1CB9"/>
    <w:rsid w:val="00CA1DB9"/>
    <w:rsid w:val="00CA1E4D"/>
    <w:rsid w:val="00CA1FD1"/>
    <w:rsid w:val="00CA2066"/>
    <w:rsid w:val="00CA240D"/>
    <w:rsid w:val="00CA2624"/>
    <w:rsid w:val="00CA26C2"/>
    <w:rsid w:val="00CA295D"/>
    <w:rsid w:val="00CA2B31"/>
    <w:rsid w:val="00CA2C4D"/>
    <w:rsid w:val="00CA2E0A"/>
    <w:rsid w:val="00CA2E8D"/>
    <w:rsid w:val="00CA2EF8"/>
    <w:rsid w:val="00CA3262"/>
    <w:rsid w:val="00CA33D0"/>
    <w:rsid w:val="00CA3560"/>
    <w:rsid w:val="00CA362B"/>
    <w:rsid w:val="00CA391B"/>
    <w:rsid w:val="00CA3952"/>
    <w:rsid w:val="00CA395D"/>
    <w:rsid w:val="00CA39B5"/>
    <w:rsid w:val="00CA3A4B"/>
    <w:rsid w:val="00CA3CC9"/>
    <w:rsid w:val="00CA3E84"/>
    <w:rsid w:val="00CA4044"/>
    <w:rsid w:val="00CA412C"/>
    <w:rsid w:val="00CA4136"/>
    <w:rsid w:val="00CA41E8"/>
    <w:rsid w:val="00CA44E0"/>
    <w:rsid w:val="00CA46AE"/>
    <w:rsid w:val="00CA4842"/>
    <w:rsid w:val="00CA489D"/>
    <w:rsid w:val="00CA4A83"/>
    <w:rsid w:val="00CA4AB4"/>
    <w:rsid w:val="00CA4B7E"/>
    <w:rsid w:val="00CA4BAF"/>
    <w:rsid w:val="00CA4BEE"/>
    <w:rsid w:val="00CA4C13"/>
    <w:rsid w:val="00CA4C5E"/>
    <w:rsid w:val="00CA4C7A"/>
    <w:rsid w:val="00CA4EBE"/>
    <w:rsid w:val="00CA50AB"/>
    <w:rsid w:val="00CA59E4"/>
    <w:rsid w:val="00CA5B2C"/>
    <w:rsid w:val="00CA5C56"/>
    <w:rsid w:val="00CA5D85"/>
    <w:rsid w:val="00CA5DC4"/>
    <w:rsid w:val="00CA607B"/>
    <w:rsid w:val="00CA63DE"/>
    <w:rsid w:val="00CA652E"/>
    <w:rsid w:val="00CA6979"/>
    <w:rsid w:val="00CA6AB5"/>
    <w:rsid w:val="00CA6E1C"/>
    <w:rsid w:val="00CA6FEF"/>
    <w:rsid w:val="00CA70E9"/>
    <w:rsid w:val="00CA7287"/>
    <w:rsid w:val="00CA73E4"/>
    <w:rsid w:val="00CA7542"/>
    <w:rsid w:val="00CA7730"/>
    <w:rsid w:val="00CA7754"/>
    <w:rsid w:val="00CA786E"/>
    <w:rsid w:val="00CA789D"/>
    <w:rsid w:val="00CA78DA"/>
    <w:rsid w:val="00CA790D"/>
    <w:rsid w:val="00CA79F2"/>
    <w:rsid w:val="00CA7E6A"/>
    <w:rsid w:val="00CB00A9"/>
    <w:rsid w:val="00CB015C"/>
    <w:rsid w:val="00CB019A"/>
    <w:rsid w:val="00CB0288"/>
    <w:rsid w:val="00CB03B1"/>
    <w:rsid w:val="00CB03C7"/>
    <w:rsid w:val="00CB0546"/>
    <w:rsid w:val="00CB05F1"/>
    <w:rsid w:val="00CB0908"/>
    <w:rsid w:val="00CB0D4F"/>
    <w:rsid w:val="00CB0D90"/>
    <w:rsid w:val="00CB1114"/>
    <w:rsid w:val="00CB14F3"/>
    <w:rsid w:val="00CB160C"/>
    <w:rsid w:val="00CB1662"/>
    <w:rsid w:val="00CB1DA5"/>
    <w:rsid w:val="00CB1DF1"/>
    <w:rsid w:val="00CB1E01"/>
    <w:rsid w:val="00CB1E54"/>
    <w:rsid w:val="00CB20A4"/>
    <w:rsid w:val="00CB20E0"/>
    <w:rsid w:val="00CB2346"/>
    <w:rsid w:val="00CB29CB"/>
    <w:rsid w:val="00CB2C16"/>
    <w:rsid w:val="00CB2E18"/>
    <w:rsid w:val="00CB2FD5"/>
    <w:rsid w:val="00CB2FF0"/>
    <w:rsid w:val="00CB3288"/>
    <w:rsid w:val="00CB35DF"/>
    <w:rsid w:val="00CB3878"/>
    <w:rsid w:val="00CB39BC"/>
    <w:rsid w:val="00CB3ABB"/>
    <w:rsid w:val="00CB3C32"/>
    <w:rsid w:val="00CB3D3D"/>
    <w:rsid w:val="00CB3E1C"/>
    <w:rsid w:val="00CB3F79"/>
    <w:rsid w:val="00CB4044"/>
    <w:rsid w:val="00CB4124"/>
    <w:rsid w:val="00CB45BA"/>
    <w:rsid w:val="00CB4EC4"/>
    <w:rsid w:val="00CB4F8C"/>
    <w:rsid w:val="00CB505F"/>
    <w:rsid w:val="00CB5094"/>
    <w:rsid w:val="00CB512E"/>
    <w:rsid w:val="00CB51D3"/>
    <w:rsid w:val="00CB521C"/>
    <w:rsid w:val="00CB535E"/>
    <w:rsid w:val="00CB536B"/>
    <w:rsid w:val="00CB56F4"/>
    <w:rsid w:val="00CB5766"/>
    <w:rsid w:val="00CB5824"/>
    <w:rsid w:val="00CB58A0"/>
    <w:rsid w:val="00CB595C"/>
    <w:rsid w:val="00CB5A8D"/>
    <w:rsid w:val="00CB5AA9"/>
    <w:rsid w:val="00CB5B31"/>
    <w:rsid w:val="00CB5BE2"/>
    <w:rsid w:val="00CB5CAE"/>
    <w:rsid w:val="00CB5DAF"/>
    <w:rsid w:val="00CB627F"/>
    <w:rsid w:val="00CB632B"/>
    <w:rsid w:val="00CB64C5"/>
    <w:rsid w:val="00CB65A2"/>
    <w:rsid w:val="00CB6A60"/>
    <w:rsid w:val="00CB6D03"/>
    <w:rsid w:val="00CB6E61"/>
    <w:rsid w:val="00CB6E93"/>
    <w:rsid w:val="00CB7077"/>
    <w:rsid w:val="00CB722B"/>
    <w:rsid w:val="00CB732F"/>
    <w:rsid w:val="00CB73CA"/>
    <w:rsid w:val="00CB7409"/>
    <w:rsid w:val="00CB76ED"/>
    <w:rsid w:val="00CB78C3"/>
    <w:rsid w:val="00CB7AE9"/>
    <w:rsid w:val="00CB7BB5"/>
    <w:rsid w:val="00CB7C07"/>
    <w:rsid w:val="00CB7DDA"/>
    <w:rsid w:val="00CB7E43"/>
    <w:rsid w:val="00CB7E63"/>
    <w:rsid w:val="00CC00FF"/>
    <w:rsid w:val="00CC012B"/>
    <w:rsid w:val="00CC016B"/>
    <w:rsid w:val="00CC039E"/>
    <w:rsid w:val="00CC06FF"/>
    <w:rsid w:val="00CC070D"/>
    <w:rsid w:val="00CC071F"/>
    <w:rsid w:val="00CC0997"/>
    <w:rsid w:val="00CC0AB0"/>
    <w:rsid w:val="00CC0AF5"/>
    <w:rsid w:val="00CC0CD5"/>
    <w:rsid w:val="00CC0CF2"/>
    <w:rsid w:val="00CC0D8A"/>
    <w:rsid w:val="00CC1314"/>
    <w:rsid w:val="00CC14D1"/>
    <w:rsid w:val="00CC1538"/>
    <w:rsid w:val="00CC17CE"/>
    <w:rsid w:val="00CC1823"/>
    <w:rsid w:val="00CC1900"/>
    <w:rsid w:val="00CC1A0E"/>
    <w:rsid w:val="00CC23F7"/>
    <w:rsid w:val="00CC2583"/>
    <w:rsid w:val="00CC26A3"/>
    <w:rsid w:val="00CC290B"/>
    <w:rsid w:val="00CC2AD5"/>
    <w:rsid w:val="00CC2BD1"/>
    <w:rsid w:val="00CC3054"/>
    <w:rsid w:val="00CC3135"/>
    <w:rsid w:val="00CC318C"/>
    <w:rsid w:val="00CC338F"/>
    <w:rsid w:val="00CC3417"/>
    <w:rsid w:val="00CC385B"/>
    <w:rsid w:val="00CC38A9"/>
    <w:rsid w:val="00CC3A46"/>
    <w:rsid w:val="00CC3C2D"/>
    <w:rsid w:val="00CC3FAB"/>
    <w:rsid w:val="00CC4085"/>
    <w:rsid w:val="00CC46CA"/>
    <w:rsid w:val="00CC4726"/>
    <w:rsid w:val="00CC476E"/>
    <w:rsid w:val="00CC4A6B"/>
    <w:rsid w:val="00CC4A83"/>
    <w:rsid w:val="00CC4AF4"/>
    <w:rsid w:val="00CC4CEE"/>
    <w:rsid w:val="00CC4F72"/>
    <w:rsid w:val="00CC4FBC"/>
    <w:rsid w:val="00CC5131"/>
    <w:rsid w:val="00CC5193"/>
    <w:rsid w:val="00CC527E"/>
    <w:rsid w:val="00CC5554"/>
    <w:rsid w:val="00CC5635"/>
    <w:rsid w:val="00CC5684"/>
    <w:rsid w:val="00CC5703"/>
    <w:rsid w:val="00CC5724"/>
    <w:rsid w:val="00CC58C7"/>
    <w:rsid w:val="00CC58D7"/>
    <w:rsid w:val="00CC5A2F"/>
    <w:rsid w:val="00CC5D88"/>
    <w:rsid w:val="00CC5FF6"/>
    <w:rsid w:val="00CC613C"/>
    <w:rsid w:val="00CC6150"/>
    <w:rsid w:val="00CC63D6"/>
    <w:rsid w:val="00CC6824"/>
    <w:rsid w:val="00CC689C"/>
    <w:rsid w:val="00CC6D37"/>
    <w:rsid w:val="00CC6E6E"/>
    <w:rsid w:val="00CC6E98"/>
    <w:rsid w:val="00CC6F24"/>
    <w:rsid w:val="00CC7319"/>
    <w:rsid w:val="00CC7738"/>
    <w:rsid w:val="00CC7749"/>
    <w:rsid w:val="00CC779D"/>
    <w:rsid w:val="00CC7849"/>
    <w:rsid w:val="00CC79F4"/>
    <w:rsid w:val="00CC7A04"/>
    <w:rsid w:val="00CC7B1A"/>
    <w:rsid w:val="00CC7E0B"/>
    <w:rsid w:val="00CD012E"/>
    <w:rsid w:val="00CD0368"/>
    <w:rsid w:val="00CD05A1"/>
    <w:rsid w:val="00CD0619"/>
    <w:rsid w:val="00CD08D0"/>
    <w:rsid w:val="00CD0BD5"/>
    <w:rsid w:val="00CD0C7B"/>
    <w:rsid w:val="00CD0DDC"/>
    <w:rsid w:val="00CD0F08"/>
    <w:rsid w:val="00CD0F88"/>
    <w:rsid w:val="00CD10A6"/>
    <w:rsid w:val="00CD117B"/>
    <w:rsid w:val="00CD12D6"/>
    <w:rsid w:val="00CD13D4"/>
    <w:rsid w:val="00CD15FE"/>
    <w:rsid w:val="00CD18C2"/>
    <w:rsid w:val="00CD195C"/>
    <w:rsid w:val="00CD198B"/>
    <w:rsid w:val="00CD1CE3"/>
    <w:rsid w:val="00CD1CFA"/>
    <w:rsid w:val="00CD2023"/>
    <w:rsid w:val="00CD214B"/>
    <w:rsid w:val="00CD2154"/>
    <w:rsid w:val="00CD2177"/>
    <w:rsid w:val="00CD2224"/>
    <w:rsid w:val="00CD235B"/>
    <w:rsid w:val="00CD2716"/>
    <w:rsid w:val="00CD2788"/>
    <w:rsid w:val="00CD27E6"/>
    <w:rsid w:val="00CD2805"/>
    <w:rsid w:val="00CD2834"/>
    <w:rsid w:val="00CD2A1F"/>
    <w:rsid w:val="00CD2AC7"/>
    <w:rsid w:val="00CD2AE6"/>
    <w:rsid w:val="00CD2B4B"/>
    <w:rsid w:val="00CD2D9E"/>
    <w:rsid w:val="00CD2EBB"/>
    <w:rsid w:val="00CD30B9"/>
    <w:rsid w:val="00CD316A"/>
    <w:rsid w:val="00CD34CB"/>
    <w:rsid w:val="00CD34EF"/>
    <w:rsid w:val="00CD3949"/>
    <w:rsid w:val="00CD3AE2"/>
    <w:rsid w:val="00CD3B56"/>
    <w:rsid w:val="00CD3C8A"/>
    <w:rsid w:val="00CD3CA6"/>
    <w:rsid w:val="00CD3ED0"/>
    <w:rsid w:val="00CD3F8A"/>
    <w:rsid w:val="00CD4028"/>
    <w:rsid w:val="00CD427B"/>
    <w:rsid w:val="00CD43B2"/>
    <w:rsid w:val="00CD44B7"/>
    <w:rsid w:val="00CD476A"/>
    <w:rsid w:val="00CD4986"/>
    <w:rsid w:val="00CD498B"/>
    <w:rsid w:val="00CD4C4D"/>
    <w:rsid w:val="00CD4C92"/>
    <w:rsid w:val="00CD4DA0"/>
    <w:rsid w:val="00CD4E4A"/>
    <w:rsid w:val="00CD52F0"/>
    <w:rsid w:val="00CD56D7"/>
    <w:rsid w:val="00CD590B"/>
    <w:rsid w:val="00CD5974"/>
    <w:rsid w:val="00CD5ADB"/>
    <w:rsid w:val="00CD5BF2"/>
    <w:rsid w:val="00CD5D34"/>
    <w:rsid w:val="00CD5D46"/>
    <w:rsid w:val="00CD5F8E"/>
    <w:rsid w:val="00CD6004"/>
    <w:rsid w:val="00CD60D3"/>
    <w:rsid w:val="00CD6265"/>
    <w:rsid w:val="00CD632F"/>
    <w:rsid w:val="00CD657F"/>
    <w:rsid w:val="00CD66B4"/>
    <w:rsid w:val="00CD6752"/>
    <w:rsid w:val="00CD684B"/>
    <w:rsid w:val="00CD6AFC"/>
    <w:rsid w:val="00CD6CA2"/>
    <w:rsid w:val="00CD6ECC"/>
    <w:rsid w:val="00CD7420"/>
    <w:rsid w:val="00CD772D"/>
    <w:rsid w:val="00CD7833"/>
    <w:rsid w:val="00CD7A21"/>
    <w:rsid w:val="00CD7DCA"/>
    <w:rsid w:val="00CD7E3A"/>
    <w:rsid w:val="00CD7E84"/>
    <w:rsid w:val="00CD7E8B"/>
    <w:rsid w:val="00CE0052"/>
    <w:rsid w:val="00CE03E4"/>
    <w:rsid w:val="00CE0597"/>
    <w:rsid w:val="00CE06C0"/>
    <w:rsid w:val="00CE07E7"/>
    <w:rsid w:val="00CE08CF"/>
    <w:rsid w:val="00CE090D"/>
    <w:rsid w:val="00CE0A8F"/>
    <w:rsid w:val="00CE0FA0"/>
    <w:rsid w:val="00CE114E"/>
    <w:rsid w:val="00CE1150"/>
    <w:rsid w:val="00CE1254"/>
    <w:rsid w:val="00CE1B11"/>
    <w:rsid w:val="00CE1BE0"/>
    <w:rsid w:val="00CE1BF7"/>
    <w:rsid w:val="00CE1D5A"/>
    <w:rsid w:val="00CE2081"/>
    <w:rsid w:val="00CE2567"/>
    <w:rsid w:val="00CE259A"/>
    <w:rsid w:val="00CE25E1"/>
    <w:rsid w:val="00CE26D1"/>
    <w:rsid w:val="00CE2A4F"/>
    <w:rsid w:val="00CE2B48"/>
    <w:rsid w:val="00CE2DDA"/>
    <w:rsid w:val="00CE2E11"/>
    <w:rsid w:val="00CE3083"/>
    <w:rsid w:val="00CE3123"/>
    <w:rsid w:val="00CE3198"/>
    <w:rsid w:val="00CE32F2"/>
    <w:rsid w:val="00CE357A"/>
    <w:rsid w:val="00CE3614"/>
    <w:rsid w:val="00CE3934"/>
    <w:rsid w:val="00CE3A36"/>
    <w:rsid w:val="00CE3A46"/>
    <w:rsid w:val="00CE3B41"/>
    <w:rsid w:val="00CE3BC2"/>
    <w:rsid w:val="00CE3CD2"/>
    <w:rsid w:val="00CE3DF1"/>
    <w:rsid w:val="00CE4117"/>
    <w:rsid w:val="00CE4589"/>
    <w:rsid w:val="00CE4790"/>
    <w:rsid w:val="00CE4D22"/>
    <w:rsid w:val="00CE4DF8"/>
    <w:rsid w:val="00CE4E1D"/>
    <w:rsid w:val="00CE4EC3"/>
    <w:rsid w:val="00CE54A3"/>
    <w:rsid w:val="00CE54FB"/>
    <w:rsid w:val="00CE552A"/>
    <w:rsid w:val="00CE5AF3"/>
    <w:rsid w:val="00CE5B67"/>
    <w:rsid w:val="00CE5E74"/>
    <w:rsid w:val="00CE5F4E"/>
    <w:rsid w:val="00CE5FD1"/>
    <w:rsid w:val="00CE63C0"/>
    <w:rsid w:val="00CE68AE"/>
    <w:rsid w:val="00CE68B5"/>
    <w:rsid w:val="00CE6A79"/>
    <w:rsid w:val="00CE6BB3"/>
    <w:rsid w:val="00CE6BBC"/>
    <w:rsid w:val="00CE7033"/>
    <w:rsid w:val="00CE70EB"/>
    <w:rsid w:val="00CE72F6"/>
    <w:rsid w:val="00CE74FB"/>
    <w:rsid w:val="00CE7525"/>
    <w:rsid w:val="00CE7851"/>
    <w:rsid w:val="00CE7902"/>
    <w:rsid w:val="00CE7BDE"/>
    <w:rsid w:val="00CE7C42"/>
    <w:rsid w:val="00CF0063"/>
    <w:rsid w:val="00CF02C0"/>
    <w:rsid w:val="00CF0320"/>
    <w:rsid w:val="00CF0494"/>
    <w:rsid w:val="00CF0816"/>
    <w:rsid w:val="00CF0AA0"/>
    <w:rsid w:val="00CF0B44"/>
    <w:rsid w:val="00CF0E37"/>
    <w:rsid w:val="00CF12FC"/>
    <w:rsid w:val="00CF146E"/>
    <w:rsid w:val="00CF1837"/>
    <w:rsid w:val="00CF1851"/>
    <w:rsid w:val="00CF1903"/>
    <w:rsid w:val="00CF19D1"/>
    <w:rsid w:val="00CF19F0"/>
    <w:rsid w:val="00CF1A35"/>
    <w:rsid w:val="00CF1B80"/>
    <w:rsid w:val="00CF1D61"/>
    <w:rsid w:val="00CF1E8B"/>
    <w:rsid w:val="00CF1FFE"/>
    <w:rsid w:val="00CF2618"/>
    <w:rsid w:val="00CF26F9"/>
    <w:rsid w:val="00CF275C"/>
    <w:rsid w:val="00CF2781"/>
    <w:rsid w:val="00CF2861"/>
    <w:rsid w:val="00CF2BDF"/>
    <w:rsid w:val="00CF2C14"/>
    <w:rsid w:val="00CF2D8C"/>
    <w:rsid w:val="00CF2FA8"/>
    <w:rsid w:val="00CF3301"/>
    <w:rsid w:val="00CF3386"/>
    <w:rsid w:val="00CF3464"/>
    <w:rsid w:val="00CF3565"/>
    <w:rsid w:val="00CF3764"/>
    <w:rsid w:val="00CF393B"/>
    <w:rsid w:val="00CF3C1A"/>
    <w:rsid w:val="00CF3E6B"/>
    <w:rsid w:val="00CF4151"/>
    <w:rsid w:val="00CF4210"/>
    <w:rsid w:val="00CF42F4"/>
    <w:rsid w:val="00CF4467"/>
    <w:rsid w:val="00CF45A6"/>
    <w:rsid w:val="00CF47E4"/>
    <w:rsid w:val="00CF4816"/>
    <w:rsid w:val="00CF4A93"/>
    <w:rsid w:val="00CF4B08"/>
    <w:rsid w:val="00CF4B94"/>
    <w:rsid w:val="00CF4C92"/>
    <w:rsid w:val="00CF506E"/>
    <w:rsid w:val="00CF52B0"/>
    <w:rsid w:val="00CF535D"/>
    <w:rsid w:val="00CF53B8"/>
    <w:rsid w:val="00CF563B"/>
    <w:rsid w:val="00CF56C7"/>
    <w:rsid w:val="00CF5A7D"/>
    <w:rsid w:val="00CF5DB8"/>
    <w:rsid w:val="00CF6299"/>
    <w:rsid w:val="00CF62CF"/>
    <w:rsid w:val="00CF640B"/>
    <w:rsid w:val="00CF6A47"/>
    <w:rsid w:val="00CF7036"/>
    <w:rsid w:val="00CF73AC"/>
    <w:rsid w:val="00CF760E"/>
    <w:rsid w:val="00CF7A78"/>
    <w:rsid w:val="00CF7D15"/>
    <w:rsid w:val="00CF7DE7"/>
    <w:rsid w:val="00CF7F8C"/>
    <w:rsid w:val="00CF7FAF"/>
    <w:rsid w:val="00D0017B"/>
    <w:rsid w:val="00D001E5"/>
    <w:rsid w:val="00D00278"/>
    <w:rsid w:val="00D0029E"/>
    <w:rsid w:val="00D0041F"/>
    <w:rsid w:val="00D00456"/>
    <w:rsid w:val="00D005FD"/>
    <w:rsid w:val="00D006D0"/>
    <w:rsid w:val="00D008F4"/>
    <w:rsid w:val="00D00BD3"/>
    <w:rsid w:val="00D00DCF"/>
    <w:rsid w:val="00D00EA9"/>
    <w:rsid w:val="00D00F9C"/>
    <w:rsid w:val="00D011B0"/>
    <w:rsid w:val="00D01716"/>
    <w:rsid w:val="00D01773"/>
    <w:rsid w:val="00D0177E"/>
    <w:rsid w:val="00D01A56"/>
    <w:rsid w:val="00D01ACD"/>
    <w:rsid w:val="00D01B42"/>
    <w:rsid w:val="00D01DED"/>
    <w:rsid w:val="00D01F3B"/>
    <w:rsid w:val="00D020E0"/>
    <w:rsid w:val="00D022A9"/>
    <w:rsid w:val="00D0238E"/>
    <w:rsid w:val="00D02432"/>
    <w:rsid w:val="00D027C0"/>
    <w:rsid w:val="00D029C0"/>
    <w:rsid w:val="00D029EF"/>
    <w:rsid w:val="00D02D7C"/>
    <w:rsid w:val="00D02D80"/>
    <w:rsid w:val="00D02E26"/>
    <w:rsid w:val="00D03598"/>
    <w:rsid w:val="00D03635"/>
    <w:rsid w:val="00D03649"/>
    <w:rsid w:val="00D0365B"/>
    <w:rsid w:val="00D03CED"/>
    <w:rsid w:val="00D03E2A"/>
    <w:rsid w:val="00D03E53"/>
    <w:rsid w:val="00D040B9"/>
    <w:rsid w:val="00D04291"/>
    <w:rsid w:val="00D04644"/>
    <w:rsid w:val="00D046DE"/>
    <w:rsid w:val="00D047A9"/>
    <w:rsid w:val="00D0486F"/>
    <w:rsid w:val="00D048E0"/>
    <w:rsid w:val="00D04A42"/>
    <w:rsid w:val="00D04B27"/>
    <w:rsid w:val="00D04C70"/>
    <w:rsid w:val="00D04CD7"/>
    <w:rsid w:val="00D04CE3"/>
    <w:rsid w:val="00D04DFF"/>
    <w:rsid w:val="00D04E42"/>
    <w:rsid w:val="00D04E7B"/>
    <w:rsid w:val="00D054D1"/>
    <w:rsid w:val="00D05636"/>
    <w:rsid w:val="00D05702"/>
    <w:rsid w:val="00D05735"/>
    <w:rsid w:val="00D0585B"/>
    <w:rsid w:val="00D05885"/>
    <w:rsid w:val="00D05C8F"/>
    <w:rsid w:val="00D05D00"/>
    <w:rsid w:val="00D05D6F"/>
    <w:rsid w:val="00D061B6"/>
    <w:rsid w:val="00D0621D"/>
    <w:rsid w:val="00D062F2"/>
    <w:rsid w:val="00D06426"/>
    <w:rsid w:val="00D0653E"/>
    <w:rsid w:val="00D065E6"/>
    <w:rsid w:val="00D065E7"/>
    <w:rsid w:val="00D0674B"/>
    <w:rsid w:val="00D06A9C"/>
    <w:rsid w:val="00D06ABF"/>
    <w:rsid w:val="00D06E28"/>
    <w:rsid w:val="00D070AA"/>
    <w:rsid w:val="00D0727E"/>
    <w:rsid w:val="00D07383"/>
    <w:rsid w:val="00D07386"/>
    <w:rsid w:val="00D073E4"/>
    <w:rsid w:val="00D075FF"/>
    <w:rsid w:val="00D07B0D"/>
    <w:rsid w:val="00D07BBF"/>
    <w:rsid w:val="00D07CCE"/>
    <w:rsid w:val="00D07EF4"/>
    <w:rsid w:val="00D1008A"/>
    <w:rsid w:val="00D10095"/>
    <w:rsid w:val="00D10392"/>
    <w:rsid w:val="00D10698"/>
    <w:rsid w:val="00D1083A"/>
    <w:rsid w:val="00D1084B"/>
    <w:rsid w:val="00D1089F"/>
    <w:rsid w:val="00D1091F"/>
    <w:rsid w:val="00D10A8F"/>
    <w:rsid w:val="00D11287"/>
    <w:rsid w:val="00D113B0"/>
    <w:rsid w:val="00D11677"/>
    <w:rsid w:val="00D116AB"/>
    <w:rsid w:val="00D11CF4"/>
    <w:rsid w:val="00D11FBF"/>
    <w:rsid w:val="00D11FEC"/>
    <w:rsid w:val="00D120D4"/>
    <w:rsid w:val="00D125B3"/>
    <w:rsid w:val="00D1265F"/>
    <w:rsid w:val="00D12697"/>
    <w:rsid w:val="00D12B28"/>
    <w:rsid w:val="00D12C1D"/>
    <w:rsid w:val="00D12DFF"/>
    <w:rsid w:val="00D1318D"/>
    <w:rsid w:val="00D1366E"/>
    <w:rsid w:val="00D136BE"/>
    <w:rsid w:val="00D1389B"/>
    <w:rsid w:val="00D1398E"/>
    <w:rsid w:val="00D13A5C"/>
    <w:rsid w:val="00D13B1E"/>
    <w:rsid w:val="00D13B31"/>
    <w:rsid w:val="00D13B74"/>
    <w:rsid w:val="00D13BE7"/>
    <w:rsid w:val="00D13E74"/>
    <w:rsid w:val="00D14114"/>
    <w:rsid w:val="00D1426C"/>
    <w:rsid w:val="00D145EC"/>
    <w:rsid w:val="00D147B0"/>
    <w:rsid w:val="00D14C8F"/>
    <w:rsid w:val="00D14D7D"/>
    <w:rsid w:val="00D14F86"/>
    <w:rsid w:val="00D1502F"/>
    <w:rsid w:val="00D1531C"/>
    <w:rsid w:val="00D15422"/>
    <w:rsid w:val="00D15645"/>
    <w:rsid w:val="00D15867"/>
    <w:rsid w:val="00D15B1A"/>
    <w:rsid w:val="00D15C86"/>
    <w:rsid w:val="00D15D01"/>
    <w:rsid w:val="00D15DBD"/>
    <w:rsid w:val="00D15E1F"/>
    <w:rsid w:val="00D15EFF"/>
    <w:rsid w:val="00D16150"/>
    <w:rsid w:val="00D161C3"/>
    <w:rsid w:val="00D164B5"/>
    <w:rsid w:val="00D165DA"/>
    <w:rsid w:val="00D166B6"/>
    <w:rsid w:val="00D166C5"/>
    <w:rsid w:val="00D16AAD"/>
    <w:rsid w:val="00D16D96"/>
    <w:rsid w:val="00D16E1B"/>
    <w:rsid w:val="00D16FE5"/>
    <w:rsid w:val="00D16FF9"/>
    <w:rsid w:val="00D17098"/>
    <w:rsid w:val="00D1734D"/>
    <w:rsid w:val="00D175DA"/>
    <w:rsid w:val="00D17652"/>
    <w:rsid w:val="00D17750"/>
    <w:rsid w:val="00D17992"/>
    <w:rsid w:val="00D179F5"/>
    <w:rsid w:val="00D17BB3"/>
    <w:rsid w:val="00D17C6E"/>
    <w:rsid w:val="00D17C94"/>
    <w:rsid w:val="00D17E99"/>
    <w:rsid w:val="00D200B1"/>
    <w:rsid w:val="00D201A1"/>
    <w:rsid w:val="00D20346"/>
    <w:rsid w:val="00D20452"/>
    <w:rsid w:val="00D20992"/>
    <w:rsid w:val="00D20CD9"/>
    <w:rsid w:val="00D21106"/>
    <w:rsid w:val="00D21364"/>
    <w:rsid w:val="00D2136F"/>
    <w:rsid w:val="00D21C97"/>
    <w:rsid w:val="00D21CED"/>
    <w:rsid w:val="00D21D24"/>
    <w:rsid w:val="00D2217E"/>
    <w:rsid w:val="00D2219A"/>
    <w:rsid w:val="00D221E8"/>
    <w:rsid w:val="00D22271"/>
    <w:rsid w:val="00D223E3"/>
    <w:rsid w:val="00D223ED"/>
    <w:rsid w:val="00D22582"/>
    <w:rsid w:val="00D22996"/>
    <w:rsid w:val="00D22BFD"/>
    <w:rsid w:val="00D22C56"/>
    <w:rsid w:val="00D22CB0"/>
    <w:rsid w:val="00D22CF7"/>
    <w:rsid w:val="00D22D49"/>
    <w:rsid w:val="00D22E05"/>
    <w:rsid w:val="00D22FF8"/>
    <w:rsid w:val="00D23133"/>
    <w:rsid w:val="00D23246"/>
    <w:rsid w:val="00D23251"/>
    <w:rsid w:val="00D23577"/>
    <w:rsid w:val="00D236DE"/>
    <w:rsid w:val="00D23805"/>
    <w:rsid w:val="00D23824"/>
    <w:rsid w:val="00D23838"/>
    <w:rsid w:val="00D23893"/>
    <w:rsid w:val="00D239CF"/>
    <w:rsid w:val="00D239EC"/>
    <w:rsid w:val="00D23AD7"/>
    <w:rsid w:val="00D23D62"/>
    <w:rsid w:val="00D23F00"/>
    <w:rsid w:val="00D24215"/>
    <w:rsid w:val="00D242CE"/>
    <w:rsid w:val="00D243A5"/>
    <w:rsid w:val="00D24A79"/>
    <w:rsid w:val="00D24A93"/>
    <w:rsid w:val="00D24B27"/>
    <w:rsid w:val="00D24BF3"/>
    <w:rsid w:val="00D24D55"/>
    <w:rsid w:val="00D24DD7"/>
    <w:rsid w:val="00D24F58"/>
    <w:rsid w:val="00D25338"/>
    <w:rsid w:val="00D25464"/>
    <w:rsid w:val="00D254D2"/>
    <w:rsid w:val="00D2553D"/>
    <w:rsid w:val="00D2554F"/>
    <w:rsid w:val="00D2576D"/>
    <w:rsid w:val="00D25A00"/>
    <w:rsid w:val="00D25BB2"/>
    <w:rsid w:val="00D25BFE"/>
    <w:rsid w:val="00D25C30"/>
    <w:rsid w:val="00D25DA8"/>
    <w:rsid w:val="00D25DD5"/>
    <w:rsid w:val="00D2610F"/>
    <w:rsid w:val="00D262E1"/>
    <w:rsid w:val="00D264ED"/>
    <w:rsid w:val="00D26684"/>
    <w:rsid w:val="00D266FA"/>
    <w:rsid w:val="00D267ED"/>
    <w:rsid w:val="00D26979"/>
    <w:rsid w:val="00D26991"/>
    <w:rsid w:val="00D26A0E"/>
    <w:rsid w:val="00D26D5C"/>
    <w:rsid w:val="00D26E4B"/>
    <w:rsid w:val="00D26FA0"/>
    <w:rsid w:val="00D26FCD"/>
    <w:rsid w:val="00D27133"/>
    <w:rsid w:val="00D27240"/>
    <w:rsid w:val="00D273FC"/>
    <w:rsid w:val="00D2755E"/>
    <w:rsid w:val="00D276F3"/>
    <w:rsid w:val="00D2780F"/>
    <w:rsid w:val="00D27B27"/>
    <w:rsid w:val="00D27B31"/>
    <w:rsid w:val="00D27B5B"/>
    <w:rsid w:val="00D27B68"/>
    <w:rsid w:val="00D27CEC"/>
    <w:rsid w:val="00D27D79"/>
    <w:rsid w:val="00D27EF9"/>
    <w:rsid w:val="00D30091"/>
    <w:rsid w:val="00D30159"/>
    <w:rsid w:val="00D30275"/>
    <w:rsid w:val="00D30343"/>
    <w:rsid w:val="00D30557"/>
    <w:rsid w:val="00D30864"/>
    <w:rsid w:val="00D308BB"/>
    <w:rsid w:val="00D30A79"/>
    <w:rsid w:val="00D30AC2"/>
    <w:rsid w:val="00D30B67"/>
    <w:rsid w:val="00D30B98"/>
    <w:rsid w:val="00D30FAD"/>
    <w:rsid w:val="00D3101F"/>
    <w:rsid w:val="00D3112F"/>
    <w:rsid w:val="00D311EF"/>
    <w:rsid w:val="00D3164B"/>
    <w:rsid w:val="00D31962"/>
    <w:rsid w:val="00D31B6D"/>
    <w:rsid w:val="00D320A0"/>
    <w:rsid w:val="00D320AB"/>
    <w:rsid w:val="00D32100"/>
    <w:rsid w:val="00D3223E"/>
    <w:rsid w:val="00D3257D"/>
    <w:rsid w:val="00D32CAA"/>
    <w:rsid w:val="00D32DE7"/>
    <w:rsid w:val="00D32EC7"/>
    <w:rsid w:val="00D33634"/>
    <w:rsid w:val="00D33A12"/>
    <w:rsid w:val="00D33B9C"/>
    <w:rsid w:val="00D33C05"/>
    <w:rsid w:val="00D33CC7"/>
    <w:rsid w:val="00D33F59"/>
    <w:rsid w:val="00D3408C"/>
    <w:rsid w:val="00D341B4"/>
    <w:rsid w:val="00D343AD"/>
    <w:rsid w:val="00D344F3"/>
    <w:rsid w:val="00D34B4A"/>
    <w:rsid w:val="00D34D0E"/>
    <w:rsid w:val="00D34D71"/>
    <w:rsid w:val="00D3503A"/>
    <w:rsid w:val="00D350F7"/>
    <w:rsid w:val="00D35121"/>
    <w:rsid w:val="00D3519F"/>
    <w:rsid w:val="00D35437"/>
    <w:rsid w:val="00D357AD"/>
    <w:rsid w:val="00D35BC0"/>
    <w:rsid w:val="00D35D0B"/>
    <w:rsid w:val="00D361CE"/>
    <w:rsid w:val="00D36200"/>
    <w:rsid w:val="00D36323"/>
    <w:rsid w:val="00D364F8"/>
    <w:rsid w:val="00D36A12"/>
    <w:rsid w:val="00D36A59"/>
    <w:rsid w:val="00D36BED"/>
    <w:rsid w:val="00D36C1B"/>
    <w:rsid w:val="00D36D78"/>
    <w:rsid w:val="00D36FA0"/>
    <w:rsid w:val="00D372D0"/>
    <w:rsid w:val="00D37312"/>
    <w:rsid w:val="00D37406"/>
    <w:rsid w:val="00D3742C"/>
    <w:rsid w:val="00D37471"/>
    <w:rsid w:val="00D3753C"/>
    <w:rsid w:val="00D37564"/>
    <w:rsid w:val="00D37739"/>
    <w:rsid w:val="00D3781B"/>
    <w:rsid w:val="00D378E1"/>
    <w:rsid w:val="00D3796D"/>
    <w:rsid w:val="00D37A07"/>
    <w:rsid w:val="00D37A97"/>
    <w:rsid w:val="00D37B58"/>
    <w:rsid w:val="00D37B8F"/>
    <w:rsid w:val="00D37E0C"/>
    <w:rsid w:val="00D37F0B"/>
    <w:rsid w:val="00D4000E"/>
    <w:rsid w:val="00D40062"/>
    <w:rsid w:val="00D4017B"/>
    <w:rsid w:val="00D40608"/>
    <w:rsid w:val="00D4062D"/>
    <w:rsid w:val="00D407BF"/>
    <w:rsid w:val="00D4084F"/>
    <w:rsid w:val="00D40999"/>
    <w:rsid w:val="00D40A19"/>
    <w:rsid w:val="00D40A1F"/>
    <w:rsid w:val="00D40CB3"/>
    <w:rsid w:val="00D40F5F"/>
    <w:rsid w:val="00D41511"/>
    <w:rsid w:val="00D41526"/>
    <w:rsid w:val="00D417D0"/>
    <w:rsid w:val="00D419F9"/>
    <w:rsid w:val="00D41C7E"/>
    <w:rsid w:val="00D4223A"/>
    <w:rsid w:val="00D4286B"/>
    <w:rsid w:val="00D42932"/>
    <w:rsid w:val="00D42AD0"/>
    <w:rsid w:val="00D42D56"/>
    <w:rsid w:val="00D42D6F"/>
    <w:rsid w:val="00D42EA1"/>
    <w:rsid w:val="00D431FE"/>
    <w:rsid w:val="00D43226"/>
    <w:rsid w:val="00D432B5"/>
    <w:rsid w:val="00D43656"/>
    <w:rsid w:val="00D43690"/>
    <w:rsid w:val="00D439A2"/>
    <w:rsid w:val="00D43C7C"/>
    <w:rsid w:val="00D43E89"/>
    <w:rsid w:val="00D440A9"/>
    <w:rsid w:val="00D446B1"/>
    <w:rsid w:val="00D44747"/>
    <w:rsid w:val="00D448E0"/>
    <w:rsid w:val="00D449B4"/>
    <w:rsid w:val="00D44C8B"/>
    <w:rsid w:val="00D44D4B"/>
    <w:rsid w:val="00D44D77"/>
    <w:rsid w:val="00D44DA8"/>
    <w:rsid w:val="00D451D4"/>
    <w:rsid w:val="00D452BB"/>
    <w:rsid w:val="00D453ED"/>
    <w:rsid w:val="00D45428"/>
    <w:rsid w:val="00D45508"/>
    <w:rsid w:val="00D45573"/>
    <w:rsid w:val="00D455C4"/>
    <w:rsid w:val="00D45689"/>
    <w:rsid w:val="00D45999"/>
    <w:rsid w:val="00D45B6C"/>
    <w:rsid w:val="00D45C0B"/>
    <w:rsid w:val="00D45C96"/>
    <w:rsid w:val="00D45CD3"/>
    <w:rsid w:val="00D45D55"/>
    <w:rsid w:val="00D45F08"/>
    <w:rsid w:val="00D45FB1"/>
    <w:rsid w:val="00D4605D"/>
    <w:rsid w:val="00D46225"/>
    <w:rsid w:val="00D46335"/>
    <w:rsid w:val="00D4640B"/>
    <w:rsid w:val="00D46445"/>
    <w:rsid w:val="00D464CA"/>
    <w:rsid w:val="00D466A6"/>
    <w:rsid w:val="00D46777"/>
    <w:rsid w:val="00D467CF"/>
    <w:rsid w:val="00D46906"/>
    <w:rsid w:val="00D46967"/>
    <w:rsid w:val="00D469F8"/>
    <w:rsid w:val="00D46A7A"/>
    <w:rsid w:val="00D46FFA"/>
    <w:rsid w:val="00D4701C"/>
    <w:rsid w:val="00D470CF"/>
    <w:rsid w:val="00D47250"/>
    <w:rsid w:val="00D4732A"/>
    <w:rsid w:val="00D47379"/>
    <w:rsid w:val="00D473E7"/>
    <w:rsid w:val="00D4757F"/>
    <w:rsid w:val="00D475A0"/>
    <w:rsid w:val="00D479BC"/>
    <w:rsid w:val="00D47C80"/>
    <w:rsid w:val="00D47F5F"/>
    <w:rsid w:val="00D500CC"/>
    <w:rsid w:val="00D505B4"/>
    <w:rsid w:val="00D50758"/>
    <w:rsid w:val="00D5079A"/>
    <w:rsid w:val="00D50885"/>
    <w:rsid w:val="00D50A9D"/>
    <w:rsid w:val="00D50C9E"/>
    <w:rsid w:val="00D50D26"/>
    <w:rsid w:val="00D51174"/>
    <w:rsid w:val="00D5138A"/>
    <w:rsid w:val="00D51412"/>
    <w:rsid w:val="00D515B0"/>
    <w:rsid w:val="00D516A3"/>
    <w:rsid w:val="00D51721"/>
    <w:rsid w:val="00D517D9"/>
    <w:rsid w:val="00D51A03"/>
    <w:rsid w:val="00D51CBB"/>
    <w:rsid w:val="00D51DC2"/>
    <w:rsid w:val="00D520BC"/>
    <w:rsid w:val="00D520FF"/>
    <w:rsid w:val="00D5219A"/>
    <w:rsid w:val="00D52251"/>
    <w:rsid w:val="00D522AF"/>
    <w:rsid w:val="00D5259F"/>
    <w:rsid w:val="00D528F3"/>
    <w:rsid w:val="00D5291C"/>
    <w:rsid w:val="00D52B7D"/>
    <w:rsid w:val="00D5304F"/>
    <w:rsid w:val="00D53121"/>
    <w:rsid w:val="00D53419"/>
    <w:rsid w:val="00D53749"/>
    <w:rsid w:val="00D53869"/>
    <w:rsid w:val="00D53A1D"/>
    <w:rsid w:val="00D53A33"/>
    <w:rsid w:val="00D5404B"/>
    <w:rsid w:val="00D54197"/>
    <w:rsid w:val="00D542A0"/>
    <w:rsid w:val="00D54378"/>
    <w:rsid w:val="00D54389"/>
    <w:rsid w:val="00D54441"/>
    <w:rsid w:val="00D548BA"/>
    <w:rsid w:val="00D54AD7"/>
    <w:rsid w:val="00D54BBD"/>
    <w:rsid w:val="00D54C27"/>
    <w:rsid w:val="00D54C8F"/>
    <w:rsid w:val="00D54CD2"/>
    <w:rsid w:val="00D54EFC"/>
    <w:rsid w:val="00D55024"/>
    <w:rsid w:val="00D55184"/>
    <w:rsid w:val="00D555AB"/>
    <w:rsid w:val="00D555DB"/>
    <w:rsid w:val="00D55662"/>
    <w:rsid w:val="00D558D6"/>
    <w:rsid w:val="00D559A8"/>
    <w:rsid w:val="00D55A02"/>
    <w:rsid w:val="00D55B6F"/>
    <w:rsid w:val="00D55CBB"/>
    <w:rsid w:val="00D55D16"/>
    <w:rsid w:val="00D5625D"/>
    <w:rsid w:val="00D5626E"/>
    <w:rsid w:val="00D5663F"/>
    <w:rsid w:val="00D5669D"/>
    <w:rsid w:val="00D5674D"/>
    <w:rsid w:val="00D5692C"/>
    <w:rsid w:val="00D5694E"/>
    <w:rsid w:val="00D56DD2"/>
    <w:rsid w:val="00D56E15"/>
    <w:rsid w:val="00D56F02"/>
    <w:rsid w:val="00D5704D"/>
    <w:rsid w:val="00D5705D"/>
    <w:rsid w:val="00D571F3"/>
    <w:rsid w:val="00D574F0"/>
    <w:rsid w:val="00D57565"/>
    <w:rsid w:val="00D57A27"/>
    <w:rsid w:val="00D57C51"/>
    <w:rsid w:val="00D57D3C"/>
    <w:rsid w:val="00D57FD1"/>
    <w:rsid w:val="00D57FE8"/>
    <w:rsid w:val="00D601FA"/>
    <w:rsid w:val="00D602DA"/>
    <w:rsid w:val="00D604C1"/>
    <w:rsid w:val="00D604F0"/>
    <w:rsid w:val="00D607F6"/>
    <w:rsid w:val="00D608BA"/>
    <w:rsid w:val="00D60AD3"/>
    <w:rsid w:val="00D60C50"/>
    <w:rsid w:val="00D60C83"/>
    <w:rsid w:val="00D60C8D"/>
    <w:rsid w:val="00D60CE6"/>
    <w:rsid w:val="00D60FBC"/>
    <w:rsid w:val="00D61044"/>
    <w:rsid w:val="00D610AF"/>
    <w:rsid w:val="00D611C9"/>
    <w:rsid w:val="00D612BC"/>
    <w:rsid w:val="00D61497"/>
    <w:rsid w:val="00D6157D"/>
    <w:rsid w:val="00D6159C"/>
    <w:rsid w:val="00D61B47"/>
    <w:rsid w:val="00D61B77"/>
    <w:rsid w:val="00D61BD8"/>
    <w:rsid w:val="00D61CE9"/>
    <w:rsid w:val="00D61F35"/>
    <w:rsid w:val="00D6218A"/>
    <w:rsid w:val="00D623A5"/>
    <w:rsid w:val="00D62432"/>
    <w:rsid w:val="00D62489"/>
    <w:rsid w:val="00D62A11"/>
    <w:rsid w:val="00D62E6C"/>
    <w:rsid w:val="00D62F7A"/>
    <w:rsid w:val="00D63311"/>
    <w:rsid w:val="00D634AD"/>
    <w:rsid w:val="00D634C0"/>
    <w:rsid w:val="00D63587"/>
    <w:rsid w:val="00D6363A"/>
    <w:rsid w:val="00D6379F"/>
    <w:rsid w:val="00D637E6"/>
    <w:rsid w:val="00D63916"/>
    <w:rsid w:val="00D63A5C"/>
    <w:rsid w:val="00D63E16"/>
    <w:rsid w:val="00D63E2A"/>
    <w:rsid w:val="00D63F4F"/>
    <w:rsid w:val="00D63FAD"/>
    <w:rsid w:val="00D64173"/>
    <w:rsid w:val="00D644BE"/>
    <w:rsid w:val="00D646B8"/>
    <w:rsid w:val="00D646CA"/>
    <w:rsid w:val="00D64939"/>
    <w:rsid w:val="00D64BD3"/>
    <w:rsid w:val="00D64CD5"/>
    <w:rsid w:val="00D64E1B"/>
    <w:rsid w:val="00D6528E"/>
    <w:rsid w:val="00D6540F"/>
    <w:rsid w:val="00D656AA"/>
    <w:rsid w:val="00D6576C"/>
    <w:rsid w:val="00D65787"/>
    <w:rsid w:val="00D659CA"/>
    <w:rsid w:val="00D65A27"/>
    <w:rsid w:val="00D65C87"/>
    <w:rsid w:val="00D65E3E"/>
    <w:rsid w:val="00D65F1E"/>
    <w:rsid w:val="00D660F6"/>
    <w:rsid w:val="00D66174"/>
    <w:rsid w:val="00D6618A"/>
    <w:rsid w:val="00D66252"/>
    <w:rsid w:val="00D66266"/>
    <w:rsid w:val="00D662A1"/>
    <w:rsid w:val="00D6652C"/>
    <w:rsid w:val="00D6662F"/>
    <w:rsid w:val="00D66683"/>
    <w:rsid w:val="00D66733"/>
    <w:rsid w:val="00D668F8"/>
    <w:rsid w:val="00D66947"/>
    <w:rsid w:val="00D66AAB"/>
    <w:rsid w:val="00D66E21"/>
    <w:rsid w:val="00D66FF1"/>
    <w:rsid w:val="00D6709B"/>
    <w:rsid w:val="00D672A7"/>
    <w:rsid w:val="00D67785"/>
    <w:rsid w:val="00D679FE"/>
    <w:rsid w:val="00D67A7A"/>
    <w:rsid w:val="00D67B2E"/>
    <w:rsid w:val="00D67B5C"/>
    <w:rsid w:val="00D67E61"/>
    <w:rsid w:val="00D67E82"/>
    <w:rsid w:val="00D67ED7"/>
    <w:rsid w:val="00D67FC7"/>
    <w:rsid w:val="00D703F1"/>
    <w:rsid w:val="00D70487"/>
    <w:rsid w:val="00D70632"/>
    <w:rsid w:val="00D7089F"/>
    <w:rsid w:val="00D70C8C"/>
    <w:rsid w:val="00D70D03"/>
    <w:rsid w:val="00D70D1E"/>
    <w:rsid w:val="00D70D78"/>
    <w:rsid w:val="00D70DE1"/>
    <w:rsid w:val="00D71042"/>
    <w:rsid w:val="00D710C1"/>
    <w:rsid w:val="00D71401"/>
    <w:rsid w:val="00D71745"/>
    <w:rsid w:val="00D717CE"/>
    <w:rsid w:val="00D7185F"/>
    <w:rsid w:val="00D71D24"/>
    <w:rsid w:val="00D71E03"/>
    <w:rsid w:val="00D71E36"/>
    <w:rsid w:val="00D71FCF"/>
    <w:rsid w:val="00D721F7"/>
    <w:rsid w:val="00D724CB"/>
    <w:rsid w:val="00D725DE"/>
    <w:rsid w:val="00D72829"/>
    <w:rsid w:val="00D728E9"/>
    <w:rsid w:val="00D729DE"/>
    <w:rsid w:val="00D72E8B"/>
    <w:rsid w:val="00D72F97"/>
    <w:rsid w:val="00D7318C"/>
    <w:rsid w:val="00D731E3"/>
    <w:rsid w:val="00D7321D"/>
    <w:rsid w:val="00D732A0"/>
    <w:rsid w:val="00D734A4"/>
    <w:rsid w:val="00D734D6"/>
    <w:rsid w:val="00D734E2"/>
    <w:rsid w:val="00D735CA"/>
    <w:rsid w:val="00D736BA"/>
    <w:rsid w:val="00D738DE"/>
    <w:rsid w:val="00D739F2"/>
    <w:rsid w:val="00D73AA3"/>
    <w:rsid w:val="00D73AAC"/>
    <w:rsid w:val="00D73C48"/>
    <w:rsid w:val="00D73F55"/>
    <w:rsid w:val="00D746F8"/>
    <w:rsid w:val="00D74D12"/>
    <w:rsid w:val="00D74E02"/>
    <w:rsid w:val="00D74E9C"/>
    <w:rsid w:val="00D74FE4"/>
    <w:rsid w:val="00D7510B"/>
    <w:rsid w:val="00D751FE"/>
    <w:rsid w:val="00D753AD"/>
    <w:rsid w:val="00D753D6"/>
    <w:rsid w:val="00D75488"/>
    <w:rsid w:val="00D756E3"/>
    <w:rsid w:val="00D757E4"/>
    <w:rsid w:val="00D75ACC"/>
    <w:rsid w:val="00D75C61"/>
    <w:rsid w:val="00D75DF0"/>
    <w:rsid w:val="00D75F17"/>
    <w:rsid w:val="00D760D6"/>
    <w:rsid w:val="00D76344"/>
    <w:rsid w:val="00D764B0"/>
    <w:rsid w:val="00D769D8"/>
    <w:rsid w:val="00D76B2C"/>
    <w:rsid w:val="00D76C16"/>
    <w:rsid w:val="00D76D57"/>
    <w:rsid w:val="00D76EE6"/>
    <w:rsid w:val="00D76F46"/>
    <w:rsid w:val="00D76FB3"/>
    <w:rsid w:val="00D76FF9"/>
    <w:rsid w:val="00D77193"/>
    <w:rsid w:val="00D7719E"/>
    <w:rsid w:val="00D77260"/>
    <w:rsid w:val="00D77523"/>
    <w:rsid w:val="00D776F0"/>
    <w:rsid w:val="00D77793"/>
    <w:rsid w:val="00D777ED"/>
    <w:rsid w:val="00D77901"/>
    <w:rsid w:val="00D7792C"/>
    <w:rsid w:val="00D779FF"/>
    <w:rsid w:val="00D77CF7"/>
    <w:rsid w:val="00D77F94"/>
    <w:rsid w:val="00D800D8"/>
    <w:rsid w:val="00D80144"/>
    <w:rsid w:val="00D801B5"/>
    <w:rsid w:val="00D80260"/>
    <w:rsid w:val="00D802CA"/>
    <w:rsid w:val="00D80361"/>
    <w:rsid w:val="00D804B3"/>
    <w:rsid w:val="00D804F6"/>
    <w:rsid w:val="00D806D8"/>
    <w:rsid w:val="00D809C7"/>
    <w:rsid w:val="00D80AD5"/>
    <w:rsid w:val="00D80B7A"/>
    <w:rsid w:val="00D80C03"/>
    <w:rsid w:val="00D80CA4"/>
    <w:rsid w:val="00D80CD7"/>
    <w:rsid w:val="00D80D2C"/>
    <w:rsid w:val="00D80FBD"/>
    <w:rsid w:val="00D811C5"/>
    <w:rsid w:val="00D814D5"/>
    <w:rsid w:val="00D81591"/>
    <w:rsid w:val="00D815A3"/>
    <w:rsid w:val="00D815A5"/>
    <w:rsid w:val="00D81633"/>
    <w:rsid w:val="00D816A7"/>
    <w:rsid w:val="00D81C6B"/>
    <w:rsid w:val="00D81D9D"/>
    <w:rsid w:val="00D81F05"/>
    <w:rsid w:val="00D81F29"/>
    <w:rsid w:val="00D82514"/>
    <w:rsid w:val="00D82592"/>
    <w:rsid w:val="00D82793"/>
    <w:rsid w:val="00D82D07"/>
    <w:rsid w:val="00D82D0F"/>
    <w:rsid w:val="00D82DFA"/>
    <w:rsid w:val="00D82F38"/>
    <w:rsid w:val="00D82FC4"/>
    <w:rsid w:val="00D82FE0"/>
    <w:rsid w:val="00D83090"/>
    <w:rsid w:val="00D83174"/>
    <w:rsid w:val="00D83314"/>
    <w:rsid w:val="00D833B9"/>
    <w:rsid w:val="00D83550"/>
    <w:rsid w:val="00D83763"/>
    <w:rsid w:val="00D839A0"/>
    <w:rsid w:val="00D83D1D"/>
    <w:rsid w:val="00D83E48"/>
    <w:rsid w:val="00D83FF0"/>
    <w:rsid w:val="00D842C8"/>
    <w:rsid w:val="00D843DA"/>
    <w:rsid w:val="00D8451A"/>
    <w:rsid w:val="00D84599"/>
    <w:rsid w:val="00D84757"/>
    <w:rsid w:val="00D8490B"/>
    <w:rsid w:val="00D84975"/>
    <w:rsid w:val="00D84B2F"/>
    <w:rsid w:val="00D84B89"/>
    <w:rsid w:val="00D850CE"/>
    <w:rsid w:val="00D85222"/>
    <w:rsid w:val="00D85280"/>
    <w:rsid w:val="00D8578E"/>
    <w:rsid w:val="00D85D82"/>
    <w:rsid w:val="00D85F88"/>
    <w:rsid w:val="00D85FD6"/>
    <w:rsid w:val="00D86335"/>
    <w:rsid w:val="00D86339"/>
    <w:rsid w:val="00D86391"/>
    <w:rsid w:val="00D86559"/>
    <w:rsid w:val="00D869C9"/>
    <w:rsid w:val="00D86A12"/>
    <w:rsid w:val="00D86E63"/>
    <w:rsid w:val="00D86F12"/>
    <w:rsid w:val="00D86F96"/>
    <w:rsid w:val="00D8727F"/>
    <w:rsid w:val="00D873AC"/>
    <w:rsid w:val="00D87414"/>
    <w:rsid w:val="00D874AF"/>
    <w:rsid w:val="00D874EE"/>
    <w:rsid w:val="00D8751F"/>
    <w:rsid w:val="00D87646"/>
    <w:rsid w:val="00D87672"/>
    <w:rsid w:val="00D8768A"/>
    <w:rsid w:val="00D87778"/>
    <w:rsid w:val="00D87795"/>
    <w:rsid w:val="00D878F3"/>
    <w:rsid w:val="00D8793A"/>
    <w:rsid w:val="00D87FAE"/>
    <w:rsid w:val="00D900E7"/>
    <w:rsid w:val="00D9017B"/>
    <w:rsid w:val="00D90454"/>
    <w:rsid w:val="00D9047D"/>
    <w:rsid w:val="00D9066C"/>
    <w:rsid w:val="00D90735"/>
    <w:rsid w:val="00D9096A"/>
    <w:rsid w:val="00D91312"/>
    <w:rsid w:val="00D91371"/>
    <w:rsid w:val="00D917F7"/>
    <w:rsid w:val="00D918B8"/>
    <w:rsid w:val="00D918DE"/>
    <w:rsid w:val="00D9198B"/>
    <w:rsid w:val="00D91FBC"/>
    <w:rsid w:val="00D922FC"/>
    <w:rsid w:val="00D927EA"/>
    <w:rsid w:val="00D92828"/>
    <w:rsid w:val="00D92842"/>
    <w:rsid w:val="00D928CF"/>
    <w:rsid w:val="00D92A1E"/>
    <w:rsid w:val="00D92ABC"/>
    <w:rsid w:val="00D92C1A"/>
    <w:rsid w:val="00D92DAD"/>
    <w:rsid w:val="00D92DE6"/>
    <w:rsid w:val="00D92EE3"/>
    <w:rsid w:val="00D92F0C"/>
    <w:rsid w:val="00D92FA6"/>
    <w:rsid w:val="00D93375"/>
    <w:rsid w:val="00D933AD"/>
    <w:rsid w:val="00D93827"/>
    <w:rsid w:val="00D938F5"/>
    <w:rsid w:val="00D93A12"/>
    <w:rsid w:val="00D93C8E"/>
    <w:rsid w:val="00D93CB6"/>
    <w:rsid w:val="00D93CED"/>
    <w:rsid w:val="00D93CF4"/>
    <w:rsid w:val="00D940B1"/>
    <w:rsid w:val="00D941CC"/>
    <w:rsid w:val="00D946D6"/>
    <w:rsid w:val="00D94803"/>
    <w:rsid w:val="00D95207"/>
    <w:rsid w:val="00D9536C"/>
    <w:rsid w:val="00D95597"/>
    <w:rsid w:val="00D956B8"/>
    <w:rsid w:val="00D957E3"/>
    <w:rsid w:val="00D95996"/>
    <w:rsid w:val="00D95C68"/>
    <w:rsid w:val="00D95EB3"/>
    <w:rsid w:val="00D9603E"/>
    <w:rsid w:val="00D961AD"/>
    <w:rsid w:val="00D96396"/>
    <w:rsid w:val="00D96467"/>
    <w:rsid w:val="00D965BE"/>
    <w:rsid w:val="00D96746"/>
    <w:rsid w:val="00D96920"/>
    <w:rsid w:val="00D96BC2"/>
    <w:rsid w:val="00D96EDC"/>
    <w:rsid w:val="00D9717E"/>
    <w:rsid w:val="00D971E8"/>
    <w:rsid w:val="00D97331"/>
    <w:rsid w:val="00D97B15"/>
    <w:rsid w:val="00D97B7B"/>
    <w:rsid w:val="00D97C87"/>
    <w:rsid w:val="00D97CDF"/>
    <w:rsid w:val="00D97DA0"/>
    <w:rsid w:val="00DA0031"/>
    <w:rsid w:val="00DA05BD"/>
    <w:rsid w:val="00DA0621"/>
    <w:rsid w:val="00DA0677"/>
    <w:rsid w:val="00DA075E"/>
    <w:rsid w:val="00DA0930"/>
    <w:rsid w:val="00DA0A98"/>
    <w:rsid w:val="00DA0B4E"/>
    <w:rsid w:val="00DA0B74"/>
    <w:rsid w:val="00DA0CBE"/>
    <w:rsid w:val="00DA0CD6"/>
    <w:rsid w:val="00DA0F5B"/>
    <w:rsid w:val="00DA0FFE"/>
    <w:rsid w:val="00DA1042"/>
    <w:rsid w:val="00DA11AC"/>
    <w:rsid w:val="00DA11BF"/>
    <w:rsid w:val="00DA1200"/>
    <w:rsid w:val="00DA1261"/>
    <w:rsid w:val="00DA14A6"/>
    <w:rsid w:val="00DA14BA"/>
    <w:rsid w:val="00DA167D"/>
    <w:rsid w:val="00DA1CA0"/>
    <w:rsid w:val="00DA1CD6"/>
    <w:rsid w:val="00DA2147"/>
    <w:rsid w:val="00DA23F0"/>
    <w:rsid w:val="00DA23F9"/>
    <w:rsid w:val="00DA26EC"/>
    <w:rsid w:val="00DA278F"/>
    <w:rsid w:val="00DA27AB"/>
    <w:rsid w:val="00DA28FA"/>
    <w:rsid w:val="00DA2C6C"/>
    <w:rsid w:val="00DA2CAA"/>
    <w:rsid w:val="00DA2E24"/>
    <w:rsid w:val="00DA3197"/>
    <w:rsid w:val="00DA3266"/>
    <w:rsid w:val="00DA32EC"/>
    <w:rsid w:val="00DA353D"/>
    <w:rsid w:val="00DA35A2"/>
    <w:rsid w:val="00DA35FE"/>
    <w:rsid w:val="00DA3642"/>
    <w:rsid w:val="00DA370A"/>
    <w:rsid w:val="00DA39A0"/>
    <w:rsid w:val="00DA39D3"/>
    <w:rsid w:val="00DA39D4"/>
    <w:rsid w:val="00DA3A4B"/>
    <w:rsid w:val="00DA3B22"/>
    <w:rsid w:val="00DA408D"/>
    <w:rsid w:val="00DA40F8"/>
    <w:rsid w:val="00DA4271"/>
    <w:rsid w:val="00DA4339"/>
    <w:rsid w:val="00DA4352"/>
    <w:rsid w:val="00DA4368"/>
    <w:rsid w:val="00DA4482"/>
    <w:rsid w:val="00DA457D"/>
    <w:rsid w:val="00DA458D"/>
    <w:rsid w:val="00DA4667"/>
    <w:rsid w:val="00DA469A"/>
    <w:rsid w:val="00DA486A"/>
    <w:rsid w:val="00DA4950"/>
    <w:rsid w:val="00DA49B4"/>
    <w:rsid w:val="00DA49EB"/>
    <w:rsid w:val="00DA4AE0"/>
    <w:rsid w:val="00DA4CDD"/>
    <w:rsid w:val="00DA4E93"/>
    <w:rsid w:val="00DA4FB2"/>
    <w:rsid w:val="00DA5217"/>
    <w:rsid w:val="00DA5385"/>
    <w:rsid w:val="00DA5614"/>
    <w:rsid w:val="00DA5716"/>
    <w:rsid w:val="00DA597D"/>
    <w:rsid w:val="00DA6099"/>
    <w:rsid w:val="00DA6135"/>
    <w:rsid w:val="00DA637A"/>
    <w:rsid w:val="00DA63BC"/>
    <w:rsid w:val="00DA64BD"/>
    <w:rsid w:val="00DA6579"/>
    <w:rsid w:val="00DA659B"/>
    <w:rsid w:val="00DA66A8"/>
    <w:rsid w:val="00DA6730"/>
    <w:rsid w:val="00DA6B97"/>
    <w:rsid w:val="00DA6C5A"/>
    <w:rsid w:val="00DA6DD1"/>
    <w:rsid w:val="00DA6FCD"/>
    <w:rsid w:val="00DA7175"/>
    <w:rsid w:val="00DA75BF"/>
    <w:rsid w:val="00DA77AB"/>
    <w:rsid w:val="00DA782E"/>
    <w:rsid w:val="00DA786C"/>
    <w:rsid w:val="00DA7A00"/>
    <w:rsid w:val="00DA7CD3"/>
    <w:rsid w:val="00DA7D2D"/>
    <w:rsid w:val="00DA7F46"/>
    <w:rsid w:val="00DA7FDF"/>
    <w:rsid w:val="00DB0246"/>
    <w:rsid w:val="00DB043F"/>
    <w:rsid w:val="00DB0440"/>
    <w:rsid w:val="00DB0494"/>
    <w:rsid w:val="00DB05CF"/>
    <w:rsid w:val="00DB0758"/>
    <w:rsid w:val="00DB07DF"/>
    <w:rsid w:val="00DB089B"/>
    <w:rsid w:val="00DB09A1"/>
    <w:rsid w:val="00DB0C71"/>
    <w:rsid w:val="00DB0E7E"/>
    <w:rsid w:val="00DB1186"/>
    <w:rsid w:val="00DB1455"/>
    <w:rsid w:val="00DB16E9"/>
    <w:rsid w:val="00DB1731"/>
    <w:rsid w:val="00DB189E"/>
    <w:rsid w:val="00DB1B2B"/>
    <w:rsid w:val="00DB1F7A"/>
    <w:rsid w:val="00DB200C"/>
    <w:rsid w:val="00DB20E3"/>
    <w:rsid w:val="00DB2223"/>
    <w:rsid w:val="00DB229F"/>
    <w:rsid w:val="00DB2A4C"/>
    <w:rsid w:val="00DB2A93"/>
    <w:rsid w:val="00DB2DC6"/>
    <w:rsid w:val="00DB2EF8"/>
    <w:rsid w:val="00DB2F1F"/>
    <w:rsid w:val="00DB31A7"/>
    <w:rsid w:val="00DB31DA"/>
    <w:rsid w:val="00DB3762"/>
    <w:rsid w:val="00DB3AFE"/>
    <w:rsid w:val="00DB3B98"/>
    <w:rsid w:val="00DB3C3F"/>
    <w:rsid w:val="00DB3DBC"/>
    <w:rsid w:val="00DB3F09"/>
    <w:rsid w:val="00DB3FC2"/>
    <w:rsid w:val="00DB4099"/>
    <w:rsid w:val="00DB41A0"/>
    <w:rsid w:val="00DB4472"/>
    <w:rsid w:val="00DB4781"/>
    <w:rsid w:val="00DB4950"/>
    <w:rsid w:val="00DB4A72"/>
    <w:rsid w:val="00DB4AD6"/>
    <w:rsid w:val="00DB4AFA"/>
    <w:rsid w:val="00DB4D83"/>
    <w:rsid w:val="00DB4E87"/>
    <w:rsid w:val="00DB4EB4"/>
    <w:rsid w:val="00DB5024"/>
    <w:rsid w:val="00DB516B"/>
    <w:rsid w:val="00DB517B"/>
    <w:rsid w:val="00DB5313"/>
    <w:rsid w:val="00DB5383"/>
    <w:rsid w:val="00DB57AD"/>
    <w:rsid w:val="00DB5851"/>
    <w:rsid w:val="00DB58A9"/>
    <w:rsid w:val="00DB599B"/>
    <w:rsid w:val="00DB5BB5"/>
    <w:rsid w:val="00DB5C19"/>
    <w:rsid w:val="00DB5CBF"/>
    <w:rsid w:val="00DB5F99"/>
    <w:rsid w:val="00DB60B9"/>
    <w:rsid w:val="00DB646F"/>
    <w:rsid w:val="00DB65C3"/>
    <w:rsid w:val="00DB6688"/>
    <w:rsid w:val="00DB67D2"/>
    <w:rsid w:val="00DB6948"/>
    <w:rsid w:val="00DB69A4"/>
    <w:rsid w:val="00DB6A8B"/>
    <w:rsid w:val="00DB6B24"/>
    <w:rsid w:val="00DB6D74"/>
    <w:rsid w:val="00DB6E15"/>
    <w:rsid w:val="00DB6EEB"/>
    <w:rsid w:val="00DB73E5"/>
    <w:rsid w:val="00DB75AD"/>
    <w:rsid w:val="00DB75D0"/>
    <w:rsid w:val="00DB786B"/>
    <w:rsid w:val="00DB786F"/>
    <w:rsid w:val="00DB7898"/>
    <w:rsid w:val="00DB791D"/>
    <w:rsid w:val="00DB7954"/>
    <w:rsid w:val="00DB7A2D"/>
    <w:rsid w:val="00DB7AE1"/>
    <w:rsid w:val="00DB7DD8"/>
    <w:rsid w:val="00DB7F09"/>
    <w:rsid w:val="00DC04A4"/>
    <w:rsid w:val="00DC096C"/>
    <w:rsid w:val="00DC0A89"/>
    <w:rsid w:val="00DC0BE7"/>
    <w:rsid w:val="00DC0EB1"/>
    <w:rsid w:val="00DC0F6E"/>
    <w:rsid w:val="00DC0F72"/>
    <w:rsid w:val="00DC0FFA"/>
    <w:rsid w:val="00DC10C3"/>
    <w:rsid w:val="00DC11B8"/>
    <w:rsid w:val="00DC1214"/>
    <w:rsid w:val="00DC142B"/>
    <w:rsid w:val="00DC16C9"/>
    <w:rsid w:val="00DC180C"/>
    <w:rsid w:val="00DC199B"/>
    <w:rsid w:val="00DC1AA5"/>
    <w:rsid w:val="00DC1C91"/>
    <w:rsid w:val="00DC1CCD"/>
    <w:rsid w:val="00DC1FAE"/>
    <w:rsid w:val="00DC22E6"/>
    <w:rsid w:val="00DC2330"/>
    <w:rsid w:val="00DC243D"/>
    <w:rsid w:val="00DC2554"/>
    <w:rsid w:val="00DC2684"/>
    <w:rsid w:val="00DC28C4"/>
    <w:rsid w:val="00DC2D28"/>
    <w:rsid w:val="00DC2E16"/>
    <w:rsid w:val="00DC2E89"/>
    <w:rsid w:val="00DC2F8D"/>
    <w:rsid w:val="00DC3096"/>
    <w:rsid w:val="00DC3131"/>
    <w:rsid w:val="00DC3182"/>
    <w:rsid w:val="00DC32A1"/>
    <w:rsid w:val="00DC32C7"/>
    <w:rsid w:val="00DC34FE"/>
    <w:rsid w:val="00DC382D"/>
    <w:rsid w:val="00DC395C"/>
    <w:rsid w:val="00DC3970"/>
    <w:rsid w:val="00DC3C09"/>
    <w:rsid w:val="00DC3CCF"/>
    <w:rsid w:val="00DC3E96"/>
    <w:rsid w:val="00DC3F69"/>
    <w:rsid w:val="00DC4207"/>
    <w:rsid w:val="00DC468D"/>
    <w:rsid w:val="00DC470D"/>
    <w:rsid w:val="00DC476C"/>
    <w:rsid w:val="00DC4A52"/>
    <w:rsid w:val="00DC4B42"/>
    <w:rsid w:val="00DC4D48"/>
    <w:rsid w:val="00DC4F71"/>
    <w:rsid w:val="00DC4F83"/>
    <w:rsid w:val="00DC5204"/>
    <w:rsid w:val="00DC530C"/>
    <w:rsid w:val="00DC5340"/>
    <w:rsid w:val="00DC552B"/>
    <w:rsid w:val="00DC574C"/>
    <w:rsid w:val="00DC5CA2"/>
    <w:rsid w:val="00DC5E89"/>
    <w:rsid w:val="00DC5F18"/>
    <w:rsid w:val="00DC6171"/>
    <w:rsid w:val="00DC61C7"/>
    <w:rsid w:val="00DC6380"/>
    <w:rsid w:val="00DC638F"/>
    <w:rsid w:val="00DC63DC"/>
    <w:rsid w:val="00DC63FB"/>
    <w:rsid w:val="00DC6799"/>
    <w:rsid w:val="00DC6CE2"/>
    <w:rsid w:val="00DC70EE"/>
    <w:rsid w:val="00DC70FC"/>
    <w:rsid w:val="00DC72D0"/>
    <w:rsid w:val="00DC7380"/>
    <w:rsid w:val="00DC754E"/>
    <w:rsid w:val="00DC75BE"/>
    <w:rsid w:val="00DC7642"/>
    <w:rsid w:val="00DC7818"/>
    <w:rsid w:val="00DC786F"/>
    <w:rsid w:val="00DC788B"/>
    <w:rsid w:val="00DC79BA"/>
    <w:rsid w:val="00DC7A78"/>
    <w:rsid w:val="00DC7B8A"/>
    <w:rsid w:val="00DC7ECA"/>
    <w:rsid w:val="00DD0158"/>
    <w:rsid w:val="00DD01B2"/>
    <w:rsid w:val="00DD05D9"/>
    <w:rsid w:val="00DD07B0"/>
    <w:rsid w:val="00DD0A6F"/>
    <w:rsid w:val="00DD0AE1"/>
    <w:rsid w:val="00DD0B92"/>
    <w:rsid w:val="00DD0C6F"/>
    <w:rsid w:val="00DD0D4D"/>
    <w:rsid w:val="00DD0D97"/>
    <w:rsid w:val="00DD0DC1"/>
    <w:rsid w:val="00DD0F1F"/>
    <w:rsid w:val="00DD0FB6"/>
    <w:rsid w:val="00DD101F"/>
    <w:rsid w:val="00DD1119"/>
    <w:rsid w:val="00DD1511"/>
    <w:rsid w:val="00DD17C2"/>
    <w:rsid w:val="00DD18C8"/>
    <w:rsid w:val="00DD1916"/>
    <w:rsid w:val="00DD1B5C"/>
    <w:rsid w:val="00DD1E29"/>
    <w:rsid w:val="00DD1E69"/>
    <w:rsid w:val="00DD1F0E"/>
    <w:rsid w:val="00DD21E3"/>
    <w:rsid w:val="00DD2263"/>
    <w:rsid w:val="00DD23BC"/>
    <w:rsid w:val="00DD24AF"/>
    <w:rsid w:val="00DD271F"/>
    <w:rsid w:val="00DD29AF"/>
    <w:rsid w:val="00DD29C5"/>
    <w:rsid w:val="00DD2D08"/>
    <w:rsid w:val="00DD2D50"/>
    <w:rsid w:val="00DD2E4A"/>
    <w:rsid w:val="00DD2E5D"/>
    <w:rsid w:val="00DD310C"/>
    <w:rsid w:val="00DD3179"/>
    <w:rsid w:val="00DD31F0"/>
    <w:rsid w:val="00DD34F9"/>
    <w:rsid w:val="00DD3513"/>
    <w:rsid w:val="00DD3680"/>
    <w:rsid w:val="00DD3908"/>
    <w:rsid w:val="00DD3F48"/>
    <w:rsid w:val="00DD4319"/>
    <w:rsid w:val="00DD44B3"/>
    <w:rsid w:val="00DD474B"/>
    <w:rsid w:val="00DD48A2"/>
    <w:rsid w:val="00DD4A39"/>
    <w:rsid w:val="00DD4AA5"/>
    <w:rsid w:val="00DD4CD0"/>
    <w:rsid w:val="00DD4E24"/>
    <w:rsid w:val="00DD4E82"/>
    <w:rsid w:val="00DD4FCD"/>
    <w:rsid w:val="00DD50B1"/>
    <w:rsid w:val="00DD50BE"/>
    <w:rsid w:val="00DD51EA"/>
    <w:rsid w:val="00DD51FD"/>
    <w:rsid w:val="00DD54DE"/>
    <w:rsid w:val="00DD5621"/>
    <w:rsid w:val="00DD568E"/>
    <w:rsid w:val="00DD56C3"/>
    <w:rsid w:val="00DD5841"/>
    <w:rsid w:val="00DD5A7D"/>
    <w:rsid w:val="00DD5AA3"/>
    <w:rsid w:val="00DD5AF4"/>
    <w:rsid w:val="00DD5B3F"/>
    <w:rsid w:val="00DD5C13"/>
    <w:rsid w:val="00DD5D34"/>
    <w:rsid w:val="00DD5F2F"/>
    <w:rsid w:val="00DD62B2"/>
    <w:rsid w:val="00DD62C1"/>
    <w:rsid w:val="00DD633B"/>
    <w:rsid w:val="00DD65FF"/>
    <w:rsid w:val="00DD6649"/>
    <w:rsid w:val="00DD6B77"/>
    <w:rsid w:val="00DD6D92"/>
    <w:rsid w:val="00DD6DA8"/>
    <w:rsid w:val="00DD6EF3"/>
    <w:rsid w:val="00DD6F53"/>
    <w:rsid w:val="00DD72B8"/>
    <w:rsid w:val="00DD74DE"/>
    <w:rsid w:val="00DD76B0"/>
    <w:rsid w:val="00DD776A"/>
    <w:rsid w:val="00DD79BD"/>
    <w:rsid w:val="00DD7A79"/>
    <w:rsid w:val="00DD7DFA"/>
    <w:rsid w:val="00DE0079"/>
    <w:rsid w:val="00DE0249"/>
    <w:rsid w:val="00DE0289"/>
    <w:rsid w:val="00DE0345"/>
    <w:rsid w:val="00DE0349"/>
    <w:rsid w:val="00DE045D"/>
    <w:rsid w:val="00DE0511"/>
    <w:rsid w:val="00DE0B1B"/>
    <w:rsid w:val="00DE0B5C"/>
    <w:rsid w:val="00DE0CF9"/>
    <w:rsid w:val="00DE101A"/>
    <w:rsid w:val="00DE154E"/>
    <w:rsid w:val="00DE1C6C"/>
    <w:rsid w:val="00DE1CB0"/>
    <w:rsid w:val="00DE1CBC"/>
    <w:rsid w:val="00DE1F06"/>
    <w:rsid w:val="00DE1F4D"/>
    <w:rsid w:val="00DE224E"/>
    <w:rsid w:val="00DE28AF"/>
    <w:rsid w:val="00DE28C2"/>
    <w:rsid w:val="00DE2A53"/>
    <w:rsid w:val="00DE2B44"/>
    <w:rsid w:val="00DE2D41"/>
    <w:rsid w:val="00DE2FF8"/>
    <w:rsid w:val="00DE30CE"/>
    <w:rsid w:val="00DE3195"/>
    <w:rsid w:val="00DE3287"/>
    <w:rsid w:val="00DE3431"/>
    <w:rsid w:val="00DE3E1F"/>
    <w:rsid w:val="00DE3E5F"/>
    <w:rsid w:val="00DE4038"/>
    <w:rsid w:val="00DE43A5"/>
    <w:rsid w:val="00DE44BE"/>
    <w:rsid w:val="00DE4638"/>
    <w:rsid w:val="00DE485C"/>
    <w:rsid w:val="00DE49D1"/>
    <w:rsid w:val="00DE4A76"/>
    <w:rsid w:val="00DE4AB1"/>
    <w:rsid w:val="00DE4DA1"/>
    <w:rsid w:val="00DE527E"/>
    <w:rsid w:val="00DE5423"/>
    <w:rsid w:val="00DE5465"/>
    <w:rsid w:val="00DE5514"/>
    <w:rsid w:val="00DE55BA"/>
    <w:rsid w:val="00DE5712"/>
    <w:rsid w:val="00DE5875"/>
    <w:rsid w:val="00DE58EA"/>
    <w:rsid w:val="00DE59A5"/>
    <w:rsid w:val="00DE5B45"/>
    <w:rsid w:val="00DE5C3B"/>
    <w:rsid w:val="00DE5E14"/>
    <w:rsid w:val="00DE5E15"/>
    <w:rsid w:val="00DE5F62"/>
    <w:rsid w:val="00DE619A"/>
    <w:rsid w:val="00DE631E"/>
    <w:rsid w:val="00DE6396"/>
    <w:rsid w:val="00DE64E7"/>
    <w:rsid w:val="00DE65B9"/>
    <w:rsid w:val="00DE67BF"/>
    <w:rsid w:val="00DE684E"/>
    <w:rsid w:val="00DE6A08"/>
    <w:rsid w:val="00DE6A1D"/>
    <w:rsid w:val="00DE6B21"/>
    <w:rsid w:val="00DE6B71"/>
    <w:rsid w:val="00DE6C5D"/>
    <w:rsid w:val="00DE6CC4"/>
    <w:rsid w:val="00DE6D41"/>
    <w:rsid w:val="00DE6E07"/>
    <w:rsid w:val="00DE6E65"/>
    <w:rsid w:val="00DE70D5"/>
    <w:rsid w:val="00DE71EC"/>
    <w:rsid w:val="00DE73AC"/>
    <w:rsid w:val="00DE763B"/>
    <w:rsid w:val="00DE7642"/>
    <w:rsid w:val="00DE7786"/>
    <w:rsid w:val="00DE7C80"/>
    <w:rsid w:val="00DE7CCC"/>
    <w:rsid w:val="00DF0065"/>
    <w:rsid w:val="00DF05AA"/>
    <w:rsid w:val="00DF0688"/>
    <w:rsid w:val="00DF0754"/>
    <w:rsid w:val="00DF0981"/>
    <w:rsid w:val="00DF09A1"/>
    <w:rsid w:val="00DF0AF2"/>
    <w:rsid w:val="00DF0C25"/>
    <w:rsid w:val="00DF0DAC"/>
    <w:rsid w:val="00DF131A"/>
    <w:rsid w:val="00DF1558"/>
    <w:rsid w:val="00DF15B9"/>
    <w:rsid w:val="00DF17C0"/>
    <w:rsid w:val="00DF1A85"/>
    <w:rsid w:val="00DF1D99"/>
    <w:rsid w:val="00DF1ECF"/>
    <w:rsid w:val="00DF1FEF"/>
    <w:rsid w:val="00DF209E"/>
    <w:rsid w:val="00DF20B2"/>
    <w:rsid w:val="00DF25E3"/>
    <w:rsid w:val="00DF2944"/>
    <w:rsid w:val="00DF29A5"/>
    <w:rsid w:val="00DF2D44"/>
    <w:rsid w:val="00DF2F76"/>
    <w:rsid w:val="00DF300A"/>
    <w:rsid w:val="00DF30AD"/>
    <w:rsid w:val="00DF359A"/>
    <w:rsid w:val="00DF35E2"/>
    <w:rsid w:val="00DF361C"/>
    <w:rsid w:val="00DF38DC"/>
    <w:rsid w:val="00DF3912"/>
    <w:rsid w:val="00DF3A55"/>
    <w:rsid w:val="00DF3B07"/>
    <w:rsid w:val="00DF3D7D"/>
    <w:rsid w:val="00DF4008"/>
    <w:rsid w:val="00DF4128"/>
    <w:rsid w:val="00DF413C"/>
    <w:rsid w:val="00DF4225"/>
    <w:rsid w:val="00DF42AE"/>
    <w:rsid w:val="00DF4568"/>
    <w:rsid w:val="00DF4787"/>
    <w:rsid w:val="00DF47B8"/>
    <w:rsid w:val="00DF4949"/>
    <w:rsid w:val="00DF4E28"/>
    <w:rsid w:val="00DF4F4B"/>
    <w:rsid w:val="00DF4FAB"/>
    <w:rsid w:val="00DF50C6"/>
    <w:rsid w:val="00DF51AB"/>
    <w:rsid w:val="00DF5271"/>
    <w:rsid w:val="00DF536A"/>
    <w:rsid w:val="00DF5580"/>
    <w:rsid w:val="00DF56FD"/>
    <w:rsid w:val="00DF59A7"/>
    <w:rsid w:val="00DF5AD3"/>
    <w:rsid w:val="00DF5DCA"/>
    <w:rsid w:val="00DF5FC2"/>
    <w:rsid w:val="00DF6052"/>
    <w:rsid w:val="00DF6398"/>
    <w:rsid w:val="00DF63CC"/>
    <w:rsid w:val="00DF6641"/>
    <w:rsid w:val="00DF6679"/>
    <w:rsid w:val="00DF6936"/>
    <w:rsid w:val="00DF698A"/>
    <w:rsid w:val="00DF6C25"/>
    <w:rsid w:val="00DF6C72"/>
    <w:rsid w:val="00DF6C92"/>
    <w:rsid w:val="00DF7380"/>
    <w:rsid w:val="00DF73CC"/>
    <w:rsid w:val="00DF7725"/>
    <w:rsid w:val="00DF7B08"/>
    <w:rsid w:val="00E001CF"/>
    <w:rsid w:val="00E002D6"/>
    <w:rsid w:val="00E00336"/>
    <w:rsid w:val="00E00482"/>
    <w:rsid w:val="00E005DE"/>
    <w:rsid w:val="00E008E5"/>
    <w:rsid w:val="00E0094D"/>
    <w:rsid w:val="00E00A35"/>
    <w:rsid w:val="00E00A37"/>
    <w:rsid w:val="00E00D0B"/>
    <w:rsid w:val="00E00D43"/>
    <w:rsid w:val="00E00E72"/>
    <w:rsid w:val="00E00EF0"/>
    <w:rsid w:val="00E01285"/>
    <w:rsid w:val="00E0148F"/>
    <w:rsid w:val="00E0170F"/>
    <w:rsid w:val="00E017D4"/>
    <w:rsid w:val="00E01D98"/>
    <w:rsid w:val="00E01F94"/>
    <w:rsid w:val="00E022D8"/>
    <w:rsid w:val="00E024D7"/>
    <w:rsid w:val="00E024E3"/>
    <w:rsid w:val="00E02663"/>
    <w:rsid w:val="00E02790"/>
    <w:rsid w:val="00E02AD8"/>
    <w:rsid w:val="00E02E4D"/>
    <w:rsid w:val="00E02E81"/>
    <w:rsid w:val="00E02E9C"/>
    <w:rsid w:val="00E034B3"/>
    <w:rsid w:val="00E03691"/>
    <w:rsid w:val="00E03862"/>
    <w:rsid w:val="00E0388A"/>
    <w:rsid w:val="00E03946"/>
    <w:rsid w:val="00E03AF1"/>
    <w:rsid w:val="00E03B73"/>
    <w:rsid w:val="00E03C0B"/>
    <w:rsid w:val="00E03C45"/>
    <w:rsid w:val="00E03DF7"/>
    <w:rsid w:val="00E03EC0"/>
    <w:rsid w:val="00E03EE0"/>
    <w:rsid w:val="00E04074"/>
    <w:rsid w:val="00E0407E"/>
    <w:rsid w:val="00E040AE"/>
    <w:rsid w:val="00E04227"/>
    <w:rsid w:val="00E0442D"/>
    <w:rsid w:val="00E046A5"/>
    <w:rsid w:val="00E046F1"/>
    <w:rsid w:val="00E046FB"/>
    <w:rsid w:val="00E04904"/>
    <w:rsid w:val="00E04A99"/>
    <w:rsid w:val="00E04ADF"/>
    <w:rsid w:val="00E04B9E"/>
    <w:rsid w:val="00E04BC3"/>
    <w:rsid w:val="00E04CC5"/>
    <w:rsid w:val="00E04F56"/>
    <w:rsid w:val="00E050B8"/>
    <w:rsid w:val="00E05168"/>
    <w:rsid w:val="00E054E1"/>
    <w:rsid w:val="00E0552D"/>
    <w:rsid w:val="00E05534"/>
    <w:rsid w:val="00E0572F"/>
    <w:rsid w:val="00E05775"/>
    <w:rsid w:val="00E05C26"/>
    <w:rsid w:val="00E05C8D"/>
    <w:rsid w:val="00E0601C"/>
    <w:rsid w:val="00E0622E"/>
    <w:rsid w:val="00E06405"/>
    <w:rsid w:val="00E0645C"/>
    <w:rsid w:val="00E0651D"/>
    <w:rsid w:val="00E06610"/>
    <w:rsid w:val="00E06865"/>
    <w:rsid w:val="00E06963"/>
    <w:rsid w:val="00E06CBD"/>
    <w:rsid w:val="00E06CD1"/>
    <w:rsid w:val="00E06CD5"/>
    <w:rsid w:val="00E07172"/>
    <w:rsid w:val="00E0730E"/>
    <w:rsid w:val="00E07447"/>
    <w:rsid w:val="00E07468"/>
    <w:rsid w:val="00E0754A"/>
    <w:rsid w:val="00E075C8"/>
    <w:rsid w:val="00E076AF"/>
    <w:rsid w:val="00E078A1"/>
    <w:rsid w:val="00E07B7A"/>
    <w:rsid w:val="00E07F7B"/>
    <w:rsid w:val="00E102B2"/>
    <w:rsid w:val="00E10467"/>
    <w:rsid w:val="00E10616"/>
    <w:rsid w:val="00E1092A"/>
    <w:rsid w:val="00E10A6D"/>
    <w:rsid w:val="00E10C69"/>
    <w:rsid w:val="00E10EF4"/>
    <w:rsid w:val="00E1108E"/>
    <w:rsid w:val="00E1114F"/>
    <w:rsid w:val="00E113FD"/>
    <w:rsid w:val="00E11401"/>
    <w:rsid w:val="00E11672"/>
    <w:rsid w:val="00E11AAC"/>
    <w:rsid w:val="00E1201A"/>
    <w:rsid w:val="00E12097"/>
    <w:rsid w:val="00E120E0"/>
    <w:rsid w:val="00E12394"/>
    <w:rsid w:val="00E123F4"/>
    <w:rsid w:val="00E12512"/>
    <w:rsid w:val="00E12532"/>
    <w:rsid w:val="00E125A2"/>
    <w:rsid w:val="00E1264F"/>
    <w:rsid w:val="00E1286A"/>
    <w:rsid w:val="00E12959"/>
    <w:rsid w:val="00E12961"/>
    <w:rsid w:val="00E12A37"/>
    <w:rsid w:val="00E12A6D"/>
    <w:rsid w:val="00E12C78"/>
    <w:rsid w:val="00E12E2D"/>
    <w:rsid w:val="00E12EB6"/>
    <w:rsid w:val="00E12F5B"/>
    <w:rsid w:val="00E130DB"/>
    <w:rsid w:val="00E13311"/>
    <w:rsid w:val="00E13525"/>
    <w:rsid w:val="00E13540"/>
    <w:rsid w:val="00E13652"/>
    <w:rsid w:val="00E1370C"/>
    <w:rsid w:val="00E13A22"/>
    <w:rsid w:val="00E13ACF"/>
    <w:rsid w:val="00E13BB6"/>
    <w:rsid w:val="00E13D00"/>
    <w:rsid w:val="00E13D1B"/>
    <w:rsid w:val="00E13D95"/>
    <w:rsid w:val="00E13FA9"/>
    <w:rsid w:val="00E140DA"/>
    <w:rsid w:val="00E140E5"/>
    <w:rsid w:val="00E1486F"/>
    <w:rsid w:val="00E1487A"/>
    <w:rsid w:val="00E14AAD"/>
    <w:rsid w:val="00E14BE1"/>
    <w:rsid w:val="00E14D3E"/>
    <w:rsid w:val="00E14D5F"/>
    <w:rsid w:val="00E14E1A"/>
    <w:rsid w:val="00E14E54"/>
    <w:rsid w:val="00E15167"/>
    <w:rsid w:val="00E154C3"/>
    <w:rsid w:val="00E1555C"/>
    <w:rsid w:val="00E1564B"/>
    <w:rsid w:val="00E156B0"/>
    <w:rsid w:val="00E15773"/>
    <w:rsid w:val="00E157C4"/>
    <w:rsid w:val="00E157DA"/>
    <w:rsid w:val="00E15D85"/>
    <w:rsid w:val="00E15EA2"/>
    <w:rsid w:val="00E16581"/>
    <w:rsid w:val="00E166AE"/>
    <w:rsid w:val="00E16CA6"/>
    <w:rsid w:val="00E17422"/>
    <w:rsid w:val="00E175E7"/>
    <w:rsid w:val="00E17662"/>
    <w:rsid w:val="00E1774C"/>
    <w:rsid w:val="00E178B2"/>
    <w:rsid w:val="00E17A81"/>
    <w:rsid w:val="00E17C22"/>
    <w:rsid w:val="00E17E1C"/>
    <w:rsid w:val="00E17FDF"/>
    <w:rsid w:val="00E2001E"/>
    <w:rsid w:val="00E2009B"/>
    <w:rsid w:val="00E200C7"/>
    <w:rsid w:val="00E202CE"/>
    <w:rsid w:val="00E204A4"/>
    <w:rsid w:val="00E20719"/>
    <w:rsid w:val="00E207A1"/>
    <w:rsid w:val="00E2085F"/>
    <w:rsid w:val="00E20E0B"/>
    <w:rsid w:val="00E20EE5"/>
    <w:rsid w:val="00E211D5"/>
    <w:rsid w:val="00E216B0"/>
    <w:rsid w:val="00E2191B"/>
    <w:rsid w:val="00E2199A"/>
    <w:rsid w:val="00E21A73"/>
    <w:rsid w:val="00E21B31"/>
    <w:rsid w:val="00E22386"/>
    <w:rsid w:val="00E224DF"/>
    <w:rsid w:val="00E22AD6"/>
    <w:rsid w:val="00E22B92"/>
    <w:rsid w:val="00E22EA6"/>
    <w:rsid w:val="00E22EE4"/>
    <w:rsid w:val="00E22F2F"/>
    <w:rsid w:val="00E231FE"/>
    <w:rsid w:val="00E23348"/>
    <w:rsid w:val="00E235B2"/>
    <w:rsid w:val="00E23673"/>
    <w:rsid w:val="00E238F5"/>
    <w:rsid w:val="00E2395D"/>
    <w:rsid w:val="00E23AE2"/>
    <w:rsid w:val="00E23C68"/>
    <w:rsid w:val="00E23D44"/>
    <w:rsid w:val="00E23E87"/>
    <w:rsid w:val="00E23E92"/>
    <w:rsid w:val="00E24304"/>
    <w:rsid w:val="00E24679"/>
    <w:rsid w:val="00E246C1"/>
    <w:rsid w:val="00E24895"/>
    <w:rsid w:val="00E24B1D"/>
    <w:rsid w:val="00E24FBB"/>
    <w:rsid w:val="00E2529C"/>
    <w:rsid w:val="00E254B6"/>
    <w:rsid w:val="00E25572"/>
    <w:rsid w:val="00E256C9"/>
    <w:rsid w:val="00E25B46"/>
    <w:rsid w:val="00E25C00"/>
    <w:rsid w:val="00E25F5B"/>
    <w:rsid w:val="00E25F63"/>
    <w:rsid w:val="00E264F4"/>
    <w:rsid w:val="00E26581"/>
    <w:rsid w:val="00E266E7"/>
    <w:rsid w:val="00E2679B"/>
    <w:rsid w:val="00E26830"/>
    <w:rsid w:val="00E269E0"/>
    <w:rsid w:val="00E26C8D"/>
    <w:rsid w:val="00E26E8F"/>
    <w:rsid w:val="00E27042"/>
    <w:rsid w:val="00E270A9"/>
    <w:rsid w:val="00E274EA"/>
    <w:rsid w:val="00E27721"/>
    <w:rsid w:val="00E27774"/>
    <w:rsid w:val="00E2787A"/>
    <w:rsid w:val="00E27A06"/>
    <w:rsid w:val="00E27ABC"/>
    <w:rsid w:val="00E27C67"/>
    <w:rsid w:val="00E27E21"/>
    <w:rsid w:val="00E30135"/>
    <w:rsid w:val="00E30196"/>
    <w:rsid w:val="00E30201"/>
    <w:rsid w:val="00E30408"/>
    <w:rsid w:val="00E30470"/>
    <w:rsid w:val="00E3053F"/>
    <w:rsid w:val="00E3054C"/>
    <w:rsid w:val="00E3083B"/>
    <w:rsid w:val="00E30869"/>
    <w:rsid w:val="00E308E9"/>
    <w:rsid w:val="00E30975"/>
    <w:rsid w:val="00E30996"/>
    <w:rsid w:val="00E30B61"/>
    <w:rsid w:val="00E30C4D"/>
    <w:rsid w:val="00E30E03"/>
    <w:rsid w:val="00E31029"/>
    <w:rsid w:val="00E31121"/>
    <w:rsid w:val="00E313B9"/>
    <w:rsid w:val="00E31461"/>
    <w:rsid w:val="00E315DF"/>
    <w:rsid w:val="00E315FE"/>
    <w:rsid w:val="00E31636"/>
    <w:rsid w:val="00E31743"/>
    <w:rsid w:val="00E3195A"/>
    <w:rsid w:val="00E3197C"/>
    <w:rsid w:val="00E31BCA"/>
    <w:rsid w:val="00E31C43"/>
    <w:rsid w:val="00E31DAB"/>
    <w:rsid w:val="00E31F23"/>
    <w:rsid w:val="00E32033"/>
    <w:rsid w:val="00E322CF"/>
    <w:rsid w:val="00E322F7"/>
    <w:rsid w:val="00E3256B"/>
    <w:rsid w:val="00E32607"/>
    <w:rsid w:val="00E32945"/>
    <w:rsid w:val="00E329A4"/>
    <w:rsid w:val="00E32B0D"/>
    <w:rsid w:val="00E32BA0"/>
    <w:rsid w:val="00E32C65"/>
    <w:rsid w:val="00E32E0C"/>
    <w:rsid w:val="00E32F35"/>
    <w:rsid w:val="00E3307A"/>
    <w:rsid w:val="00E332A6"/>
    <w:rsid w:val="00E33422"/>
    <w:rsid w:val="00E3347C"/>
    <w:rsid w:val="00E33643"/>
    <w:rsid w:val="00E33A90"/>
    <w:rsid w:val="00E33B3D"/>
    <w:rsid w:val="00E33B42"/>
    <w:rsid w:val="00E33C88"/>
    <w:rsid w:val="00E34241"/>
    <w:rsid w:val="00E342D0"/>
    <w:rsid w:val="00E344F2"/>
    <w:rsid w:val="00E3470C"/>
    <w:rsid w:val="00E348E5"/>
    <w:rsid w:val="00E34C1E"/>
    <w:rsid w:val="00E3512F"/>
    <w:rsid w:val="00E351C0"/>
    <w:rsid w:val="00E3587F"/>
    <w:rsid w:val="00E3591D"/>
    <w:rsid w:val="00E35AA2"/>
    <w:rsid w:val="00E35ADB"/>
    <w:rsid w:val="00E35BF0"/>
    <w:rsid w:val="00E35CA3"/>
    <w:rsid w:val="00E35ED0"/>
    <w:rsid w:val="00E35FCA"/>
    <w:rsid w:val="00E36083"/>
    <w:rsid w:val="00E36154"/>
    <w:rsid w:val="00E361EC"/>
    <w:rsid w:val="00E3661A"/>
    <w:rsid w:val="00E3668E"/>
    <w:rsid w:val="00E3675F"/>
    <w:rsid w:val="00E36909"/>
    <w:rsid w:val="00E36967"/>
    <w:rsid w:val="00E3698B"/>
    <w:rsid w:val="00E36B47"/>
    <w:rsid w:val="00E37109"/>
    <w:rsid w:val="00E3723B"/>
    <w:rsid w:val="00E372E9"/>
    <w:rsid w:val="00E373EA"/>
    <w:rsid w:val="00E375F8"/>
    <w:rsid w:val="00E3782A"/>
    <w:rsid w:val="00E37928"/>
    <w:rsid w:val="00E3796C"/>
    <w:rsid w:val="00E37B55"/>
    <w:rsid w:val="00E37D3E"/>
    <w:rsid w:val="00E37D94"/>
    <w:rsid w:val="00E37F35"/>
    <w:rsid w:val="00E37F85"/>
    <w:rsid w:val="00E401BC"/>
    <w:rsid w:val="00E4034D"/>
    <w:rsid w:val="00E405A8"/>
    <w:rsid w:val="00E405B1"/>
    <w:rsid w:val="00E40760"/>
    <w:rsid w:val="00E4080A"/>
    <w:rsid w:val="00E4089E"/>
    <w:rsid w:val="00E40A36"/>
    <w:rsid w:val="00E40BC6"/>
    <w:rsid w:val="00E40E50"/>
    <w:rsid w:val="00E40EF1"/>
    <w:rsid w:val="00E40EF8"/>
    <w:rsid w:val="00E40F2F"/>
    <w:rsid w:val="00E40FAF"/>
    <w:rsid w:val="00E4153E"/>
    <w:rsid w:val="00E417F3"/>
    <w:rsid w:val="00E41D29"/>
    <w:rsid w:val="00E41D57"/>
    <w:rsid w:val="00E422B8"/>
    <w:rsid w:val="00E423F8"/>
    <w:rsid w:val="00E4245A"/>
    <w:rsid w:val="00E425EB"/>
    <w:rsid w:val="00E4292A"/>
    <w:rsid w:val="00E42CB4"/>
    <w:rsid w:val="00E42E83"/>
    <w:rsid w:val="00E42EE4"/>
    <w:rsid w:val="00E42EEA"/>
    <w:rsid w:val="00E42F81"/>
    <w:rsid w:val="00E42FDE"/>
    <w:rsid w:val="00E43039"/>
    <w:rsid w:val="00E4316D"/>
    <w:rsid w:val="00E43222"/>
    <w:rsid w:val="00E432BC"/>
    <w:rsid w:val="00E43ACF"/>
    <w:rsid w:val="00E43B40"/>
    <w:rsid w:val="00E43D31"/>
    <w:rsid w:val="00E4406C"/>
    <w:rsid w:val="00E4418C"/>
    <w:rsid w:val="00E4430F"/>
    <w:rsid w:val="00E44343"/>
    <w:rsid w:val="00E443E0"/>
    <w:rsid w:val="00E4444B"/>
    <w:rsid w:val="00E4449B"/>
    <w:rsid w:val="00E44705"/>
    <w:rsid w:val="00E449B2"/>
    <w:rsid w:val="00E44B5C"/>
    <w:rsid w:val="00E44DCD"/>
    <w:rsid w:val="00E44DEA"/>
    <w:rsid w:val="00E4524C"/>
    <w:rsid w:val="00E45292"/>
    <w:rsid w:val="00E45549"/>
    <w:rsid w:val="00E45726"/>
    <w:rsid w:val="00E45A86"/>
    <w:rsid w:val="00E45AB0"/>
    <w:rsid w:val="00E45B8C"/>
    <w:rsid w:val="00E45C0B"/>
    <w:rsid w:val="00E45D74"/>
    <w:rsid w:val="00E45E85"/>
    <w:rsid w:val="00E45E87"/>
    <w:rsid w:val="00E45FC3"/>
    <w:rsid w:val="00E460B5"/>
    <w:rsid w:val="00E4635E"/>
    <w:rsid w:val="00E463CE"/>
    <w:rsid w:val="00E466C5"/>
    <w:rsid w:val="00E4679B"/>
    <w:rsid w:val="00E46920"/>
    <w:rsid w:val="00E469C6"/>
    <w:rsid w:val="00E46B5C"/>
    <w:rsid w:val="00E46EA1"/>
    <w:rsid w:val="00E46EB3"/>
    <w:rsid w:val="00E476F1"/>
    <w:rsid w:val="00E477AC"/>
    <w:rsid w:val="00E477CA"/>
    <w:rsid w:val="00E47A0F"/>
    <w:rsid w:val="00E47BB7"/>
    <w:rsid w:val="00E47D19"/>
    <w:rsid w:val="00E47D5E"/>
    <w:rsid w:val="00E47FDC"/>
    <w:rsid w:val="00E500B8"/>
    <w:rsid w:val="00E50278"/>
    <w:rsid w:val="00E5038E"/>
    <w:rsid w:val="00E503BF"/>
    <w:rsid w:val="00E50845"/>
    <w:rsid w:val="00E508CD"/>
    <w:rsid w:val="00E50AEB"/>
    <w:rsid w:val="00E50C0A"/>
    <w:rsid w:val="00E50C35"/>
    <w:rsid w:val="00E50E17"/>
    <w:rsid w:val="00E50F2F"/>
    <w:rsid w:val="00E511C8"/>
    <w:rsid w:val="00E51395"/>
    <w:rsid w:val="00E513BB"/>
    <w:rsid w:val="00E515A4"/>
    <w:rsid w:val="00E515B0"/>
    <w:rsid w:val="00E5164E"/>
    <w:rsid w:val="00E518CB"/>
    <w:rsid w:val="00E51A48"/>
    <w:rsid w:val="00E51D6F"/>
    <w:rsid w:val="00E51DEA"/>
    <w:rsid w:val="00E5224F"/>
    <w:rsid w:val="00E522CD"/>
    <w:rsid w:val="00E522CF"/>
    <w:rsid w:val="00E52311"/>
    <w:rsid w:val="00E5231A"/>
    <w:rsid w:val="00E5234A"/>
    <w:rsid w:val="00E523CD"/>
    <w:rsid w:val="00E52631"/>
    <w:rsid w:val="00E52EFE"/>
    <w:rsid w:val="00E53032"/>
    <w:rsid w:val="00E531C0"/>
    <w:rsid w:val="00E532F0"/>
    <w:rsid w:val="00E5333F"/>
    <w:rsid w:val="00E533E3"/>
    <w:rsid w:val="00E5347F"/>
    <w:rsid w:val="00E5389F"/>
    <w:rsid w:val="00E53944"/>
    <w:rsid w:val="00E53A14"/>
    <w:rsid w:val="00E53B3D"/>
    <w:rsid w:val="00E53BEB"/>
    <w:rsid w:val="00E53C79"/>
    <w:rsid w:val="00E53D82"/>
    <w:rsid w:val="00E53DB8"/>
    <w:rsid w:val="00E53DFB"/>
    <w:rsid w:val="00E54102"/>
    <w:rsid w:val="00E541EA"/>
    <w:rsid w:val="00E54279"/>
    <w:rsid w:val="00E54386"/>
    <w:rsid w:val="00E544B5"/>
    <w:rsid w:val="00E54511"/>
    <w:rsid w:val="00E5493D"/>
    <w:rsid w:val="00E54DAF"/>
    <w:rsid w:val="00E551A4"/>
    <w:rsid w:val="00E55255"/>
    <w:rsid w:val="00E55416"/>
    <w:rsid w:val="00E556B3"/>
    <w:rsid w:val="00E55951"/>
    <w:rsid w:val="00E55A55"/>
    <w:rsid w:val="00E560AC"/>
    <w:rsid w:val="00E56361"/>
    <w:rsid w:val="00E563AE"/>
    <w:rsid w:val="00E563EE"/>
    <w:rsid w:val="00E56596"/>
    <w:rsid w:val="00E56748"/>
    <w:rsid w:val="00E5676C"/>
    <w:rsid w:val="00E56951"/>
    <w:rsid w:val="00E56AF4"/>
    <w:rsid w:val="00E56C4A"/>
    <w:rsid w:val="00E56E68"/>
    <w:rsid w:val="00E56FF8"/>
    <w:rsid w:val="00E5715F"/>
    <w:rsid w:val="00E574F2"/>
    <w:rsid w:val="00E57622"/>
    <w:rsid w:val="00E57A59"/>
    <w:rsid w:val="00E57A78"/>
    <w:rsid w:val="00E57A92"/>
    <w:rsid w:val="00E57C36"/>
    <w:rsid w:val="00E602E2"/>
    <w:rsid w:val="00E60863"/>
    <w:rsid w:val="00E6099B"/>
    <w:rsid w:val="00E60A23"/>
    <w:rsid w:val="00E60D25"/>
    <w:rsid w:val="00E60DBF"/>
    <w:rsid w:val="00E60EBE"/>
    <w:rsid w:val="00E6114E"/>
    <w:rsid w:val="00E61189"/>
    <w:rsid w:val="00E611CC"/>
    <w:rsid w:val="00E6151E"/>
    <w:rsid w:val="00E6153D"/>
    <w:rsid w:val="00E615CC"/>
    <w:rsid w:val="00E617AE"/>
    <w:rsid w:val="00E617BE"/>
    <w:rsid w:val="00E61806"/>
    <w:rsid w:val="00E6183B"/>
    <w:rsid w:val="00E61982"/>
    <w:rsid w:val="00E6198E"/>
    <w:rsid w:val="00E61B8B"/>
    <w:rsid w:val="00E61EDC"/>
    <w:rsid w:val="00E61F9B"/>
    <w:rsid w:val="00E620DC"/>
    <w:rsid w:val="00E621D7"/>
    <w:rsid w:val="00E6229B"/>
    <w:rsid w:val="00E622CB"/>
    <w:rsid w:val="00E623D8"/>
    <w:rsid w:val="00E624B4"/>
    <w:rsid w:val="00E62825"/>
    <w:rsid w:val="00E62C0E"/>
    <w:rsid w:val="00E62D27"/>
    <w:rsid w:val="00E62D35"/>
    <w:rsid w:val="00E636BB"/>
    <w:rsid w:val="00E636CB"/>
    <w:rsid w:val="00E63729"/>
    <w:rsid w:val="00E63765"/>
    <w:rsid w:val="00E63A54"/>
    <w:rsid w:val="00E63AA0"/>
    <w:rsid w:val="00E63AAD"/>
    <w:rsid w:val="00E63E77"/>
    <w:rsid w:val="00E63F4D"/>
    <w:rsid w:val="00E6411B"/>
    <w:rsid w:val="00E64269"/>
    <w:rsid w:val="00E64524"/>
    <w:rsid w:val="00E64702"/>
    <w:rsid w:val="00E6478C"/>
    <w:rsid w:val="00E648FE"/>
    <w:rsid w:val="00E64BE0"/>
    <w:rsid w:val="00E64F34"/>
    <w:rsid w:val="00E6508D"/>
    <w:rsid w:val="00E651E0"/>
    <w:rsid w:val="00E6522C"/>
    <w:rsid w:val="00E6548D"/>
    <w:rsid w:val="00E655D4"/>
    <w:rsid w:val="00E656D0"/>
    <w:rsid w:val="00E658D8"/>
    <w:rsid w:val="00E65B1A"/>
    <w:rsid w:val="00E65C0C"/>
    <w:rsid w:val="00E65C83"/>
    <w:rsid w:val="00E65CF2"/>
    <w:rsid w:val="00E65DFA"/>
    <w:rsid w:val="00E660B6"/>
    <w:rsid w:val="00E660C7"/>
    <w:rsid w:val="00E66296"/>
    <w:rsid w:val="00E665F4"/>
    <w:rsid w:val="00E66774"/>
    <w:rsid w:val="00E66939"/>
    <w:rsid w:val="00E66975"/>
    <w:rsid w:val="00E66B96"/>
    <w:rsid w:val="00E66CCD"/>
    <w:rsid w:val="00E66D03"/>
    <w:rsid w:val="00E66D72"/>
    <w:rsid w:val="00E66DB2"/>
    <w:rsid w:val="00E66EFB"/>
    <w:rsid w:val="00E67079"/>
    <w:rsid w:val="00E6715A"/>
    <w:rsid w:val="00E677E3"/>
    <w:rsid w:val="00E67886"/>
    <w:rsid w:val="00E67914"/>
    <w:rsid w:val="00E679DC"/>
    <w:rsid w:val="00E67A09"/>
    <w:rsid w:val="00E67BBE"/>
    <w:rsid w:val="00E67E14"/>
    <w:rsid w:val="00E67FE4"/>
    <w:rsid w:val="00E7017D"/>
    <w:rsid w:val="00E70268"/>
    <w:rsid w:val="00E70374"/>
    <w:rsid w:val="00E70406"/>
    <w:rsid w:val="00E704F2"/>
    <w:rsid w:val="00E7050A"/>
    <w:rsid w:val="00E70554"/>
    <w:rsid w:val="00E705A3"/>
    <w:rsid w:val="00E70920"/>
    <w:rsid w:val="00E7094E"/>
    <w:rsid w:val="00E709C9"/>
    <w:rsid w:val="00E70AAA"/>
    <w:rsid w:val="00E70C17"/>
    <w:rsid w:val="00E70EDD"/>
    <w:rsid w:val="00E711ED"/>
    <w:rsid w:val="00E71228"/>
    <w:rsid w:val="00E713B5"/>
    <w:rsid w:val="00E715F1"/>
    <w:rsid w:val="00E716C2"/>
    <w:rsid w:val="00E720E8"/>
    <w:rsid w:val="00E72321"/>
    <w:rsid w:val="00E72688"/>
    <w:rsid w:val="00E7269C"/>
    <w:rsid w:val="00E7271D"/>
    <w:rsid w:val="00E728D4"/>
    <w:rsid w:val="00E72AC2"/>
    <w:rsid w:val="00E72C25"/>
    <w:rsid w:val="00E730C7"/>
    <w:rsid w:val="00E734CA"/>
    <w:rsid w:val="00E735AB"/>
    <w:rsid w:val="00E7362E"/>
    <w:rsid w:val="00E7365D"/>
    <w:rsid w:val="00E739FA"/>
    <w:rsid w:val="00E73A62"/>
    <w:rsid w:val="00E73AA1"/>
    <w:rsid w:val="00E73B06"/>
    <w:rsid w:val="00E73BBE"/>
    <w:rsid w:val="00E73C07"/>
    <w:rsid w:val="00E73D24"/>
    <w:rsid w:val="00E73D53"/>
    <w:rsid w:val="00E740D8"/>
    <w:rsid w:val="00E74117"/>
    <w:rsid w:val="00E741BA"/>
    <w:rsid w:val="00E7421E"/>
    <w:rsid w:val="00E743F3"/>
    <w:rsid w:val="00E743FC"/>
    <w:rsid w:val="00E746BF"/>
    <w:rsid w:val="00E747BF"/>
    <w:rsid w:val="00E74889"/>
    <w:rsid w:val="00E74A24"/>
    <w:rsid w:val="00E74BBA"/>
    <w:rsid w:val="00E74EF5"/>
    <w:rsid w:val="00E74F4C"/>
    <w:rsid w:val="00E7501D"/>
    <w:rsid w:val="00E750DF"/>
    <w:rsid w:val="00E751D9"/>
    <w:rsid w:val="00E7571D"/>
    <w:rsid w:val="00E75881"/>
    <w:rsid w:val="00E75A54"/>
    <w:rsid w:val="00E75B2A"/>
    <w:rsid w:val="00E75C7E"/>
    <w:rsid w:val="00E75EDD"/>
    <w:rsid w:val="00E75F60"/>
    <w:rsid w:val="00E76128"/>
    <w:rsid w:val="00E76159"/>
    <w:rsid w:val="00E76179"/>
    <w:rsid w:val="00E761A0"/>
    <w:rsid w:val="00E76355"/>
    <w:rsid w:val="00E76739"/>
    <w:rsid w:val="00E769CF"/>
    <w:rsid w:val="00E76BAB"/>
    <w:rsid w:val="00E76CB4"/>
    <w:rsid w:val="00E76EB2"/>
    <w:rsid w:val="00E76ED7"/>
    <w:rsid w:val="00E76FC3"/>
    <w:rsid w:val="00E77748"/>
    <w:rsid w:val="00E77842"/>
    <w:rsid w:val="00E77C74"/>
    <w:rsid w:val="00E77CA3"/>
    <w:rsid w:val="00E77DC1"/>
    <w:rsid w:val="00E77EEC"/>
    <w:rsid w:val="00E77EEE"/>
    <w:rsid w:val="00E77F7E"/>
    <w:rsid w:val="00E8025F"/>
    <w:rsid w:val="00E80352"/>
    <w:rsid w:val="00E805B9"/>
    <w:rsid w:val="00E805EF"/>
    <w:rsid w:val="00E8069E"/>
    <w:rsid w:val="00E80806"/>
    <w:rsid w:val="00E80929"/>
    <w:rsid w:val="00E809C2"/>
    <w:rsid w:val="00E809C5"/>
    <w:rsid w:val="00E80D1E"/>
    <w:rsid w:val="00E81148"/>
    <w:rsid w:val="00E812C0"/>
    <w:rsid w:val="00E817AA"/>
    <w:rsid w:val="00E8183E"/>
    <w:rsid w:val="00E819DA"/>
    <w:rsid w:val="00E81A68"/>
    <w:rsid w:val="00E81D72"/>
    <w:rsid w:val="00E8200E"/>
    <w:rsid w:val="00E8214F"/>
    <w:rsid w:val="00E8256C"/>
    <w:rsid w:val="00E82A8A"/>
    <w:rsid w:val="00E82BD7"/>
    <w:rsid w:val="00E82E8A"/>
    <w:rsid w:val="00E82F13"/>
    <w:rsid w:val="00E83036"/>
    <w:rsid w:val="00E8307F"/>
    <w:rsid w:val="00E835B1"/>
    <w:rsid w:val="00E83DA8"/>
    <w:rsid w:val="00E841AB"/>
    <w:rsid w:val="00E842B3"/>
    <w:rsid w:val="00E84361"/>
    <w:rsid w:val="00E8466E"/>
    <w:rsid w:val="00E8471B"/>
    <w:rsid w:val="00E8480F"/>
    <w:rsid w:val="00E848DB"/>
    <w:rsid w:val="00E84A34"/>
    <w:rsid w:val="00E84A39"/>
    <w:rsid w:val="00E84B24"/>
    <w:rsid w:val="00E84BEE"/>
    <w:rsid w:val="00E84CFA"/>
    <w:rsid w:val="00E84D5C"/>
    <w:rsid w:val="00E84DE3"/>
    <w:rsid w:val="00E85197"/>
    <w:rsid w:val="00E854F2"/>
    <w:rsid w:val="00E8550F"/>
    <w:rsid w:val="00E85668"/>
    <w:rsid w:val="00E857B5"/>
    <w:rsid w:val="00E857CF"/>
    <w:rsid w:val="00E859D3"/>
    <w:rsid w:val="00E85A1D"/>
    <w:rsid w:val="00E85E40"/>
    <w:rsid w:val="00E8604F"/>
    <w:rsid w:val="00E86331"/>
    <w:rsid w:val="00E8634C"/>
    <w:rsid w:val="00E8634E"/>
    <w:rsid w:val="00E86568"/>
    <w:rsid w:val="00E8662E"/>
    <w:rsid w:val="00E86894"/>
    <w:rsid w:val="00E86A41"/>
    <w:rsid w:val="00E86AC8"/>
    <w:rsid w:val="00E86B69"/>
    <w:rsid w:val="00E86F7E"/>
    <w:rsid w:val="00E8712B"/>
    <w:rsid w:val="00E87141"/>
    <w:rsid w:val="00E87232"/>
    <w:rsid w:val="00E87A7E"/>
    <w:rsid w:val="00E87B5F"/>
    <w:rsid w:val="00E87C82"/>
    <w:rsid w:val="00E87CBD"/>
    <w:rsid w:val="00E87D7F"/>
    <w:rsid w:val="00E87DE3"/>
    <w:rsid w:val="00E87EBC"/>
    <w:rsid w:val="00E900AA"/>
    <w:rsid w:val="00E9019F"/>
    <w:rsid w:val="00E90423"/>
    <w:rsid w:val="00E90436"/>
    <w:rsid w:val="00E90493"/>
    <w:rsid w:val="00E90AC1"/>
    <w:rsid w:val="00E90B2D"/>
    <w:rsid w:val="00E90B63"/>
    <w:rsid w:val="00E90B93"/>
    <w:rsid w:val="00E90C70"/>
    <w:rsid w:val="00E90CC6"/>
    <w:rsid w:val="00E90DCA"/>
    <w:rsid w:val="00E90E67"/>
    <w:rsid w:val="00E90E95"/>
    <w:rsid w:val="00E90EA7"/>
    <w:rsid w:val="00E90FEF"/>
    <w:rsid w:val="00E91101"/>
    <w:rsid w:val="00E91123"/>
    <w:rsid w:val="00E9132B"/>
    <w:rsid w:val="00E91501"/>
    <w:rsid w:val="00E9150F"/>
    <w:rsid w:val="00E91531"/>
    <w:rsid w:val="00E915B2"/>
    <w:rsid w:val="00E915F9"/>
    <w:rsid w:val="00E915FD"/>
    <w:rsid w:val="00E91873"/>
    <w:rsid w:val="00E918D8"/>
    <w:rsid w:val="00E918DE"/>
    <w:rsid w:val="00E919D5"/>
    <w:rsid w:val="00E91CF1"/>
    <w:rsid w:val="00E91D12"/>
    <w:rsid w:val="00E91E48"/>
    <w:rsid w:val="00E91E66"/>
    <w:rsid w:val="00E91E82"/>
    <w:rsid w:val="00E91F38"/>
    <w:rsid w:val="00E9239B"/>
    <w:rsid w:val="00E9242C"/>
    <w:rsid w:val="00E926E6"/>
    <w:rsid w:val="00E92D57"/>
    <w:rsid w:val="00E92DB8"/>
    <w:rsid w:val="00E92DDC"/>
    <w:rsid w:val="00E933B1"/>
    <w:rsid w:val="00E93708"/>
    <w:rsid w:val="00E9388D"/>
    <w:rsid w:val="00E93C33"/>
    <w:rsid w:val="00E93CC3"/>
    <w:rsid w:val="00E93D5A"/>
    <w:rsid w:val="00E942EF"/>
    <w:rsid w:val="00E9440E"/>
    <w:rsid w:val="00E945D6"/>
    <w:rsid w:val="00E9469D"/>
    <w:rsid w:val="00E9492E"/>
    <w:rsid w:val="00E94EDE"/>
    <w:rsid w:val="00E94F75"/>
    <w:rsid w:val="00E95412"/>
    <w:rsid w:val="00E954E7"/>
    <w:rsid w:val="00E95523"/>
    <w:rsid w:val="00E956DE"/>
    <w:rsid w:val="00E95702"/>
    <w:rsid w:val="00E95919"/>
    <w:rsid w:val="00E95A08"/>
    <w:rsid w:val="00E95B04"/>
    <w:rsid w:val="00E95CD2"/>
    <w:rsid w:val="00E95E65"/>
    <w:rsid w:val="00E963FA"/>
    <w:rsid w:val="00E9667E"/>
    <w:rsid w:val="00E96734"/>
    <w:rsid w:val="00E9678B"/>
    <w:rsid w:val="00E96AC1"/>
    <w:rsid w:val="00E96AED"/>
    <w:rsid w:val="00E96BD6"/>
    <w:rsid w:val="00E96BD9"/>
    <w:rsid w:val="00E96D36"/>
    <w:rsid w:val="00E96E76"/>
    <w:rsid w:val="00E97161"/>
    <w:rsid w:val="00E9721B"/>
    <w:rsid w:val="00E973C0"/>
    <w:rsid w:val="00E974FF"/>
    <w:rsid w:val="00E97651"/>
    <w:rsid w:val="00E97B3D"/>
    <w:rsid w:val="00E97C5D"/>
    <w:rsid w:val="00E97C7B"/>
    <w:rsid w:val="00E97CDD"/>
    <w:rsid w:val="00E97D8B"/>
    <w:rsid w:val="00E97E3E"/>
    <w:rsid w:val="00E97EEF"/>
    <w:rsid w:val="00EA0172"/>
    <w:rsid w:val="00EA039E"/>
    <w:rsid w:val="00EA03CE"/>
    <w:rsid w:val="00EA0443"/>
    <w:rsid w:val="00EA045A"/>
    <w:rsid w:val="00EA04C7"/>
    <w:rsid w:val="00EA0671"/>
    <w:rsid w:val="00EA06CA"/>
    <w:rsid w:val="00EA0719"/>
    <w:rsid w:val="00EA0762"/>
    <w:rsid w:val="00EA0903"/>
    <w:rsid w:val="00EA0D5C"/>
    <w:rsid w:val="00EA0DFD"/>
    <w:rsid w:val="00EA0E6D"/>
    <w:rsid w:val="00EA0F5B"/>
    <w:rsid w:val="00EA11C1"/>
    <w:rsid w:val="00EA12DF"/>
    <w:rsid w:val="00EA12FE"/>
    <w:rsid w:val="00EA132F"/>
    <w:rsid w:val="00EA1432"/>
    <w:rsid w:val="00EA1518"/>
    <w:rsid w:val="00EA162D"/>
    <w:rsid w:val="00EA168E"/>
    <w:rsid w:val="00EA17F7"/>
    <w:rsid w:val="00EA1862"/>
    <w:rsid w:val="00EA187A"/>
    <w:rsid w:val="00EA1BAC"/>
    <w:rsid w:val="00EA1BF8"/>
    <w:rsid w:val="00EA1DA5"/>
    <w:rsid w:val="00EA1EB0"/>
    <w:rsid w:val="00EA1FAB"/>
    <w:rsid w:val="00EA23C9"/>
    <w:rsid w:val="00EA258D"/>
    <w:rsid w:val="00EA2615"/>
    <w:rsid w:val="00EA293F"/>
    <w:rsid w:val="00EA2B1D"/>
    <w:rsid w:val="00EA2B95"/>
    <w:rsid w:val="00EA2C52"/>
    <w:rsid w:val="00EA2DC7"/>
    <w:rsid w:val="00EA3013"/>
    <w:rsid w:val="00EA30DD"/>
    <w:rsid w:val="00EA319C"/>
    <w:rsid w:val="00EA3201"/>
    <w:rsid w:val="00EA322C"/>
    <w:rsid w:val="00EA32F8"/>
    <w:rsid w:val="00EA3682"/>
    <w:rsid w:val="00EA387B"/>
    <w:rsid w:val="00EA3B4C"/>
    <w:rsid w:val="00EA3B70"/>
    <w:rsid w:val="00EA3C62"/>
    <w:rsid w:val="00EA3D53"/>
    <w:rsid w:val="00EA4051"/>
    <w:rsid w:val="00EA42C2"/>
    <w:rsid w:val="00EA4519"/>
    <w:rsid w:val="00EA475A"/>
    <w:rsid w:val="00EA4857"/>
    <w:rsid w:val="00EA4924"/>
    <w:rsid w:val="00EA4A52"/>
    <w:rsid w:val="00EA4ADB"/>
    <w:rsid w:val="00EA4D5B"/>
    <w:rsid w:val="00EA4D8F"/>
    <w:rsid w:val="00EA4E4A"/>
    <w:rsid w:val="00EA4ECB"/>
    <w:rsid w:val="00EA4F74"/>
    <w:rsid w:val="00EA5099"/>
    <w:rsid w:val="00EA5221"/>
    <w:rsid w:val="00EA5229"/>
    <w:rsid w:val="00EA592A"/>
    <w:rsid w:val="00EA59F1"/>
    <w:rsid w:val="00EA5AD4"/>
    <w:rsid w:val="00EA5C4C"/>
    <w:rsid w:val="00EA5C92"/>
    <w:rsid w:val="00EA5CD0"/>
    <w:rsid w:val="00EA5F84"/>
    <w:rsid w:val="00EA622C"/>
    <w:rsid w:val="00EA62C7"/>
    <w:rsid w:val="00EA62CF"/>
    <w:rsid w:val="00EA637C"/>
    <w:rsid w:val="00EA6908"/>
    <w:rsid w:val="00EA6B0F"/>
    <w:rsid w:val="00EA6B58"/>
    <w:rsid w:val="00EA6B92"/>
    <w:rsid w:val="00EA6D79"/>
    <w:rsid w:val="00EA6DF5"/>
    <w:rsid w:val="00EA7058"/>
    <w:rsid w:val="00EA73D4"/>
    <w:rsid w:val="00EA7710"/>
    <w:rsid w:val="00EA7978"/>
    <w:rsid w:val="00EA7C34"/>
    <w:rsid w:val="00EA7CF7"/>
    <w:rsid w:val="00EA7CFE"/>
    <w:rsid w:val="00EA7D69"/>
    <w:rsid w:val="00EA7DDA"/>
    <w:rsid w:val="00EA7E32"/>
    <w:rsid w:val="00EA7EBB"/>
    <w:rsid w:val="00EA7FBA"/>
    <w:rsid w:val="00EB0090"/>
    <w:rsid w:val="00EB00B0"/>
    <w:rsid w:val="00EB010C"/>
    <w:rsid w:val="00EB012A"/>
    <w:rsid w:val="00EB0380"/>
    <w:rsid w:val="00EB0575"/>
    <w:rsid w:val="00EB0677"/>
    <w:rsid w:val="00EB08E7"/>
    <w:rsid w:val="00EB095B"/>
    <w:rsid w:val="00EB0970"/>
    <w:rsid w:val="00EB097E"/>
    <w:rsid w:val="00EB09D3"/>
    <w:rsid w:val="00EB0B1E"/>
    <w:rsid w:val="00EB0C99"/>
    <w:rsid w:val="00EB0F45"/>
    <w:rsid w:val="00EB10FF"/>
    <w:rsid w:val="00EB1537"/>
    <w:rsid w:val="00EB15EB"/>
    <w:rsid w:val="00EB178E"/>
    <w:rsid w:val="00EB1901"/>
    <w:rsid w:val="00EB1B7B"/>
    <w:rsid w:val="00EB1D09"/>
    <w:rsid w:val="00EB1D12"/>
    <w:rsid w:val="00EB1D44"/>
    <w:rsid w:val="00EB1D96"/>
    <w:rsid w:val="00EB1EE7"/>
    <w:rsid w:val="00EB2115"/>
    <w:rsid w:val="00EB2127"/>
    <w:rsid w:val="00EB2220"/>
    <w:rsid w:val="00EB260B"/>
    <w:rsid w:val="00EB274C"/>
    <w:rsid w:val="00EB2755"/>
    <w:rsid w:val="00EB27BC"/>
    <w:rsid w:val="00EB284A"/>
    <w:rsid w:val="00EB2890"/>
    <w:rsid w:val="00EB28BD"/>
    <w:rsid w:val="00EB2A8D"/>
    <w:rsid w:val="00EB2DD9"/>
    <w:rsid w:val="00EB2E3E"/>
    <w:rsid w:val="00EB2E79"/>
    <w:rsid w:val="00EB2F98"/>
    <w:rsid w:val="00EB304F"/>
    <w:rsid w:val="00EB3163"/>
    <w:rsid w:val="00EB31F8"/>
    <w:rsid w:val="00EB334A"/>
    <w:rsid w:val="00EB3797"/>
    <w:rsid w:val="00EB38FB"/>
    <w:rsid w:val="00EB39A3"/>
    <w:rsid w:val="00EB39FE"/>
    <w:rsid w:val="00EB3C8A"/>
    <w:rsid w:val="00EB3CDD"/>
    <w:rsid w:val="00EB3E5E"/>
    <w:rsid w:val="00EB3EAA"/>
    <w:rsid w:val="00EB3F76"/>
    <w:rsid w:val="00EB4358"/>
    <w:rsid w:val="00EB43A6"/>
    <w:rsid w:val="00EB4536"/>
    <w:rsid w:val="00EB4770"/>
    <w:rsid w:val="00EB48D1"/>
    <w:rsid w:val="00EB4A4B"/>
    <w:rsid w:val="00EB4B36"/>
    <w:rsid w:val="00EB4B9A"/>
    <w:rsid w:val="00EB4C53"/>
    <w:rsid w:val="00EB4C68"/>
    <w:rsid w:val="00EB4E01"/>
    <w:rsid w:val="00EB4F2C"/>
    <w:rsid w:val="00EB4FDB"/>
    <w:rsid w:val="00EB5222"/>
    <w:rsid w:val="00EB53E0"/>
    <w:rsid w:val="00EB5502"/>
    <w:rsid w:val="00EB5630"/>
    <w:rsid w:val="00EB56C7"/>
    <w:rsid w:val="00EB5748"/>
    <w:rsid w:val="00EB5990"/>
    <w:rsid w:val="00EB59B9"/>
    <w:rsid w:val="00EB5B82"/>
    <w:rsid w:val="00EB5CF9"/>
    <w:rsid w:val="00EB5F28"/>
    <w:rsid w:val="00EB5F65"/>
    <w:rsid w:val="00EB6581"/>
    <w:rsid w:val="00EB66BE"/>
    <w:rsid w:val="00EB6888"/>
    <w:rsid w:val="00EB695B"/>
    <w:rsid w:val="00EB6A7F"/>
    <w:rsid w:val="00EB6D24"/>
    <w:rsid w:val="00EB6DA7"/>
    <w:rsid w:val="00EB71B6"/>
    <w:rsid w:val="00EB733F"/>
    <w:rsid w:val="00EB7802"/>
    <w:rsid w:val="00EB7CB9"/>
    <w:rsid w:val="00EC00AE"/>
    <w:rsid w:val="00EC0135"/>
    <w:rsid w:val="00EC01C0"/>
    <w:rsid w:val="00EC03AC"/>
    <w:rsid w:val="00EC0713"/>
    <w:rsid w:val="00EC074F"/>
    <w:rsid w:val="00EC0835"/>
    <w:rsid w:val="00EC087B"/>
    <w:rsid w:val="00EC0FF3"/>
    <w:rsid w:val="00EC1114"/>
    <w:rsid w:val="00EC12AE"/>
    <w:rsid w:val="00EC13F8"/>
    <w:rsid w:val="00EC14CE"/>
    <w:rsid w:val="00EC1852"/>
    <w:rsid w:val="00EC19E6"/>
    <w:rsid w:val="00EC1B03"/>
    <w:rsid w:val="00EC1BC5"/>
    <w:rsid w:val="00EC1DFC"/>
    <w:rsid w:val="00EC2025"/>
    <w:rsid w:val="00EC23BF"/>
    <w:rsid w:val="00EC23C5"/>
    <w:rsid w:val="00EC2A74"/>
    <w:rsid w:val="00EC2B89"/>
    <w:rsid w:val="00EC2C64"/>
    <w:rsid w:val="00EC2FF3"/>
    <w:rsid w:val="00EC301F"/>
    <w:rsid w:val="00EC33F4"/>
    <w:rsid w:val="00EC38C0"/>
    <w:rsid w:val="00EC38C3"/>
    <w:rsid w:val="00EC3A62"/>
    <w:rsid w:val="00EC3B80"/>
    <w:rsid w:val="00EC3BDB"/>
    <w:rsid w:val="00EC4097"/>
    <w:rsid w:val="00EC4215"/>
    <w:rsid w:val="00EC4267"/>
    <w:rsid w:val="00EC42A9"/>
    <w:rsid w:val="00EC42B2"/>
    <w:rsid w:val="00EC43A0"/>
    <w:rsid w:val="00EC43CD"/>
    <w:rsid w:val="00EC453C"/>
    <w:rsid w:val="00EC464E"/>
    <w:rsid w:val="00EC494F"/>
    <w:rsid w:val="00EC4DF4"/>
    <w:rsid w:val="00EC4E64"/>
    <w:rsid w:val="00EC50D6"/>
    <w:rsid w:val="00EC5261"/>
    <w:rsid w:val="00EC5521"/>
    <w:rsid w:val="00EC557C"/>
    <w:rsid w:val="00EC56FB"/>
    <w:rsid w:val="00EC56FD"/>
    <w:rsid w:val="00EC5927"/>
    <w:rsid w:val="00EC59C1"/>
    <w:rsid w:val="00EC5A9D"/>
    <w:rsid w:val="00EC5AB9"/>
    <w:rsid w:val="00EC5D97"/>
    <w:rsid w:val="00EC5D9D"/>
    <w:rsid w:val="00EC5E0D"/>
    <w:rsid w:val="00EC60BE"/>
    <w:rsid w:val="00EC60F0"/>
    <w:rsid w:val="00EC6130"/>
    <w:rsid w:val="00EC6179"/>
    <w:rsid w:val="00EC631E"/>
    <w:rsid w:val="00EC655F"/>
    <w:rsid w:val="00EC65CC"/>
    <w:rsid w:val="00EC6624"/>
    <w:rsid w:val="00EC676C"/>
    <w:rsid w:val="00EC692B"/>
    <w:rsid w:val="00EC6BA8"/>
    <w:rsid w:val="00EC6D83"/>
    <w:rsid w:val="00EC6E77"/>
    <w:rsid w:val="00EC6F34"/>
    <w:rsid w:val="00EC7115"/>
    <w:rsid w:val="00EC718D"/>
    <w:rsid w:val="00EC720E"/>
    <w:rsid w:val="00EC73CB"/>
    <w:rsid w:val="00EC7407"/>
    <w:rsid w:val="00EC7460"/>
    <w:rsid w:val="00EC7467"/>
    <w:rsid w:val="00EC7794"/>
    <w:rsid w:val="00EC7A18"/>
    <w:rsid w:val="00EC7B77"/>
    <w:rsid w:val="00EC7B8E"/>
    <w:rsid w:val="00EC7CDB"/>
    <w:rsid w:val="00EC7FE1"/>
    <w:rsid w:val="00EC7FE9"/>
    <w:rsid w:val="00ED0081"/>
    <w:rsid w:val="00ED02B0"/>
    <w:rsid w:val="00ED04C4"/>
    <w:rsid w:val="00ED05D5"/>
    <w:rsid w:val="00ED06B3"/>
    <w:rsid w:val="00ED0718"/>
    <w:rsid w:val="00ED08C6"/>
    <w:rsid w:val="00ED0CFB"/>
    <w:rsid w:val="00ED0E63"/>
    <w:rsid w:val="00ED0E7F"/>
    <w:rsid w:val="00ED0F05"/>
    <w:rsid w:val="00ED0F3B"/>
    <w:rsid w:val="00ED10A7"/>
    <w:rsid w:val="00ED1349"/>
    <w:rsid w:val="00ED13DF"/>
    <w:rsid w:val="00ED15DB"/>
    <w:rsid w:val="00ED1935"/>
    <w:rsid w:val="00ED1964"/>
    <w:rsid w:val="00ED1BD7"/>
    <w:rsid w:val="00ED1C1D"/>
    <w:rsid w:val="00ED1E3A"/>
    <w:rsid w:val="00ED1F5E"/>
    <w:rsid w:val="00ED20BD"/>
    <w:rsid w:val="00ED2224"/>
    <w:rsid w:val="00ED2466"/>
    <w:rsid w:val="00ED24BC"/>
    <w:rsid w:val="00ED2853"/>
    <w:rsid w:val="00ED2A66"/>
    <w:rsid w:val="00ED2CD6"/>
    <w:rsid w:val="00ED2DD3"/>
    <w:rsid w:val="00ED2DF7"/>
    <w:rsid w:val="00ED2FAF"/>
    <w:rsid w:val="00ED30AE"/>
    <w:rsid w:val="00ED32B9"/>
    <w:rsid w:val="00ED333F"/>
    <w:rsid w:val="00ED3380"/>
    <w:rsid w:val="00ED33A5"/>
    <w:rsid w:val="00ED35C7"/>
    <w:rsid w:val="00ED35DD"/>
    <w:rsid w:val="00ED37C7"/>
    <w:rsid w:val="00ED392E"/>
    <w:rsid w:val="00ED3938"/>
    <w:rsid w:val="00ED3BD3"/>
    <w:rsid w:val="00ED40A6"/>
    <w:rsid w:val="00ED42F7"/>
    <w:rsid w:val="00ED43AB"/>
    <w:rsid w:val="00ED43EF"/>
    <w:rsid w:val="00ED4449"/>
    <w:rsid w:val="00ED4581"/>
    <w:rsid w:val="00ED4886"/>
    <w:rsid w:val="00ED48D8"/>
    <w:rsid w:val="00ED4CCB"/>
    <w:rsid w:val="00ED4DAB"/>
    <w:rsid w:val="00ED4F41"/>
    <w:rsid w:val="00ED4F5C"/>
    <w:rsid w:val="00ED518A"/>
    <w:rsid w:val="00ED532D"/>
    <w:rsid w:val="00ED550A"/>
    <w:rsid w:val="00ED59E7"/>
    <w:rsid w:val="00ED5C67"/>
    <w:rsid w:val="00ED60F1"/>
    <w:rsid w:val="00ED619E"/>
    <w:rsid w:val="00ED657B"/>
    <w:rsid w:val="00ED6857"/>
    <w:rsid w:val="00ED6870"/>
    <w:rsid w:val="00ED68C1"/>
    <w:rsid w:val="00ED6C20"/>
    <w:rsid w:val="00ED6D31"/>
    <w:rsid w:val="00ED6DF5"/>
    <w:rsid w:val="00ED6FE3"/>
    <w:rsid w:val="00ED72C8"/>
    <w:rsid w:val="00ED7557"/>
    <w:rsid w:val="00ED76F2"/>
    <w:rsid w:val="00ED7906"/>
    <w:rsid w:val="00ED7C0E"/>
    <w:rsid w:val="00ED7C5D"/>
    <w:rsid w:val="00ED7D76"/>
    <w:rsid w:val="00ED7D7F"/>
    <w:rsid w:val="00ED7DFE"/>
    <w:rsid w:val="00EE00BA"/>
    <w:rsid w:val="00EE0144"/>
    <w:rsid w:val="00EE024E"/>
    <w:rsid w:val="00EE0528"/>
    <w:rsid w:val="00EE059A"/>
    <w:rsid w:val="00EE05D2"/>
    <w:rsid w:val="00EE0BEF"/>
    <w:rsid w:val="00EE0F18"/>
    <w:rsid w:val="00EE0F1D"/>
    <w:rsid w:val="00EE0F50"/>
    <w:rsid w:val="00EE1041"/>
    <w:rsid w:val="00EE1154"/>
    <w:rsid w:val="00EE118E"/>
    <w:rsid w:val="00EE11F1"/>
    <w:rsid w:val="00EE151D"/>
    <w:rsid w:val="00EE1549"/>
    <w:rsid w:val="00EE16EA"/>
    <w:rsid w:val="00EE17D3"/>
    <w:rsid w:val="00EE1B9E"/>
    <w:rsid w:val="00EE1E59"/>
    <w:rsid w:val="00EE1F7F"/>
    <w:rsid w:val="00EE204E"/>
    <w:rsid w:val="00EE20D8"/>
    <w:rsid w:val="00EE20F3"/>
    <w:rsid w:val="00EE2218"/>
    <w:rsid w:val="00EE23CB"/>
    <w:rsid w:val="00EE2750"/>
    <w:rsid w:val="00EE2768"/>
    <w:rsid w:val="00EE27E0"/>
    <w:rsid w:val="00EE2884"/>
    <w:rsid w:val="00EE2902"/>
    <w:rsid w:val="00EE2956"/>
    <w:rsid w:val="00EE29F3"/>
    <w:rsid w:val="00EE2B4E"/>
    <w:rsid w:val="00EE2DE4"/>
    <w:rsid w:val="00EE2F9A"/>
    <w:rsid w:val="00EE30ED"/>
    <w:rsid w:val="00EE30FC"/>
    <w:rsid w:val="00EE320B"/>
    <w:rsid w:val="00EE3309"/>
    <w:rsid w:val="00EE3344"/>
    <w:rsid w:val="00EE338B"/>
    <w:rsid w:val="00EE35F9"/>
    <w:rsid w:val="00EE36A0"/>
    <w:rsid w:val="00EE3B15"/>
    <w:rsid w:val="00EE3DB6"/>
    <w:rsid w:val="00EE3EAC"/>
    <w:rsid w:val="00EE4141"/>
    <w:rsid w:val="00EE42E7"/>
    <w:rsid w:val="00EE431B"/>
    <w:rsid w:val="00EE4398"/>
    <w:rsid w:val="00EE4A7A"/>
    <w:rsid w:val="00EE4BE6"/>
    <w:rsid w:val="00EE4C22"/>
    <w:rsid w:val="00EE4CA0"/>
    <w:rsid w:val="00EE5C38"/>
    <w:rsid w:val="00EE5C77"/>
    <w:rsid w:val="00EE5E31"/>
    <w:rsid w:val="00EE5ED2"/>
    <w:rsid w:val="00EE5F29"/>
    <w:rsid w:val="00EE6439"/>
    <w:rsid w:val="00EE6528"/>
    <w:rsid w:val="00EE6618"/>
    <w:rsid w:val="00EE66EC"/>
    <w:rsid w:val="00EE67B5"/>
    <w:rsid w:val="00EE69F6"/>
    <w:rsid w:val="00EE6BEF"/>
    <w:rsid w:val="00EE6C41"/>
    <w:rsid w:val="00EE6C5E"/>
    <w:rsid w:val="00EE6CBC"/>
    <w:rsid w:val="00EE6D67"/>
    <w:rsid w:val="00EE6F36"/>
    <w:rsid w:val="00EE6FC0"/>
    <w:rsid w:val="00EE7045"/>
    <w:rsid w:val="00EE7933"/>
    <w:rsid w:val="00EE7A92"/>
    <w:rsid w:val="00EE7C58"/>
    <w:rsid w:val="00EF0118"/>
    <w:rsid w:val="00EF0127"/>
    <w:rsid w:val="00EF0664"/>
    <w:rsid w:val="00EF067B"/>
    <w:rsid w:val="00EF06CE"/>
    <w:rsid w:val="00EF06F0"/>
    <w:rsid w:val="00EF0788"/>
    <w:rsid w:val="00EF0A3E"/>
    <w:rsid w:val="00EF0EEF"/>
    <w:rsid w:val="00EF1033"/>
    <w:rsid w:val="00EF107E"/>
    <w:rsid w:val="00EF10D3"/>
    <w:rsid w:val="00EF11B8"/>
    <w:rsid w:val="00EF1356"/>
    <w:rsid w:val="00EF144E"/>
    <w:rsid w:val="00EF1523"/>
    <w:rsid w:val="00EF166B"/>
    <w:rsid w:val="00EF16E8"/>
    <w:rsid w:val="00EF171B"/>
    <w:rsid w:val="00EF1887"/>
    <w:rsid w:val="00EF1946"/>
    <w:rsid w:val="00EF1967"/>
    <w:rsid w:val="00EF1A17"/>
    <w:rsid w:val="00EF1A54"/>
    <w:rsid w:val="00EF1C66"/>
    <w:rsid w:val="00EF1FB6"/>
    <w:rsid w:val="00EF205D"/>
    <w:rsid w:val="00EF206D"/>
    <w:rsid w:val="00EF2088"/>
    <w:rsid w:val="00EF2096"/>
    <w:rsid w:val="00EF2100"/>
    <w:rsid w:val="00EF22D5"/>
    <w:rsid w:val="00EF24D5"/>
    <w:rsid w:val="00EF2658"/>
    <w:rsid w:val="00EF28A5"/>
    <w:rsid w:val="00EF2B82"/>
    <w:rsid w:val="00EF2EF8"/>
    <w:rsid w:val="00EF3177"/>
    <w:rsid w:val="00EF318D"/>
    <w:rsid w:val="00EF33D9"/>
    <w:rsid w:val="00EF3462"/>
    <w:rsid w:val="00EF3477"/>
    <w:rsid w:val="00EF35BD"/>
    <w:rsid w:val="00EF37FC"/>
    <w:rsid w:val="00EF38B7"/>
    <w:rsid w:val="00EF3947"/>
    <w:rsid w:val="00EF398D"/>
    <w:rsid w:val="00EF3AC7"/>
    <w:rsid w:val="00EF3B9A"/>
    <w:rsid w:val="00EF3D1F"/>
    <w:rsid w:val="00EF3EB5"/>
    <w:rsid w:val="00EF407D"/>
    <w:rsid w:val="00EF4199"/>
    <w:rsid w:val="00EF4224"/>
    <w:rsid w:val="00EF4517"/>
    <w:rsid w:val="00EF4D5F"/>
    <w:rsid w:val="00EF4D79"/>
    <w:rsid w:val="00EF4D8B"/>
    <w:rsid w:val="00EF4F16"/>
    <w:rsid w:val="00EF4F64"/>
    <w:rsid w:val="00EF4FCF"/>
    <w:rsid w:val="00EF57AC"/>
    <w:rsid w:val="00EF57EA"/>
    <w:rsid w:val="00EF588E"/>
    <w:rsid w:val="00EF5ADC"/>
    <w:rsid w:val="00EF5C6B"/>
    <w:rsid w:val="00EF5CCB"/>
    <w:rsid w:val="00EF5D97"/>
    <w:rsid w:val="00EF5E88"/>
    <w:rsid w:val="00EF61E1"/>
    <w:rsid w:val="00EF6347"/>
    <w:rsid w:val="00EF6386"/>
    <w:rsid w:val="00EF6987"/>
    <w:rsid w:val="00EF6A2D"/>
    <w:rsid w:val="00EF6AB2"/>
    <w:rsid w:val="00EF6ACF"/>
    <w:rsid w:val="00EF6E46"/>
    <w:rsid w:val="00EF6EBF"/>
    <w:rsid w:val="00EF6FB5"/>
    <w:rsid w:val="00EF751F"/>
    <w:rsid w:val="00EF756E"/>
    <w:rsid w:val="00EF75AB"/>
    <w:rsid w:val="00EF75D9"/>
    <w:rsid w:val="00EF76AE"/>
    <w:rsid w:val="00EF777B"/>
    <w:rsid w:val="00EF7863"/>
    <w:rsid w:val="00EF7914"/>
    <w:rsid w:val="00EF79CC"/>
    <w:rsid w:val="00EF7D33"/>
    <w:rsid w:val="00EF7D45"/>
    <w:rsid w:val="00F003CD"/>
    <w:rsid w:val="00F003FC"/>
    <w:rsid w:val="00F0041D"/>
    <w:rsid w:val="00F0046F"/>
    <w:rsid w:val="00F0054C"/>
    <w:rsid w:val="00F0058F"/>
    <w:rsid w:val="00F0059F"/>
    <w:rsid w:val="00F0072B"/>
    <w:rsid w:val="00F007C2"/>
    <w:rsid w:val="00F00825"/>
    <w:rsid w:val="00F00B58"/>
    <w:rsid w:val="00F00D6E"/>
    <w:rsid w:val="00F00F05"/>
    <w:rsid w:val="00F01080"/>
    <w:rsid w:val="00F010B8"/>
    <w:rsid w:val="00F0142D"/>
    <w:rsid w:val="00F01431"/>
    <w:rsid w:val="00F01C4B"/>
    <w:rsid w:val="00F01DF4"/>
    <w:rsid w:val="00F02263"/>
    <w:rsid w:val="00F0226A"/>
    <w:rsid w:val="00F02453"/>
    <w:rsid w:val="00F026BF"/>
    <w:rsid w:val="00F02861"/>
    <w:rsid w:val="00F028FD"/>
    <w:rsid w:val="00F02A80"/>
    <w:rsid w:val="00F02A97"/>
    <w:rsid w:val="00F02AAA"/>
    <w:rsid w:val="00F02F94"/>
    <w:rsid w:val="00F0311C"/>
    <w:rsid w:val="00F03174"/>
    <w:rsid w:val="00F031C4"/>
    <w:rsid w:val="00F03444"/>
    <w:rsid w:val="00F0348B"/>
    <w:rsid w:val="00F03707"/>
    <w:rsid w:val="00F03713"/>
    <w:rsid w:val="00F038DD"/>
    <w:rsid w:val="00F03977"/>
    <w:rsid w:val="00F03D67"/>
    <w:rsid w:val="00F03FF3"/>
    <w:rsid w:val="00F04002"/>
    <w:rsid w:val="00F04101"/>
    <w:rsid w:val="00F041F9"/>
    <w:rsid w:val="00F04665"/>
    <w:rsid w:val="00F046C0"/>
    <w:rsid w:val="00F0482E"/>
    <w:rsid w:val="00F04882"/>
    <w:rsid w:val="00F049C4"/>
    <w:rsid w:val="00F05003"/>
    <w:rsid w:val="00F050AE"/>
    <w:rsid w:val="00F0520F"/>
    <w:rsid w:val="00F053DE"/>
    <w:rsid w:val="00F058E6"/>
    <w:rsid w:val="00F059B6"/>
    <w:rsid w:val="00F05A06"/>
    <w:rsid w:val="00F05A67"/>
    <w:rsid w:val="00F05C63"/>
    <w:rsid w:val="00F05D68"/>
    <w:rsid w:val="00F05E48"/>
    <w:rsid w:val="00F06170"/>
    <w:rsid w:val="00F06200"/>
    <w:rsid w:val="00F0650D"/>
    <w:rsid w:val="00F06650"/>
    <w:rsid w:val="00F06694"/>
    <w:rsid w:val="00F0670A"/>
    <w:rsid w:val="00F06723"/>
    <w:rsid w:val="00F06730"/>
    <w:rsid w:val="00F067BC"/>
    <w:rsid w:val="00F06829"/>
    <w:rsid w:val="00F06AC1"/>
    <w:rsid w:val="00F06E8C"/>
    <w:rsid w:val="00F06ECD"/>
    <w:rsid w:val="00F06F32"/>
    <w:rsid w:val="00F07316"/>
    <w:rsid w:val="00F0731E"/>
    <w:rsid w:val="00F07385"/>
    <w:rsid w:val="00F07410"/>
    <w:rsid w:val="00F07433"/>
    <w:rsid w:val="00F077D4"/>
    <w:rsid w:val="00F07B3F"/>
    <w:rsid w:val="00F07C3E"/>
    <w:rsid w:val="00F07DCC"/>
    <w:rsid w:val="00F101D5"/>
    <w:rsid w:val="00F104A7"/>
    <w:rsid w:val="00F1081F"/>
    <w:rsid w:val="00F10897"/>
    <w:rsid w:val="00F108B5"/>
    <w:rsid w:val="00F108C4"/>
    <w:rsid w:val="00F10914"/>
    <w:rsid w:val="00F10D75"/>
    <w:rsid w:val="00F10DC9"/>
    <w:rsid w:val="00F10E76"/>
    <w:rsid w:val="00F10EF2"/>
    <w:rsid w:val="00F11360"/>
    <w:rsid w:val="00F114E6"/>
    <w:rsid w:val="00F1180B"/>
    <w:rsid w:val="00F11DEA"/>
    <w:rsid w:val="00F11EB8"/>
    <w:rsid w:val="00F122B1"/>
    <w:rsid w:val="00F123AC"/>
    <w:rsid w:val="00F123F6"/>
    <w:rsid w:val="00F12485"/>
    <w:rsid w:val="00F1285C"/>
    <w:rsid w:val="00F128F4"/>
    <w:rsid w:val="00F129BB"/>
    <w:rsid w:val="00F12B23"/>
    <w:rsid w:val="00F12C87"/>
    <w:rsid w:val="00F12C8C"/>
    <w:rsid w:val="00F12C94"/>
    <w:rsid w:val="00F12D85"/>
    <w:rsid w:val="00F13349"/>
    <w:rsid w:val="00F1351B"/>
    <w:rsid w:val="00F1366D"/>
    <w:rsid w:val="00F13691"/>
    <w:rsid w:val="00F137F4"/>
    <w:rsid w:val="00F139B9"/>
    <w:rsid w:val="00F13AF2"/>
    <w:rsid w:val="00F13BC9"/>
    <w:rsid w:val="00F13C26"/>
    <w:rsid w:val="00F13E15"/>
    <w:rsid w:val="00F13FCF"/>
    <w:rsid w:val="00F1420B"/>
    <w:rsid w:val="00F1422B"/>
    <w:rsid w:val="00F14289"/>
    <w:rsid w:val="00F14803"/>
    <w:rsid w:val="00F14ABB"/>
    <w:rsid w:val="00F14E7B"/>
    <w:rsid w:val="00F15079"/>
    <w:rsid w:val="00F15379"/>
    <w:rsid w:val="00F153CE"/>
    <w:rsid w:val="00F1545C"/>
    <w:rsid w:val="00F15646"/>
    <w:rsid w:val="00F15936"/>
    <w:rsid w:val="00F15942"/>
    <w:rsid w:val="00F15C86"/>
    <w:rsid w:val="00F15E57"/>
    <w:rsid w:val="00F15E8A"/>
    <w:rsid w:val="00F160B9"/>
    <w:rsid w:val="00F16319"/>
    <w:rsid w:val="00F16622"/>
    <w:rsid w:val="00F16877"/>
    <w:rsid w:val="00F169A8"/>
    <w:rsid w:val="00F16A9A"/>
    <w:rsid w:val="00F16BA1"/>
    <w:rsid w:val="00F16CE6"/>
    <w:rsid w:val="00F16DF8"/>
    <w:rsid w:val="00F16E91"/>
    <w:rsid w:val="00F16FBC"/>
    <w:rsid w:val="00F170B3"/>
    <w:rsid w:val="00F17218"/>
    <w:rsid w:val="00F174D1"/>
    <w:rsid w:val="00F178A8"/>
    <w:rsid w:val="00F17928"/>
    <w:rsid w:val="00F1794C"/>
    <w:rsid w:val="00F17AD4"/>
    <w:rsid w:val="00F17C1A"/>
    <w:rsid w:val="00F17E1C"/>
    <w:rsid w:val="00F17E9E"/>
    <w:rsid w:val="00F17F53"/>
    <w:rsid w:val="00F17F5E"/>
    <w:rsid w:val="00F17FDF"/>
    <w:rsid w:val="00F200B4"/>
    <w:rsid w:val="00F2015C"/>
    <w:rsid w:val="00F20197"/>
    <w:rsid w:val="00F201C6"/>
    <w:rsid w:val="00F202FE"/>
    <w:rsid w:val="00F206B3"/>
    <w:rsid w:val="00F207D1"/>
    <w:rsid w:val="00F209DC"/>
    <w:rsid w:val="00F20B4D"/>
    <w:rsid w:val="00F211DC"/>
    <w:rsid w:val="00F2147C"/>
    <w:rsid w:val="00F21709"/>
    <w:rsid w:val="00F2172D"/>
    <w:rsid w:val="00F2178C"/>
    <w:rsid w:val="00F21918"/>
    <w:rsid w:val="00F219F2"/>
    <w:rsid w:val="00F21B97"/>
    <w:rsid w:val="00F21B9D"/>
    <w:rsid w:val="00F21F38"/>
    <w:rsid w:val="00F21FC8"/>
    <w:rsid w:val="00F22040"/>
    <w:rsid w:val="00F2222E"/>
    <w:rsid w:val="00F22308"/>
    <w:rsid w:val="00F224D1"/>
    <w:rsid w:val="00F225C0"/>
    <w:rsid w:val="00F22922"/>
    <w:rsid w:val="00F22BD1"/>
    <w:rsid w:val="00F22C58"/>
    <w:rsid w:val="00F22D11"/>
    <w:rsid w:val="00F22DF8"/>
    <w:rsid w:val="00F22E12"/>
    <w:rsid w:val="00F22E82"/>
    <w:rsid w:val="00F22F59"/>
    <w:rsid w:val="00F22FB7"/>
    <w:rsid w:val="00F2305B"/>
    <w:rsid w:val="00F232B6"/>
    <w:rsid w:val="00F232D0"/>
    <w:rsid w:val="00F23306"/>
    <w:rsid w:val="00F23710"/>
    <w:rsid w:val="00F23DC7"/>
    <w:rsid w:val="00F23FFF"/>
    <w:rsid w:val="00F24060"/>
    <w:rsid w:val="00F24112"/>
    <w:rsid w:val="00F241F4"/>
    <w:rsid w:val="00F24288"/>
    <w:rsid w:val="00F245EA"/>
    <w:rsid w:val="00F24631"/>
    <w:rsid w:val="00F246FC"/>
    <w:rsid w:val="00F248DC"/>
    <w:rsid w:val="00F24A62"/>
    <w:rsid w:val="00F24C97"/>
    <w:rsid w:val="00F24FB6"/>
    <w:rsid w:val="00F25073"/>
    <w:rsid w:val="00F25099"/>
    <w:rsid w:val="00F250AA"/>
    <w:rsid w:val="00F25369"/>
    <w:rsid w:val="00F25443"/>
    <w:rsid w:val="00F255A2"/>
    <w:rsid w:val="00F25706"/>
    <w:rsid w:val="00F25721"/>
    <w:rsid w:val="00F2576C"/>
    <w:rsid w:val="00F25778"/>
    <w:rsid w:val="00F25901"/>
    <w:rsid w:val="00F26146"/>
    <w:rsid w:val="00F2626A"/>
    <w:rsid w:val="00F26459"/>
    <w:rsid w:val="00F26474"/>
    <w:rsid w:val="00F265F8"/>
    <w:rsid w:val="00F26601"/>
    <w:rsid w:val="00F268A9"/>
    <w:rsid w:val="00F268B6"/>
    <w:rsid w:val="00F26929"/>
    <w:rsid w:val="00F2692F"/>
    <w:rsid w:val="00F26B64"/>
    <w:rsid w:val="00F26B73"/>
    <w:rsid w:val="00F26DDF"/>
    <w:rsid w:val="00F26F13"/>
    <w:rsid w:val="00F27191"/>
    <w:rsid w:val="00F274C8"/>
    <w:rsid w:val="00F27541"/>
    <w:rsid w:val="00F275F6"/>
    <w:rsid w:val="00F27644"/>
    <w:rsid w:val="00F27744"/>
    <w:rsid w:val="00F27804"/>
    <w:rsid w:val="00F27AA9"/>
    <w:rsid w:val="00F27DFC"/>
    <w:rsid w:val="00F27EDF"/>
    <w:rsid w:val="00F27FB5"/>
    <w:rsid w:val="00F301DC"/>
    <w:rsid w:val="00F3023F"/>
    <w:rsid w:val="00F3026B"/>
    <w:rsid w:val="00F3039D"/>
    <w:rsid w:val="00F3040C"/>
    <w:rsid w:val="00F3054D"/>
    <w:rsid w:val="00F305C0"/>
    <w:rsid w:val="00F30754"/>
    <w:rsid w:val="00F30844"/>
    <w:rsid w:val="00F30CB1"/>
    <w:rsid w:val="00F30D50"/>
    <w:rsid w:val="00F30F67"/>
    <w:rsid w:val="00F31390"/>
    <w:rsid w:val="00F315C3"/>
    <w:rsid w:val="00F318E4"/>
    <w:rsid w:val="00F319A7"/>
    <w:rsid w:val="00F31B63"/>
    <w:rsid w:val="00F31E28"/>
    <w:rsid w:val="00F32146"/>
    <w:rsid w:val="00F32181"/>
    <w:rsid w:val="00F3228F"/>
    <w:rsid w:val="00F32391"/>
    <w:rsid w:val="00F32511"/>
    <w:rsid w:val="00F325CF"/>
    <w:rsid w:val="00F328D8"/>
    <w:rsid w:val="00F329CE"/>
    <w:rsid w:val="00F32A3A"/>
    <w:rsid w:val="00F32A76"/>
    <w:rsid w:val="00F32B5C"/>
    <w:rsid w:val="00F32E4C"/>
    <w:rsid w:val="00F32F72"/>
    <w:rsid w:val="00F3325F"/>
    <w:rsid w:val="00F33308"/>
    <w:rsid w:val="00F33625"/>
    <w:rsid w:val="00F336A3"/>
    <w:rsid w:val="00F33727"/>
    <w:rsid w:val="00F339FF"/>
    <w:rsid w:val="00F33B28"/>
    <w:rsid w:val="00F33BBE"/>
    <w:rsid w:val="00F33CFF"/>
    <w:rsid w:val="00F33EB4"/>
    <w:rsid w:val="00F3413D"/>
    <w:rsid w:val="00F3425B"/>
    <w:rsid w:val="00F342B4"/>
    <w:rsid w:val="00F34332"/>
    <w:rsid w:val="00F34378"/>
    <w:rsid w:val="00F34631"/>
    <w:rsid w:val="00F348D5"/>
    <w:rsid w:val="00F349A6"/>
    <w:rsid w:val="00F34AE4"/>
    <w:rsid w:val="00F34E94"/>
    <w:rsid w:val="00F34F67"/>
    <w:rsid w:val="00F35143"/>
    <w:rsid w:val="00F3519D"/>
    <w:rsid w:val="00F35201"/>
    <w:rsid w:val="00F353C1"/>
    <w:rsid w:val="00F3541D"/>
    <w:rsid w:val="00F3549B"/>
    <w:rsid w:val="00F355A8"/>
    <w:rsid w:val="00F35A59"/>
    <w:rsid w:val="00F35A82"/>
    <w:rsid w:val="00F35A8A"/>
    <w:rsid w:val="00F35B0B"/>
    <w:rsid w:val="00F35C3A"/>
    <w:rsid w:val="00F35D00"/>
    <w:rsid w:val="00F35D43"/>
    <w:rsid w:val="00F35DBB"/>
    <w:rsid w:val="00F36235"/>
    <w:rsid w:val="00F36351"/>
    <w:rsid w:val="00F3641F"/>
    <w:rsid w:val="00F36600"/>
    <w:rsid w:val="00F3678D"/>
    <w:rsid w:val="00F3697F"/>
    <w:rsid w:val="00F36A2E"/>
    <w:rsid w:val="00F36B6F"/>
    <w:rsid w:val="00F36F12"/>
    <w:rsid w:val="00F37026"/>
    <w:rsid w:val="00F3704D"/>
    <w:rsid w:val="00F370E7"/>
    <w:rsid w:val="00F372A1"/>
    <w:rsid w:val="00F372C2"/>
    <w:rsid w:val="00F374D0"/>
    <w:rsid w:val="00F37984"/>
    <w:rsid w:val="00F37AD8"/>
    <w:rsid w:val="00F37BFE"/>
    <w:rsid w:val="00F37C3D"/>
    <w:rsid w:val="00F37CF5"/>
    <w:rsid w:val="00F40083"/>
    <w:rsid w:val="00F4021B"/>
    <w:rsid w:val="00F4021F"/>
    <w:rsid w:val="00F40397"/>
    <w:rsid w:val="00F403C6"/>
    <w:rsid w:val="00F404D8"/>
    <w:rsid w:val="00F409C5"/>
    <w:rsid w:val="00F40DE3"/>
    <w:rsid w:val="00F40E29"/>
    <w:rsid w:val="00F410D6"/>
    <w:rsid w:val="00F41458"/>
    <w:rsid w:val="00F4164B"/>
    <w:rsid w:val="00F417B2"/>
    <w:rsid w:val="00F41915"/>
    <w:rsid w:val="00F41BF3"/>
    <w:rsid w:val="00F41C1A"/>
    <w:rsid w:val="00F4205D"/>
    <w:rsid w:val="00F420E4"/>
    <w:rsid w:val="00F4220B"/>
    <w:rsid w:val="00F422DB"/>
    <w:rsid w:val="00F4232B"/>
    <w:rsid w:val="00F4240F"/>
    <w:rsid w:val="00F4262D"/>
    <w:rsid w:val="00F4273C"/>
    <w:rsid w:val="00F428A9"/>
    <w:rsid w:val="00F428C4"/>
    <w:rsid w:val="00F428F8"/>
    <w:rsid w:val="00F42B24"/>
    <w:rsid w:val="00F42CA5"/>
    <w:rsid w:val="00F42D46"/>
    <w:rsid w:val="00F42E2E"/>
    <w:rsid w:val="00F42E8C"/>
    <w:rsid w:val="00F43019"/>
    <w:rsid w:val="00F430C5"/>
    <w:rsid w:val="00F4322B"/>
    <w:rsid w:val="00F43268"/>
    <w:rsid w:val="00F4340D"/>
    <w:rsid w:val="00F43467"/>
    <w:rsid w:val="00F434D8"/>
    <w:rsid w:val="00F435F1"/>
    <w:rsid w:val="00F43615"/>
    <w:rsid w:val="00F4376D"/>
    <w:rsid w:val="00F43827"/>
    <w:rsid w:val="00F43922"/>
    <w:rsid w:val="00F43C94"/>
    <w:rsid w:val="00F43D61"/>
    <w:rsid w:val="00F43DCC"/>
    <w:rsid w:val="00F44033"/>
    <w:rsid w:val="00F44255"/>
    <w:rsid w:val="00F4445D"/>
    <w:rsid w:val="00F4459E"/>
    <w:rsid w:val="00F4464B"/>
    <w:rsid w:val="00F44677"/>
    <w:rsid w:val="00F44A38"/>
    <w:rsid w:val="00F44B1D"/>
    <w:rsid w:val="00F44B9C"/>
    <w:rsid w:val="00F44F40"/>
    <w:rsid w:val="00F45087"/>
    <w:rsid w:val="00F4508A"/>
    <w:rsid w:val="00F450C6"/>
    <w:rsid w:val="00F452A4"/>
    <w:rsid w:val="00F452C7"/>
    <w:rsid w:val="00F452FE"/>
    <w:rsid w:val="00F455E1"/>
    <w:rsid w:val="00F45717"/>
    <w:rsid w:val="00F4573E"/>
    <w:rsid w:val="00F45A27"/>
    <w:rsid w:val="00F45B21"/>
    <w:rsid w:val="00F45C17"/>
    <w:rsid w:val="00F45C3D"/>
    <w:rsid w:val="00F45C6F"/>
    <w:rsid w:val="00F45CA5"/>
    <w:rsid w:val="00F45E57"/>
    <w:rsid w:val="00F46073"/>
    <w:rsid w:val="00F46139"/>
    <w:rsid w:val="00F46193"/>
    <w:rsid w:val="00F464CB"/>
    <w:rsid w:val="00F46582"/>
    <w:rsid w:val="00F46626"/>
    <w:rsid w:val="00F467C0"/>
    <w:rsid w:val="00F467E3"/>
    <w:rsid w:val="00F46AE3"/>
    <w:rsid w:val="00F46B51"/>
    <w:rsid w:val="00F47084"/>
    <w:rsid w:val="00F471B3"/>
    <w:rsid w:val="00F475E7"/>
    <w:rsid w:val="00F47623"/>
    <w:rsid w:val="00F47954"/>
    <w:rsid w:val="00F47AF5"/>
    <w:rsid w:val="00F47B3C"/>
    <w:rsid w:val="00F47C7B"/>
    <w:rsid w:val="00F47C88"/>
    <w:rsid w:val="00F50019"/>
    <w:rsid w:val="00F502DB"/>
    <w:rsid w:val="00F50306"/>
    <w:rsid w:val="00F50374"/>
    <w:rsid w:val="00F50403"/>
    <w:rsid w:val="00F5042D"/>
    <w:rsid w:val="00F5056B"/>
    <w:rsid w:val="00F50695"/>
    <w:rsid w:val="00F50A4C"/>
    <w:rsid w:val="00F50B89"/>
    <w:rsid w:val="00F50FAF"/>
    <w:rsid w:val="00F51093"/>
    <w:rsid w:val="00F511AC"/>
    <w:rsid w:val="00F51327"/>
    <w:rsid w:val="00F5171E"/>
    <w:rsid w:val="00F5189F"/>
    <w:rsid w:val="00F519CA"/>
    <w:rsid w:val="00F51B0E"/>
    <w:rsid w:val="00F51EEB"/>
    <w:rsid w:val="00F52019"/>
    <w:rsid w:val="00F521C6"/>
    <w:rsid w:val="00F522DD"/>
    <w:rsid w:val="00F52529"/>
    <w:rsid w:val="00F525BB"/>
    <w:rsid w:val="00F52684"/>
    <w:rsid w:val="00F526FC"/>
    <w:rsid w:val="00F52896"/>
    <w:rsid w:val="00F52BCB"/>
    <w:rsid w:val="00F52CB9"/>
    <w:rsid w:val="00F52EFF"/>
    <w:rsid w:val="00F531A8"/>
    <w:rsid w:val="00F53294"/>
    <w:rsid w:val="00F533C1"/>
    <w:rsid w:val="00F537BE"/>
    <w:rsid w:val="00F53992"/>
    <w:rsid w:val="00F53A67"/>
    <w:rsid w:val="00F53EE4"/>
    <w:rsid w:val="00F540CC"/>
    <w:rsid w:val="00F54444"/>
    <w:rsid w:val="00F544F1"/>
    <w:rsid w:val="00F54513"/>
    <w:rsid w:val="00F54716"/>
    <w:rsid w:val="00F54A24"/>
    <w:rsid w:val="00F54A2E"/>
    <w:rsid w:val="00F54CBE"/>
    <w:rsid w:val="00F54D65"/>
    <w:rsid w:val="00F54D88"/>
    <w:rsid w:val="00F54F0B"/>
    <w:rsid w:val="00F5506A"/>
    <w:rsid w:val="00F553EF"/>
    <w:rsid w:val="00F55525"/>
    <w:rsid w:val="00F557D9"/>
    <w:rsid w:val="00F55A66"/>
    <w:rsid w:val="00F55AC0"/>
    <w:rsid w:val="00F55B52"/>
    <w:rsid w:val="00F55C31"/>
    <w:rsid w:val="00F55D61"/>
    <w:rsid w:val="00F55DAE"/>
    <w:rsid w:val="00F55FC2"/>
    <w:rsid w:val="00F563F0"/>
    <w:rsid w:val="00F5642A"/>
    <w:rsid w:val="00F56533"/>
    <w:rsid w:val="00F565BB"/>
    <w:rsid w:val="00F566E4"/>
    <w:rsid w:val="00F567C5"/>
    <w:rsid w:val="00F56D59"/>
    <w:rsid w:val="00F56D9F"/>
    <w:rsid w:val="00F5708B"/>
    <w:rsid w:val="00F572C8"/>
    <w:rsid w:val="00F572F2"/>
    <w:rsid w:val="00F57456"/>
    <w:rsid w:val="00F574A1"/>
    <w:rsid w:val="00F576EC"/>
    <w:rsid w:val="00F57715"/>
    <w:rsid w:val="00F57997"/>
    <w:rsid w:val="00F57D50"/>
    <w:rsid w:val="00F57DE4"/>
    <w:rsid w:val="00F601B3"/>
    <w:rsid w:val="00F608D6"/>
    <w:rsid w:val="00F608F3"/>
    <w:rsid w:val="00F60968"/>
    <w:rsid w:val="00F60ABC"/>
    <w:rsid w:val="00F60B05"/>
    <w:rsid w:val="00F60DA5"/>
    <w:rsid w:val="00F60DF9"/>
    <w:rsid w:val="00F60E3C"/>
    <w:rsid w:val="00F60FA5"/>
    <w:rsid w:val="00F60FB4"/>
    <w:rsid w:val="00F61156"/>
    <w:rsid w:val="00F611C9"/>
    <w:rsid w:val="00F61348"/>
    <w:rsid w:val="00F615F1"/>
    <w:rsid w:val="00F61640"/>
    <w:rsid w:val="00F61684"/>
    <w:rsid w:val="00F61731"/>
    <w:rsid w:val="00F617A3"/>
    <w:rsid w:val="00F617DA"/>
    <w:rsid w:val="00F6185A"/>
    <w:rsid w:val="00F618F9"/>
    <w:rsid w:val="00F61942"/>
    <w:rsid w:val="00F619D9"/>
    <w:rsid w:val="00F61A15"/>
    <w:rsid w:val="00F61A81"/>
    <w:rsid w:val="00F61B27"/>
    <w:rsid w:val="00F61B74"/>
    <w:rsid w:val="00F61B8C"/>
    <w:rsid w:val="00F61C00"/>
    <w:rsid w:val="00F61F00"/>
    <w:rsid w:val="00F620F9"/>
    <w:rsid w:val="00F6215D"/>
    <w:rsid w:val="00F621F5"/>
    <w:rsid w:val="00F6249A"/>
    <w:rsid w:val="00F625AD"/>
    <w:rsid w:val="00F628BD"/>
    <w:rsid w:val="00F63003"/>
    <w:rsid w:val="00F631A2"/>
    <w:rsid w:val="00F63226"/>
    <w:rsid w:val="00F63325"/>
    <w:rsid w:val="00F63356"/>
    <w:rsid w:val="00F63437"/>
    <w:rsid w:val="00F6372B"/>
    <w:rsid w:val="00F638CE"/>
    <w:rsid w:val="00F63903"/>
    <w:rsid w:val="00F63C4A"/>
    <w:rsid w:val="00F6406B"/>
    <w:rsid w:val="00F64519"/>
    <w:rsid w:val="00F64747"/>
    <w:rsid w:val="00F647C8"/>
    <w:rsid w:val="00F64891"/>
    <w:rsid w:val="00F64D35"/>
    <w:rsid w:val="00F64E5A"/>
    <w:rsid w:val="00F65075"/>
    <w:rsid w:val="00F653BD"/>
    <w:rsid w:val="00F654D2"/>
    <w:rsid w:val="00F654E6"/>
    <w:rsid w:val="00F65653"/>
    <w:rsid w:val="00F657C0"/>
    <w:rsid w:val="00F65DAF"/>
    <w:rsid w:val="00F65E4F"/>
    <w:rsid w:val="00F66795"/>
    <w:rsid w:val="00F66959"/>
    <w:rsid w:val="00F669EC"/>
    <w:rsid w:val="00F66C8C"/>
    <w:rsid w:val="00F66C93"/>
    <w:rsid w:val="00F66CDF"/>
    <w:rsid w:val="00F67271"/>
    <w:rsid w:val="00F672F8"/>
    <w:rsid w:val="00F67571"/>
    <w:rsid w:val="00F679B7"/>
    <w:rsid w:val="00F67ADB"/>
    <w:rsid w:val="00F67B12"/>
    <w:rsid w:val="00F67BB6"/>
    <w:rsid w:val="00F67E8C"/>
    <w:rsid w:val="00F67FE4"/>
    <w:rsid w:val="00F67FE9"/>
    <w:rsid w:val="00F705A5"/>
    <w:rsid w:val="00F705CA"/>
    <w:rsid w:val="00F70637"/>
    <w:rsid w:val="00F7086C"/>
    <w:rsid w:val="00F708C8"/>
    <w:rsid w:val="00F70984"/>
    <w:rsid w:val="00F70EF5"/>
    <w:rsid w:val="00F70F38"/>
    <w:rsid w:val="00F70FF8"/>
    <w:rsid w:val="00F71360"/>
    <w:rsid w:val="00F71682"/>
    <w:rsid w:val="00F716CF"/>
    <w:rsid w:val="00F71744"/>
    <w:rsid w:val="00F7176F"/>
    <w:rsid w:val="00F7182F"/>
    <w:rsid w:val="00F7192A"/>
    <w:rsid w:val="00F71A20"/>
    <w:rsid w:val="00F71BBB"/>
    <w:rsid w:val="00F71CEF"/>
    <w:rsid w:val="00F71FE2"/>
    <w:rsid w:val="00F720C2"/>
    <w:rsid w:val="00F72266"/>
    <w:rsid w:val="00F725EB"/>
    <w:rsid w:val="00F727D5"/>
    <w:rsid w:val="00F72932"/>
    <w:rsid w:val="00F729A6"/>
    <w:rsid w:val="00F72A9D"/>
    <w:rsid w:val="00F72E48"/>
    <w:rsid w:val="00F72F55"/>
    <w:rsid w:val="00F72FB6"/>
    <w:rsid w:val="00F7312F"/>
    <w:rsid w:val="00F731FC"/>
    <w:rsid w:val="00F733E5"/>
    <w:rsid w:val="00F734B5"/>
    <w:rsid w:val="00F73579"/>
    <w:rsid w:val="00F735C3"/>
    <w:rsid w:val="00F735F6"/>
    <w:rsid w:val="00F7361D"/>
    <w:rsid w:val="00F73702"/>
    <w:rsid w:val="00F73716"/>
    <w:rsid w:val="00F737B2"/>
    <w:rsid w:val="00F73D20"/>
    <w:rsid w:val="00F740A8"/>
    <w:rsid w:val="00F74176"/>
    <w:rsid w:val="00F74306"/>
    <w:rsid w:val="00F74331"/>
    <w:rsid w:val="00F74452"/>
    <w:rsid w:val="00F74502"/>
    <w:rsid w:val="00F7460B"/>
    <w:rsid w:val="00F746DB"/>
    <w:rsid w:val="00F74733"/>
    <w:rsid w:val="00F74CC9"/>
    <w:rsid w:val="00F74E12"/>
    <w:rsid w:val="00F74E79"/>
    <w:rsid w:val="00F75029"/>
    <w:rsid w:val="00F75089"/>
    <w:rsid w:val="00F750F8"/>
    <w:rsid w:val="00F7535D"/>
    <w:rsid w:val="00F7566B"/>
    <w:rsid w:val="00F757FD"/>
    <w:rsid w:val="00F75D4B"/>
    <w:rsid w:val="00F75EA3"/>
    <w:rsid w:val="00F75F75"/>
    <w:rsid w:val="00F75FEA"/>
    <w:rsid w:val="00F7623F"/>
    <w:rsid w:val="00F762BD"/>
    <w:rsid w:val="00F76356"/>
    <w:rsid w:val="00F763DE"/>
    <w:rsid w:val="00F76507"/>
    <w:rsid w:val="00F765A2"/>
    <w:rsid w:val="00F765D3"/>
    <w:rsid w:val="00F76608"/>
    <w:rsid w:val="00F7677C"/>
    <w:rsid w:val="00F767F8"/>
    <w:rsid w:val="00F76A40"/>
    <w:rsid w:val="00F76F84"/>
    <w:rsid w:val="00F7702D"/>
    <w:rsid w:val="00F771E5"/>
    <w:rsid w:val="00F77208"/>
    <w:rsid w:val="00F77352"/>
    <w:rsid w:val="00F77372"/>
    <w:rsid w:val="00F77876"/>
    <w:rsid w:val="00F77913"/>
    <w:rsid w:val="00F77932"/>
    <w:rsid w:val="00F77BE1"/>
    <w:rsid w:val="00F77C41"/>
    <w:rsid w:val="00F77DBF"/>
    <w:rsid w:val="00F77EBE"/>
    <w:rsid w:val="00F80057"/>
    <w:rsid w:val="00F80243"/>
    <w:rsid w:val="00F802C6"/>
    <w:rsid w:val="00F8042D"/>
    <w:rsid w:val="00F80502"/>
    <w:rsid w:val="00F8054F"/>
    <w:rsid w:val="00F8076D"/>
    <w:rsid w:val="00F80B64"/>
    <w:rsid w:val="00F80BD7"/>
    <w:rsid w:val="00F80DDF"/>
    <w:rsid w:val="00F80E81"/>
    <w:rsid w:val="00F812D1"/>
    <w:rsid w:val="00F812FD"/>
    <w:rsid w:val="00F8137E"/>
    <w:rsid w:val="00F81596"/>
    <w:rsid w:val="00F815CA"/>
    <w:rsid w:val="00F8162C"/>
    <w:rsid w:val="00F81A4A"/>
    <w:rsid w:val="00F81B1E"/>
    <w:rsid w:val="00F81C80"/>
    <w:rsid w:val="00F81CF0"/>
    <w:rsid w:val="00F81D27"/>
    <w:rsid w:val="00F81DFE"/>
    <w:rsid w:val="00F81E0E"/>
    <w:rsid w:val="00F82453"/>
    <w:rsid w:val="00F8253C"/>
    <w:rsid w:val="00F82597"/>
    <w:rsid w:val="00F82854"/>
    <w:rsid w:val="00F82A0F"/>
    <w:rsid w:val="00F82AD5"/>
    <w:rsid w:val="00F82D42"/>
    <w:rsid w:val="00F82EC9"/>
    <w:rsid w:val="00F831AE"/>
    <w:rsid w:val="00F831CC"/>
    <w:rsid w:val="00F832D9"/>
    <w:rsid w:val="00F83343"/>
    <w:rsid w:val="00F835A5"/>
    <w:rsid w:val="00F835E9"/>
    <w:rsid w:val="00F837A7"/>
    <w:rsid w:val="00F83862"/>
    <w:rsid w:val="00F83AE2"/>
    <w:rsid w:val="00F83BF7"/>
    <w:rsid w:val="00F83DBE"/>
    <w:rsid w:val="00F83EAD"/>
    <w:rsid w:val="00F84203"/>
    <w:rsid w:val="00F844EA"/>
    <w:rsid w:val="00F846E3"/>
    <w:rsid w:val="00F84CEB"/>
    <w:rsid w:val="00F84EC6"/>
    <w:rsid w:val="00F84F51"/>
    <w:rsid w:val="00F850BD"/>
    <w:rsid w:val="00F853CB"/>
    <w:rsid w:val="00F85767"/>
    <w:rsid w:val="00F858AD"/>
    <w:rsid w:val="00F85C70"/>
    <w:rsid w:val="00F85E1A"/>
    <w:rsid w:val="00F860E8"/>
    <w:rsid w:val="00F86144"/>
    <w:rsid w:val="00F86170"/>
    <w:rsid w:val="00F86266"/>
    <w:rsid w:val="00F86516"/>
    <w:rsid w:val="00F86676"/>
    <w:rsid w:val="00F867DA"/>
    <w:rsid w:val="00F868A2"/>
    <w:rsid w:val="00F868A8"/>
    <w:rsid w:val="00F86AD2"/>
    <w:rsid w:val="00F86B7B"/>
    <w:rsid w:val="00F86C2B"/>
    <w:rsid w:val="00F86C74"/>
    <w:rsid w:val="00F86FD2"/>
    <w:rsid w:val="00F873B9"/>
    <w:rsid w:val="00F87447"/>
    <w:rsid w:val="00F876E5"/>
    <w:rsid w:val="00F87A30"/>
    <w:rsid w:val="00F87A9A"/>
    <w:rsid w:val="00F87B1C"/>
    <w:rsid w:val="00F87C1B"/>
    <w:rsid w:val="00F90301"/>
    <w:rsid w:val="00F9036F"/>
    <w:rsid w:val="00F90452"/>
    <w:rsid w:val="00F90491"/>
    <w:rsid w:val="00F904F7"/>
    <w:rsid w:val="00F90D5E"/>
    <w:rsid w:val="00F91119"/>
    <w:rsid w:val="00F91407"/>
    <w:rsid w:val="00F91572"/>
    <w:rsid w:val="00F915AC"/>
    <w:rsid w:val="00F915D9"/>
    <w:rsid w:val="00F916A4"/>
    <w:rsid w:val="00F91717"/>
    <w:rsid w:val="00F918A3"/>
    <w:rsid w:val="00F91B44"/>
    <w:rsid w:val="00F91DD0"/>
    <w:rsid w:val="00F91F1F"/>
    <w:rsid w:val="00F92001"/>
    <w:rsid w:val="00F92129"/>
    <w:rsid w:val="00F92201"/>
    <w:rsid w:val="00F92270"/>
    <w:rsid w:val="00F922C6"/>
    <w:rsid w:val="00F922CF"/>
    <w:rsid w:val="00F923F4"/>
    <w:rsid w:val="00F92724"/>
    <w:rsid w:val="00F92774"/>
    <w:rsid w:val="00F927E6"/>
    <w:rsid w:val="00F9280E"/>
    <w:rsid w:val="00F92A61"/>
    <w:rsid w:val="00F92F42"/>
    <w:rsid w:val="00F9303A"/>
    <w:rsid w:val="00F930AB"/>
    <w:rsid w:val="00F930C4"/>
    <w:rsid w:val="00F93412"/>
    <w:rsid w:val="00F934AB"/>
    <w:rsid w:val="00F936FC"/>
    <w:rsid w:val="00F93711"/>
    <w:rsid w:val="00F93B3D"/>
    <w:rsid w:val="00F93C37"/>
    <w:rsid w:val="00F93D5D"/>
    <w:rsid w:val="00F93E3A"/>
    <w:rsid w:val="00F93FFB"/>
    <w:rsid w:val="00F94064"/>
    <w:rsid w:val="00F9406C"/>
    <w:rsid w:val="00F9414E"/>
    <w:rsid w:val="00F94300"/>
    <w:rsid w:val="00F9432E"/>
    <w:rsid w:val="00F94583"/>
    <w:rsid w:val="00F945DF"/>
    <w:rsid w:val="00F9482E"/>
    <w:rsid w:val="00F949B8"/>
    <w:rsid w:val="00F949BA"/>
    <w:rsid w:val="00F94A78"/>
    <w:rsid w:val="00F94B23"/>
    <w:rsid w:val="00F94CB3"/>
    <w:rsid w:val="00F94CB9"/>
    <w:rsid w:val="00F94DDA"/>
    <w:rsid w:val="00F95418"/>
    <w:rsid w:val="00F954B4"/>
    <w:rsid w:val="00F954E4"/>
    <w:rsid w:val="00F956D1"/>
    <w:rsid w:val="00F95A3F"/>
    <w:rsid w:val="00F95A79"/>
    <w:rsid w:val="00F95D86"/>
    <w:rsid w:val="00F95D93"/>
    <w:rsid w:val="00F95EA7"/>
    <w:rsid w:val="00F95EC9"/>
    <w:rsid w:val="00F95F91"/>
    <w:rsid w:val="00F96315"/>
    <w:rsid w:val="00F9684B"/>
    <w:rsid w:val="00F969F6"/>
    <w:rsid w:val="00F96BA6"/>
    <w:rsid w:val="00F96D55"/>
    <w:rsid w:val="00F96E7F"/>
    <w:rsid w:val="00F96F59"/>
    <w:rsid w:val="00F97185"/>
    <w:rsid w:val="00F971D9"/>
    <w:rsid w:val="00F972F7"/>
    <w:rsid w:val="00F9765B"/>
    <w:rsid w:val="00F97802"/>
    <w:rsid w:val="00F978E5"/>
    <w:rsid w:val="00F979B6"/>
    <w:rsid w:val="00F97A57"/>
    <w:rsid w:val="00F97A85"/>
    <w:rsid w:val="00F97B38"/>
    <w:rsid w:val="00F97CF1"/>
    <w:rsid w:val="00F97E0A"/>
    <w:rsid w:val="00F97F83"/>
    <w:rsid w:val="00FA00D9"/>
    <w:rsid w:val="00FA015E"/>
    <w:rsid w:val="00FA0411"/>
    <w:rsid w:val="00FA0420"/>
    <w:rsid w:val="00FA0453"/>
    <w:rsid w:val="00FA0607"/>
    <w:rsid w:val="00FA07E7"/>
    <w:rsid w:val="00FA09C8"/>
    <w:rsid w:val="00FA0AFD"/>
    <w:rsid w:val="00FA0BD0"/>
    <w:rsid w:val="00FA0D9B"/>
    <w:rsid w:val="00FA0DBE"/>
    <w:rsid w:val="00FA0DD8"/>
    <w:rsid w:val="00FA0E2E"/>
    <w:rsid w:val="00FA115F"/>
    <w:rsid w:val="00FA1184"/>
    <w:rsid w:val="00FA11E8"/>
    <w:rsid w:val="00FA14CC"/>
    <w:rsid w:val="00FA150F"/>
    <w:rsid w:val="00FA1587"/>
    <w:rsid w:val="00FA15AB"/>
    <w:rsid w:val="00FA1727"/>
    <w:rsid w:val="00FA1807"/>
    <w:rsid w:val="00FA1B48"/>
    <w:rsid w:val="00FA1BF8"/>
    <w:rsid w:val="00FA1E46"/>
    <w:rsid w:val="00FA1EAD"/>
    <w:rsid w:val="00FA1ED1"/>
    <w:rsid w:val="00FA225E"/>
    <w:rsid w:val="00FA2282"/>
    <w:rsid w:val="00FA2314"/>
    <w:rsid w:val="00FA243B"/>
    <w:rsid w:val="00FA2474"/>
    <w:rsid w:val="00FA2637"/>
    <w:rsid w:val="00FA270D"/>
    <w:rsid w:val="00FA28E9"/>
    <w:rsid w:val="00FA2A6D"/>
    <w:rsid w:val="00FA2A7F"/>
    <w:rsid w:val="00FA2B5A"/>
    <w:rsid w:val="00FA2C4F"/>
    <w:rsid w:val="00FA2D52"/>
    <w:rsid w:val="00FA2D5E"/>
    <w:rsid w:val="00FA2D77"/>
    <w:rsid w:val="00FA3355"/>
    <w:rsid w:val="00FA3484"/>
    <w:rsid w:val="00FA3517"/>
    <w:rsid w:val="00FA360B"/>
    <w:rsid w:val="00FA37CF"/>
    <w:rsid w:val="00FA3878"/>
    <w:rsid w:val="00FA3C38"/>
    <w:rsid w:val="00FA3EF1"/>
    <w:rsid w:val="00FA415F"/>
    <w:rsid w:val="00FA4269"/>
    <w:rsid w:val="00FA4491"/>
    <w:rsid w:val="00FA48FB"/>
    <w:rsid w:val="00FA4C3E"/>
    <w:rsid w:val="00FA4D2B"/>
    <w:rsid w:val="00FA4D3C"/>
    <w:rsid w:val="00FA4E1E"/>
    <w:rsid w:val="00FA4EA2"/>
    <w:rsid w:val="00FA4F77"/>
    <w:rsid w:val="00FA522A"/>
    <w:rsid w:val="00FA5336"/>
    <w:rsid w:val="00FA5346"/>
    <w:rsid w:val="00FA5699"/>
    <w:rsid w:val="00FA588F"/>
    <w:rsid w:val="00FA5AD4"/>
    <w:rsid w:val="00FA5B25"/>
    <w:rsid w:val="00FA5B88"/>
    <w:rsid w:val="00FA5BE9"/>
    <w:rsid w:val="00FA5C6C"/>
    <w:rsid w:val="00FA5FFB"/>
    <w:rsid w:val="00FA60AC"/>
    <w:rsid w:val="00FA60D5"/>
    <w:rsid w:val="00FA671F"/>
    <w:rsid w:val="00FA6823"/>
    <w:rsid w:val="00FA682C"/>
    <w:rsid w:val="00FA6C87"/>
    <w:rsid w:val="00FA6CBF"/>
    <w:rsid w:val="00FA6CF0"/>
    <w:rsid w:val="00FA6DFE"/>
    <w:rsid w:val="00FA6FF0"/>
    <w:rsid w:val="00FA7025"/>
    <w:rsid w:val="00FA70FD"/>
    <w:rsid w:val="00FA754B"/>
    <w:rsid w:val="00FA75A6"/>
    <w:rsid w:val="00FA77BE"/>
    <w:rsid w:val="00FA781E"/>
    <w:rsid w:val="00FA7B0D"/>
    <w:rsid w:val="00FA7CB4"/>
    <w:rsid w:val="00FA7FAE"/>
    <w:rsid w:val="00FB05FC"/>
    <w:rsid w:val="00FB068D"/>
    <w:rsid w:val="00FB08F2"/>
    <w:rsid w:val="00FB0950"/>
    <w:rsid w:val="00FB0A1B"/>
    <w:rsid w:val="00FB0C10"/>
    <w:rsid w:val="00FB0D24"/>
    <w:rsid w:val="00FB0DA0"/>
    <w:rsid w:val="00FB0F47"/>
    <w:rsid w:val="00FB12AC"/>
    <w:rsid w:val="00FB1386"/>
    <w:rsid w:val="00FB1451"/>
    <w:rsid w:val="00FB14B5"/>
    <w:rsid w:val="00FB14C0"/>
    <w:rsid w:val="00FB15C4"/>
    <w:rsid w:val="00FB1700"/>
    <w:rsid w:val="00FB1A2D"/>
    <w:rsid w:val="00FB1D3A"/>
    <w:rsid w:val="00FB1FC0"/>
    <w:rsid w:val="00FB2162"/>
    <w:rsid w:val="00FB2244"/>
    <w:rsid w:val="00FB24E4"/>
    <w:rsid w:val="00FB2618"/>
    <w:rsid w:val="00FB2848"/>
    <w:rsid w:val="00FB2AF1"/>
    <w:rsid w:val="00FB2B43"/>
    <w:rsid w:val="00FB2C9D"/>
    <w:rsid w:val="00FB30E1"/>
    <w:rsid w:val="00FB32F3"/>
    <w:rsid w:val="00FB3433"/>
    <w:rsid w:val="00FB348F"/>
    <w:rsid w:val="00FB3543"/>
    <w:rsid w:val="00FB3623"/>
    <w:rsid w:val="00FB36E4"/>
    <w:rsid w:val="00FB37FF"/>
    <w:rsid w:val="00FB3AE5"/>
    <w:rsid w:val="00FB3C55"/>
    <w:rsid w:val="00FB401E"/>
    <w:rsid w:val="00FB4466"/>
    <w:rsid w:val="00FB44C9"/>
    <w:rsid w:val="00FB44DF"/>
    <w:rsid w:val="00FB45C4"/>
    <w:rsid w:val="00FB47C9"/>
    <w:rsid w:val="00FB4989"/>
    <w:rsid w:val="00FB4A31"/>
    <w:rsid w:val="00FB4B9E"/>
    <w:rsid w:val="00FB4CE4"/>
    <w:rsid w:val="00FB4D89"/>
    <w:rsid w:val="00FB4DD2"/>
    <w:rsid w:val="00FB4E59"/>
    <w:rsid w:val="00FB4FCD"/>
    <w:rsid w:val="00FB5112"/>
    <w:rsid w:val="00FB51B6"/>
    <w:rsid w:val="00FB52E6"/>
    <w:rsid w:val="00FB534E"/>
    <w:rsid w:val="00FB537B"/>
    <w:rsid w:val="00FB568C"/>
    <w:rsid w:val="00FB5815"/>
    <w:rsid w:val="00FB5BCD"/>
    <w:rsid w:val="00FB5E5D"/>
    <w:rsid w:val="00FB5F50"/>
    <w:rsid w:val="00FB60E4"/>
    <w:rsid w:val="00FB612E"/>
    <w:rsid w:val="00FB6522"/>
    <w:rsid w:val="00FB6996"/>
    <w:rsid w:val="00FB6B25"/>
    <w:rsid w:val="00FB6CBD"/>
    <w:rsid w:val="00FB6E70"/>
    <w:rsid w:val="00FB7071"/>
    <w:rsid w:val="00FB7078"/>
    <w:rsid w:val="00FB7151"/>
    <w:rsid w:val="00FB7416"/>
    <w:rsid w:val="00FB748D"/>
    <w:rsid w:val="00FB74A9"/>
    <w:rsid w:val="00FB7800"/>
    <w:rsid w:val="00FB7826"/>
    <w:rsid w:val="00FB78D4"/>
    <w:rsid w:val="00FB7937"/>
    <w:rsid w:val="00FB79F0"/>
    <w:rsid w:val="00FB7AFF"/>
    <w:rsid w:val="00FB7B40"/>
    <w:rsid w:val="00FB7EAA"/>
    <w:rsid w:val="00FC0019"/>
    <w:rsid w:val="00FC0105"/>
    <w:rsid w:val="00FC06F4"/>
    <w:rsid w:val="00FC0C54"/>
    <w:rsid w:val="00FC0C7A"/>
    <w:rsid w:val="00FC1142"/>
    <w:rsid w:val="00FC135B"/>
    <w:rsid w:val="00FC164B"/>
    <w:rsid w:val="00FC18D5"/>
    <w:rsid w:val="00FC198C"/>
    <w:rsid w:val="00FC1B43"/>
    <w:rsid w:val="00FC1B73"/>
    <w:rsid w:val="00FC1D3F"/>
    <w:rsid w:val="00FC1DFB"/>
    <w:rsid w:val="00FC1F4E"/>
    <w:rsid w:val="00FC1F62"/>
    <w:rsid w:val="00FC2282"/>
    <w:rsid w:val="00FC22CC"/>
    <w:rsid w:val="00FC27D7"/>
    <w:rsid w:val="00FC281F"/>
    <w:rsid w:val="00FC2834"/>
    <w:rsid w:val="00FC2865"/>
    <w:rsid w:val="00FC299A"/>
    <w:rsid w:val="00FC29B7"/>
    <w:rsid w:val="00FC29F6"/>
    <w:rsid w:val="00FC2A30"/>
    <w:rsid w:val="00FC2A7A"/>
    <w:rsid w:val="00FC2A99"/>
    <w:rsid w:val="00FC2AE2"/>
    <w:rsid w:val="00FC2B04"/>
    <w:rsid w:val="00FC2D85"/>
    <w:rsid w:val="00FC2EC7"/>
    <w:rsid w:val="00FC30DC"/>
    <w:rsid w:val="00FC32C0"/>
    <w:rsid w:val="00FC3607"/>
    <w:rsid w:val="00FC3786"/>
    <w:rsid w:val="00FC3882"/>
    <w:rsid w:val="00FC3979"/>
    <w:rsid w:val="00FC3AD4"/>
    <w:rsid w:val="00FC3C0B"/>
    <w:rsid w:val="00FC3E02"/>
    <w:rsid w:val="00FC3ED7"/>
    <w:rsid w:val="00FC3FB3"/>
    <w:rsid w:val="00FC3FB8"/>
    <w:rsid w:val="00FC4039"/>
    <w:rsid w:val="00FC4110"/>
    <w:rsid w:val="00FC424C"/>
    <w:rsid w:val="00FC433A"/>
    <w:rsid w:val="00FC43BB"/>
    <w:rsid w:val="00FC446B"/>
    <w:rsid w:val="00FC457F"/>
    <w:rsid w:val="00FC462E"/>
    <w:rsid w:val="00FC4880"/>
    <w:rsid w:val="00FC4A4C"/>
    <w:rsid w:val="00FC4B0A"/>
    <w:rsid w:val="00FC4D22"/>
    <w:rsid w:val="00FC4DD8"/>
    <w:rsid w:val="00FC4E18"/>
    <w:rsid w:val="00FC4FE3"/>
    <w:rsid w:val="00FC5034"/>
    <w:rsid w:val="00FC514E"/>
    <w:rsid w:val="00FC5309"/>
    <w:rsid w:val="00FC530B"/>
    <w:rsid w:val="00FC5397"/>
    <w:rsid w:val="00FC556B"/>
    <w:rsid w:val="00FC56BA"/>
    <w:rsid w:val="00FC57A2"/>
    <w:rsid w:val="00FC57DD"/>
    <w:rsid w:val="00FC5962"/>
    <w:rsid w:val="00FC6166"/>
    <w:rsid w:val="00FC623D"/>
    <w:rsid w:val="00FC642A"/>
    <w:rsid w:val="00FC679D"/>
    <w:rsid w:val="00FC6851"/>
    <w:rsid w:val="00FC68CE"/>
    <w:rsid w:val="00FC6B08"/>
    <w:rsid w:val="00FC6CC2"/>
    <w:rsid w:val="00FC6F51"/>
    <w:rsid w:val="00FC714C"/>
    <w:rsid w:val="00FC71E7"/>
    <w:rsid w:val="00FC73E9"/>
    <w:rsid w:val="00FC7441"/>
    <w:rsid w:val="00FC748C"/>
    <w:rsid w:val="00FC759F"/>
    <w:rsid w:val="00FC7621"/>
    <w:rsid w:val="00FC7713"/>
    <w:rsid w:val="00FC771B"/>
    <w:rsid w:val="00FC7A60"/>
    <w:rsid w:val="00FC7B55"/>
    <w:rsid w:val="00FC7C24"/>
    <w:rsid w:val="00FC7EAC"/>
    <w:rsid w:val="00FD005E"/>
    <w:rsid w:val="00FD00DC"/>
    <w:rsid w:val="00FD0178"/>
    <w:rsid w:val="00FD02D8"/>
    <w:rsid w:val="00FD02EF"/>
    <w:rsid w:val="00FD05AF"/>
    <w:rsid w:val="00FD072E"/>
    <w:rsid w:val="00FD092A"/>
    <w:rsid w:val="00FD0AB0"/>
    <w:rsid w:val="00FD0D4A"/>
    <w:rsid w:val="00FD1110"/>
    <w:rsid w:val="00FD13E2"/>
    <w:rsid w:val="00FD148A"/>
    <w:rsid w:val="00FD1562"/>
    <w:rsid w:val="00FD15E0"/>
    <w:rsid w:val="00FD16DB"/>
    <w:rsid w:val="00FD18F8"/>
    <w:rsid w:val="00FD18FD"/>
    <w:rsid w:val="00FD1AE1"/>
    <w:rsid w:val="00FD1B16"/>
    <w:rsid w:val="00FD1BD2"/>
    <w:rsid w:val="00FD1D85"/>
    <w:rsid w:val="00FD1E69"/>
    <w:rsid w:val="00FD1F96"/>
    <w:rsid w:val="00FD238C"/>
    <w:rsid w:val="00FD24F5"/>
    <w:rsid w:val="00FD2989"/>
    <w:rsid w:val="00FD2ACB"/>
    <w:rsid w:val="00FD2B85"/>
    <w:rsid w:val="00FD2C02"/>
    <w:rsid w:val="00FD34AE"/>
    <w:rsid w:val="00FD350D"/>
    <w:rsid w:val="00FD356C"/>
    <w:rsid w:val="00FD3845"/>
    <w:rsid w:val="00FD38CE"/>
    <w:rsid w:val="00FD3A20"/>
    <w:rsid w:val="00FD3C87"/>
    <w:rsid w:val="00FD3F2F"/>
    <w:rsid w:val="00FD4059"/>
    <w:rsid w:val="00FD40FE"/>
    <w:rsid w:val="00FD4302"/>
    <w:rsid w:val="00FD477E"/>
    <w:rsid w:val="00FD4804"/>
    <w:rsid w:val="00FD4842"/>
    <w:rsid w:val="00FD496D"/>
    <w:rsid w:val="00FD4D57"/>
    <w:rsid w:val="00FD4D79"/>
    <w:rsid w:val="00FD4DE1"/>
    <w:rsid w:val="00FD52F1"/>
    <w:rsid w:val="00FD5332"/>
    <w:rsid w:val="00FD54E5"/>
    <w:rsid w:val="00FD5623"/>
    <w:rsid w:val="00FD5641"/>
    <w:rsid w:val="00FD589D"/>
    <w:rsid w:val="00FD58FB"/>
    <w:rsid w:val="00FD5900"/>
    <w:rsid w:val="00FD5A89"/>
    <w:rsid w:val="00FD5AC5"/>
    <w:rsid w:val="00FD5BE5"/>
    <w:rsid w:val="00FD5DE3"/>
    <w:rsid w:val="00FD5E3B"/>
    <w:rsid w:val="00FD5EF4"/>
    <w:rsid w:val="00FD624C"/>
    <w:rsid w:val="00FD64AC"/>
    <w:rsid w:val="00FD6569"/>
    <w:rsid w:val="00FD657A"/>
    <w:rsid w:val="00FD68FF"/>
    <w:rsid w:val="00FD6A4C"/>
    <w:rsid w:val="00FD6BB0"/>
    <w:rsid w:val="00FD6C79"/>
    <w:rsid w:val="00FD6DD6"/>
    <w:rsid w:val="00FD6E98"/>
    <w:rsid w:val="00FD7704"/>
    <w:rsid w:val="00FD790B"/>
    <w:rsid w:val="00FD7A55"/>
    <w:rsid w:val="00FD7AFE"/>
    <w:rsid w:val="00FE005D"/>
    <w:rsid w:val="00FE075D"/>
    <w:rsid w:val="00FE0849"/>
    <w:rsid w:val="00FE086D"/>
    <w:rsid w:val="00FE089C"/>
    <w:rsid w:val="00FE099B"/>
    <w:rsid w:val="00FE0A79"/>
    <w:rsid w:val="00FE0B0D"/>
    <w:rsid w:val="00FE0B8D"/>
    <w:rsid w:val="00FE0D4B"/>
    <w:rsid w:val="00FE0D73"/>
    <w:rsid w:val="00FE0F7F"/>
    <w:rsid w:val="00FE11A6"/>
    <w:rsid w:val="00FE13F3"/>
    <w:rsid w:val="00FE18F9"/>
    <w:rsid w:val="00FE19E6"/>
    <w:rsid w:val="00FE1EA6"/>
    <w:rsid w:val="00FE1FC0"/>
    <w:rsid w:val="00FE20FC"/>
    <w:rsid w:val="00FE2401"/>
    <w:rsid w:val="00FE253B"/>
    <w:rsid w:val="00FE25FA"/>
    <w:rsid w:val="00FE2610"/>
    <w:rsid w:val="00FE268C"/>
    <w:rsid w:val="00FE2733"/>
    <w:rsid w:val="00FE2CE6"/>
    <w:rsid w:val="00FE2DAC"/>
    <w:rsid w:val="00FE33FB"/>
    <w:rsid w:val="00FE3510"/>
    <w:rsid w:val="00FE360E"/>
    <w:rsid w:val="00FE3792"/>
    <w:rsid w:val="00FE37D1"/>
    <w:rsid w:val="00FE37F0"/>
    <w:rsid w:val="00FE38EA"/>
    <w:rsid w:val="00FE3D06"/>
    <w:rsid w:val="00FE3E0B"/>
    <w:rsid w:val="00FE3F9E"/>
    <w:rsid w:val="00FE3FF4"/>
    <w:rsid w:val="00FE40F4"/>
    <w:rsid w:val="00FE4151"/>
    <w:rsid w:val="00FE42AD"/>
    <w:rsid w:val="00FE440D"/>
    <w:rsid w:val="00FE44B3"/>
    <w:rsid w:val="00FE466E"/>
    <w:rsid w:val="00FE4783"/>
    <w:rsid w:val="00FE4C90"/>
    <w:rsid w:val="00FE4E19"/>
    <w:rsid w:val="00FE4F75"/>
    <w:rsid w:val="00FE4FE0"/>
    <w:rsid w:val="00FE5008"/>
    <w:rsid w:val="00FE53A8"/>
    <w:rsid w:val="00FE547E"/>
    <w:rsid w:val="00FE5958"/>
    <w:rsid w:val="00FE5B98"/>
    <w:rsid w:val="00FE5BDB"/>
    <w:rsid w:val="00FE5D3A"/>
    <w:rsid w:val="00FE5FD8"/>
    <w:rsid w:val="00FE61FF"/>
    <w:rsid w:val="00FE620A"/>
    <w:rsid w:val="00FE623A"/>
    <w:rsid w:val="00FE628C"/>
    <w:rsid w:val="00FE641D"/>
    <w:rsid w:val="00FE651E"/>
    <w:rsid w:val="00FE65F5"/>
    <w:rsid w:val="00FE6668"/>
    <w:rsid w:val="00FE6B26"/>
    <w:rsid w:val="00FE6B59"/>
    <w:rsid w:val="00FE6D14"/>
    <w:rsid w:val="00FE6D19"/>
    <w:rsid w:val="00FE6E39"/>
    <w:rsid w:val="00FE6F3C"/>
    <w:rsid w:val="00FE741C"/>
    <w:rsid w:val="00FE751F"/>
    <w:rsid w:val="00FE778A"/>
    <w:rsid w:val="00FE7D63"/>
    <w:rsid w:val="00FE7D8E"/>
    <w:rsid w:val="00FE7ED4"/>
    <w:rsid w:val="00FE7F0A"/>
    <w:rsid w:val="00FE7F98"/>
    <w:rsid w:val="00FF002D"/>
    <w:rsid w:val="00FF007B"/>
    <w:rsid w:val="00FF01DF"/>
    <w:rsid w:val="00FF02CF"/>
    <w:rsid w:val="00FF0421"/>
    <w:rsid w:val="00FF0699"/>
    <w:rsid w:val="00FF0808"/>
    <w:rsid w:val="00FF083A"/>
    <w:rsid w:val="00FF0895"/>
    <w:rsid w:val="00FF0AAD"/>
    <w:rsid w:val="00FF0AB2"/>
    <w:rsid w:val="00FF0CCE"/>
    <w:rsid w:val="00FF0CEB"/>
    <w:rsid w:val="00FF1127"/>
    <w:rsid w:val="00FF11CE"/>
    <w:rsid w:val="00FF1228"/>
    <w:rsid w:val="00FF1245"/>
    <w:rsid w:val="00FF134C"/>
    <w:rsid w:val="00FF13DB"/>
    <w:rsid w:val="00FF1415"/>
    <w:rsid w:val="00FF164E"/>
    <w:rsid w:val="00FF17BA"/>
    <w:rsid w:val="00FF1871"/>
    <w:rsid w:val="00FF1922"/>
    <w:rsid w:val="00FF193E"/>
    <w:rsid w:val="00FF1AE3"/>
    <w:rsid w:val="00FF1B29"/>
    <w:rsid w:val="00FF1F28"/>
    <w:rsid w:val="00FF2403"/>
    <w:rsid w:val="00FF2426"/>
    <w:rsid w:val="00FF245F"/>
    <w:rsid w:val="00FF2719"/>
    <w:rsid w:val="00FF27D0"/>
    <w:rsid w:val="00FF27E0"/>
    <w:rsid w:val="00FF28D3"/>
    <w:rsid w:val="00FF2952"/>
    <w:rsid w:val="00FF29C5"/>
    <w:rsid w:val="00FF2AF7"/>
    <w:rsid w:val="00FF2C3F"/>
    <w:rsid w:val="00FF2CED"/>
    <w:rsid w:val="00FF2DB5"/>
    <w:rsid w:val="00FF2DF3"/>
    <w:rsid w:val="00FF2EDB"/>
    <w:rsid w:val="00FF309F"/>
    <w:rsid w:val="00FF30A7"/>
    <w:rsid w:val="00FF332F"/>
    <w:rsid w:val="00FF3674"/>
    <w:rsid w:val="00FF36C3"/>
    <w:rsid w:val="00FF37A8"/>
    <w:rsid w:val="00FF394D"/>
    <w:rsid w:val="00FF3B8A"/>
    <w:rsid w:val="00FF3BBB"/>
    <w:rsid w:val="00FF3DBB"/>
    <w:rsid w:val="00FF3F26"/>
    <w:rsid w:val="00FF3F2C"/>
    <w:rsid w:val="00FF4248"/>
    <w:rsid w:val="00FF4407"/>
    <w:rsid w:val="00FF4645"/>
    <w:rsid w:val="00FF4761"/>
    <w:rsid w:val="00FF4831"/>
    <w:rsid w:val="00FF4895"/>
    <w:rsid w:val="00FF492D"/>
    <w:rsid w:val="00FF4A2C"/>
    <w:rsid w:val="00FF4A3F"/>
    <w:rsid w:val="00FF4ADC"/>
    <w:rsid w:val="00FF4B3E"/>
    <w:rsid w:val="00FF4D6A"/>
    <w:rsid w:val="00FF4E91"/>
    <w:rsid w:val="00FF5025"/>
    <w:rsid w:val="00FF5254"/>
    <w:rsid w:val="00FF54D0"/>
    <w:rsid w:val="00FF5572"/>
    <w:rsid w:val="00FF55C2"/>
    <w:rsid w:val="00FF55C6"/>
    <w:rsid w:val="00FF56B5"/>
    <w:rsid w:val="00FF5750"/>
    <w:rsid w:val="00FF5893"/>
    <w:rsid w:val="00FF58E7"/>
    <w:rsid w:val="00FF590F"/>
    <w:rsid w:val="00FF5D5A"/>
    <w:rsid w:val="00FF5E54"/>
    <w:rsid w:val="00FF5FED"/>
    <w:rsid w:val="00FF611A"/>
    <w:rsid w:val="00FF6205"/>
    <w:rsid w:val="00FF62E3"/>
    <w:rsid w:val="00FF676A"/>
    <w:rsid w:val="00FF68E6"/>
    <w:rsid w:val="00FF6957"/>
    <w:rsid w:val="00FF6B82"/>
    <w:rsid w:val="00FF6BCE"/>
    <w:rsid w:val="00FF6C9E"/>
    <w:rsid w:val="00FF6DD3"/>
    <w:rsid w:val="00FF6E34"/>
    <w:rsid w:val="00FF702E"/>
    <w:rsid w:val="00FF71DB"/>
    <w:rsid w:val="00FF7465"/>
    <w:rsid w:val="00FF7950"/>
    <w:rsid w:val="00FF7A2F"/>
    <w:rsid w:val="00FF7B0C"/>
    <w:rsid w:val="00FF7C09"/>
    <w:rsid w:val="00FF7C53"/>
    <w:rsid w:val="00FF7CD3"/>
    <w:rsid w:val="01111C81"/>
    <w:rsid w:val="013A6F63"/>
    <w:rsid w:val="01415CD2"/>
    <w:rsid w:val="015B2BFD"/>
    <w:rsid w:val="016036CD"/>
    <w:rsid w:val="016F45ED"/>
    <w:rsid w:val="01944054"/>
    <w:rsid w:val="019E4ED3"/>
    <w:rsid w:val="01A03A94"/>
    <w:rsid w:val="01B446F6"/>
    <w:rsid w:val="021358C1"/>
    <w:rsid w:val="0216715F"/>
    <w:rsid w:val="02324A3A"/>
    <w:rsid w:val="024535A0"/>
    <w:rsid w:val="02781BC8"/>
    <w:rsid w:val="02922C89"/>
    <w:rsid w:val="02A40AD1"/>
    <w:rsid w:val="02B0689E"/>
    <w:rsid w:val="02B726F0"/>
    <w:rsid w:val="02BE3AA7"/>
    <w:rsid w:val="03100052"/>
    <w:rsid w:val="034A51B7"/>
    <w:rsid w:val="037B3525"/>
    <w:rsid w:val="037C4EA1"/>
    <w:rsid w:val="038E26A7"/>
    <w:rsid w:val="03974B64"/>
    <w:rsid w:val="03A72C14"/>
    <w:rsid w:val="03F90AE6"/>
    <w:rsid w:val="043D09D3"/>
    <w:rsid w:val="04446205"/>
    <w:rsid w:val="04623E3F"/>
    <w:rsid w:val="04730CD2"/>
    <w:rsid w:val="04754BE4"/>
    <w:rsid w:val="04854128"/>
    <w:rsid w:val="04BC223F"/>
    <w:rsid w:val="04DF5F2E"/>
    <w:rsid w:val="04E6106A"/>
    <w:rsid w:val="04F1262D"/>
    <w:rsid w:val="050D65F7"/>
    <w:rsid w:val="050E236F"/>
    <w:rsid w:val="0510447C"/>
    <w:rsid w:val="051C4A8C"/>
    <w:rsid w:val="051F6B67"/>
    <w:rsid w:val="052828B2"/>
    <w:rsid w:val="053C1046"/>
    <w:rsid w:val="05490AE1"/>
    <w:rsid w:val="05A3564C"/>
    <w:rsid w:val="05C51C43"/>
    <w:rsid w:val="05D01692"/>
    <w:rsid w:val="061439B5"/>
    <w:rsid w:val="06571A41"/>
    <w:rsid w:val="067803E8"/>
    <w:rsid w:val="068105CF"/>
    <w:rsid w:val="06905732"/>
    <w:rsid w:val="069C6D7E"/>
    <w:rsid w:val="06A765D7"/>
    <w:rsid w:val="06D51397"/>
    <w:rsid w:val="06E626FA"/>
    <w:rsid w:val="07043A9E"/>
    <w:rsid w:val="0737795B"/>
    <w:rsid w:val="07417374"/>
    <w:rsid w:val="0748600C"/>
    <w:rsid w:val="07514D83"/>
    <w:rsid w:val="075A189C"/>
    <w:rsid w:val="0783118F"/>
    <w:rsid w:val="07A13AF3"/>
    <w:rsid w:val="07DB0C2F"/>
    <w:rsid w:val="07F41CF0"/>
    <w:rsid w:val="080E4AFD"/>
    <w:rsid w:val="08517143"/>
    <w:rsid w:val="086A1FB2"/>
    <w:rsid w:val="086F1377"/>
    <w:rsid w:val="08CC67C9"/>
    <w:rsid w:val="09292D57"/>
    <w:rsid w:val="09475E50"/>
    <w:rsid w:val="095347F5"/>
    <w:rsid w:val="09657BF4"/>
    <w:rsid w:val="096B2B3E"/>
    <w:rsid w:val="097529BD"/>
    <w:rsid w:val="098175B4"/>
    <w:rsid w:val="09995790"/>
    <w:rsid w:val="099A6DFB"/>
    <w:rsid w:val="09BC20EC"/>
    <w:rsid w:val="09D973F0"/>
    <w:rsid w:val="09F71624"/>
    <w:rsid w:val="0A310FDA"/>
    <w:rsid w:val="0A3A7D86"/>
    <w:rsid w:val="0A3E54A5"/>
    <w:rsid w:val="0A3F005D"/>
    <w:rsid w:val="0A6C2012"/>
    <w:rsid w:val="0A885628"/>
    <w:rsid w:val="0A946637"/>
    <w:rsid w:val="0A9C2F00"/>
    <w:rsid w:val="0ACC485F"/>
    <w:rsid w:val="0AFF42CA"/>
    <w:rsid w:val="0B0A5387"/>
    <w:rsid w:val="0B386398"/>
    <w:rsid w:val="0B6148A8"/>
    <w:rsid w:val="0BC5549D"/>
    <w:rsid w:val="0BEF4CA9"/>
    <w:rsid w:val="0C784843"/>
    <w:rsid w:val="0C8108A3"/>
    <w:rsid w:val="0C831DFB"/>
    <w:rsid w:val="0CC021A1"/>
    <w:rsid w:val="0CC90546"/>
    <w:rsid w:val="0CEA36C2"/>
    <w:rsid w:val="0CF84031"/>
    <w:rsid w:val="0D044784"/>
    <w:rsid w:val="0D35493D"/>
    <w:rsid w:val="0D8F49CA"/>
    <w:rsid w:val="0D9D1C5D"/>
    <w:rsid w:val="0DB42190"/>
    <w:rsid w:val="0DB5782C"/>
    <w:rsid w:val="0DBD3DEC"/>
    <w:rsid w:val="0DC436A5"/>
    <w:rsid w:val="0DD87A8B"/>
    <w:rsid w:val="0E293814"/>
    <w:rsid w:val="0E63197E"/>
    <w:rsid w:val="0EA004DC"/>
    <w:rsid w:val="0ED73DBE"/>
    <w:rsid w:val="0EFE5203"/>
    <w:rsid w:val="0F0F63F7"/>
    <w:rsid w:val="0F362BEE"/>
    <w:rsid w:val="0F3F5F47"/>
    <w:rsid w:val="0F563291"/>
    <w:rsid w:val="0F8B4CE8"/>
    <w:rsid w:val="0FC85F3C"/>
    <w:rsid w:val="0FCE72CC"/>
    <w:rsid w:val="0FDF055B"/>
    <w:rsid w:val="0FE73EE9"/>
    <w:rsid w:val="0FF36898"/>
    <w:rsid w:val="10013F0A"/>
    <w:rsid w:val="101A2822"/>
    <w:rsid w:val="10593038"/>
    <w:rsid w:val="107210B0"/>
    <w:rsid w:val="10D9716C"/>
    <w:rsid w:val="10F77EEF"/>
    <w:rsid w:val="110A4333"/>
    <w:rsid w:val="110D797F"/>
    <w:rsid w:val="11430FA0"/>
    <w:rsid w:val="11587F30"/>
    <w:rsid w:val="116D6796"/>
    <w:rsid w:val="118B5473"/>
    <w:rsid w:val="11C12476"/>
    <w:rsid w:val="11DE23FD"/>
    <w:rsid w:val="12062D4C"/>
    <w:rsid w:val="12153204"/>
    <w:rsid w:val="121C431D"/>
    <w:rsid w:val="124E6F21"/>
    <w:rsid w:val="12703011"/>
    <w:rsid w:val="12744140"/>
    <w:rsid w:val="128A572B"/>
    <w:rsid w:val="128E6B90"/>
    <w:rsid w:val="12CA3D79"/>
    <w:rsid w:val="12D16C08"/>
    <w:rsid w:val="12E34E3B"/>
    <w:rsid w:val="130212E3"/>
    <w:rsid w:val="130604AC"/>
    <w:rsid w:val="130B7EEE"/>
    <w:rsid w:val="133047B7"/>
    <w:rsid w:val="136C6BDF"/>
    <w:rsid w:val="13975C49"/>
    <w:rsid w:val="13E813BD"/>
    <w:rsid w:val="13F35552"/>
    <w:rsid w:val="13FE5731"/>
    <w:rsid w:val="1424570B"/>
    <w:rsid w:val="143D2510"/>
    <w:rsid w:val="143D47D7"/>
    <w:rsid w:val="144665DD"/>
    <w:rsid w:val="14641FAC"/>
    <w:rsid w:val="149C2303"/>
    <w:rsid w:val="14A74A90"/>
    <w:rsid w:val="14B90608"/>
    <w:rsid w:val="14D40EDF"/>
    <w:rsid w:val="14E54E9B"/>
    <w:rsid w:val="15170DCC"/>
    <w:rsid w:val="15194B44"/>
    <w:rsid w:val="153A5D59"/>
    <w:rsid w:val="156758B0"/>
    <w:rsid w:val="15C34AB0"/>
    <w:rsid w:val="15F3634B"/>
    <w:rsid w:val="15F902BF"/>
    <w:rsid w:val="16021A7C"/>
    <w:rsid w:val="161A56B4"/>
    <w:rsid w:val="163360DA"/>
    <w:rsid w:val="169F1677"/>
    <w:rsid w:val="16BF6AAD"/>
    <w:rsid w:val="16C75C19"/>
    <w:rsid w:val="16CB6312"/>
    <w:rsid w:val="16E3540A"/>
    <w:rsid w:val="17013AE2"/>
    <w:rsid w:val="17716EB9"/>
    <w:rsid w:val="17741F8E"/>
    <w:rsid w:val="17750436"/>
    <w:rsid w:val="179D1A5D"/>
    <w:rsid w:val="17A32DEB"/>
    <w:rsid w:val="17AD77C6"/>
    <w:rsid w:val="17B16279"/>
    <w:rsid w:val="18267CA4"/>
    <w:rsid w:val="1849539D"/>
    <w:rsid w:val="18541CAF"/>
    <w:rsid w:val="18957C74"/>
    <w:rsid w:val="18BC4164"/>
    <w:rsid w:val="18BE612E"/>
    <w:rsid w:val="18C4126B"/>
    <w:rsid w:val="18DB1A31"/>
    <w:rsid w:val="18E831AB"/>
    <w:rsid w:val="1902100F"/>
    <w:rsid w:val="192166BD"/>
    <w:rsid w:val="192D0BBE"/>
    <w:rsid w:val="19353F17"/>
    <w:rsid w:val="196113DC"/>
    <w:rsid w:val="19611BB6"/>
    <w:rsid w:val="19810F0A"/>
    <w:rsid w:val="1A3B730B"/>
    <w:rsid w:val="1A4A57A0"/>
    <w:rsid w:val="1A8E1FBC"/>
    <w:rsid w:val="1A951111"/>
    <w:rsid w:val="1A9A2283"/>
    <w:rsid w:val="1AB33EA8"/>
    <w:rsid w:val="1ABC044C"/>
    <w:rsid w:val="1AC165E2"/>
    <w:rsid w:val="1AD22C8E"/>
    <w:rsid w:val="1AE02E4E"/>
    <w:rsid w:val="1AEC14FA"/>
    <w:rsid w:val="1AFE6CB6"/>
    <w:rsid w:val="1B100797"/>
    <w:rsid w:val="1B3F26CE"/>
    <w:rsid w:val="1B4715FE"/>
    <w:rsid w:val="1B5C578B"/>
    <w:rsid w:val="1B8B45ED"/>
    <w:rsid w:val="1BA12CB3"/>
    <w:rsid w:val="1BA23AE5"/>
    <w:rsid w:val="1BA812FF"/>
    <w:rsid w:val="1BC33BF6"/>
    <w:rsid w:val="1BF9242A"/>
    <w:rsid w:val="1C1E3FFF"/>
    <w:rsid w:val="1C204A0A"/>
    <w:rsid w:val="1C4F52EF"/>
    <w:rsid w:val="1C626F5F"/>
    <w:rsid w:val="1C866196"/>
    <w:rsid w:val="1C931680"/>
    <w:rsid w:val="1C973AC4"/>
    <w:rsid w:val="1CC25AC1"/>
    <w:rsid w:val="1CD06430"/>
    <w:rsid w:val="1CD579E2"/>
    <w:rsid w:val="1CEC2B3E"/>
    <w:rsid w:val="1CEE05AD"/>
    <w:rsid w:val="1CF85987"/>
    <w:rsid w:val="1D13397D"/>
    <w:rsid w:val="1D266050"/>
    <w:rsid w:val="1D85546D"/>
    <w:rsid w:val="1D993E93"/>
    <w:rsid w:val="1DA653E3"/>
    <w:rsid w:val="1DC24B3E"/>
    <w:rsid w:val="1DD36BC8"/>
    <w:rsid w:val="1DD65CC8"/>
    <w:rsid w:val="1DE1641B"/>
    <w:rsid w:val="1E1263DA"/>
    <w:rsid w:val="1E1900D3"/>
    <w:rsid w:val="1E390005"/>
    <w:rsid w:val="1EE7180F"/>
    <w:rsid w:val="1F226CEB"/>
    <w:rsid w:val="1F3B03BE"/>
    <w:rsid w:val="1F3C7DAD"/>
    <w:rsid w:val="1F5B0C80"/>
    <w:rsid w:val="1F6E7836"/>
    <w:rsid w:val="1F737547"/>
    <w:rsid w:val="1F8F02F6"/>
    <w:rsid w:val="1FB40F05"/>
    <w:rsid w:val="1FD47FE6"/>
    <w:rsid w:val="1FE83A91"/>
    <w:rsid w:val="1FF73CD4"/>
    <w:rsid w:val="200F34CC"/>
    <w:rsid w:val="202C7E22"/>
    <w:rsid w:val="204333BD"/>
    <w:rsid w:val="204E6598"/>
    <w:rsid w:val="20855784"/>
    <w:rsid w:val="208F7A0F"/>
    <w:rsid w:val="20A0611A"/>
    <w:rsid w:val="20C41531"/>
    <w:rsid w:val="20F015AB"/>
    <w:rsid w:val="210448FA"/>
    <w:rsid w:val="21274A8D"/>
    <w:rsid w:val="213D1BBA"/>
    <w:rsid w:val="213F5933"/>
    <w:rsid w:val="21562C7C"/>
    <w:rsid w:val="21B207FA"/>
    <w:rsid w:val="21BC671B"/>
    <w:rsid w:val="21BD14E6"/>
    <w:rsid w:val="21F70B81"/>
    <w:rsid w:val="21F93D33"/>
    <w:rsid w:val="22263747"/>
    <w:rsid w:val="222E453F"/>
    <w:rsid w:val="22405E06"/>
    <w:rsid w:val="2244719A"/>
    <w:rsid w:val="22806203"/>
    <w:rsid w:val="228F33A1"/>
    <w:rsid w:val="22F56BF1"/>
    <w:rsid w:val="231921B3"/>
    <w:rsid w:val="23243032"/>
    <w:rsid w:val="23570BB2"/>
    <w:rsid w:val="23887337"/>
    <w:rsid w:val="238E0DF3"/>
    <w:rsid w:val="23B17F51"/>
    <w:rsid w:val="23E80503"/>
    <w:rsid w:val="240D1D18"/>
    <w:rsid w:val="24366D33"/>
    <w:rsid w:val="249E0BC2"/>
    <w:rsid w:val="24F42ED8"/>
    <w:rsid w:val="251946ED"/>
    <w:rsid w:val="25686702"/>
    <w:rsid w:val="25C1725E"/>
    <w:rsid w:val="25D74DB3"/>
    <w:rsid w:val="266B7D98"/>
    <w:rsid w:val="267C13D7"/>
    <w:rsid w:val="2691005D"/>
    <w:rsid w:val="26DA6E14"/>
    <w:rsid w:val="26FC7E22"/>
    <w:rsid w:val="27053594"/>
    <w:rsid w:val="27225158"/>
    <w:rsid w:val="272774F8"/>
    <w:rsid w:val="272E19FD"/>
    <w:rsid w:val="27AC5CEC"/>
    <w:rsid w:val="27BC63A7"/>
    <w:rsid w:val="28055C64"/>
    <w:rsid w:val="280B4AD9"/>
    <w:rsid w:val="283830DC"/>
    <w:rsid w:val="283A50A6"/>
    <w:rsid w:val="283C0E1E"/>
    <w:rsid w:val="285717B4"/>
    <w:rsid w:val="286B3BEC"/>
    <w:rsid w:val="28A35296"/>
    <w:rsid w:val="28AF5435"/>
    <w:rsid w:val="29195A9C"/>
    <w:rsid w:val="291C29F2"/>
    <w:rsid w:val="294A756A"/>
    <w:rsid w:val="296048BC"/>
    <w:rsid w:val="29A500EE"/>
    <w:rsid w:val="29F00609"/>
    <w:rsid w:val="29FA2D3E"/>
    <w:rsid w:val="2A4144C9"/>
    <w:rsid w:val="2A5266D7"/>
    <w:rsid w:val="2A652B1C"/>
    <w:rsid w:val="2AA1140C"/>
    <w:rsid w:val="2AB27175"/>
    <w:rsid w:val="2AC3578A"/>
    <w:rsid w:val="2AC84BEB"/>
    <w:rsid w:val="2AE31A25"/>
    <w:rsid w:val="2B6462EE"/>
    <w:rsid w:val="2B6D47F9"/>
    <w:rsid w:val="2B795EE5"/>
    <w:rsid w:val="2B8723B0"/>
    <w:rsid w:val="2B9E594C"/>
    <w:rsid w:val="2BD55811"/>
    <w:rsid w:val="2BF91BBF"/>
    <w:rsid w:val="2BFA7026"/>
    <w:rsid w:val="2C13320C"/>
    <w:rsid w:val="2C1B160D"/>
    <w:rsid w:val="2C1D4AC2"/>
    <w:rsid w:val="2C3A7A87"/>
    <w:rsid w:val="2C8E776E"/>
    <w:rsid w:val="2CB826C5"/>
    <w:rsid w:val="2CE40A6A"/>
    <w:rsid w:val="2CE741C5"/>
    <w:rsid w:val="2D102879"/>
    <w:rsid w:val="2D6F57F1"/>
    <w:rsid w:val="2D901946"/>
    <w:rsid w:val="2DB4067D"/>
    <w:rsid w:val="2DB96A6D"/>
    <w:rsid w:val="2DBD2040"/>
    <w:rsid w:val="2DC83E2F"/>
    <w:rsid w:val="2DD45655"/>
    <w:rsid w:val="2DE7784B"/>
    <w:rsid w:val="2E005231"/>
    <w:rsid w:val="2E2C5CC1"/>
    <w:rsid w:val="2E440A2C"/>
    <w:rsid w:val="2E690493"/>
    <w:rsid w:val="2E6B3240"/>
    <w:rsid w:val="2E7908F4"/>
    <w:rsid w:val="2E837432"/>
    <w:rsid w:val="2E951288"/>
    <w:rsid w:val="2ED25ED0"/>
    <w:rsid w:val="2EEB534C"/>
    <w:rsid w:val="2EF51D26"/>
    <w:rsid w:val="2EF835C5"/>
    <w:rsid w:val="2F1321AD"/>
    <w:rsid w:val="2F1B0510"/>
    <w:rsid w:val="2F240361"/>
    <w:rsid w:val="2F40409C"/>
    <w:rsid w:val="2F432A92"/>
    <w:rsid w:val="2FC11C09"/>
    <w:rsid w:val="3002206E"/>
    <w:rsid w:val="302409E4"/>
    <w:rsid w:val="302A1EA4"/>
    <w:rsid w:val="303429B3"/>
    <w:rsid w:val="303845C1"/>
    <w:rsid w:val="309061AB"/>
    <w:rsid w:val="313B1A4D"/>
    <w:rsid w:val="315076E8"/>
    <w:rsid w:val="31A041CB"/>
    <w:rsid w:val="31A11CF2"/>
    <w:rsid w:val="31C83722"/>
    <w:rsid w:val="31D2634F"/>
    <w:rsid w:val="31DB3455"/>
    <w:rsid w:val="31FD1BD3"/>
    <w:rsid w:val="3212499D"/>
    <w:rsid w:val="32221084"/>
    <w:rsid w:val="322A1CE7"/>
    <w:rsid w:val="32395C43"/>
    <w:rsid w:val="32465D59"/>
    <w:rsid w:val="324A05DB"/>
    <w:rsid w:val="326E42CA"/>
    <w:rsid w:val="32847649"/>
    <w:rsid w:val="32905E1C"/>
    <w:rsid w:val="32A91371"/>
    <w:rsid w:val="32A95FE4"/>
    <w:rsid w:val="32B85545"/>
    <w:rsid w:val="32C77260"/>
    <w:rsid w:val="32CE4D68"/>
    <w:rsid w:val="32DF6F75"/>
    <w:rsid w:val="32F44EA2"/>
    <w:rsid w:val="339E1438"/>
    <w:rsid w:val="33D9393C"/>
    <w:rsid w:val="33D939C5"/>
    <w:rsid w:val="33DC71CC"/>
    <w:rsid w:val="33E02FA5"/>
    <w:rsid w:val="342C6BD8"/>
    <w:rsid w:val="344A7CB8"/>
    <w:rsid w:val="34735BC7"/>
    <w:rsid w:val="34796F87"/>
    <w:rsid w:val="347B0F20"/>
    <w:rsid w:val="34943D90"/>
    <w:rsid w:val="349C3CA7"/>
    <w:rsid w:val="34C75F13"/>
    <w:rsid w:val="34ED2283"/>
    <w:rsid w:val="353C420B"/>
    <w:rsid w:val="35441312"/>
    <w:rsid w:val="35447E2E"/>
    <w:rsid w:val="35702107"/>
    <w:rsid w:val="359009FB"/>
    <w:rsid w:val="359E4EC6"/>
    <w:rsid w:val="35A85D44"/>
    <w:rsid w:val="35C51EE9"/>
    <w:rsid w:val="35EB5C31"/>
    <w:rsid w:val="35FB51A0"/>
    <w:rsid w:val="36054F45"/>
    <w:rsid w:val="36301896"/>
    <w:rsid w:val="364041CF"/>
    <w:rsid w:val="3679323D"/>
    <w:rsid w:val="36A4650C"/>
    <w:rsid w:val="36B81FB7"/>
    <w:rsid w:val="36D6189A"/>
    <w:rsid w:val="36E0506A"/>
    <w:rsid w:val="36EC3A0F"/>
    <w:rsid w:val="37133692"/>
    <w:rsid w:val="37244A62"/>
    <w:rsid w:val="37345397"/>
    <w:rsid w:val="375617F5"/>
    <w:rsid w:val="37620175"/>
    <w:rsid w:val="37BC1DFF"/>
    <w:rsid w:val="37E703E1"/>
    <w:rsid w:val="37EB1F18"/>
    <w:rsid w:val="38070681"/>
    <w:rsid w:val="382316B2"/>
    <w:rsid w:val="38275613"/>
    <w:rsid w:val="3828316D"/>
    <w:rsid w:val="382D2531"/>
    <w:rsid w:val="387E6BD2"/>
    <w:rsid w:val="38813B4F"/>
    <w:rsid w:val="38AA5930"/>
    <w:rsid w:val="38B22A36"/>
    <w:rsid w:val="38FD3E94"/>
    <w:rsid w:val="390019F4"/>
    <w:rsid w:val="390037A2"/>
    <w:rsid w:val="39131FD8"/>
    <w:rsid w:val="39390563"/>
    <w:rsid w:val="393E6A0B"/>
    <w:rsid w:val="397321C6"/>
    <w:rsid w:val="397C3770"/>
    <w:rsid w:val="398E5ED8"/>
    <w:rsid w:val="39A44A75"/>
    <w:rsid w:val="39AB195F"/>
    <w:rsid w:val="3A175247"/>
    <w:rsid w:val="3A30455A"/>
    <w:rsid w:val="3A443B62"/>
    <w:rsid w:val="3A663AD8"/>
    <w:rsid w:val="3AA765CB"/>
    <w:rsid w:val="3ABB3E24"/>
    <w:rsid w:val="3AC1298C"/>
    <w:rsid w:val="3AC86541"/>
    <w:rsid w:val="3AEF2A08"/>
    <w:rsid w:val="3AF42518"/>
    <w:rsid w:val="3AFD61EB"/>
    <w:rsid w:val="3B14592F"/>
    <w:rsid w:val="3B2C2F74"/>
    <w:rsid w:val="3B3360B0"/>
    <w:rsid w:val="3B4D7769"/>
    <w:rsid w:val="3B6D7538"/>
    <w:rsid w:val="3BC46D08"/>
    <w:rsid w:val="3BE178BA"/>
    <w:rsid w:val="3C1557B6"/>
    <w:rsid w:val="3C2974B3"/>
    <w:rsid w:val="3C390502"/>
    <w:rsid w:val="3C5A6B38"/>
    <w:rsid w:val="3C7C3A87"/>
    <w:rsid w:val="3CF64452"/>
    <w:rsid w:val="3D081E13"/>
    <w:rsid w:val="3D0F0457"/>
    <w:rsid w:val="3D29776B"/>
    <w:rsid w:val="3D485717"/>
    <w:rsid w:val="3D696385"/>
    <w:rsid w:val="3DB629F3"/>
    <w:rsid w:val="3DF911ED"/>
    <w:rsid w:val="3E16591E"/>
    <w:rsid w:val="3E213375"/>
    <w:rsid w:val="3E3068D7"/>
    <w:rsid w:val="3E3363C7"/>
    <w:rsid w:val="3E344619"/>
    <w:rsid w:val="3E636CAD"/>
    <w:rsid w:val="3E886713"/>
    <w:rsid w:val="3EBC5B33"/>
    <w:rsid w:val="3EC534C3"/>
    <w:rsid w:val="3EF05E1E"/>
    <w:rsid w:val="3F117D69"/>
    <w:rsid w:val="3F1E4982"/>
    <w:rsid w:val="3F1F1B21"/>
    <w:rsid w:val="3F23468E"/>
    <w:rsid w:val="3F3D74FE"/>
    <w:rsid w:val="3F4F7231"/>
    <w:rsid w:val="3F577E93"/>
    <w:rsid w:val="3F9446D6"/>
    <w:rsid w:val="3FB928FC"/>
    <w:rsid w:val="3FD80FD4"/>
    <w:rsid w:val="3FF218EC"/>
    <w:rsid w:val="400D3374"/>
    <w:rsid w:val="40302BBE"/>
    <w:rsid w:val="403C5A07"/>
    <w:rsid w:val="4057639D"/>
    <w:rsid w:val="406211D2"/>
    <w:rsid w:val="406B009A"/>
    <w:rsid w:val="408A7A22"/>
    <w:rsid w:val="409C46F8"/>
    <w:rsid w:val="40F03877"/>
    <w:rsid w:val="40F462E2"/>
    <w:rsid w:val="40F60E6D"/>
    <w:rsid w:val="410F5AC4"/>
    <w:rsid w:val="41312F43"/>
    <w:rsid w:val="413D5556"/>
    <w:rsid w:val="413E57AF"/>
    <w:rsid w:val="41434B73"/>
    <w:rsid w:val="41984EBF"/>
    <w:rsid w:val="41990C37"/>
    <w:rsid w:val="41B93AA0"/>
    <w:rsid w:val="41D63C39"/>
    <w:rsid w:val="41E9396D"/>
    <w:rsid w:val="420903DC"/>
    <w:rsid w:val="421D3616"/>
    <w:rsid w:val="42274495"/>
    <w:rsid w:val="423267B3"/>
    <w:rsid w:val="42A310FD"/>
    <w:rsid w:val="42B555FD"/>
    <w:rsid w:val="42DA6EE4"/>
    <w:rsid w:val="435147BD"/>
    <w:rsid w:val="436634C5"/>
    <w:rsid w:val="43717ADC"/>
    <w:rsid w:val="43AF62A9"/>
    <w:rsid w:val="43C77973"/>
    <w:rsid w:val="43ED51C4"/>
    <w:rsid w:val="43F356F3"/>
    <w:rsid w:val="4431153F"/>
    <w:rsid w:val="44472BCC"/>
    <w:rsid w:val="445602E6"/>
    <w:rsid w:val="4492209A"/>
    <w:rsid w:val="44A354A6"/>
    <w:rsid w:val="44F20D8A"/>
    <w:rsid w:val="452B1BA6"/>
    <w:rsid w:val="45321187"/>
    <w:rsid w:val="45780814"/>
    <w:rsid w:val="45B147A1"/>
    <w:rsid w:val="462F1B6A"/>
    <w:rsid w:val="46430E2A"/>
    <w:rsid w:val="46605EF7"/>
    <w:rsid w:val="466959EE"/>
    <w:rsid w:val="467632F5"/>
    <w:rsid w:val="4689127A"/>
    <w:rsid w:val="4691012F"/>
    <w:rsid w:val="46965745"/>
    <w:rsid w:val="46AA2F9F"/>
    <w:rsid w:val="46B01906"/>
    <w:rsid w:val="46CB53EF"/>
    <w:rsid w:val="46D81B51"/>
    <w:rsid w:val="46FC5DBC"/>
    <w:rsid w:val="46FF60DF"/>
    <w:rsid w:val="470E352E"/>
    <w:rsid w:val="471548BC"/>
    <w:rsid w:val="47190850"/>
    <w:rsid w:val="471C0B56"/>
    <w:rsid w:val="47411B55"/>
    <w:rsid w:val="47484C91"/>
    <w:rsid w:val="47657E6E"/>
    <w:rsid w:val="47B9793D"/>
    <w:rsid w:val="47D44777"/>
    <w:rsid w:val="47DE711B"/>
    <w:rsid w:val="4812529F"/>
    <w:rsid w:val="48142DC6"/>
    <w:rsid w:val="481B05F8"/>
    <w:rsid w:val="486A50DB"/>
    <w:rsid w:val="488937B4"/>
    <w:rsid w:val="48B56357"/>
    <w:rsid w:val="48B656A3"/>
    <w:rsid w:val="48F50E49"/>
    <w:rsid w:val="49420B0A"/>
    <w:rsid w:val="494779A7"/>
    <w:rsid w:val="49A8268E"/>
    <w:rsid w:val="49D55AB4"/>
    <w:rsid w:val="49F527B1"/>
    <w:rsid w:val="4A0A0924"/>
    <w:rsid w:val="4A11580F"/>
    <w:rsid w:val="4A3414FD"/>
    <w:rsid w:val="4A4F0C91"/>
    <w:rsid w:val="4A541B9F"/>
    <w:rsid w:val="4A58343D"/>
    <w:rsid w:val="4A5E2B33"/>
    <w:rsid w:val="4A6366F8"/>
    <w:rsid w:val="4A715433"/>
    <w:rsid w:val="4A9B77CE"/>
    <w:rsid w:val="4AAE5753"/>
    <w:rsid w:val="4ABD5996"/>
    <w:rsid w:val="4ADF76BB"/>
    <w:rsid w:val="4AF85E30"/>
    <w:rsid w:val="4B035254"/>
    <w:rsid w:val="4B076C12"/>
    <w:rsid w:val="4B121E1D"/>
    <w:rsid w:val="4B1D01E3"/>
    <w:rsid w:val="4B301916"/>
    <w:rsid w:val="4B3043BA"/>
    <w:rsid w:val="4B3618FF"/>
    <w:rsid w:val="4B4B1130"/>
    <w:rsid w:val="4B911317"/>
    <w:rsid w:val="4BF54CBC"/>
    <w:rsid w:val="4BFE0DB3"/>
    <w:rsid w:val="4C1C66ED"/>
    <w:rsid w:val="4C2832E3"/>
    <w:rsid w:val="4C3457E4"/>
    <w:rsid w:val="4C3A6B73"/>
    <w:rsid w:val="4C4F0870"/>
    <w:rsid w:val="4C6F0F12"/>
    <w:rsid w:val="4CA7245A"/>
    <w:rsid w:val="4CC27294"/>
    <w:rsid w:val="4CE511D4"/>
    <w:rsid w:val="4CF157E1"/>
    <w:rsid w:val="4CFB6A24"/>
    <w:rsid w:val="4D015211"/>
    <w:rsid w:val="4D0E0D23"/>
    <w:rsid w:val="4D3A507C"/>
    <w:rsid w:val="4D97272F"/>
    <w:rsid w:val="4DA1334D"/>
    <w:rsid w:val="4DC8604C"/>
    <w:rsid w:val="4DD3102D"/>
    <w:rsid w:val="4DDA685F"/>
    <w:rsid w:val="4E0A17D6"/>
    <w:rsid w:val="4E153D98"/>
    <w:rsid w:val="4E1978C7"/>
    <w:rsid w:val="4E281379"/>
    <w:rsid w:val="4E4D7031"/>
    <w:rsid w:val="4E5436CC"/>
    <w:rsid w:val="4EA053B3"/>
    <w:rsid w:val="4EA36C51"/>
    <w:rsid w:val="4EAC01FC"/>
    <w:rsid w:val="4EBA326A"/>
    <w:rsid w:val="4EC07803"/>
    <w:rsid w:val="4EDB76E0"/>
    <w:rsid w:val="4EFB4482"/>
    <w:rsid w:val="4F302734"/>
    <w:rsid w:val="4F4C553B"/>
    <w:rsid w:val="4F52422F"/>
    <w:rsid w:val="4F5B752C"/>
    <w:rsid w:val="4F875832"/>
    <w:rsid w:val="4F9A62A6"/>
    <w:rsid w:val="4F9B0C73"/>
    <w:rsid w:val="4FD25A40"/>
    <w:rsid w:val="4FD35314"/>
    <w:rsid w:val="501A73E7"/>
    <w:rsid w:val="50645C30"/>
    <w:rsid w:val="50660235"/>
    <w:rsid w:val="50A32F39"/>
    <w:rsid w:val="50AF18DD"/>
    <w:rsid w:val="50B16412"/>
    <w:rsid w:val="50D37CC2"/>
    <w:rsid w:val="510559A1"/>
    <w:rsid w:val="51492DE8"/>
    <w:rsid w:val="51776B56"/>
    <w:rsid w:val="517F39A6"/>
    <w:rsid w:val="5184720E"/>
    <w:rsid w:val="5186361D"/>
    <w:rsid w:val="51AE408E"/>
    <w:rsid w:val="51E1640E"/>
    <w:rsid w:val="521045FE"/>
    <w:rsid w:val="522175EE"/>
    <w:rsid w:val="525210BA"/>
    <w:rsid w:val="525F10E1"/>
    <w:rsid w:val="52B909D5"/>
    <w:rsid w:val="52C33D3C"/>
    <w:rsid w:val="52F201A7"/>
    <w:rsid w:val="52F21998"/>
    <w:rsid w:val="52F9702E"/>
    <w:rsid w:val="53142F87"/>
    <w:rsid w:val="5322725A"/>
    <w:rsid w:val="532F31A9"/>
    <w:rsid w:val="536D5561"/>
    <w:rsid w:val="539055EF"/>
    <w:rsid w:val="53A21BCD"/>
    <w:rsid w:val="53BC04F6"/>
    <w:rsid w:val="53D55AFF"/>
    <w:rsid w:val="53F43D5C"/>
    <w:rsid w:val="543D36A4"/>
    <w:rsid w:val="54A9689E"/>
    <w:rsid w:val="54EC738B"/>
    <w:rsid w:val="54ED0C26"/>
    <w:rsid w:val="54F35BF8"/>
    <w:rsid w:val="553E5926"/>
    <w:rsid w:val="55621BE9"/>
    <w:rsid w:val="556F5ADF"/>
    <w:rsid w:val="559D43FA"/>
    <w:rsid w:val="55A57380"/>
    <w:rsid w:val="55AE6607"/>
    <w:rsid w:val="55D44D71"/>
    <w:rsid w:val="55D75F23"/>
    <w:rsid w:val="55DB3175"/>
    <w:rsid w:val="55F23D8E"/>
    <w:rsid w:val="560721BC"/>
    <w:rsid w:val="56316161"/>
    <w:rsid w:val="564C47EC"/>
    <w:rsid w:val="565371AF"/>
    <w:rsid w:val="56576C9F"/>
    <w:rsid w:val="566D7E93"/>
    <w:rsid w:val="568335D8"/>
    <w:rsid w:val="56AF7F71"/>
    <w:rsid w:val="56E12A0D"/>
    <w:rsid w:val="56F92B51"/>
    <w:rsid w:val="57087F99"/>
    <w:rsid w:val="571762F6"/>
    <w:rsid w:val="57355AC5"/>
    <w:rsid w:val="57517B92"/>
    <w:rsid w:val="576F65F1"/>
    <w:rsid w:val="57AF2B0B"/>
    <w:rsid w:val="57CC6557"/>
    <w:rsid w:val="57CD1F3E"/>
    <w:rsid w:val="58665A9E"/>
    <w:rsid w:val="588755BE"/>
    <w:rsid w:val="58AE1CB7"/>
    <w:rsid w:val="58B33F35"/>
    <w:rsid w:val="595474C6"/>
    <w:rsid w:val="595C1771"/>
    <w:rsid w:val="59975605"/>
    <w:rsid w:val="59CC10A8"/>
    <w:rsid w:val="59D173B8"/>
    <w:rsid w:val="59EE16C8"/>
    <w:rsid w:val="59FC32B3"/>
    <w:rsid w:val="5A3C33AE"/>
    <w:rsid w:val="5A427C66"/>
    <w:rsid w:val="5A444126"/>
    <w:rsid w:val="5A7D17A3"/>
    <w:rsid w:val="5ACD5782"/>
    <w:rsid w:val="5ADA39FB"/>
    <w:rsid w:val="5AEF6656"/>
    <w:rsid w:val="5AF2343A"/>
    <w:rsid w:val="5B500161"/>
    <w:rsid w:val="5B523D76"/>
    <w:rsid w:val="5B5F2152"/>
    <w:rsid w:val="5BA65FD3"/>
    <w:rsid w:val="5BDC37A3"/>
    <w:rsid w:val="5C233397"/>
    <w:rsid w:val="5C602626"/>
    <w:rsid w:val="5CC04E72"/>
    <w:rsid w:val="5CCC321D"/>
    <w:rsid w:val="5CE768A3"/>
    <w:rsid w:val="5D2E6280"/>
    <w:rsid w:val="5D6972B8"/>
    <w:rsid w:val="5DAA1DAA"/>
    <w:rsid w:val="5DAD53F7"/>
    <w:rsid w:val="5DC10EA2"/>
    <w:rsid w:val="5DD62B9F"/>
    <w:rsid w:val="5DED5F95"/>
    <w:rsid w:val="5DED613B"/>
    <w:rsid w:val="5DF63241"/>
    <w:rsid w:val="5DF96AFE"/>
    <w:rsid w:val="5DFC40C6"/>
    <w:rsid w:val="5E047F4B"/>
    <w:rsid w:val="5E302094"/>
    <w:rsid w:val="5E345B18"/>
    <w:rsid w:val="5E4945FF"/>
    <w:rsid w:val="5E5E57AE"/>
    <w:rsid w:val="5E6555CB"/>
    <w:rsid w:val="5E774F6B"/>
    <w:rsid w:val="5E780C4F"/>
    <w:rsid w:val="5ED57437"/>
    <w:rsid w:val="5EE34E8F"/>
    <w:rsid w:val="5EE74938"/>
    <w:rsid w:val="5EE96902"/>
    <w:rsid w:val="5F0F2B2F"/>
    <w:rsid w:val="5F166FA8"/>
    <w:rsid w:val="5F4E117D"/>
    <w:rsid w:val="5F740727"/>
    <w:rsid w:val="5F881C77"/>
    <w:rsid w:val="5FB80255"/>
    <w:rsid w:val="5FCC24AC"/>
    <w:rsid w:val="600D0EDA"/>
    <w:rsid w:val="602B0BCA"/>
    <w:rsid w:val="6037544B"/>
    <w:rsid w:val="604917BA"/>
    <w:rsid w:val="60A21DA6"/>
    <w:rsid w:val="60AE3960"/>
    <w:rsid w:val="60B3541A"/>
    <w:rsid w:val="60EA638D"/>
    <w:rsid w:val="60F15F42"/>
    <w:rsid w:val="60F64AA2"/>
    <w:rsid w:val="61131D6A"/>
    <w:rsid w:val="612C6F7A"/>
    <w:rsid w:val="615430E1"/>
    <w:rsid w:val="61720E31"/>
    <w:rsid w:val="61850E92"/>
    <w:rsid w:val="619C1CCF"/>
    <w:rsid w:val="61A41DCB"/>
    <w:rsid w:val="61C3343B"/>
    <w:rsid w:val="61C44E94"/>
    <w:rsid w:val="61DD0B55"/>
    <w:rsid w:val="61E11B13"/>
    <w:rsid w:val="61E17D65"/>
    <w:rsid w:val="61EB5976"/>
    <w:rsid w:val="624A3B5C"/>
    <w:rsid w:val="624D53FA"/>
    <w:rsid w:val="62742987"/>
    <w:rsid w:val="6283643B"/>
    <w:rsid w:val="6288701F"/>
    <w:rsid w:val="628D3A49"/>
    <w:rsid w:val="632450B9"/>
    <w:rsid w:val="633A597E"/>
    <w:rsid w:val="63585E05"/>
    <w:rsid w:val="635D341B"/>
    <w:rsid w:val="63754C08"/>
    <w:rsid w:val="63846BFA"/>
    <w:rsid w:val="63932657"/>
    <w:rsid w:val="63A1799A"/>
    <w:rsid w:val="63D30A57"/>
    <w:rsid w:val="63EE6769"/>
    <w:rsid w:val="640A35A3"/>
    <w:rsid w:val="6439794B"/>
    <w:rsid w:val="64A468C9"/>
    <w:rsid w:val="64C20C1E"/>
    <w:rsid w:val="64F26CD2"/>
    <w:rsid w:val="65000591"/>
    <w:rsid w:val="6507284D"/>
    <w:rsid w:val="650E0E71"/>
    <w:rsid w:val="65136D68"/>
    <w:rsid w:val="654C527A"/>
    <w:rsid w:val="6564235E"/>
    <w:rsid w:val="658D2BB2"/>
    <w:rsid w:val="65BC6B1F"/>
    <w:rsid w:val="65BC6F31"/>
    <w:rsid w:val="65DC4ACB"/>
    <w:rsid w:val="65F30067"/>
    <w:rsid w:val="65FC53A9"/>
    <w:rsid w:val="66065FEC"/>
    <w:rsid w:val="664814FC"/>
    <w:rsid w:val="666940EB"/>
    <w:rsid w:val="666F3B91"/>
    <w:rsid w:val="66B04878"/>
    <w:rsid w:val="66B5531C"/>
    <w:rsid w:val="66BA2932"/>
    <w:rsid w:val="66D47B18"/>
    <w:rsid w:val="67340937"/>
    <w:rsid w:val="673E7377"/>
    <w:rsid w:val="67790850"/>
    <w:rsid w:val="67957627"/>
    <w:rsid w:val="67A4786A"/>
    <w:rsid w:val="67D10424"/>
    <w:rsid w:val="67D76615"/>
    <w:rsid w:val="67F26828"/>
    <w:rsid w:val="681E586F"/>
    <w:rsid w:val="683230C8"/>
    <w:rsid w:val="685E57E3"/>
    <w:rsid w:val="687C4343"/>
    <w:rsid w:val="68863414"/>
    <w:rsid w:val="688F2C93"/>
    <w:rsid w:val="68C1779D"/>
    <w:rsid w:val="68C61A62"/>
    <w:rsid w:val="68CB0E27"/>
    <w:rsid w:val="68EB3277"/>
    <w:rsid w:val="68F37DF3"/>
    <w:rsid w:val="69196036"/>
    <w:rsid w:val="693410C2"/>
    <w:rsid w:val="695D4175"/>
    <w:rsid w:val="69782D5D"/>
    <w:rsid w:val="699102C2"/>
    <w:rsid w:val="69BA0473"/>
    <w:rsid w:val="69F375DB"/>
    <w:rsid w:val="69FF3E48"/>
    <w:rsid w:val="69FF6FDA"/>
    <w:rsid w:val="6A2A0EFB"/>
    <w:rsid w:val="6A9736B6"/>
    <w:rsid w:val="6AA54025"/>
    <w:rsid w:val="6AA83E02"/>
    <w:rsid w:val="6B256F14"/>
    <w:rsid w:val="6B3C3FC0"/>
    <w:rsid w:val="6B453112"/>
    <w:rsid w:val="6B563571"/>
    <w:rsid w:val="6B99345E"/>
    <w:rsid w:val="6C016B2A"/>
    <w:rsid w:val="6C0C1E82"/>
    <w:rsid w:val="6C0C4F93"/>
    <w:rsid w:val="6C160AEE"/>
    <w:rsid w:val="6C444AC0"/>
    <w:rsid w:val="6C5F3CBB"/>
    <w:rsid w:val="6C786F6C"/>
    <w:rsid w:val="6CA200F0"/>
    <w:rsid w:val="6CB5251A"/>
    <w:rsid w:val="6CC4275D"/>
    <w:rsid w:val="6CD921A6"/>
    <w:rsid w:val="6CDF1FD2"/>
    <w:rsid w:val="6CEF1588"/>
    <w:rsid w:val="6D0B6420"/>
    <w:rsid w:val="6D5E2269"/>
    <w:rsid w:val="6D7F5398"/>
    <w:rsid w:val="6D9914F3"/>
    <w:rsid w:val="6D9C3F7F"/>
    <w:rsid w:val="6DA40C82"/>
    <w:rsid w:val="6DB12CE1"/>
    <w:rsid w:val="6DB477EA"/>
    <w:rsid w:val="6DC76061"/>
    <w:rsid w:val="6DDB5C03"/>
    <w:rsid w:val="6DE5298B"/>
    <w:rsid w:val="6DF3116F"/>
    <w:rsid w:val="6E930639"/>
    <w:rsid w:val="6EAF267D"/>
    <w:rsid w:val="6EF91D96"/>
    <w:rsid w:val="6F011A46"/>
    <w:rsid w:val="6F4E1809"/>
    <w:rsid w:val="6F5E456F"/>
    <w:rsid w:val="6F6928FD"/>
    <w:rsid w:val="6F6B5112"/>
    <w:rsid w:val="6F9F446C"/>
    <w:rsid w:val="6FBE7937"/>
    <w:rsid w:val="701E123A"/>
    <w:rsid w:val="70343755"/>
    <w:rsid w:val="7060454A"/>
    <w:rsid w:val="70853FB1"/>
    <w:rsid w:val="709621D9"/>
    <w:rsid w:val="70CC398E"/>
    <w:rsid w:val="70F16239"/>
    <w:rsid w:val="70F7113D"/>
    <w:rsid w:val="710775D2"/>
    <w:rsid w:val="711315BD"/>
    <w:rsid w:val="71685DAD"/>
    <w:rsid w:val="716A3C27"/>
    <w:rsid w:val="716B764B"/>
    <w:rsid w:val="718D5813"/>
    <w:rsid w:val="719941B8"/>
    <w:rsid w:val="71DD132E"/>
    <w:rsid w:val="71E85EA4"/>
    <w:rsid w:val="721B2E1F"/>
    <w:rsid w:val="72300CCC"/>
    <w:rsid w:val="72510B6E"/>
    <w:rsid w:val="726F164E"/>
    <w:rsid w:val="72722B1C"/>
    <w:rsid w:val="729E4723"/>
    <w:rsid w:val="72A75C02"/>
    <w:rsid w:val="72F26941"/>
    <w:rsid w:val="732301DD"/>
    <w:rsid w:val="734A7FBF"/>
    <w:rsid w:val="735A34D3"/>
    <w:rsid w:val="739F538A"/>
    <w:rsid w:val="73CC3631"/>
    <w:rsid w:val="74106478"/>
    <w:rsid w:val="741B3A27"/>
    <w:rsid w:val="743B1556"/>
    <w:rsid w:val="743D5010"/>
    <w:rsid w:val="7460720F"/>
    <w:rsid w:val="746A68E6"/>
    <w:rsid w:val="747B0ACE"/>
    <w:rsid w:val="749B1FF5"/>
    <w:rsid w:val="74D6127F"/>
    <w:rsid w:val="74EC1DF0"/>
    <w:rsid w:val="74F040EF"/>
    <w:rsid w:val="752F7DB6"/>
    <w:rsid w:val="75343457"/>
    <w:rsid w:val="75862CA5"/>
    <w:rsid w:val="758807CB"/>
    <w:rsid w:val="75A5137D"/>
    <w:rsid w:val="75A6141B"/>
    <w:rsid w:val="75EA3234"/>
    <w:rsid w:val="76674885"/>
    <w:rsid w:val="767713B8"/>
    <w:rsid w:val="76807153"/>
    <w:rsid w:val="76C9109B"/>
    <w:rsid w:val="76E557A9"/>
    <w:rsid w:val="76F105F2"/>
    <w:rsid w:val="77163252"/>
    <w:rsid w:val="771816DB"/>
    <w:rsid w:val="77184AC0"/>
    <w:rsid w:val="77667C7B"/>
    <w:rsid w:val="777D3C34"/>
    <w:rsid w:val="7791148D"/>
    <w:rsid w:val="77E72A0F"/>
    <w:rsid w:val="77F263D0"/>
    <w:rsid w:val="781E2C91"/>
    <w:rsid w:val="787E5EB6"/>
    <w:rsid w:val="788334CC"/>
    <w:rsid w:val="78887CD9"/>
    <w:rsid w:val="78945F98"/>
    <w:rsid w:val="78B6564F"/>
    <w:rsid w:val="79330A4E"/>
    <w:rsid w:val="7937795F"/>
    <w:rsid w:val="794669D3"/>
    <w:rsid w:val="795D1F6F"/>
    <w:rsid w:val="799040F2"/>
    <w:rsid w:val="79B772FD"/>
    <w:rsid w:val="79B80F53"/>
    <w:rsid w:val="79BD50BD"/>
    <w:rsid w:val="79C30024"/>
    <w:rsid w:val="7A4364EB"/>
    <w:rsid w:val="7A601D17"/>
    <w:rsid w:val="7AC57DCC"/>
    <w:rsid w:val="7B1D3764"/>
    <w:rsid w:val="7B334D35"/>
    <w:rsid w:val="7B404BE2"/>
    <w:rsid w:val="7B4B6523"/>
    <w:rsid w:val="7B564EC8"/>
    <w:rsid w:val="7B672C31"/>
    <w:rsid w:val="7B9B3656"/>
    <w:rsid w:val="7BF00E78"/>
    <w:rsid w:val="7BF96C9E"/>
    <w:rsid w:val="7C156B31"/>
    <w:rsid w:val="7C303C7D"/>
    <w:rsid w:val="7C4C685F"/>
    <w:rsid w:val="7C596A1E"/>
    <w:rsid w:val="7C647170"/>
    <w:rsid w:val="7C9061B7"/>
    <w:rsid w:val="7CAF663E"/>
    <w:rsid w:val="7CB15888"/>
    <w:rsid w:val="7CE03CED"/>
    <w:rsid w:val="7D121782"/>
    <w:rsid w:val="7D1312C2"/>
    <w:rsid w:val="7D9121E7"/>
    <w:rsid w:val="7D985324"/>
    <w:rsid w:val="7D997CAA"/>
    <w:rsid w:val="7DA243F4"/>
    <w:rsid w:val="7DF7392F"/>
    <w:rsid w:val="7E094473"/>
    <w:rsid w:val="7E484F9C"/>
    <w:rsid w:val="7E596D16"/>
    <w:rsid w:val="7E837D82"/>
    <w:rsid w:val="7E923643"/>
    <w:rsid w:val="7EA30424"/>
    <w:rsid w:val="7EA832D9"/>
    <w:rsid w:val="7EBA0FF5"/>
    <w:rsid w:val="7ECA4D0C"/>
    <w:rsid w:val="7EDE320A"/>
    <w:rsid w:val="7EEB3EC6"/>
    <w:rsid w:val="7F005876"/>
    <w:rsid w:val="7F5E4613"/>
    <w:rsid w:val="7F663902"/>
    <w:rsid w:val="7F6F6558"/>
    <w:rsid w:val="7F89761A"/>
    <w:rsid w:val="7FBF128D"/>
    <w:rsid w:val="7FC00B62"/>
    <w:rsid w:val="7FD25285"/>
    <w:rsid w:val="7FE743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qFormat="1" w:unhideWhenUsed="0" w:uiPriority="0" w:name="toc 9"/>
    <w:lsdException w:qFormat="1" w:unhideWhenUsed="0" w:uiPriority="0" w:semiHidden="0" w:name="Normal Indent"/>
    <w:lsdException w:uiPriority="0" w:name="footnote text"/>
    <w:lsdException w:qFormat="1" w:unhideWhenUsed="0" w:uiPriority="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iPriority="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0" w:name="E-mail Signature"/>
    <w:lsdException w:qFormat="1" w:unhideWhenUsed="0" w:uiPriority="0" w:semiHidden="0" w:name="Normal (Web)"/>
    <w:lsdException w:qFormat="1" w:uiPriority="0" w:name="HTML Acronym"/>
    <w:lsdException w:uiPriority="0" w:name="HTML Address"/>
    <w:lsdException w:qFormat="1" w:uiPriority="0" w:name="HTML Cite"/>
    <w:lsdException w:qFormat="1" w:uiPriority="0" w:name="HTML Code"/>
    <w:lsdException w:qFormat="1" w:uiPriority="0" w:name="HTML Definition"/>
    <w:lsdException w:qFormat="1" w:uiPriority="0" w:name="HTML Keyboard"/>
    <w:lsdException w:qFormat="1" w:unhideWhenUsed="0" w:uiPriority="0" w:semiHidden="0" w:name="HTML Preformatted"/>
    <w:lsdException w:qFormat="1" w:uiPriority="0" w:name="HTML Sample"/>
    <w:lsdException w:uiPriority="0" w:name="HTML Typewriter"/>
    <w:lsdException w:qFormat="1" w:uiPriority="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qFormat="1" w:unhideWhenUsed="0" w:uiPriority="0" w:semiHidden="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59"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lang w:val="en-US" w:eastAsia="zh-CN" w:bidi="ar-SA"/>
    </w:rPr>
  </w:style>
  <w:style w:type="paragraph" w:styleId="2">
    <w:name w:val="heading 1"/>
    <w:basedOn w:val="1"/>
    <w:next w:val="1"/>
    <w:link w:val="73"/>
    <w:qFormat/>
    <w:uiPriority w:val="0"/>
    <w:pPr>
      <w:keepNext/>
      <w:keepLines/>
      <w:snapToGrid w:val="0"/>
      <w:spacing w:line="360" w:lineRule="auto"/>
      <w:outlineLvl w:val="0"/>
    </w:pPr>
    <w:rPr>
      <w:rFonts w:eastAsia="黑体"/>
      <w:bCs/>
      <w:kern w:val="44"/>
      <w:sz w:val="28"/>
      <w:szCs w:val="28"/>
    </w:rPr>
  </w:style>
  <w:style w:type="paragraph" w:styleId="3">
    <w:name w:val="heading 2"/>
    <w:basedOn w:val="1"/>
    <w:next w:val="1"/>
    <w:link w:val="152"/>
    <w:qFormat/>
    <w:uiPriority w:val="0"/>
    <w:pPr>
      <w:keepNext/>
      <w:keepLines/>
      <w:numPr>
        <w:ilvl w:val="1"/>
        <w:numId w:val="1"/>
      </w:numPr>
      <w:tabs>
        <w:tab w:val="left" w:pos="425"/>
      </w:tabs>
      <w:adjustRightInd w:val="0"/>
      <w:spacing w:before="100" w:after="100" w:line="360" w:lineRule="auto"/>
      <w:jc w:val="left"/>
      <w:textAlignment w:val="baseline"/>
      <w:outlineLvl w:val="1"/>
    </w:pPr>
    <w:rPr>
      <w:rFonts w:ascii="Arial" w:hAnsi="Arial" w:eastAsia="黑体"/>
      <w:b/>
      <w:sz w:val="28"/>
    </w:rPr>
  </w:style>
  <w:style w:type="paragraph" w:styleId="4">
    <w:name w:val="heading 3"/>
    <w:basedOn w:val="1"/>
    <w:next w:val="1"/>
    <w:link w:val="153"/>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link w:val="154"/>
    <w:qFormat/>
    <w:uiPriority w:val="0"/>
    <w:pPr>
      <w:keepNext/>
      <w:keepLines/>
      <w:numPr>
        <w:ilvl w:val="3"/>
        <w:numId w:val="1"/>
      </w:numPr>
      <w:spacing w:before="280" w:after="290" w:line="376" w:lineRule="auto"/>
      <w:outlineLvl w:val="3"/>
    </w:pPr>
    <w:rPr>
      <w:rFonts w:ascii="Arial" w:hAnsi="Arial" w:eastAsia="黑体"/>
      <w:b/>
      <w:bCs/>
      <w:sz w:val="28"/>
      <w:szCs w:val="28"/>
    </w:rPr>
  </w:style>
  <w:style w:type="paragraph" w:styleId="6">
    <w:name w:val="heading 5"/>
    <w:basedOn w:val="1"/>
    <w:next w:val="1"/>
    <w:link w:val="155"/>
    <w:qFormat/>
    <w:uiPriority w:val="0"/>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156"/>
    <w:qFormat/>
    <w:uiPriority w:val="0"/>
    <w:pPr>
      <w:keepNext/>
      <w:keepLines/>
      <w:numPr>
        <w:ilvl w:val="5"/>
        <w:numId w:val="1"/>
      </w:numPr>
      <w:spacing w:before="240" w:after="64" w:line="320" w:lineRule="auto"/>
      <w:outlineLvl w:val="5"/>
    </w:pPr>
    <w:rPr>
      <w:rFonts w:ascii="Arial" w:hAnsi="Arial" w:eastAsia="黑体"/>
      <w:b/>
      <w:bCs/>
      <w:sz w:val="24"/>
    </w:rPr>
  </w:style>
  <w:style w:type="paragraph" w:styleId="8">
    <w:name w:val="heading 7"/>
    <w:basedOn w:val="1"/>
    <w:next w:val="1"/>
    <w:link w:val="157"/>
    <w:qFormat/>
    <w:uiPriority w:val="0"/>
    <w:pPr>
      <w:keepNext/>
      <w:keepLines/>
      <w:numPr>
        <w:ilvl w:val="6"/>
        <w:numId w:val="1"/>
      </w:numPr>
      <w:spacing w:before="240" w:after="64" w:line="320" w:lineRule="auto"/>
      <w:outlineLvl w:val="6"/>
    </w:pPr>
    <w:rPr>
      <w:b/>
      <w:bCs/>
      <w:sz w:val="24"/>
    </w:rPr>
  </w:style>
  <w:style w:type="paragraph" w:styleId="9">
    <w:name w:val="heading 8"/>
    <w:basedOn w:val="1"/>
    <w:next w:val="1"/>
    <w:link w:val="158"/>
    <w:qFormat/>
    <w:uiPriority w:val="0"/>
    <w:pPr>
      <w:keepNext/>
      <w:keepLines/>
      <w:numPr>
        <w:ilvl w:val="7"/>
        <w:numId w:val="1"/>
      </w:numPr>
      <w:spacing w:before="240" w:after="64" w:line="320" w:lineRule="auto"/>
      <w:outlineLvl w:val="7"/>
    </w:pPr>
    <w:rPr>
      <w:rFonts w:ascii="Arial" w:hAnsi="Arial" w:eastAsia="黑体"/>
      <w:sz w:val="24"/>
    </w:rPr>
  </w:style>
  <w:style w:type="paragraph" w:styleId="10">
    <w:name w:val="heading 9"/>
    <w:basedOn w:val="1"/>
    <w:next w:val="1"/>
    <w:link w:val="159"/>
    <w:qFormat/>
    <w:uiPriority w:val="0"/>
    <w:pPr>
      <w:keepNext/>
      <w:keepLines/>
      <w:numPr>
        <w:ilvl w:val="8"/>
        <w:numId w:val="1"/>
      </w:numPr>
      <w:spacing w:before="240" w:after="64" w:line="320" w:lineRule="auto"/>
      <w:outlineLvl w:val="8"/>
    </w:pPr>
    <w:rPr>
      <w:rFonts w:ascii="Arial" w:hAnsi="Arial" w:eastAsia="黑体"/>
      <w:szCs w:val="21"/>
    </w:rPr>
  </w:style>
  <w:style w:type="character" w:default="1" w:styleId="40">
    <w:name w:val="Default Paragraph Font"/>
    <w:semiHidden/>
    <w:unhideWhenUsed/>
    <w:qFormat/>
    <w:uiPriority w:val="1"/>
  </w:style>
  <w:style w:type="table" w:default="1" w:styleId="37">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link w:val="90"/>
    <w:qFormat/>
    <w:uiPriority w:val="0"/>
    <w:pPr>
      <w:ind w:firstLine="420" w:firstLineChars="200"/>
    </w:pPr>
    <w:rPr>
      <w:sz w:val="21"/>
      <w:szCs w:val="24"/>
    </w:rPr>
  </w:style>
  <w:style w:type="paragraph" w:styleId="12">
    <w:name w:val="Document Map"/>
    <w:basedOn w:val="1"/>
    <w:link w:val="79"/>
    <w:semiHidden/>
    <w:qFormat/>
    <w:uiPriority w:val="0"/>
    <w:pPr>
      <w:shd w:val="clear" w:color="auto" w:fill="000080"/>
    </w:pPr>
    <w:rPr>
      <w:sz w:val="21"/>
      <w:szCs w:val="24"/>
    </w:rPr>
  </w:style>
  <w:style w:type="paragraph" w:styleId="13">
    <w:name w:val="annotation text"/>
    <w:basedOn w:val="1"/>
    <w:link w:val="82"/>
    <w:semiHidden/>
    <w:qFormat/>
    <w:uiPriority w:val="0"/>
    <w:pPr>
      <w:jc w:val="left"/>
    </w:pPr>
    <w:rPr>
      <w:sz w:val="21"/>
      <w:szCs w:val="24"/>
    </w:rPr>
  </w:style>
  <w:style w:type="paragraph" w:styleId="14">
    <w:name w:val="Body Text 3"/>
    <w:basedOn w:val="1"/>
    <w:link w:val="161"/>
    <w:qFormat/>
    <w:uiPriority w:val="0"/>
    <w:pPr>
      <w:spacing w:line="360" w:lineRule="auto"/>
    </w:pPr>
    <w:rPr>
      <w:color w:val="FF0000"/>
    </w:rPr>
  </w:style>
  <w:style w:type="paragraph" w:styleId="15">
    <w:name w:val="Body Text"/>
    <w:basedOn w:val="1"/>
    <w:next w:val="16"/>
    <w:link w:val="162"/>
    <w:qFormat/>
    <w:uiPriority w:val="0"/>
    <w:pPr>
      <w:spacing w:after="120"/>
    </w:pPr>
  </w:style>
  <w:style w:type="paragraph" w:customStyle="1" w:styleId="16">
    <w:name w:val="xl27"/>
    <w:basedOn w:val="1"/>
    <w:next w:val="1"/>
    <w:qFormat/>
    <w:uiPriority w:val="0"/>
    <w:pPr>
      <w:widowControl/>
      <w:pBdr>
        <w:bottom w:val="single" w:color="auto" w:sz="12" w:space="0"/>
      </w:pBdr>
      <w:spacing w:before="100" w:after="100"/>
      <w:jc w:val="center"/>
    </w:pPr>
    <w:rPr>
      <w:rFonts w:ascii="宋体" w:hAnsi="宋体"/>
      <w:kern w:val="0"/>
      <w:szCs w:val="20"/>
    </w:rPr>
  </w:style>
  <w:style w:type="paragraph" w:styleId="17">
    <w:name w:val="Body Text Indent"/>
    <w:basedOn w:val="1"/>
    <w:link w:val="163"/>
    <w:qFormat/>
    <w:uiPriority w:val="0"/>
    <w:pPr>
      <w:snapToGrid w:val="0"/>
      <w:spacing w:before="120" w:line="360" w:lineRule="atLeast"/>
      <w:ind w:firstLine="539"/>
    </w:pPr>
    <w:rPr>
      <w:sz w:val="24"/>
    </w:rPr>
  </w:style>
  <w:style w:type="paragraph" w:styleId="18">
    <w:name w:val="toc 3"/>
    <w:basedOn w:val="1"/>
    <w:next w:val="1"/>
    <w:qFormat/>
    <w:uiPriority w:val="39"/>
    <w:pPr>
      <w:ind w:left="420"/>
      <w:jc w:val="left"/>
    </w:pPr>
    <w:rPr>
      <w:i/>
      <w:iCs/>
    </w:rPr>
  </w:style>
  <w:style w:type="paragraph" w:styleId="19">
    <w:name w:val="Plain Text"/>
    <w:basedOn w:val="1"/>
    <w:link w:val="77"/>
    <w:qFormat/>
    <w:uiPriority w:val="0"/>
    <w:pPr>
      <w:adjustRightInd w:val="0"/>
      <w:spacing w:before="120" w:line="400" w:lineRule="exact"/>
      <w:textAlignment w:val="baseline"/>
    </w:pPr>
    <w:rPr>
      <w:rFonts w:ascii="宋体" w:hAnsi="Courier New"/>
      <w:spacing w:val="-2"/>
      <w:kern w:val="28"/>
      <w:sz w:val="21"/>
    </w:rPr>
  </w:style>
  <w:style w:type="paragraph" w:styleId="20">
    <w:name w:val="Date"/>
    <w:basedOn w:val="1"/>
    <w:next w:val="1"/>
    <w:link w:val="164"/>
    <w:qFormat/>
    <w:uiPriority w:val="0"/>
    <w:pPr>
      <w:adjustRightInd w:val="0"/>
      <w:spacing w:beforeLines="50" w:line="312" w:lineRule="atLeast"/>
      <w:textAlignment w:val="baseline"/>
    </w:pPr>
  </w:style>
  <w:style w:type="paragraph" w:styleId="21">
    <w:name w:val="Body Text Indent 2"/>
    <w:basedOn w:val="1"/>
    <w:next w:val="1"/>
    <w:link w:val="160"/>
    <w:qFormat/>
    <w:uiPriority w:val="0"/>
    <w:pPr>
      <w:spacing w:before="15" w:line="480" w:lineRule="exact"/>
      <w:ind w:firstLine="496" w:firstLineChars="200"/>
    </w:pPr>
    <w:rPr>
      <w:rFonts w:ascii="宋体" w:hAnsi="宋体"/>
      <w:spacing w:val="4"/>
      <w:sz w:val="24"/>
    </w:rPr>
  </w:style>
  <w:style w:type="paragraph" w:styleId="22">
    <w:name w:val="Balloon Text"/>
    <w:basedOn w:val="1"/>
    <w:link w:val="165"/>
    <w:semiHidden/>
    <w:qFormat/>
    <w:uiPriority w:val="0"/>
  </w:style>
  <w:style w:type="paragraph" w:styleId="23">
    <w:name w:val="footer"/>
    <w:basedOn w:val="1"/>
    <w:link w:val="149"/>
    <w:qFormat/>
    <w:uiPriority w:val="99"/>
    <w:pPr>
      <w:tabs>
        <w:tab w:val="center" w:pos="4153"/>
        <w:tab w:val="right" w:pos="8306"/>
      </w:tabs>
      <w:snapToGrid w:val="0"/>
      <w:jc w:val="left"/>
    </w:pPr>
  </w:style>
  <w:style w:type="paragraph" w:styleId="24">
    <w:name w:val="header"/>
    <w:basedOn w:val="1"/>
    <w:link w:val="166"/>
    <w:qFormat/>
    <w:uiPriority w:val="0"/>
    <w:pPr>
      <w:pBdr>
        <w:bottom w:val="single" w:color="auto" w:sz="6" w:space="1"/>
      </w:pBdr>
      <w:tabs>
        <w:tab w:val="center" w:pos="4153"/>
        <w:tab w:val="right" w:pos="8306"/>
      </w:tabs>
      <w:snapToGrid w:val="0"/>
      <w:jc w:val="center"/>
    </w:pPr>
  </w:style>
  <w:style w:type="paragraph" w:styleId="25">
    <w:name w:val="toc 1"/>
    <w:basedOn w:val="1"/>
    <w:next w:val="1"/>
    <w:qFormat/>
    <w:uiPriority w:val="39"/>
    <w:pPr>
      <w:tabs>
        <w:tab w:val="right" w:leader="dot" w:pos="8296"/>
      </w:tabs>
      <w:spacing w:line="360" w:lineRule="auto"/>
      <w:jc w:val="center"/>
    </w:pPr>
    <w:rPr>
      <w:b/>
      <w:bCs/>
      <w:sz w:val="36"/>
      <w:szCs w:val="36"/>
    </w:rPr>
  </w:style>
  <w:style w:type="paragraph" w:styleId="26">
    <w:name w:val="List"/>
    <w:basedOn w:val="1"/>
    <w:qFormat/>
    <w:uiPriority w:val="0"/>
    <w:pPr>
      <w:ind w:left="200" w:hanging="200" w:hangingChars="200"/>
    </w:pPr>
  </w:style>
  <w:style w:type="paragraph" w:styleId="27">
    <w:name w:val="Body Text Indent 3"/>
    <w:basedOn w:val="1"/>
    <w:link w:val="167"/>
    <w:qFormat/>
    <w:uiPriority w:val="0"/>
    <w:pPr>
      <w:spacing w:before="120" w:line="460" w:lineRule="atLeast"/>
      <w:ind w:firstLine="480" w:firstLineChars="200"/>
    </w:pPr>
    <w:rPr>
      <w:sz w:val="24"/>
    </w:rPr>
  </w:style>
  <w:style w:type="paragraph" w:styleId="28">
    <w:name w:val="toc 2"/>
    <w:basedOn w:val="1"/>
    <w:next w:val="1"/>
    <w:unhideWhenUsed/>
    <w:qFormat/>
    <w:uiPriority w:val="39"/>
    <w:pPr>
      <w:widowControl/>
      <w:spacing w:after="100" w:line="259" w:lineRule="auto"/>
      <w:ind w:left="220"/>
      <w:jc w:val="left"/>
    </w:pPr>
    <w:rPr>
      <w:rFonts w:asciiTheme="minorHAnsi" w:hAnsiTheme="minorHAnsi" w:eastAsiaTheme="minorEastAsia"/>
      <w:sz w:val="22"/>
      <w:szCs w:val="22"/>
    </w:rPr>
  </w:style>
  <w:style w:type="paragraph" w:styleId="29">
    <w:name w:val="toc 9"/>
    <w:basedOn w:val="1"/>
    <w:next w:val="1"/>
    <w:semiHidden/>
    <w:qFormat/>
    <w:uiPriority w:val="0"/>
    <w:pPr>
      <w:ind w:left="1680" w:firstLine="200" w:firstLineChars="200"/>
      <w:jc w:val="left"/>
    </w:pPr>
    <w:rPr>
      <w:rFonts w:eastAsia="仿宋_GB2312"/>
    </w:rPr>
  </w:style>
  <w:style w:type="paragraph" w:styleId="30">
    <w:name w:val="Body Text 2"/>
    <w:basedOn w:val="1"/>
    <w:link w:val="168"/>
    <w:qFormat/>
    <w:uiPriority w:val="0"/>
    <w:pPr>
      <w:spacing w:after="120" w:line="480" w:lineRule="auto"/>
    </w:pPr>
  </w:style>
  <w:style w:type="paragraph" w:styleId="31">
    <w:name w:val="HTML Preformatted"/>
    <w:basedOn w:val="1"/>
    <w:link w:val="169"/>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3" w:lineRule="atLeast"/>
      <w:jc w:val="left"/>
    </w:pPr>
    <w:rPr>
      <w:rFonts w:ascii="Arial" w:hAnsi="Arial" w:cs="Arial"/>
      <w:sz w:val="16"/>
      <w:szCs w:val="16"/>
    </w:rPr>
  </w:style>
  <w:style w:type="paragraph" w:styleId="32">
    <w:name w:val="Normal (Web)"/>
    <w:basedOn w:val="1"/>
    <w:link w:val="180"/>
    <w:qFormat/>
    <w:uiPriority w:val="0"/>
    <w:pPr>
      <w:widowControl/>
      <w:spacing w:before="150" w:line="312" w:lineRule="auto"/>
      <w:ind w:firstLine="480"/>
      <w:jc w:val="left"/>
    </w:pPr>
    <w:rPr>
      <w:spacing w:val="15"/>
    </w:rPr>
  </w:style>
  <w:style w:type="paragraph" w:styleId="33">
    <w:name w:val="Title"/>
    <w:basedOn w:val="1"/>
    <w:next w:val="1"/>
    <w:qFormat/>
    <w:uiPriority w:val="0"/>
    <w:pPr>
      <w:spacing w:before="240" w:after="60"/>
      <w:jc w:val="center"/>
      <w:outlineLvl w:val="0"/>
    </w:pPr>
    <w:rPr>
      <w:rFonts w:ascii="Arial" w:hAnsi="Arial" w:eastAsia="黑体"/>
      <w:bCs/>
      <w:sz w:val="36"/>
      <w:szCs w:val="32"/>
    </w:rPr>
  </w:style>
  <w:style w:type="paragraph" w:styleId="34">
    <w:name w:val="annotation subject"/>
    <w:basedOn w:val="13"/>
    <w:next w:val="13"/>
    <w:link w:val="170"/>
    <w:semiHidden/>
    <w:qFormat/>
    <w:uiPriority w:val="0"/>
    <w:rPr>
      <w:b/>
      <w:bCs/>
    </w:rPr>
  </w:style>
  <w:style w:type="paragraph" w:styleId="35">
    <w:name w:val="Body Text First Indent"/>
    <w:basedOn w:val="15"/>
    <w:link w:val="62"/>
    <w:qFormat/>
    <w:uiPriority w:val="0"/>
    <w:pPr>
      <w:ind w:firstLine="420" w:firstLineChars="100"/>
    </w:pPr>
    <w:rPr>
      <w:sz w:val="21"/>
      <w:szCs w:val="24"/>
    </w:rPr>
  </w:style>
  <w:style w:type="paragraph" w:styleId="36">
    <w:name w:val="Body Text First Indent 2"/>
    <w:basedOn w:val="17"/>
    <w:next w:val="1"/>
    <w:qFormat/>
    <w:uiPriority w:val="0"/>
    <w:pPr>
      <w:spacing w:after="120"/>
      <w:ind w:left="420" w:leftChars="200" w:firstLine="420" w:firstLineChars="200"/>
    </w:pPr>
    <w:rPr>
      <w:szCs w:val="24"/>
    </w:rPr>
  </w:style>
  <w:style w:type="table" w:styleId="38">
    <w:name w:val="Table Grid"/>
    <w:basedOn w:val="37"/>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9">
    <w:name w:val="Table Grid 2"/>
    <w:basedOn w:val="37"/>
    <w:qFormat/>
    <w:uiPriority w:val="0"/>
    <w:pPr>
      <w:widowControl w:val="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character" w:styleId="41">
    <w:name w:val="Strong"/>
    <w:qFormat/>
    <w:uiPriority w:val="0"/>
    <w:rPr>
      <w:b/>
      <w:bCs/>
    </w:rPr>
  </w:style>
  <w:style w:type="character" w:styleId="42">
    <w:name w:val="page number"/>
    <w:basedOn w:val="40"/>
    <w:qFormat/>
    <w:uiPriority w:val="0"/>
  </w:style>
  <w:style w:type="character" w:styleId="43">
    <w:name w:val="FollowedHyperlink"/>
    <w:semiHidden/>
    <w:unhideWhenUsed/>
    <w:qFormat/>
    <w:uiPriority w:val="0"/>
    <w:rPr>
      <w:color w:val="333333"/>
      <w:u w:val="none"/>
    </w:rPr>
  </w:style>
  <w:style w:type="character" w:styleId="44">
    <w:name w:val="Emphasis"/>
    <w:qFormat/>
    <w:uiPriority w:val="0"/>
    <w:rPr>
      <w:i/>
      <w:iCs/>
    </w:rPr>
  </w:style>
  <w:style w:type="character" w:styleId="45">
    <w:name w:val="HTML Definition"/>
    <w:semiHidden/>
    <w:unhideWhenUsed/>
    <w:qFormat/>
    <w:uiPriority w:val="0"/>
  </w:style>
  <w:style w:type="character" w:styleId="46">
    <w:name w:val="HTML Acronym"/>
    <w:basedOn w:val="40"/>
    <w:semiHidden/>
    <w:unhideWhenUsed/>
    <w:qFormat/>
    <w:uiPriority w:val="0"/>
  </w:style>
  <w:style w:type="character" w:styleId="47">
    <w:name w:val="HTML Variable"/>
    <w:semiHidden/>
    <w:unhideWhenUsed/>
    <w:qFormat/>
    <w:uiPriority w:val="0"/>
  </w:style>
  <w:style w:type="character" w:styleId="48">
    <w:name w:val="Hyperlink"/>
    <w:qFormat/>
    <w:uiPriority w:val="99"/>
    <w:rPr>
      <w:color w:val="0000FF"/>
      <w:u w:val="none"/>
    </w:rPr>
  </w:style>
  <w:style w:type="character" w:styleId="49">
    <w:name w:val="HTML Code"/>
    <w:semiHidden/>
    <w:unhideWhenUsed/>
    <w:qFormat/>
    <w:uiPriority w:val="0"/>
    <w:rPr>
      <w:rFonts w:hint="default" w:ascii="Consolas" w:hAnsi="Consolas" w:eastAsia="Consolas" w:cs="Consolas"/>
      <w:color w:val="C7254E"/>
      <w:sz w:val="21"/>
      <w:szCs w:val="21"/>
      <w:shd w:val="clear" w:color="auto" w:fill="F9F2F4"/>
    </w:rPr>
  </w:style>
  <w:style w:type="character" w:styleId="50">
    <w:name w:val="annotation reference"/>
    <w:basedOn w:val="40"/>
    <w:semiHidden/>
    <w:qFormat/>
    <w:uiPriority w:val="0"/>
    <w:rPr>
      <w:sz w:val="21"/>
      <w:szCs w:val="21"/>
    </w:rPr>
  </w:style>
  <w:style w:type="character" w:styleId="51">
    <w:name w:val="HTML Cite"/>
    <w:semiHidden/>
    <w:unhideWhenUsed/>
    <w:qFormat/>
    <w:uiPriority w:val="0"/>
  </w:style>
  <w:style w:type="character" w:styleId="52">
    <w:name w:val="HTML Keyboard"/>
    <w:semiHidden/>
    <w:unhideWhenUsed/>
    <w:qFormat/>
    <w:uiPriority w:val="0"/>
    <w:rPr>
      <w:rFonts w:hint="default" w:ascii="Consolas" w:hAnsi="Consolas" w:eastAsia="Consolas" w:cs="Consolas"/>
      <w:color w:val="FFFFFF"/>
      <w:sz w:val="21"/>
      <w:szCs w:val="21"/>
      <w:shd w:val="clear" w:color="auto" w:fill="333333"/>
    </w:rPr>
  </w:style>
  <w:style w:type="character" w:styleId="53">
    <w:name w:val="HTML Sample"/>
    <w:semiHidden/>
    <w:unhideWhenUsed/>
    <w:qFormat/>
    <w:uiPriority w:val="0"/>
    <w:rPr>
      <w:rFonts w:hint="default" w:ascii="Consolas" w:hAnsi="Consolas" w:eastAsia="Consolas" w:cs="Consolas"/>
      <w:sz w:val="21"/>
      <w:szCs w:val="21"/>
    </w:rPr>
  </w:style>
  <w:style w:type="paragraph" w:customStyle="1" w:styleId="54">
    <w:name w:val="Default"/>
    <w:basedOn w:val="55"/>
    <w:next w:val="29"/>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55">
    <w:name w:val="纯文本1"/>
    <w:basedOn w:val="1"/>
    <w:next w:val="1"/>
    <w:qFormat/>
    <w:uiPriority w:val="0"/>
    <w:pPr>
      <w:adjustRightInd w:val="0"/>
      <w:jc w:val="left"/>
      <w:textAlignment w:val="baseline"/>
    </w:pPr>
    <w:rPr>
      <w:rFonts w:ascii="宋体"/>
      <w:kern w:val="0"/>
      <w:sz w:val="24"/>
      <w:szCs w:val="20"/>
    </w:rPr>
  </w:style>
  <w:style w:type="paragraph" w:customStyle="1" w:styleId="56">
    <w:name w:val="报告正文"/>
    <w:basedOn w:val="1"/>
    <w:qFormat/>
    <w:uiPriority w:val="0"/>
    <w:pPr>
      <w:tabs>
        <w:tab w:val="left" w:pos="510"/>
      </w:tabs>
      <w:spacing w:before="50" w:line="360" w:lineRule="auto"/>
      <w:ind w:firstLine="540"/>
    </w:pPr>
    <w:rPr>
      <w:sz w:val="21"/>
    </w:rPr>
  </w:style>
  <w:style w:type="paragraph" w:customStyle="1" w:styleId="57">
    <w:name w:val="样式小4"/>
    <w:basedOn w:val="1"/>
    <w:qFormat/>
    <w:uiPriority w:val="0"/>
    <w:pPr>
      <w:spacing w:afterLines="0" w:line="360" w:lineRule="auto"/>
      <w:ind w:firstLine="480" w:firstLineChars="200"/>
    </w:pPr>
    <w:rPr>
      <w:rFonts w:hint="default" w:ascii="Times New Roman" w:hAnsi="Times New Roman" w:eastAsia="宋体" w:cs="Times New Roman"/>
      <w:sz w:val="24"/>
    </w:rPr>
  </w:style>
  <w:style w:type="paragraph" w:customStyle="1" w:styleId="58">
    <w:name w:val="样式1"/>
    <w:basedOn w:val="4"/>
    <w:qFormat/>
    <w:uiPriority w:val="0"/>
    <w:pPr>
      <w:numPr>
        <w:ilvl w:val="0"/>
        <w:numId w:val="0"/>
      </w:numPr>
      <w:tabs>
        <w:tab w:val="left" w:pos="1740"/>
      </w:tabs>
      <w:adjustRightInd w:val="0"/>
      <w:snapToGrid w:val="0"/>
      <w:spacing w:before="120" w:after="120" w:line="300" w:lineRule="auto"/>
      <w:ind w:left="720" w:hanging="720"/>
    </w:pPr>
    <w:rPr>
      <w:rFonts w:eastAsia="仿宋_GB2312"/>
      <w:b w:val="0"/>
      <w:bCs w:val="0"/>
      <w:color w:val="0000FF"/>
      <w:sz w:val="28"/>
      <w:szCs w:val="20"/>
    </w:rPr>
  </w:style>
  <w:style w:type="paragraph" w:customStyle="1" w:styleId="59">
    <w:name w:val="正文 首行缩进:  2 字符"/>
    <w:basedOn w:val="1"/>
    <w:qFormat/>
    <w:uiPriority w:val="99"/>
    <w:pPr>
      <w:ind w:firstLine="579" w:firstLineChars="200"/>
    </w:pPr>
    <w:rPr>
      <w:rFonts w:cs="宋体"/>
    </w:rPr>
  </w:style>
  <w:style w:type="character" w:customStyle="1" w:styleId="60">
    <w:name w:val="表格文字 Char Char"/>
    <w:link w:val="61"/>
    <w:qFormat/>
    <w:uiPriority w:val="0"/>
    <w:rPr>
      <w:rFonts w:ascii="仿宋_GB2312" w:hAnsi="Arial Black" w:eastAsia="仿宋_GB2312"/>
      <w:color w:val="000000"/>
      <w:kern w:val="44"/>
      <w:sz w:val="24"/>
      <w:lang w:val="en-US" w:eastAsia="zh-CN" w:bidi="ar-SA"/>
    </w:rPr>
  </w:style>
  <w:style w:type="paragraph" w:customStyle="1" w:styleId="61">
    <w:name w:val="表格文字"/>
    <w:basedOn w:val="1"/>
    <w:link w:val="60"/>
    <w:qFormat/>
    <w:uiPriority w:val="0"/>
    <w:pPr>
      <w:adjustRightInd w:val="0"/>
      <w:snapToGrid w:val="0"/>
      <w:jc w:val="center"/>
    </w:pPr>
    <w:rPr>
      <w:rFonts w:ascii="仿宋_GB2312" w:hAnsi="Arial Black" w:eastAsia="仿宋_GB2312"/>
      <w:kern w:val="44"/>
      <w:sz w:val="24"/>
    </w:rPr>
  </w:style>
  <w:style w:type="character" w:customStyle="1" w:styleId="62">
    <w:name w:val="正文首行缩进 Char"/>
    <w:link w:val="35"/>
    <w:qFormat/>
    <w:uiPriority w:val="0"/>
    <w:rPr>
      <w:rFonts w:eastAsia="宋体"/>
      <w:color w:val="000000"/>
      <w:kern w:val="2"/>
      <w:sz w:val="21"/>
      <w:szCs w:val="24"/>
      <w:lang w:val="en-US" w:eastAsia="zh-CN" w:bidi="ar-SA"/>
    </w:rPr>
  </w:style>
  <w:style w:type="character" w:customStyle="1" w:styleId="63">
    <w:name w:val="contents"/>
    <w:basedOn w:val="40"/>
    <w:qFormat/>
    <w:uiPriority w:val="0"/>
  </w:style>
  <w:style w:type="character" w:customStyle="1" w:styleId="64">
    <w:name w:val="表格 Char Char"/>
    <w:qFormat/>
    <w:uiPriority w:val="0"/>
    <w:rPr>
      <w:rFonts w:eastAsia="宋体"/>
      <w:kern w:val="2"/>
      <w:sz w:val="24"/>
      <w:szCs w:val="24"/>
      <w:lang w:val="en-US" w:eastAsia="zh-CN" w:bidi="ar-SA"/>
    </w:rPr>
  </w:style>
  <w:style w:type="character" w:customStyle="1" w:styleId="65">
    <w:name w:val="表格内文字 Char Char"/>
    <w:qFormat/>
    <w:uiPriority w:val="0"/>
    <w:rPr>
      <w:rFonts w:eastAsia="仿宋_GB2312"/>
      <w:kern w:val="2"/>
      <w:sz w:val="24"/>
      <w:szCs w:val="24"/>
    </w:rPr>
  </w:style>
  <w:style w:type="character" w:customStyle="1" w:styleId="66">
    <w:name w:val="表格标题博泵 Char"/>
    <w:link w:val="67"/>
    <w:qFormat/>
    <w:uiPriority w:val="0"/>
    <w:rPr>
      <w:rFonts w:cs="宋体"/>
      <w:b/>
      <w:color w:val="000000"/>
      <w:kern w:val="2"/>
      <w:sz w:val="21"/>
    </w:rPr>
  </w:style>
  <w:style w:type="paragraph" w:customStyle="1" w:styleId="67">
    <w:name w:val="表格标题博泵"/>
    <w:basedOn w:val="1"/>
    <w:link w:val="66"/>
    <w:qFormat/>
    <w:uiPriority w:val="0"/>
    <w:pPr>
      <w:adjustRightInd w:val="0"/>
      <w:snapToGrid w:val="0"/>
      <w:jc w:val="center"/>
      <w:textAlignment w:val="baseline"/>
    </w:pPr>
    <w:rPr>
      <w:b/>
      <w:sz w:val="21"/>
    </w:rPr>
  </w:style>
  <w:style w:type="character" w:customStyle="1" w:styleId="68">
    <w:name w:val="汊河正文 Char"/>
    <w:link w:val="69"/>
    <w:qFormat/>
    <w:uiPriority w:val="0"/>
    <w:rPr>
      <w:kern w:val="2"/>
      <w:sz w:val="24"/>
    </w:rPr>
  </w:style>
  <w:style w:type="paragraph" w:customStyle="1" w:styleId="69">
    <w:name w:val="汊河正文"/>
    <w:basedOn w:val="1"/>
    <w:link w:val="68"/>
    <w:qFormat/>
    <w:uiPriority w:val="0"/>
    <w:pPr>
      <w:spacing w:line="480" w:lineRule="exact"/>
      <w:ind w:firstLine="480" w:firstLineChars="200"/>
    </w:pPr>
    <w:rPr>
      <w:sz w:val="24"/>
    </w:rPr>
  </w:style>
  <w:style w:type="character" w:customStyle="1" w:styleId="70">
    <w:name w:val="t_tag"/>
    <w:basedOn w:val="40"/>
    <w:qFormat/>
    <w:uiPriority w:val="0"/>
  </w:style>
  <w:style w:type="character" w:customStyle="1" w:styleId="71">
    <w:name w:val="Char Char7"/>
    <w:qFormat/>
    <w:uiPriority w:val="0"/>
    <w:rPr>
      <w:rFonts w:eastAsia="宋体"/>
      <w:color w:val="000000"/>
      <w:kern w:val="2"/>
      <w:sz w:val="21"/>
      <w:szCs w:val="24"/>
      <w:lang w:val="en-US" w:eastAsia="zh-CN" w:bidi="ar-SA"/>
    </w:rPr>
  </w:style>
  <w:style w:type="character" w:customStyle="1" w:styleId="72">
    <w:name w:val="apple-style-span"/>
    <w:basedOn w:val="40"/>
    <w:qFormat/>
    <w:uiPriority w:val="0"/>
  </w:style>
  <w:style w:type="character" w:customStyle="1" w:styleId="73">
    <w:name w:val="标题 1 Char"/>
    <w:link w:val="2"/>
    <w:qFormat/>
    <w:uiPriority w:val="0"/>
    <w:rPr>
      <w:rFonts w:eastAsia="黑体"/>
      <w:bCs/>
      <w:color w:val="000000"/>
      <w:kern w:val="44"/>
      <w:sz w:val="28"/>
      <w:szCs w:val="28"/>
      <w:lang w:val="en-US" w:eastAsia="zh-CN" w:bidi="ar-SA"/>
    </w:rPr>
  </w:style>
  <w:style w:type="character" w:customStyle="1" w:styleId="74">
    <w:name w:val="表格内容 Char"/>
    <w:link w:val="75"/>
    <w:qFormat/>
    <w:uiPriority w:val="0"/>
    <w:rPr>
      <w:rFonts w:cs="宋体"/>
      <w:color w:val="000000"/>
      <w:kern w:val="2"/>
      <w:sz w:val="21"/>
    </w:rPr>
  </w:style>
  <w:style w:type="paragraph" w:customStyle="1" w:styleId="75">
    <w:name w:val="表格内容"/>
    <w:basedOn w:val="1"/>
    <w:link w:val="74"/>
    <w:qFormat/>
    <w:uiPriority w:val="0"/>
    <w:pPr>
      <w:adjustRightInd w:val="0"/>
      <w:jc w:val="center"/>
      <w:textAlignment w:val="baseline"/>
    </w:pPr>
    <w:rPr>
      <w:sz w:val="21"/>
    </w:rPr>
  </w:style>
  <w:style w:type="character" w:customStyle="1" w:styleId="76">
    <w:name w:val="正文（首行缩进两字） Char Char Char Char"/>
    <w:qFormat/>
    <w:uiPriority w:val="0"/>
    <w:rPr>
      <w:rFonts w:eastAsia="宋体"/>
      <w:kern w:val="2"/>
      <w:sz w:val="28"/>
      <w:szCs w:val="24"/>
      <w:lang w:val="en-US" w:eastAsia="zh-CN" w:bidi="ar-SA"/>
    </w:rPr>
  </w:style>
  <w:style w:type="character" w:customStyle="1" w:styleId="77">
    <w:name w:val="纯文本 Char"/>
    <w:link w:val="19"/>
    <w:qFormat/>
    <w:uiPriority w:val="0"/>
    <w:rPr>
      <w:rFonts w:ascii="宋体" w:hAnsi="Courier New" w:eastAsia="宋体"/>
      <w:spacing w:val="-2"/>
      <w:kern w:val="28"/>
      <w:sz w:val="21"/>
      <w:lang w:val="en-US" w:eastAsia="zh-CN" w:bidi="ar-SA"/>
    </w:rPr>
  </w:style>
  <w:style w:type="character" w:customStyle="1" w:styleId="78">
    <w:name w:val="ourfont11"/>
    <w:qFormat/>
    <w:uiPriority w:val="0"/>
    <w:rPr>
      <w:sz w:val="20"/>
      <w:szCs w:val="20"/>
    </w:rPr>
  </w:style>
  <w:style w:type="character" w:customStyle="1" w:styleId="79">
    <w:name w:val="文档结构图 Char"/>
    <w:link w:val="12"/>
    <w:semiHidden/>
    <w:qFormat/>
    <w:uiPriority w:val="0"/>
    <w:rPr>
      <w:rFonts w:eastAsia="宋体"/>
      <w:color w:val="000000"/>
      <w:kern w:val="2"/>
      <w:sz w:val="21"/>
      <w:szCs w:val="24"/>
      <w:lang w:val="en-US" w:eastAsia="zh-CN" w:bidi="ar-SA"/>
    </w:rPr>
  </w:style>
  <w:style w:type="character" w:customStyle="1" w:styleId="80">
    <w:name w:val="样式 样式 样式 Arial 小四 行距: 1.5 倍行距 + 首行缩进:  2 字符 + 首行缩进:  2 字符 Char"/>
    <w:link w:val="81"/>
    <w:qFormat/>
    <w:uiPriority w:val="0"/>
    <w:rPr>
      <w:rFonts w:ascii="Arial" w:hAnsi="Arial" w:eastAsia="宋体" w:cs="宋体"/>
      <w:kern w:val="2"/>
      <w:sz w:val="24"/>
      <w:lang w:val="en-US" w:eastAsia="zh-CN" w:bidi="ar-SA"/>
    </w:rPr>
  </w:style>
  <w:style w:type="paragraph" w:customStyle="1" w:styleId="81">
    <w:name w:val="样式 样式 样式 Arial 小四 行距: 1.5 倍行距 + 首行缩进:  2 字符 + 首行缩进:  2 字符"/>
    <w:basedOn w:val="1"/>
    <w:link w:val="80"/>
    <w:qFormat/>
    <w:uiPriority w:val="0"/>
    <w:pPr>
      <w:spacing w:line="440" w:lineRule="exact"/>
      <w:ind w:firstLine="200" w:firstLineChars="200"/>
    </w:pPr>
    <w:rPr>
      <w:rFonts w:ascii="Arial" w:hAnsi="Arial" w:cs="宋体"/>
      <w:sz w:val="24"/>
    </w:rPr>
  </w:style>
  <w:style w:type="character" w:customStyle="1" w:styleId="82">
    <w:name w:val="批注文字 Char"/>
    <w:link w:val="13"/>
    <w:qFormat/>
    <w:uiPriority w:val="0"/>
    <w:rPr>
      <w:rFonts w:eastAsia="宋体"/>
      <w:color w:val="000000"/>
      <w:kern w:val="2"/>
      <w:sz w:val="21"/>
      <w:szCs w:val="24"/>
      <w:lang w:val="en-US" w:eastAsia="zh-CN" w:bidi="ar-SA"/>
    </w:rPr>
  </w:style>
  <w:style w:type="character" w:customStyle="1" w:styleId="83">
    <w:name w:val="正文（首行缩进两字） Char Char8"/>
    <w:qFormat/>
    <w:uiPriority w:val="0"/>
    <w:rPr>
      <w:rFonts w:ascii="仿宋_GB2312" w:eastAsia="仿宋_GB2312"/>
      <w:kern w:val="2"/>
      <w:sz w:val="28"/>
      <w:szCs w:val="24"/>
      <w:lang w:val="en-US" w:eastAsia="zh-CN" w:bidi="ar-SA"/>
    </w:rPr>
  </w:style>
  <w:style w:type="character" w:customStyle="1" w:styleId="84">
    <w:name w:val="表格内文字 Char"/>
    <w:link w:val="85"/>
    <w:qFormat/>
    <w:uiPriority w:val="0"/>
    <w:rPr>
      <w:rFonts w:eastAsia="仿宋_GB2312"/>
      <w:kern w:val="2"/>
      <w:sz w:val="24"/>
      <w:szCs w:val="24"/>
    </w:rPr>
  </w:style>
  <w:style w:type="paragraph" w:customStyle="1" w:styleId="85">
    <w:name w:val="表格内文字"/>
    <w:basedOn w:val="1"/>
    <w:link w:val="84"/>
    <w:qFormat/>
    <w:uiPriority w:val="0"/>
    <w:pPr>
      <w:tabs>
        <w:tab w:val="left" w:pos="0"/>
      </w:tabs>
      <w:adjustRightInd w:val="0"/>
      <w:snapToGrid w:val="0"/>
      <w:jc w:val="center"/>
    </w:pPr>
    <w:rPr>
      <w:rFonts w:eastAsia="仿宋_GB2312"/>
      <w:sz w:val="24"/>
      <w:szCs w:val="24"/>
    </w:rPr>
  </w:style>
  <w:style w:type="character" w:customStyle="1" w:styleId="86">
    <w:name w:val="表格 Char1"/>
    <w:link w:val="87"/>
    <w:qFormat/>
    <w:uiPriority w:val="0"/>
    <w:rPr>
      <w:rFonts w:eastAsia="宋体"/>
      <w:color w:val="000000"/>
      <w:kern w:val="2"/>
      <w:sz w:val="24"/>
      <w:szCs w:val="24"/>
      <w:lang w:val="en-US" w:eastAsia="zh-CN" w:bidi="ar-SA"/>
    </w:rPr>
  </w:style>
  <w:style w:type="paragraph" w:customStyle="1" w:styleId="87">
    <w:name w:val="表格"/>
    <w:basedOn w:val="1"/>
    <w:link w:val="86"/>
    <w:qFormat/>
    <w:uiPriority w:val="0"/>
    <w:pPr>
      <w:jc w:val="center"/>
    </w:pPr>
    <w:rPr>
      <w:sz w:val="24"/>
      <w:szCs w:val="24"/>
    </w:rPr>
  </w:style>
  <w:style w:type="character" w:customStyle="1" w:styleId="88">
    <w:name w:val="样式 样式 样式 样式 Arial 小四 行距: 1.5 倍行距 + 首行缩进:  2 字符 + 首行缩进:  2 字符 + 宋体 Char"/>
    <w:link w:val="89"/>
    <w:qFormat/>
    <w:uiPriority w:val="0"/>
    <w:rPr>
      <w:rFonts w:ascii="Arial" w:hAnsi="Arial" w:eastAsia="宋体" w:cs="宋体"/>
      <w:kern w:val="2"/>
      <w:sz w:val="24"/>
      <w:szCs w:val="24"/>
      <w:lang w:val="en-US" w:eastAsia="zh-CN" w:bidi="ar-SA"/>
    </w:rPr>
  </w:style>
  <w:style w:type="paragraph" w:customStyle="1" w:styleId="89">
    <w:name w:val="样式 样式 样式 样式 Arial 小四 行距: 1.5 倍行距 + 首行缩进:  2 字符 + 首行缩进:  2 字符 + 宋体"/>
    <w:basedOn w:val="1"/>
    <w:link w:val="88"/>
    <w:qFormat/>
    <w:uiPriority w:val="0"/>
    <w:pPr>
      <w:spacing w:line="440" w:lineRule="exact"/>
      <w:ind w:firstLine="200" w:firstLineChars="200"/>
    </w:pPr>
    <w:rPr>
      <w:rFonts w:ascii="Arial" w:hAnsi="Arial" w:cs="宋体"/>
      <w:sz w:val="24"/>
      <w:szCs w:val="24"/>
    </w:rPr>
  </w:style>
  <w:style w:type="character" w:customStyle="1" w:styleId="90">
    <w:name w:val="正文缩进 Char"/>
    <w:link w:val="11"/>
    <w:qFormat/>
    <w:uiPriority w:val="0"/>
    <w:rPr>
      <w:color w:val="000000"/>
      <w:kern w:val="2"/>
      <w:sz w:val="21"/>
      <w:szCs w:val="24"/>
    </w:rPr>
  </w:style>
  <w:style w:type="paragraph" w:customStyle="1" w:styleId="91">
    <w:name w:val="Char Char9"/>
    <w:basedOn w:val="1"/>
    <w:qFormat/>
    <w:uiPriority w:val="0"/>
    <w:pPr>
      <w:spacing w:beforeLines="50" w:afterLines="50"/>
      <w:ind w:firstLine="200" w:firstLineChars="200"/>
    </w:pPr>
    <w:rPr>
      <w:rFonts w:ascii="仿宋_GB2312" w:hAnsi="宋体" w:eastAsia="仿宋_GB2312"/>
      <w:sz w:val="28"/>
    </w:rPr>
  </w:style>
  <w:style w:type="paragraph" w:customStyle="1" w:styleId="92">
    <w:name w:val="2"/>
    <w:basedOn w:val="1"/>
    <w:next w:val="27"/>
    <w:qFormat/>
    <w:uiPriority w:val="0"/>
    <w:pPr>
      <w:tabs>
        <w:tab w:val="left" w:pos="604"/>
      </w:tabs>
      <w:spacing w:line="360" w:lineRule="auto"/>
      <w:ind w:firstLine="600"/>
    </w:pPr>
    <w:rPr>
      <w:sz w:val="24"/>
    </w:rPr>
  </w:style>
  <w:style w:type="paragraph" w:customStyle="1" w:styleId="93">
    <w:name w:val="表头1"/>
    <w:basedOn w:val="1"/>
    <w:qFormat/>
    <w:uiPriority w:val="0"/>
    <w:pPr>
      <w:tabs>
        <w:tab w:val="left" w:pos="5280"/>
      </w:tabs>
      <w:adjustRightInd w:val="0"/>
      <w:spacing w:before="120" w:line="300" w:lineRule="auto"/>
      <w:ind w:firstLine="1000" w:firstLineChars="500"/>
      <w:textAlignment w:val="baseline"/>
    </w:pPr>
    <w:rPr>
      <w:rFonts w:ascii="黑体" w:eastAsia="黑体"/>
      <w:spacing w:val="-20"/>
      <w:kern w:val="16"/>
      <w:sz w:val="24"/>
    </w:rPr>
  </w:style>
  <w:style w:type="paragraph" w:customStyle="1" w:styleId="94">
    <w:name w:val="正文1"/>
    <w:basedOn w:val="1"/>
    <w:qFormat/>
    <w:uiPriority w:val="0"/>
    <w:pPr>
      <w:adjustRightInd w:val="0"/>
      <w:snapToGrid w:val="0"/>
      <w:spacing w:line="360" w:lineRule="auto"/>
      <w:ind w:firstLine="482"/>
    </w:pPr>
    <w:rPr>
      <w:rFonts w:ascii="宋体" w:hAnsi="宋体"/>
      <w:snapToGrid w:val="0"/>
      <w:sz w:val="24"/>
    </w:rPr>
  </w:style>
  <w:style w:type="paragraph" w:customStyle="1" w:styleId="95">
    <w:name w:val="Char Char Char Char"/>
    <w:basedOn w:val="1"/>
    <w:qFormat/>
    <w:uiPriority w:val="0"/>
    <w:rPr>
      <w:sz w:val="24"/>
    </w:rPr>
  </w:style>
  <w:style w:type="paragraph" w:customStyle="1" w:styleId="96">
    <w:name w:val="Char Char Char1 Char"/>
    <w:basedOn w:val="1"/>
    <w:qFormat/>
    <w:uiPriority w:val="0"/>
    <w:rPr>
      <w:sz w:val="24"/>
    </w:rPr>
  </w:style>
  <w:style w:type="paragraph" w:customStyle="1" w:styleId="97">
    <w:name w:val="A正文"/>
    <w:basedOn w:val="1"/>
    <w:qFormat/>
    <w:uiPriority w:val="0"/>
    <w:pPr>
      <w:spacing w:line="360" w:lineRule="auto"/>
      <w:ind w:firstLine="200" w:firstLineChars="200"/>
    </w:pPr>
    <w:rPr>
      <w:sz w:val="24"/>
    </w:rPr>
  </w:style>
  <w:style w:type="paragraph" w:customStyle="1" w:styleId="98">
    <w:name w:val="正文2"/>
    <w:basedOn w:val="1"/>
    <w:qFormat/>
    <w:uiPriority w:val="0"/>
    <w:pPr>
      <w:snapToGrid w:val="0"/>
      <w:spacing w:line="500" w:lineRule="atLeast"/>
      <w:ind w:firstLine="567"/>
    </w:pPr>
    <w:rPr>
      <w:sz w:val="24"/>
    </w:rPr>
  </w:style>
  <w:style w:type="paragraph" w:customStyle="1" w:styleId="99">
    <w:name w:val="默认段落字体 Para Char Char Char Char"/>
    <w:basedOn w:val="1"/>
    <w:qFormat/>
    <w:uiPriority w:val="0"/>
    <w:rPr>
      <w:sz w:val="24"/>
    </w:rPr>
  </w:style>
  <w:style w:type="paragraph" w:customStyle="1" w:styleId="100">
    <w:name w:val="reader-word-layer reader-word-s2-0"/>
    <w:basedOn w:val="1"/>
    <w:qFormat/>
    <w:uiPriority w:val="0"/>
    <w:pPr>
      <w:widowControl/>
      <w:spacing w:before="100" w:beforeAutospacing="1" w:after="100" w:afterAutospacing="1"/>
      <w:jc w:val="left"/>
    </w:pPr>
    <w:rPr>
      <w:rFonts w:ascii="宋体" w:hAnsi="宋体" w:cs="宋体"/>
      <w:sz w:val="24"/>
    </w:rPr>
  </w:style>
  <w:style w:type="paragraph" w:customStyle="1" w:styleId="101">
    <w:name w:val="Char Char1 Char Char Char Char Char Char Char Char Char1 Char"/>
    <w:basedOn w:val="1"/>
    <w:qFormat/>
    <w:uiPriority w:val="0"/>
  </w:style>
  <w:style w:type="paragraph" w:customStyle="1" w:styleId="102">
    <w:name w:val="字元 字元"/>
    <w:basedOn w:val="1"/>
    <w:qFormat/>
    <w:uiPriority w:val="0"/>
  </w:style>
  <w:style w:type="paragraph" w:customStyle="1" w:styleId="103">
    <w:name w:val="图表文字"/>
    <w:basedOn w:val="1"/>
    <w:qFormat/>
    <w:uiPriority w:val="0"/>
    <w:pPr>
      <w:spacing w:line="300" w:lineRule="exact"/>
      <w:jc w:val="center"/>
    </w:pPr>
    <w:rPr>
      <w:bCs/>
    </w:rPr>
  </w:style>
  <w:style w:type="paragraph" w:customStyle="1" w:styleId="104">
    <w:name w:val="6 Char Char Char Char Char Char1 Char"/>
    <w:basedOn w:val="1"/>
    <w:qFormat/>
    <w:uiPriority w:val="0"/>
  </w:style>
  <w:style w:type="paragraph" w:customStyle="1" w:styleId="105">
    <w:name w:val="p0"/>
    <w:basedOn w:val="1"/>
    <w:qFormat/>
    <w:uiPriority w:val="0"/>
    <w:pPr>
      <w:widowControl/>
    </w:pPr>
    <w:rPr>
      <w:szCs w:val="21"/>
    </w:rPr>
  </w:style>
  <w:style w:type="paragraph" w:customStyle="1" w:styleId="106">
    <w:name w:val="Char Char Char Char1"/>
    <w:basedOn w:val="1"/>
    <w:semiHidden/>
    <w:qFormat/>
    <w:uiPriority w:val="0"/>
    <w:rPr>
      <w:sz w:val="28"/>
    </w:rPr>
  </w:style>
  <w:style w:type="paragraph" w:customStyle="1" w:styleId="107">
    <w:name w:val="样式 标题 1 + 加粗"/>
    <w:basedOn w:val="2"/>
    <w:qFormat/>
    <w:uiPriority w:val="0"/>
    <w:rPr>
      <w:rFonts w:eastAsia="楷体_GB2312"/>
      <w:b/>
    </w:rPr>
  </w:style>
  <w:style w:type="paragraph" w:customStyle="1" w:styleId="108">
    <w:name w:val="_Style 79"/>
    <w:basedOn w:val="1"/>
    <w:qFormat/>
    <w:uiPriority w:val="0"/>
    <w:pPr>
      <w:spacing w:beforeLines="50" w:afterLines="50"/>
      <w:ind w:firstLine="200" w:firstLineChars="200"/>
    </w:pPr>
    <w:rPr>
      <w:rFonts w:ascii="仿宋_GB2312" w:hAnsi="宋体" w:eastAsia="仿宋_GB2312"/>
      <w:sz w:val="28"/>
    </w:rPr>
  </w:style>
  <w:style w:type="paragraph" w:customStyle="1" w:styleId="109">
    <w:name w:val="样式4"/>
    <w:basedOn w:val="1"/>
    <w:qFormat/>
    <w:uiPriority w:val="0"/>
    <w:pPr>
      <w:adjustRightInd w:val="0"/>
      <w:snapToGrid w:val="0"/>
      <w:spacing w:line="300" w:lineRule="auto"/>
      <w:ind w:left="38" w:leftChars="18" w:firstLine="560" w:firstLineChars="200"/>
    </w:pPr>
    <w:rPr>
      <w:rFonts w:ascii="仿宋_GB2312" w:eastAsia="仿宋_GB2312"/>
      <w:sz w:val="28"/>
      <w:szCs w:val="28"/>
    </w:rPr>
  </w:style>
  <w:style w:type="paragraph" w:customStyle="1" w:styleId="110">
    <w:name w:val="reader-word-layer reader-word-s1-21"/>
    <w:basedOn w:val="1"/>
    <w:qFormat/>
    <w:uiPriority w:val="0"/>
    <w:pPr>
      <w:widowControl/>
      <w:spacing w:before="100" w:beforeAutospacing="1" w:after="100" w:afterAutospacing="1"/>
      <w:jc w:val="left"/>
    </w:pPr>
    <w:rPr>
      <w:rFonts w:ascii="宋体" w:hAnsi="宋体" w:cs="宋体"/>
      <w:sz w:val="24"/>
    </w:rPr>
  </w:style>
  <w:style w:type="paragraph" w:customStyle="1" w:styleId="111">
    <w:name w:val="Table Paragraph"/>
    <w:basedOn w:val="1"/>
    <w:qFormat/>
    <w:uiPriority w:val="1"/>
    <w:pPr>
      <w:autoSpaceDE w:val="0"/>
      <w:autoSpaceDN w:val="0"/>
      <w:jc w:val="center"/>
    </w:pPr>
    <w:rPr>
      <w:rFonts w:ascii="宋体" w:hAnsi="宋体" w:cs="宋体"/>
      <w:sz w:val="22"/>
      <w:szCs w:val="22"/>
      <w:lang w:eastAsia="en-US"/>
    </w:rPr>
  </w:style>
  <w:style w:type="paragraph" w:customStyle="1" w:styleId="112">
    <w:name w:val="CM75"/>
    <w:basedOn w:val="1"/>
    <w:next w:val="1"/>
    <w:qFormat/>
    <w:uiPriority w:val="0"/>
    <w:pPr>
      <w:autoSpaceDE w:val="0"/>
      <w:autoSpaceDN w:val="0"/>
      <w:adjustRightInd w:val="0"/>
      <w:spacing w:after="60"/>
      <w:jc w:val="left"/>
    </w:pPr>
    <w:rPr>
      <w:rFonts w:ascii="Sim Sun+ 2" w:eastAsia="Sim Sun+ 2" w:cs="Sim Sun+ 2"/>
      <w:sz w:val="24"/>
    </w:rPr>
  </w:style>
  <w:style w:type="paragraph" w:customStyle="1" w:styleId="113">
    <w:name w:val="Char1"/>
    <w:basedOn w:val="1"/>
    <w:semiHidden/>
    <w:qFormat/>
    <w:uiPriority w:val="0"/>
    <w:pPr>
      <w:ind w:left="510"/>
    </w:pPr>
    <w:rPr>
      <w:szCs w:val="21"/>
    </w:rPr>
  </w:style>
  <w:style w:type="paragraph" w:customStyle="1" w:styleId="114">
    <w:name w:val="font9"/>
    <w:basedOn w:val="1"/>
    <w:qFormat/>
    <w:uiPriority w:val="0"/>
    <w:pPr>
      <w:widowControl/>
      <w:spacing w:before="100" w:beforeAutospacing="1" w:after="100" w:afterAutospacing="1"/>
      <w:jc w:val="left"/>
    </w:pPr>
    <w:rPr>
      <w:rFonts w:eastAsia="Arial Unicode MS"/>
      <w:sz w:val="24"/>
    </w:rPr>
  </w:style>
  <w:style w:type="paragraph" w:customStyle="1" w:styleId="115">
    <w:name w:val="表"/>
    <w:basedOn w:val="26"/>
    <w:link w:val="175"/>
    <w:qFormat/>
    <w:uiPriority w:val="0"/>
    <w:pPr>
      <w:keepNext/>
      <w:keepLines/>
      <w:spacing w:before="60" w:after="60" w:line="240" w:lineRule="exact"/>
      <w:ind w:left="0" w:firstLine="0" w:firstLineChars="0"/>
      <w:jc w:val="center"/>
    </w:pPr>
  </w:style>
  <w:style w:type="paragraph" w:customStyle="1" w:styleId="116">
    <w:name w:val="Char Char3"/>
    <w:basedOn w:val="1"/>
    <w:next w:val="1"/>
    <w:qFormat/>
    <w:uiPriority w:val="0"/>
    <w:pPr>
      <w:widowControl/>
      <w:spacing w:line="360" w:lineRule="auto"/>
      <w:jc w:val="left"/>
    </w:pPr>
    <w:rPr>
      <w:rFonts w:ascii="仿宋_GB2312" w:eastAsia="仿宋_GB2312"/>
      <w:sz w:val="24"/>
    </w:rPr>
  </w:style>
  <w:style w:type="paragraph" w:customStyle="1" w:styleId="117">
    <w:name w:val="框图"/>
    <w:basedOn w:val="1"/>
    <w:qFormat/>
    <w:uiPriority w:val="0"/>
    <w:pPr>
      <w:adjustRightInd w:val="0"/>
      <w:snapToGrid w:val="0"/>
      <w:jc w:val="center"/>
    </w:pPr>
    <w:rPr>
      <w:rFonts w:ascii="仿宋_GB2312" w:hAnsi="宋体" w:eastAsia="仿宋_GB2312"/>
      <w:szCs w:val="21"/>
    </w:rPr>
  </w:style>
  <w:style w:type="paragraph" w:customStyle="1" w:styleId="118">
    <w:name w:val="默认段落字体 Para Char Char Char1 Char Char Char Char Char Char Char Char Char Char"/>
    <w:basedOn w:val="1"/>
    <w:qFormat/>
    <w:uiPriority w:val="0"/>
    <w:rPr>
      <w:sz w:val="24"/>
    </w:rPr>
  </w:style>
  <w:style w:type="paragraph" w:customStyle="1" w:styleId="119">
    <w:name w:val="_Style 8"/>
    <w:basedOn w:val="1"/>
    <w:qFormat/>
    <w:uiPriority w:val="0"/>
    <w:pPr>
      <w:spacing w:beforeLines="50" w:afterLines="50"/>
      <w:ind w:firstLine="200" w:firstLineChars="200"/>
    </w:pPr>
    <w:rPr>
      <w:rFonts w:ascii="仿宋_GB2312" w:hAnsi="宋体" w:eastAsia="仿宋_GB2312"/>
      <w:sz w:val="28"/>
    </w:rPr>
  </w:style>
  <w:style w:type="paragraph" w:customStyle="1" w:styleId="120">
    <w:name w:val="表格文字（对中）"/>
    <w:basedOn w:val="11"/>
    <w:qFormat/>
    <w:uiPriority w:val="0"/>
    <w:pPr>
      <w:spacing w:line="480" w:lineRule="exact"/>
      <w:ind w:firstLine="0" w:firstLineChars="0"/>
      <w:jc w:val="center"/>
    </w:pPr>
    <w:rPr>
      <w:rFonts w:ascii="黑体" w:hAnsi="Calibri" w:eastAsia="黑体"/>
      <w:sz w:val="24"/>
      <w:szCs w:val="21"/>
    </w:rPr>
  </w:style>
  <w:style w:type="paragraph" w:customStyle="1" w:styleId="121">
    <w:name w:val="表格式"/>
    <w:basedOn w:val="26"/>
    <w:qFormat/>
    <w:uiPriority w:val="0"/>
    <w:pPr>
      <w:spacing w:line="400" w:lineRule="exact"/>
      <w:ind w:left="0" w:firstLine="0" w:firstLineChars="0"/>
      <w:jc w:val="center"/>
    </w:pPr>
    <w:rPr>
      <w:rFonts w:ascii="宋体"/>
    </w:rPr>
  </w:style>
  <w:style w:type="paragraph" w:customStyle="1" w:styleId="122">
    <w:name w:val="1"/>
    <w:basedOn w:val="1"/>
    <w:next w:val="27"/>
    <w:qFormat/>
    <w:uiPriority w:val="0"/>
    <w:pPr>
      <w:widowControl/>
      <w:spacing w:line="460" w:lineRule="exact"/>
      <w:ind w:firstLine="640"/>
    </w:pPr>
    <w:rPr>
      <w:w w:val="90"/>
      <w:sz w:val="28"/>
    </w:rPr>
  </w:style>
  <w:style w:type="paragraph" w:customStyle="1" w:styleId="123">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color w:val="000000"/>
      <w:kern w:val="2"/>
      <w:sz w:val="52"/>
      <w:szCs w:val="21"/>
      <w:lang w:val="en-US" w:eastAsia="zh-CN" w:bidi="ar-SA"/>
    </w:rPr>
  </w:style>
  <w:style w:type="paragraph" w:customStyle="1" w:styleId="124">
    <w:name w:val="小四表文左齐"/>
    <w:basedOn w:val="1"/>
    <w:qFormat/>
    <w:uiPriority w:val="0"/>
    <w:pPr>
      <w:jc w:val="center"/>
    </w:pPr>
    <w:rPr>
      <w:rFonts w:ascii="宋体" w:hAnsi="宋体"/>
      <w:szCs w:val="21"/>
    </w:rPr>
  </w:style>
  <w:style w:type="paragraph" w:customStyle="1" w:styleId="125">
    <w:name w:val="style24"/>
    <w:basedOn w:val="1"/>
    <w:qFormat/>
    <w:uiPriority w:val="0"/>
    <w:pPr>
      <w:widowControl/>
      <w:spacing w:before="100" w:beforeAutospacing="1" w:after="100" w:afterAutospacing="1"/>
      <w:jc w:val="left"/>
    </w:pPr>
    <w:rPr>
      <w:rFonts w:ascii="宋体" w:hAnsi="宋体" w:cs="宋体"/>
      <w:sz w:val="28"/>
      <w:szCs w:val="28"/>
    </w:rPr>
  </w:style>
  <w:style w:type="paragraph" w:customStyle="1" w:styleId="126">
    <w:name w:val="Char Char Char Char Char Char"/>
    <w:basedOn w:val="1"/>
    <w:qFormat/>
    <w:uiPriority w:val="0"/>
    <w:rPr>
      <w:sz w:val="24"/>
    </w:rPr>
  </w:style>
  <w:style w:type="paragraph" w:customStyle="1" w:styleId="127">
    <w:name w:val="文本框"/>
    <w:basedOn w:val="1"/>
    <w:qFormat/>
    <w:uiPriority w:val="0"/>
    <w:pPr>
      <w:spacing w:line="240" w:lineRule="atLeast"/>
    </w:pPr>
    <w:rPr>
      <w:rFonts w:ascii="宋体"/>
    </w:rPr>
  </w:style>
  <w:style w:type="paragraph" w:customStyle="1" w:styleId="128">
    <w:name w:val="标题3"/>
    <w:basedOn w:val="4"/>
    <w:next w:val="4"/>
    <w:qFormat/>
    <w:uiPriority w:val="0"/>
    <w:pPr>
      <w:numPr>
        <w:ilvl w:val="0"/>
        <w:numId w:val="0"/>
      </w:numPr>
      <w:spacing w:before="0" w:after="0" w:line="360" w:lineRule="auto"/>
    </w:pPr>
    <w:rPr>
      <w:rFonts w:eastAsia="黑体"/>
      <w:sz w:val="28"/>
    </w:rPr>
  </w:style>
  <w:style w:type="paragraph" w:customStyle="1" w:styleId="129">
    <w:name w:val="Char Char Char Char Char Char Char"/>
    <w:basedOn w:val="1"/>
    <w:qFormat/>
    <w:uiPriority w:val="0"/>
    <w:rPr>
      <w:sz w:val="24"/>
    </w:rPr>
  </w:style>
  <w:style w:type="paragraph" w:customStyle="1" w:styleId="130">
    <w:name w:val="样式 首行缩进:  0.99 厘米 行距: 1.5 倍行距2"/>
    <w:basedOn w:val="1"/>
    <w:qFormat/>
    <w:uiPriority w:val="0"/>
    <w:pPr>
      <w:adjustRightInd w:val="0"/>
      <w:snapToGrid w:val="0"/>
      <w:jc w:val="center"/>
    </w:pPr>
    <w:rPr>
      <w:rFonts w:ascii="宋体" w:hAnsi="宋体"/>
      <w:color w:val="FF0000"/>
      <w:szCs w:val="21"/>
    </w:rPr>
  </w:style>
  <w:style w:type="paragraph" w:customStyle="1" w:styleId="131">
    <w:name w:val="默认段落字体 Para Char Char Char1 Char Char"/>
    <w:basedOn w:val="1"/>
    <w:qFormat/>
    <w:uiPriority w:val="0"/>
    <w:rPr>
      <w:sz w:val="24"/>
    </w:rPr>
  </w:style>
  <w:style w:type="paragraph" w:styleId="132">
    <w:name w:val="List Paragraph"/>
    <w:basedOn w:val="1"/>
    <w:qFormat/>
    <w:uiPriority w:val="34"/>
    <w:pPr>
      <w:ind w:firstLine="420" w:firstLineChars="200"/>
    </w:pPr>
  </w:style>
  <w:style w:type="paragraph" w:customStyle="1" w:styleId="133">
    <w:name w:val="表格正文"/>
    <w:basedOn w:val="11"/>
    <w:qFormat/>
    <w:uiPriority w:val="0"/>
    <w:pPr>
      <w:adjustRightInd w:val="0"/>
      <w:ind w:firstLine="0" w:firstLineChars="0"/>
    </w:pPr>
    <w:rPr>
      <w:spacing w:val="12"/>
      <w:sz w:val="24"/>
      <w:szCs w:val="20"/>
    </w:rPr>
  </w:style>
  <w:style w:type="paragraph" w:customStyle="1" w:styleId="134">
    <w:name w:val="列出段落1"/>
    <w:basedOn w:val="1"/>
    <w:qFormat/>
    <w:uiPriority w:val="34"/>
    <w:pPr>
      <w:ind w:firstLine="420"/>
    </w:pPr>
  </w:style>
  <w:style w:type="character" w:styleId="135">
    <w:name w:val="Placeholder Text"/>
    <w:basedOn w:val="40"/>
    <w:unhideWhenUsed/>
    <w:qFormat/>
    <w:uiPriority w:val="99"/>
    <w:rPr>
      <w:color w:val="808080"/>
    </w:rPr>
  </w:style>
  <w:style w:type="paragraph" w:customStyle="1" w:styleId="136">
    <w:name w:val="A表头"/>
    <w:basedOn w:val="97"/>
    <w:qFormat/>
    <w:uiPriority w:val="0"/>
    <w:pPr>
      <w:ind w:firstLine="0" w:firstLineChars="0"/>
      <w:jc w:val="center"/>
    </w:pPr>
    <w:rPr>
      <w:b/>
    </w:rPr>
  </w:style>
  <w:style w:type="paragraph" w:customStyle="1" w:styleId="137">
    <w:name w:val="A表格"/>
    <w:basedOn w:val="1"/>
    <w:qFormat/>
    <w:uiPriority w:val="0"/>
    <w:pPr>
      <w:jc w:val="center"/>
    </w:pPr>
    <w:rPr>
      <w:szCs w:val="21"/>
    </w:rPr>
  </w:style>
  <w:style w:type="paragraph" w:customStyle="1" w:styleId="138">
    <w:name w:val="图表"/>
    <w:basedOn w:val="1"/>
    <w:qFormat/>
    <w:uiPriority w:val="0"/>
    <w:pPr>
      <w:adjustRightInd w:val="0"/>
      <w:snapToGrid w:val="0"/>
      <w:jc w:val="center"/>
    </w:pPr>
    <w:rPr>
      <w:szCs w:val="22"/>
    </w:rPr>
  </w:style>
  <w:style w:type="paragraph" w:customStyle="1" w:styleId="139">
    <w:name w:val="1表格"/>
    <w:basedOn w:val="1"/>
    <w:qFormat/>
    <w:uiPriority w:val="0"/>
    <w:pPr>
      <w:adjustRightInd w:val="0"/>
      <w:snapToGrid w:val="0"/>
      <w:jc w:val="center"/>
      <w:textAlignment w:val="baseline"/>
    </w:pPr>
    <w:rPr>
      <w:rFonts w:cs="宋体"/>
      <w:spacing w:val="4"/>
    </w:rPr>
  </w:style>
  <w:style w:type="paragraph" w:customStyle="1" w:styleId="140">
    <w:name w:val="表格标题"/>
    <w:basedOn w:val="1"/>
    <w:qFormat/>
    <w:uiPriority w:val="0"/>
    <w:pPr>
      <w:spacing w:line="360" w:lineRule="auto"/>
      <w:jc w:val="center"/>
    </w:pPr>
    <w:rPr>
      <w:b/>
      <w:bCs/>
      <w:sz w:val="24"/>
      <w:szCs w:val="24"/>
    </w:rPr>
  </w:style>
  <w:style w:type="paragraph" w:customStyle="1" w:styleId="141">
    <w:name w:val="1正文"/>
    <w:basedOn w:val="1"/>
    <w:qFormat/>
    <w:uiPriority w:val="0"/>
    <w:pPr>
      <w:spacing w:line="360" w:lineRule="auto"/>
      <w:ind w:firstLine="200" w:firstLineChars="200"/>
    </w:pPr>
    <w:rPr>
      <w:sz w:val="24"/>
    </w:rPr>
  </w:style>
  <w:style w:type="paragraph" w:customStyle="1" w:styleId="142">
    <w:name w:val="图文框"/>
    <w:basedOn w:val="1"/>
    <w:qFormat/>
    <w:uiPriority w:val="0"/>
    <w:pPr>
      <w:widowControl/>
      <w:adjustRightInd w:val="0"/>
      <w:snapToGrid w:val="0"/>
      <w:jc w:val="center"/>
    </w:pPr>
    <w:rPr>
      <w:szCs w:val="21"/>
    </w:rPr>
  </w:style>
  <w:style w:type="paragraph" w:customStyle="1" w:styleId="143">
    <w:name w:val="表头lcc"/>
    <w:basedOn w:val="1"/>
    <w:qFormat/>
    <w:uiPriority w:val="99"/>
    <w:pPr>
      <w:adjustRightInd w:val="0"/>
      <w:jc w:val="center"/>
      <w:textAlignment w:val="baseline"/>
    </w:pPr>
    <w:rPr>
      <w:b/>
      <w:szCs w:val="21"/>
    </w:rPr>
  </w:style>
  <w:style w:type="paragraph" w:customStyle="1" w:styleId="144">
    <w:name w:val="表文-lcc"/>
    <w:basedOn w:val="1"/>
    <w:qFormat/>
    <w:uiPriority w:val="99"/>
    <w:pPr>
      <w:jc w:val="center"/>
    </w:pPr>
    <w:rPr>
      <w:szCs w:val="21"/>
    </w:rPr>
  </w:style>
  <w:style w:type="paragraph" w:customStyle="1" w:styleId="145">
    <w:name w:val="正文lcc"/>
    <w:basedOn w:val="1"/>
    <w:qFormat/>
    <w:uiPriority w:val="99"/>
    <w:pPr>
      <w:snapToGrid w:val="0"/>
      <w:spacing w:line="360" w:lineRule="auto"/>
      <w:ind w:firstLine="480" w:firstLineChars="200"/>
    </w:pPr>
    <w:rPr>
      <w:sz w:val="24"/>
    </w:rPr>
  </w:style>
  <w:style w:type="paragraph" w:customStyle="1" w:styleId="146">
    <w:name w:val="1 表头"/>
    <w:basedOn w:val="1"/>
    <w:qFormat/>
    <w:uiPriority w:val="99"/>
    <w:pPr>
      <w:adjustRightInd w:val="0"/>
      <w:snapToGrid w:val="0"/>
      <w:jc w:val="center"/>
    </w:pPr>
    <w:rPr>
      <w:b/>
      <w:sz w:val="24"/>
    </w:rPr>
  </w:style>
  <w:style w:type="paragraph" w:customStyle="1" w:styleId="147">
    <w:name w:val="表头lcc1"/>
    <w:basedOn w:val="1"/>
    <w:qFormat/>
    <w:uiPriority w:val="99"/>
    <w:pPr>
      <w:jc w:val="center"/>
    </w:pPr>
    <w:rPr>
      <w:b/>
    </w:rPr>
  </w:style>
  <w:style w:type="paragraph" w:customStyle="1" w:styleId="148">
    <w:name w:val="表内lcc"/>
    <w:basedOn w:val="1"/>
    <w:qFormat/>
    <w:uiPriority w:val="99"/>
    <w:pPr>
      <w:adjustRightInd w:val="0"/>
      <w:jc w:val="center"/>
    </w:pPr>
    <w:rPr>
      <w:iCs/>
      <w:szCs w:val="21"/>
    </w:rPr>
  </w:style>
  <w:style w:type="character" w:customStyle="1" w:styleId="149">
    <w:name w:val="页脚 Char"/>
    <w:basedOn w:val="40"/>
    <w:link w:val="23"/>
    <w:qFormat/>
    <w:uiPriority w:val="99"/>
    <w:rPr>
      <w:rFonts w:ascii="Times New Roman" w:hAnsi="Times New Roman"/>
      <w:color w:val="000000"/>
      <w:kern w:val="2"/>
      <w:sz w:val="18"/>
      <w:szCs w:val="18"/>
    </w:rPr>
  </w:style>
  <w:style w:type="character" w:customStyle="1" w:styleId="150">
    <w:name w:val="吴正文 Char"/>
    <w:link w:val="151"/>
    <w:qFormat/>
    <w:uiPriority w:val="0"/>
    <w:rPr>
      <w:kern w:val="2"/>
      <w:sz w:val="24"/>
      <w:szCs w:val="24"/>
    </w:rPr>
  </w:style>
  <w:style w:type="paragraph" w:customStyle="1" w:styleId="151">
    <w:name w:val="吴正文"/>
    <w:basedOn w:val="1"/>
    <w:link w:val="150"/>
    <w:qFormat/>
    <w:uiPriority w:val="0"/>
    <w:pPr>
      <w:widowControl/>
      <w:spacing w:line="360" w:lineRule="auto"/>
      <w:ind w:firstLine="200" w:firstLineChars="200"/>
    </w:pPr>
    <w:rPr>
      <w:rFonts w:ascii="Calibri" w:hAnsi="Calibri"/>
      <w:sz w:val="24"/>
      <w:szCs w:val="24"/>
    </w:rPr>
  </w:style>
  <w:style w:type="character" w:customStyle="1" w:styleId="152">
    <w:name w:val="标题 2 Char"/>
    <w:basedOn w:val="40"/>
    <w:link w:val="3"/>
    <w:qFormat/>
    <w:uiPriority w:val="0"/>
    <w:rPr>
      <w:rFonts w:ascii="Arial" w:hAnsi="Arial" w:eastAsia="黑体"/>
      <w:b/>
      <w:sz w:val="28"/>
    </w:rPr>
  </w:style>
  <w:style w:type="character" w:customStyle="1" w:styleId="153">
    <w:name w:val="标题 3 Char"/>
    <w:basedOn w:val="40"/>
    <w:link w:val="4"/>
    <w:qFormat/>
    <w:uiPriority w:val="0"/>
    <w:rPr>
      <w:rFonts w:ascii="Times New Roman" w:hAnsi="Times New Roman"/>
      <w:b/>
      <w:bCs/>
      <w:color w:val="000000"/>
      <w:kern w:val="2"/>
      <w:sz w:val="32"/>
      <w:szCs w:val="32"/>
    </w:rPr>
  </w:style>
  <w:style w:type="character" w:customStyle="1" w:styleId="154">
    <w:name w:val="标题 4 Char"/>
    <w:basedOn w:val="40"/>
    <w:link w:val="5"/>
    <w:qFormat/>
    <w:uiPriority w:val="0"/>
    <w:rPr>
      <w:rFonts w:ascii="Arial" w:hAnsi="Arial" w:eastAsia="黑体"/>
      <w:b/>
      <w:bCs/>
      <w:color w:val="000000"/>
      <w:kern w:val="2"/>
      <w:sz w:val="28"/>
      <w:szCs w:val="28"/>
    </w:rPr>
  </w:style>
  <w:style w:type="character" w:customStyle="1" w:styleId="155">
    <w:name w:val="标题 5 Char"/>
    <w:basedOn w:val="40"/>
    <w:link w:val="6"/>
    <w:qFormat/>
    <w:uiPriority w:val="0"/>
    <w:rPr>
      <w:rFonts w:ascii="Times New Roman" w:hAnsi="Times New Roman"/>
      <w:b/>
      <w:bCs/>
      <w:color w:val="000000"/>
      <w:kern w:val="2"/>
      <w:sz w:val="28"/>
      <w:szCs w:val="28"/>
    </w:rPr>
  </w:style>
  <w:style w:type="character" w:customStyle="1" w:styleId="156">
    <w:name w:val="标题 6 Char"/>
    <w:basedOn w:val="40"/>
    <w:link w:val="7"/>
    <w:qFormat/>
    <w:uiPriority w:val="0"/>
    <w:rPr>
      <w:rFonts w:ascii="Arial" w:hAnsi="Arial" w:eastAsia="黑体"/>
      <w:b/>
      <w:bCs/>
      <w:color w:val="000000"/>
      <w:kern w:val="2"/>
      <w:sz w:val="24"/>
      <w:szCs w:val="18"/>
    </w:rPr>
  </w:style>
  <w:style w:type="character" w:customStyle="1" w:styleId="157">
    <w:name w:val="标题 7 Char"/>
    <w:basedOn w:val="40"/>
    <w:link w:val="8"/>
    <w:qFormat/>
    <w:uiPriority w:val="0"/>
    <w:rPr>
      <w:rFonts w:ascii="Times New Roman" w:hAnsi="Times New Roman"/>
      <w:b/>
      <w:bCs/>
      <w:color w:val="000000"/>
      <w:kern w:val="2"/>
      <w:sz w:val="24"/>
      <w:szCs w:val="18"/>
    </w:rPr>
  </w:style>
  <w:style w:type="character" w:customStyle="1" w:styleId="158">
    <w:name w:val="标题 8 Char"/>
    <w:basedOn w:val="40"/>
    <w:link w:val="9"/>
    <w:qFormat/>
    <w:uiPriority w:val="0"/>
    <w:rPr>
      <w:rFonts w:ascii="Arial" w:hAnsi="Arial" w:eastAsia="黑体"/>
      <w:color w:val="000000"/>
      <w:kern w:val="2"/>
      <w:sz w:val="24"/>
      <w:szCs w:val="18"/>
    </w:rPr>
  </w:style>
  <w:style w:type="character" w:customStyle="1" w:styleId="159">
    <w:name w:val="标题 9 Char"/>
    <w:basedOn w:val="40"/>
    <w:link w:val="10"/>
    <w:qFormat/>
    <w:uiPriority w:val="0"/>
    <w:rPr>
      <w:rFonts w:ascii="Arial" w:hAnsi="Arial" w:eastAsia="黑体"/>
      <w:color w:val="000000"/>
      <w:kern w:val="2"/>
      <w:sz w:val="18"/>
      <w:szCs w:val="21"/>
    </w:rPr>
  </w:style>
  <w:style w:type="character" w:customStyle="1" w:styleId="160">
    <w:name w:val="正文文本缩进 2 Char"/>
    <w:basedOn w:val="40"/>
    <w:link w:val="21"/>
    <w:qFormat/>
    <w:uiPriority w:val="0"/>
    <w:rPr>
      <w:rFonts w:ascii="宋体" w:hAnsi="宋体"/>
      <w:color w:val="000000"/>
      <w:spacing w:val="4"/>
      <w:kern w:val="2"/>
      <w:sz w:val="24"/>
      <w:szCs w:val="18"/>
    </w:rPr>
  </w:style>
  <w:style w:type="character" w:customStyle="1" w:styleId="161">
    <w:name w:val="正文文本 3 Char"/>
    <w:basedOn w:val="40"/>
    <w:link w:val="14"/>
    <w:qFormat/>
    <w:uiPriority w:val="0"/>
    <w:rPr>
      <w:rFonts w:ascii="Times New Roman" w:hAnsi="Times New Roman"/>
      <w:color w:val="FF0000"/>
      <w:kern w:val="2"/>
      <w:sz w:val="18"/>
      <w:szCs w:val="18"/>
    </w:rPr>
  </w:style>
  <w:style w:type="character" w:customStyle="1" w:styleId="162">
    <w:name w:val="正文文本 Char"/>
    <w:basedOn w:val="40"/>
    <w:link w:val="15"/>
    <w:qFormat/>
    <w:uiPriority w:val="0"/>
    <w:rPr>
      <w:rFonts w:ascii="Times New Roman" w:hAnsi="Times New Roman"/>
      <w:color w:val="000000"/>
      <w:kern w:val="2"/>
      <w:sz w:val="18"/>
      <w:szCs w:val="18"/>
    </w:rPr>
  </w:style>
  <w:style w:type="character" w:customStyle="1" w:styleId="163">
    <w:name w:val="正文文本缩进 Char"/>
    <w:basedOn w:val="40"/>
    <w:link w:val="17"/>
    <w:qFormat/>
    <w:uiPriority w:val="0"/>
    <w:rPr>
      <w:rFonts w:ascii="Times New Roman" w:hAnsi="Times New Roman"/>
      <w:color w:val="000000"/>
      <w:kern w:val="2"/>
      <w:sz w:val="24"/>
      <w:szCs w:val="18"/>
    </w:rPr>
  </w:style>
  <w:style w:type="character" w:customStyle="1" w:styleId="164">
    <w:name w:val="日期 Char"/>
    <w:basedOn w:val="40"/>
    <w:link w:val="20"/>
    <w:qFormat/>
    <w:uiPriority w:val="0"/>
    <w:rPr>
      <w:rFonts w:ascii="Times New Roman" w:hAnsi="Times New Roman"/>
      <w:color w:val="000000"/>
      <w:sz w:val="18"/>
    </w:rPr>
  </w:style>
  <w:style w:type="character" w:customStyle="1" w:styleId="165">
    <w:name w:val="批注框文本 Char"/>
    <w:basedOn w:val="40"/>
    <w:link w:val="22"/>
    <w:semiHidden/>
    <w:qFormat/>
    <w:uiPriority w:val="0"/>
    <w:rPr>
      <w:rFonts w:ascii="Times New Roman" w:hAnsi="Times New Roman"/>
      <w:color w:val="000000"/>
      <w:kern w:val="2"/>
      <w:sz w:val="18"/>
      <w:szCs w:val="18"/>
    </w:rPr>
  </w:style>
  <w:style w:type="character" w:customStyle="1" w:styleId="166">
    <w:name w:val="页眉 Char"/>
    <w:basedOn w:val="40"/>
    <w:link w:val="24"/>
    <w:qFormat/>
    <w:uiPriority w:val="0"/>
    <w:rPr>
      <w:rFonts w:ascii="Times New Roman" w:hAnsi="Times New Roman"/>
      <w:color w:val="000000"/>
      <w:kern w:val="2"/>
      <w:sz w:val="18"/>
      <w:szCs w:val="18"/>
    </w:rPr>
  </w:style>
  <w:style w:type="character" w:customStyle="1" w:styleId="167">
    <w:name w:val="正文文本缩进 3 Char"/>
    <w:basedOn w:val="40"/>
    <w:link w:val="27"/>
    <w:qFormat/>
    <w:uiPriority w:val="0"/>
    <w:rPr>
      <w:rFonts w:ascii="Times New Roman" w:hAnsi="Times New Roman"/>
      <w:color w:val="000000"/>
      <w:kern w:val="2"/>
      <w:sz w:val="24"/>
      <w:szCs w:val="18"/>
    </w:rPr>
  </w:style>
  <w:style w:type="character" w:customStyle="1" w:styleId="168">
    <w:name w:val="正文文本 2 Char"/>
    <w:basedOn w:val="40"/>
    <w:link w:val="30"/>
    <w:qFormat/>
    <w:uiPriority w:val="0"/>
    <w:rPr>
      <w:rFonts w:ascii="Times New Roman" w:hAnsi="Times New Roman"/>
      <w:color w:val="000000"/>
      <w:kern w:val="2"/>
      <w:sz w:val="18"/>
      <w:szCs w:val="18"/>
    </w:rPr>
  </w:style>
  <w:style w:type="character" w:customStyle="1" w:styleId="169">
    <w:name w:val="HTML 预设格式 Char"/>
    <w:basedOn w:val="40"/>
    <w:link w:val="31"/>
    <w:qFormat/>
    <w:uiPriority w:val="0"/>
    <w:rPr>
      <w:rFonts w:ascii="Arial" w:hAnsi="Arial" w:cs="Arial"/>
      <w:color w:val="000000"/>
      <w:sz w:val="16"/>
      <w:szCs w:val="16"/>
    </w:rPr>
  </w:style>
  <w:style w:type="character" w:customStyle="1" w:styleId="170">
    <w:name w:val="批注主题 Char"/>
    <w:basedOn w:val="82"/>
    <w:link w:val="34"/>
    <w:semiHidden/>
    <w:qFormat/>
    <w:uiPriority w:val="0"/>
    <w:rPr>
      <w:rFonts w:ascii="Times New Roman" w:hAnsi="Times New Roman" w:eastAsia="宋体"/>
      <w:b/>
      <w:bCs/>
      <w:color w:val="000000"/>
      <w:kern w:val="2"/>
      <w:sz w:val="21"/>
      <w:szCs w:val="24"/>
      <w:lang w:val="en-US" w:eastAsia="zh-CN" w:bidi="ar-SA"/>
    </w:rPr>
  </w:style>
  <w:style w:type="character" w:customStyle="1" w:styleId="171">
    <w:name w:val="font01"/>
    <w:basedOn w:val="40"/>
    <w:qFormat/>
    <w:uiPriority w:val="0"/>
    <w:rPr>
      <w:rFonts w:hint="default" w:ascii="Times New Roman" w:hAnsi="Times New Roman" w:cs="Times New Roman"/>
      <w:color w:val="000000"/>
      <w:sz w:val="22"/>
      <w:szCs w:val="22"/>
      <w:u w:val="none"/>
    </w:rPr>
  </w:style>
  <w:style w:type="character" w:customStyle="1" w:styleId="172">
    <w:name w:val="font11"/>
    <w:basedOn w:val="40"/>
    <w:qFormat/>
    <w:uiPriority w:val="0"/>
    <w:rPr>
      <w:rFonts w:hint="eastAsia" w:ascii="宋体" w:hAnsi="宋体" w:eastAsia="宋体" w:cs="宋体"/>
      <w:color w:val="000000"/>
      <w:sz w:val="22"/>
      <w:szCs w:val="22"/>
      <w:u w:val="none"/>
    </w:rPr>
  </w:style>
  <w:style w:type="paragraph" w:customStyle="1" w:styleId="173">
    <w:name w:val="表头5H"/>
    <w:basedOn w:val="1"/>
    <w:qFormat/>
    <w:uiPriority w:val="0"/>
    <w:pPr>
      <w:spacing w:line="312" w:lineRule="auto"/>
      <w:jc w:val="center"/>
    </w:pPr>
    <w:rPr>
      <w:rFonts w:ascii="黑体" w:hAnsi="宋体" w:eastAsia="黑体" w:cs="宋体"/>
      <w:kern w:val="2"/>
      <w:sz w:val="24"/>
      <w:szCs w:val="24"/>
    </w:rPr>
  </w:style>
  <w:style w:type="paragraph" w:customStyle="1" w:styleId="174">
    <w:name w:val="1正文段落"/>
    <w:basedOn w:val="1"/>
    <w:qFormat/>
    <w:uiPriority w:val="0"/>
    <w:pPr>
      <w:spacing w:line="360" w:lineRule="auto"/>
      <w:ind w:firstLine="480" w:firstLineChars="200"/>
      <w:jc w:val="left"/>
    </w:pPr>
    <w:rPr>
      <w:rFonts w:ascii="等线" w:hAnsi="等线"/>
      <w:snapToGrid w:val="0"/>
      <w:sz w:val="24"/>
      <w:szCs w:val="22"/>
    </w:rPr>
  </w:style>
  <w:style w:type="character" w:customStyle="1" w:styleId="175">
    <w:name w:val="表 字符"/>
    <w:link w:val="115"/>
    <w:qFormat/>
    <w:uiPriority w:val="0"/>
  </w:style>
  <w:style w:type="paragraph" w:customStyle="1" w:styleId="176">
    <w:name w:val="3"/>
    <w:basedOn w:val="1"/>
    <w:next w:val="132"/>
    <w:qFormat/>
    <w:uiPriority w:val="34"/>
    <w:pPr>
      <w:ind w:firstLine="420" w:firstLineChars="200"/>
    </w:pPr>
    <w:rPr>
      <w:kern w:val="2"/>
      <w:sz w:val="21"/>
    </w:rPr>
  </w:style>
  <w:style w:type="character" w:customStyle="1" w:styleId="177">
    <w:name w:val="标题 1 Char1"/>
    <w:qFormat/>
    <w:uiPriority w:val="0"/>
    <w:rPr>
      <w:rFonts w:eastAsia="宋体"/>
      <w:b/>
      <w:bCs/>
      <w:kern w:val="44"/>
      <w:sz w:val="44"/>
      <w:szCs w:val="44"/>
      <w:lang w:val="en-US" w:eastAsia="zh-CN" w:bidi="ar-SA"/>
    </w:rPr>
  </w:style>
  <w:style w:type="paragraph" w:customStyle="1" w:styleId="178">
    <w:name w:val="初设-图表"/>
    <w:basedOn w:val="1"/>
    <w:link w:val="179"/>
    <w:qFormat/>
    <w:uiPriority w:val="0"/>
    <w:pPr>
      <w:spacing w:line="240" w:lineRule="atLeast"/>
      <w:jc w:val="center"/>
    </w:pPr>
    <w:rPr>
      <w:kern w:val="2"/>
      <w:sz w:val="21"/>
      <w:szCs w:val="24"/>
    </w:rPr>
  </w:style>
  <w:style w:type="character" w:customStyle="1" w:styleId="179">
    <w:name w:val="初设-图表 Char Char"/>
    <w:link w:val="178"/>
    <w:qFormat/>
    <w:uiPriority w:val="0"/>
    <w:rPr>
      <w:kern w:val="2"/>
      <w:sz w:val="21"/>
      <w:szCs w:val="24"/>
    </w:rPr>
  </w:style>
  <w:style w:type="character" w:customStyle="1" w:styleId="180">
    <w:name w:val="普通(网站) Char1"/>
    <w:link w:val="32"/>
    <w:qFormat/>
    <w:locked/>
    <w:uiPriority w:val="0"/>
    <w:rPr>
      <w:spacing w:val="15"/>
    </w:rPr>
  </w:style>
  <w:style w:type="paragraph" w:customStyle="1" w:styleId="181">
    <w:name w:val="样式 标题 2标题 y2h2l22nd levelTitre22Header 2节标题 1.1节标题一级节名..."/>
    <w:basedOn w:val="1"/>
    <w:qFormat/>
    <w:uiPriority w:val="0"/>
    <w:pPr>
      <w:numPr>
        <w:ilvl w:val="1"/>
        <w:numId w:val="2"/>
      </w:numPr>
      <w:tabs>
        <w:tab w:val="left" w:pos="180"/>
      </w:tabs>
      <w:adjustRightInd w:val="0"/>
      <w:spacing w:line="430" w:lineRule="atLeast"/>
      <w:textAlignment w:val="baseline"/>
    </w:pPr>
    <w:rPr>
      <w:spacing w:val="16"/>
      <w:sz w:val="24"/>
    </w:rPr>
  </w:style>
  <w:style w:type="paragraph" w:customStyle="1" w:styleId="182">
    <w:name w:val="样式 样式 正文缩进s4标题4表正文正文非缩进图标题段1Body Text(ch)缩进ALT+Z特点四号正文不... + 首行缩..."/>
    <w:basedOn w:val="1"/>
    <w:qFormat/>
    <w:uiPriority w:val="0"/>
    <w:pPr>
      <w:ind w:firstLine="480" w:firstLineChars="200"/>
    </w:pPr>
    <w:rPr>
      <w:rFonts w:ascii="宋体" w:hAnsi="宋体" w:eastAsia="仿宋_GB2312" w:cs="宋体"/>
      <w:sz w:val="24"/>
    </w:rPr>
  </w:style>
  <w:style w:type="character" w:customStyle="1" w:styleId="183">
    <w:name w:val="样式 正文缩进s4标题4表正文正文非缩进图标题段1Body Text(ch)缩进ALT+Z特点四号正文不...2 Char"/>
    <w:link w:val="184"/>
    <w:qFormat/>
    <w:uiPriority w:val="0"/>
    <w:rPr>
      <w:rFonts w:ascii="宋体" w:eastAsia="仿宋_GB2312"/>
      <w:sz w:val="24"/>
    </w:rPr>
  </w:style>
  <w:style w:type="paragraph" w:customStyle="1" w:styleId="184">
    <w:name w:val="样式 正文缩进s4标题4表正文正文非缩进图标题段1Body Text(ch)缩进ALT+Z特点四号正文不...2"/>
    <w:basedOn w:val="11"/>
    <w:link w:val="183"/>
    <w:qFormat/>
    <w:uiPriority w:val="0"/>
    <w:pPr>
      <w:ind w:firstLine="200"/>
    </w:pPr>
    <w:rPr>
      <w:rFonts w:ascii="宋体" w:eastAsia="仿宋_GB2312"/>
      <w:sz w:val="24"/>
      <w:szCs w:val="20"/>
    </w:rPr>
  </w:style>
  <w:style w:type="paragraph" w:customStyle="1" w:styleId="185">
    <w:name w:val="样式 正文缩进s4标题4表正文正文非缩进图标题段1Body Text(ch)缩进ALT+Z特点四号正文不...1"/>
    <w:basedOn w:val="11"/>
    <w:qFormat/>
    <w:uiPriority w:val="0"/>
    <w:pPr>
      <w:ind w:firstLine="840" w:firstLineChars="400"/>
    </w:pPr>
    <w:rPr>
      <w:rFonts w:ascii="宋体" w:hAnsi="宋体" w:eastAsia="仿宋_GB2312" w:cs="宋体"/>
      <w:sz w:val="24"/>
      <w:szCs w:val="20"/>
    </w:rPr>
  </w:style>
  <w:style w:type="paragraph" w:customStyle="1" w:styleId="186">
    <w:name w:val="样式 正文缩进s4标题4表正文正文非缩进图标题段1Body Text(ch)缩进ALT+Z特点四号正文不...3"/>
    <w:basedOn w:val="11"/>
    <w:qFormat/>
    <w:uiPriority w:val="0"/>
    <w:rPr>
      <w:rFonts w:ascii="宋体" w:eastAsia="仿宋_GB2312" w:cs="宋体"/>
      <w:sz w:val="24"/>
      <w:szCs w:val="20"/>
    </w:rPr>
  </w:style>
  <w:style w:type="paragraph" w:customStyle="1" w:styleId="187">
    <w:name w:val="TOC 标题1"/>
    <w:basedOn w:val="2"/>
    <w:next w:val="1"/>
    <w:unhideWhenUsed/>
    <w:qFormat/>
    <w:uiPriority w:val="39"/>
    <w:pPr>
      <w:widowControl/>
      <w:snapToGrid/>
      <w:spacing w:before="240" w:line="259" w:lineRule="auto"/>
      <w:jc w:val="left"/>
      <w:outlineLvl w:val="9"/>
    </w:pPr>
    <w:rPr>
      <w:rFonts w:asciiTheme="majorHAnsi" w:hAnsiTheme="majorHAnsi" w:eastAsiaTheme="majorEastAsia" w:cstheme="majorBidi"/>
      <w:bCs w:val="0"/>
      <w:color w:val="376092" w:themeColor="accent1" w:themeShade="BF"/>
      <w:kern w:val="0"/>
      <w:sz w:val="32"/>
      <w:szCs w:val="32"/>
    </w:rPr>
  </w:style>
  <w:style w:type="character" w:customStyle="1" w:styleId="188">
    <w:name w:val="表格 Char"/>
    <w:qFormat/>
    <w:locked/>
    <w:uiPriority w:val="0"/>
    <w:rPr>
      <w:rFonts w:ascii="Arial" w:hAnsi="Arial" w:cs="Arial"/>
      <w:snapToGrid/>
      <w:sz w:val="21"/>
      <w:szCs w:val="21"/>
    </w:rPr>
  </w:style>
  <w:style w:type="paragraph" w:customStyle="1" w:styleId="189">
    <w:name w:val="表文"/>
    <w:basedOn w:val="1"/>
    <w:qFormat/>
    <w:uiPriority w:val="0"/>
    <w:pPr>
      <w:overflowPunct w:val="0"/>
      <w:jc w:val="center"/>
      <w:textAlignment w:val="baseline"/>
    </w:pPr>
    <w:rPr>
      <w:kern w:val="2"/>
      <w:sz w:val="24"/>
    </w:rPr>
  </w:style>
  <w:style w:type="paragraph" w:customStyle="1" w:styleId="190">
    <w:name w:val="样式22"/>
    <w:basedOn w:val="1"/>
    <w:qFormat/>
    <w:uiPriority w:val="0"/>
    <w:pPr>
      <w:spacing w:line="360" w:lineRule="auto"/>
      <w:ind w:firstLine="480" w:firstLineChars="200"/>
    </w:pPr>
    <w:rPr>
      <w:color w:val="000000"/>
      <w:kern w:val="2"/>
      <w:sz w:val="24"/>
      <w:szCs w:val="24"/>
    </w:rPr>
  </w:style>
  <w:style w:type="character" w:customStyle="1" w:styleId="191">
    <w:name w:val="标题 1 字符1"/>
    <w:basedOn w:val="40"/>
    <w:qFormat/>
    <w:uiPriority w:val="0"/>
    <w:rPr>
      <w:rFonts w:ascii="Times New Roman" w:hAnsi="Times New Roman" w:eastAsia="黑体" w:cs="Times New Roman"/>
      <w:b/>
      <w:bCs/>
      <w:color w:val="000000"/>
      <w:kern w:val="44"/>
      <w:sz w:val="30"/>
      <w:szCs w:val="30"/>
    </w:rPr>
  </w:style>
  <w:style w:type="character" w:customStyle="1" w:styleId="192">
    <w:name w:val="日期 字符1"/>
    <w:basedOn w:val="40"/>
    <w:semiHidden/>
    <w:qFormat/>
    <w:uiPriority w:val="0"/>
    <w:rPr>
      <w:rFonts w:ascii="Times New Roman" w:hAnsi="Times New Roman" w:eastAsia="宋体" w:cs="Times New Roman"/>
      <w:kern w:val="0"/>
      <w:sz w:val="24"/>
      <w:szCs w:val="20"/>
    </w:rPr>
  </w:style>
  <w:style w:type="paragraph" w:customStyle="1" w:styleId="193">
    <w:name w:val="普通(网站)2"/>
    <w:basedOn w:val="1"/>
    <w:qFormat/>
    <w:uiPriority w:val="0"/>
    <w:pPr>
      <w:widowControl/>
      <w:spacing w:before="100" w:beforeAutospacing="1" w:after="100" w:afterAutospacing="1"/>
      <w:jc w:val="left"/>
    </w:pPr>
    <w:rPr>
      <w:rFonts w:ascii="宋体" w:hAnsi="宋体"/>
      <w:kern w:val="2"/>
      <w:sz w:val="24"/>
    </w:rPr>
  </w:style>
  <w:style w:type="paragraph" w:customStyle="1" w:styleId="194">
    <w:name w:val="_Style 85"/>
    <w:basedOn w:val="1"/>
    <w:next w:val="132"/>
    <w:qFormat/>
    <w:uiPriority w:val="34"/>
    <w:pPr>
      <w:ind w:firstLine="420" w:firstLineChars="200"/>
    </w:pPr>
    <w:rPr>
      <w:kern w:val="2"/>
      <w:sz w:val="21"/>
    </w:rPr>
  </w:style>
  <w:style w:type="paragraph" w:customStyle="1" w:styleId="195">
    <w:name w:val="WPSOffice手动目录 1"/>
    <w:qFormat/>
    <w:uiPriority w:val="0"/>
    <w:rPr>
      <w:rFonts w:ascii="Times New Roman" w:hAnsi="Times New Roman" w:eastAsia="宋体" w:cs="Times New Roman"/>
      <w:lang w:val="en-US" w:eastAsia="zh-CN" w:bidi="ar-SA"/>
    </w:rPr>
  </w:style>
  <w:style w:type="paragraph" w:customStyle="1" w:styleId="196">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197">
    <w:name w:val="正文文本 字符1"/>
    <w:semiHidden/>
    <w:qFormat/>
    <w:uiPriority w:val="0"/>
    <w:rPr>
      <w:rFonts w:hint="default" w:ascii="Times New Roman" w:hAnsi="Times New Roman" w:eastAsia="宋体" w:cs="Times New Roman"/>
      <w:sz w:val="24"/>
      <w:szCs w:val="24"/>
    </w:rPr>
  </w:style>
  <w:style w:type="character" w:customStyle="1" w:styleId="198">
    <w:name w:val="批注文字 字符1"/>
    <w:semiHidden/>
    <w:qFormat/>
    <w:uiPriority w:val="0"/>
    <w:rPr>
      <w:rFonts w:hint="default" w:ascii="Times New Roman" w:hAnsi="Times New Roman" w:eastAsia="宋体" w:cs="Times New Roman"/>
      <w:sz w:val="24"/>
      <w:szCs w:val="24"/>
    </w:rPr>
  </w:style>
  <w:style w:type="character" w:customStyle="1" w:styleId="199">
    <w:name w:val="普通(网站) Char"/>
    <w:qFormat/>
    <w:locked/>
    <w:uiPriority w:val="0"/>
    <w:rPr>
      <w:rFonts w:hint="eastAsia" w:ascii="宋体" w:hAnsi="宋体" w:eastAsia="宋体"/>
      <w:sz w:val="24"/>
    </w:rPr>
  </w:style>
  <w:style w:type="character" w:customStyle="1" w:styleId="200">
    <w:name w:val="first-child"/>
    <w:qFormat/>
    <w:uiPriority w:val="0"/>
  </w:style>
  <w:style w:type="character" w:customStyle="1" w:styleId="201">
    <w:name w:val="layui-this"/>
    <w:qFormat/>
    <w:uiPriority w:val="0"/>
    <w:rPr>
      <w:bdr w:val="single" w:color="EEEEEE" w:sz="4" w:space="0"/>
      <w:shd w:val="clear" w:color="auto" w:fill="FFFFFF"/>
    </w:rPr>
  </w:style>
  <w:style w:type="paragraph" w:customStyle="1" w:styleId="202">
    <w:name w:val="TOC 标题2"/>
    <w:basedOn w:val="2"/>
    <w:next w:val="1"/>
    <w:unhideWhenUsed/>
    <w:qFormat/>
    <w:uiPriority w:val="39"/>
    <w:pPr>
      <w:widowControl/>
      <w:snapToGrid/>
      <w:spacing w:before="240" w:line="259" w:lineRule="auto"/>
      <w:jc w:val="left"/>
      <w:outlineLvl w:val="9"/>
    </w:pPr>
    <w:rPr>
      <w:rFonts w:asciiTheme="majorHAnsi" w:hAnsiTheme="majorHAnsi" w:eastAsiaTheme="majorEastAsia" w:cstheme="majorBidi"/>
      <w:bCs w:val="0"/>
      <w:color w:val="376092" w:themeColor="accent1" w:themeShade="BF"/>
      <w:kern w:val="0"/>
      <w:sz w:val="32"/>
      <w:szCs w:val="32"/>
    </w:rPr>
  </w:style>
  <w:style w:type="character" w:customStyle="1" w:styleId="203">
    <w:name w:val="direct"/>
    <w:basedOn w:val="40"/>
    <w:qFormat/>
    <w:uiPriority w:val="0"/>
  </w:style>
  <w:style w:type="character" w:customStyle="1" w:styleId="204">
    <w:name w:val="hover11"/>
    <w:basedOn w:val="40"/>
    <w:qFormat/>
    <w:uiPriority w:val="0"/>
    <w:rPr>
      <w:color w:val="000000"/>
      <w:shd w:val="clear" w:color="auto" w:fill="FFFFFF"/>
    </w:rPr>
  </w:style>
  <w:style w:type="character" w:customStyle="1" w:styleId="205">
    <w:name w:val="wx-space"/>
    <w:basedOn w:val="40"/>
    <w:qFormat/>
    <w:uiPriority w:val="0"/>
  </w:style>
  <w:style w:type="character" w:customStyle="1" w:styleId="206">
    <w:name w:val="wx-space1"/>
    <w:basedOn w:val="40"/>
    <w:qFormat/>
    <w:uiPriority w:val="0"/>
  </w:style>
  <w:style w:type="character" w:customStyle="1" w:styleId="207">
    <w:name w:val="txt-color"/>
    <w:basedOn w:val="40"/>
    <w:qFormat/>
    <w:uiPriority w:val="0"/>
    <w:rPr>
      <w:color w:val="C0C0C0"/>
      <w:sz w:val="14"/>
      <w:szCs w:val="14"/>
    </w:rPr>
  </w:style>
  <w:style w:type="paragraph" w:customStyle="1" w:styleId="208">
    <w:name w:val="TOC 标题3"/>
    <w:basedOn w:val="2"/>
    <w:next w:val="1"/>
    <w:unhideWhenUsed/>
    <w:qFormat/>
    <w:uiPriority w:val="39"/>
    <w:pPr>
      <w:widowControl/>
      <w:snapToGrid/>
      <w:spacing w:before="240" w:line="259" w:lineRule="auto"/>
      <w:jc w:val="left"/>
      <w:outlineLvl w:val="9"/>
    </w:pPr>
    <w:rPr>
      <w:rFonts w:asciiTheme="majorHAnsi" w:hAnsiTheme="majorHAnsi" w:eastAsiaTheme="majorEastAsia" w:cstheme="majorBidi"/>
      <w:bCs w:val="0"/>
      <w:color w:val="376092" w:themeColor="accent1" w:themeShade="BF"/>
      <w:kern w:val="0"/>
      <w:sz w:val="32"/>
      <w:szCs w:val="32"/>
    </w:rPr>
  </w:style>
  <w:style w:type="table" w:customStyle="1" w:styleId="209">
    <w:name w:val="Table Normal"/>
    <w:semiHidden/>
    <w:unhideWhenUsed/>
    <w:qFormat/>
    <w:uiPriority w:val="0"/>
    <w:tblPr>
      <w:tblCellMar>
        <w:top w:w="0" w:type="dxa"/>
        <w:left w:w="0" w:type="dxa"/>
        <w:bottom w:w="0" w:type="dxa"/>
        <w:right w:w="0" w:type="dxa"/>
      </w:tblCellMar>
    </w:tblPr>
  </w:style>
  <w:style w:type="paragraph" w:customStyle="1" w:styleId="210">
    <w:name w:val="WPSOffice手动目录 3"/>
    <w:qFormat/>
    <w:uiPriority w:val="0"/>
    <w:pPr>
      <w:ind w:leftChars="400"/>
    </w:pPr>
    <w:rPr>
      <w:rFonts w:ascii="Times New Roman" w:hAnsi="Times New Roman" w:eastAsia="宋体" w:cs="Times New Roman"/>
      <w:sz w:val="20"/>
      <w:szCs w:val="20"/>
    </w:rPr>
  </w:style>
  <w:style w:type="character" w:customStyle="1" w:styleId="211">
    <w:name w:val="font31"/>
    <w:qFormat/>
    <w:uiPriority w:val="0"/>
    <w:rPr>
      <w:rFonts w:hint="default" w:ascii="Times New Roman" w:hAnsi="Times New Roman" w:cs="Times New Roman"/>
      <w:color w:val="000000"/>
      <w:sz w:val="21"/>
      <w:szCs w:val="21"/>
      <w:u w:val="none"/>
    </w:rPr>
  </w:style>
  <w:style w:type="paragraph" w:customStyle="1" w:styleId="212">
    <w:name w:val="zw"/>
    <w:basedOn w:val="1"/>
    <w:qFormat/>
    <w:uiPriority w:val="0"/>
    <w:pPr>
      <w:shd w:val="clear" w:color="auto" w:fill="FFFFFF"/>
      <w:adjustRightInd w:val="0"/>
      <w:snapToGrid w:val="0"/>
      <w:spacing w:line="360" w:lineRule="auto"/>
      <w:ind w:firstLine="480" w:firstLineChars="200"/>
    </w:pPr>
    <w:rPr>
      <w:rFonts w:ascii="ˎ̥" w:hAnsi="ˎ̥"/>
      <w:color w:val="51585D"/>
      <w:kern w:val="0"/>
      <w:sz w:val="24"/>
    </w:rPr>
  </w:style>
  <w:style w:type="character" w:customStyle="1" w:styleId="213">
    <w:name w:val="style4"/>
    <w:qFormat/>
    <w:uiPriority w:val="0"/>
  </w:style>
  <w:style w:type="paragraph" w:customStyle="1" w:styleId="214">
    <w:name w:val="表内容-Jin"/>
    <w:basedOn w:val="1"/>
    <w:autoRedefine/>
    <w:qFormat/>
    <w:uiPriority w:val="0"/>
    <w:pPr>
      <w:jc w:val="center"/>
    </w:pPr>
    <w:rPr>
      <w:bCs/>
    </w:rPr>
  </w:style>
  <w:style w:type="paragraph" w:customStyle="1" w:styleId="215">
    <w:name w:val="正文-J"/>
    <w:basedOn w:val="1"/>
    <w:autoRedefine/>
    <w:qFormat/>
    <w:uiPriority w:val="0"/>
    <w:pPr>
      <w:spacing w:line="360" w:lineRule="auto"/>
      <w:ind w:firstLine="480" w:firstLineChars="200"/>
    </w:pPr>
    <w:rPr>
      <w:sz w:val="24"/>
    </w:rPr>
  </w:style>
  <w:style w:type="paragraph" w:customStyle="1" w:styleId="216">
    <w:name w:val="正文-Jin"/>
    <w:basedOn w:val="1"/>
    <w:autoRedefine/>
    <w:qFormat/>
    <w:uiPriority w:val="0"/>
    <w:pPr>
      <w:spacing w:line="360" w:lineRule="auto"/>
      <w:ind w:firstLine="480" w:firstLineChars="200"/>
    </w:pPr>
    <w:rPr>
      <w:sz w:val="24"/>
    </w:rPr>
  </w:style>
  <w:style w:type="paragraph" w:customStyle="1" w:styleId="217">
    <w:name w:val="Table Text"/>
    <w:basedOn w:val="1"/>
    <w:semiHidden/>
    <w:qFormat/>
    <w:uiPriority w:val="0"/>
    <w:rPr>
      <w:rFonts w:ascii="宋体" w:hAnsi="宋体" w:eastAsia="宋体" w:cs="宋体"/>
      <w:sz w:val="24"/>
      <w:szCs w:val="24"/>
      <w:lang w:val="en-US" w:eastAsia="en-US" w:bidi="ar-SA"/>
    </w:rPr>
  </w:style>
  <w:style w:type="paragraph" w:customStyle="1" w:styleId="218">
    <w:name w:val="表内文字"/>
    <w:qFormat/>
    <w:uiPriority w:val="0"/>
    <w:pPr>
      <w:spacing w:line="240" w:lineRule="auto"/>
      <w:ind w:firstLine="0" w:firstLineChars="0"/>
      <w:jc w:val="center"/>
    </w:pPr>
    <w:rPr>
      <w:rFonts w:ascii="Times New Roman" w:hAnsi="Times New Roman" w:eastAsia="宋体" w:cs="Times New Roman"/>
      <w:sz w:val="21"/>
    </w:rPr>
  </w:style>
  <w:style w:type="paragraph" w:customStyle="1" w:styleId="219">
    <w:name w:val="SSEC正文 20150323"/>
    <w:qFormat/>
    <w:uiPriority w:val="0"/>
    <w:pPr>
      <w:spacing w:line="331"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220">
    <w:name w:val="样式 四号"/>
    <w:basedOn w:val="1"/>
    <w:qFormat/>
    <w:uiPriority w:val="99"/>
    <w:pPr>
      <w:ind w:firstLine="480"/>
    </w:p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54.emf"/><Relationship Id="rId97" Type="http://schemas.openxmlformats.org/officeDocument/2006/relationships/oleObject" Target="embeddings/oleObject34.bin"/><Relationship Id="rId96" Type="http://schemas.openxmlformats.org/officeDocument/2006/relationships/image" Target="media/image53.emf"/><Relationship Id="rId95" Type="http://schemas.openxmlformats.org/officeDocument/2006/relationships/oleObject" Target="embeddings/oleObject33.bin"/><Relationship Id="rId94" Type="http://schemas.openxmlformats.org/officeDocument/2006/relationships/image" Target="media/image52.png"/><Relationship Id="rId93" Type="http://schemas.openxmlformats.org/officeDocument/2006/relationships/image" Target="media/image51.png"/><Relationship Id="rId92" Type="http://schemas.openxmlformats.org/officeDocument/2006/relationships/image" Target="media/image50.emf"/><Relationship Id="rId91" Type="http://schemas.openxmlformats.org/officeDocument/2006/relationships/oleObject" Target="embeddings/oleObject32.bin"/><Relationship Id="rId90" Type="http://schemas.openxmlformats.org/officeDocument/2006/relationships/image" Target="media/image49.png"/><Relationship Id="rId9" Type="http://schemas.openxmlformats.org/officeDocument/2006/relationships/footer" Target="footer5.xml"/><Relationship Id="rId89" Type="http://schemas.openxmlformats.org/officeDocument/2006/relationships/image" Target="media/image48.wmf"/><Relationship Id="rId88" Type="http://schemas.openxmlformats.org/officeDocument/2006/relationships/oleObject" Target="embeddings/oleObject31.bin"/><Relationship Id="rId87" Type="http://schemas.openxmlformats.org/officeDocument/2006/relationships/image" Target="media/image47.wmf"/><Relationship Id="rId86" Type="http://schemas.openxmlformats.org/officeDocument/2006/relationships/oleObject" Target="embeddings/oleObject30.bin"/><Relationship Id="rId85" Type="http://schemas.openxmlformats.org/officeDocument/2006/relationships/image" Target="media/image46.wmf"/><Relationship Id="rId84" Type="http://schemas.openxmlformats.org/officeDocument/2006/relationships/oleObject" Target="embeddings/oleObject29.bin"/><Relationship Id="rId83" Type="http://schemas.openxmlformats.org/officeDocument/2006/relationships/oleObject" Target="embeddings/oleObject28.bin"/><Relationship Id="rId82" Type="http://schemas.openxmlformats.org/officeDocument/2006/relationships/image" Target="media/image45.wmf"/><Relationship Id="rId81" Type="http://schemas.openxmlformats.org/officeDocument/2006/relationships/oleObject" Target="embeddings/oleObject27.bin"/><Relationship Id="rId80" Type="http://schemas.openxmlformats.org/officeDocument/2006/relationships/image" Target="media/image44.wmf"/><Relationship Id="rId8" Type="http://schemas.openxmlformats.org/officeDocument/2006/relationships/header" Target="header2.xml"/><Relationship Id="rId79" Type="http://schemas.openxmlformats.org/officeDocument/2006/relationships/oleObject" Target="embeddings/oleObject26.bin"/><Relationship Id="rId78" Type="http://schemas.openxmlformats.org/officeDocument/2006/relationships/image" Target="media/image43.wmf"/><Relationship Id="rId77" Type="http://schemas.openxmlformats.org/officeDocument/2006/relationships/oleObject" Target="embeddings/oleObject25.bin"/><Relationship Id="rId76" Type="http://schemas.openxmlformats.org/officeDocument/2006/relationships/image" Target="media/image42.wmf"/><Relationship Id="rId75" Type="http://schemas.openxmlformats.org/officeDocument/2006/relationships/oleObject" Target="embeddings/oleObject24.bin"/><Relationship Id="rId74" Type="http://schemas.openxmlformats.org/officeDocument/2006/relationships/image" Target="media/image41.wmf"/><Relationship Id="rId73" Type="http://schemas.openxmlformats.org/officeDocument/2006/relationships/oleObject" Target="embeddings/oleObject23.bin"/><Relationship Id="rId72" Type="http://schemas.openxmlformats.org/officeDocument/2006/relationships/oleObject" Target="embeddings/oleObject22.bin"/><Relationship Id="rId71" Type="http://schemas.openxmlformats.org/officeDocument/2006/relationships/image" Target="media/image40.wmf"/><Relationship Id="rId70" Type="http://schemas.openxmlformats.org/officeDocument/2006/relationships/oleObject" Target="embeddings/oleObject21.bin"/><Relationship Id="rId7" Type="http://schemas.openxmlformats.org/officeDocument/2006/relationships/footer" Target="footer4.xml"/><Relationship Id="rId69" Type="http://schemas.openxmlformats.org/officeDocument/2006/relationships/oleObject" Target="embeddings/oleObject20.bin"/><Relationship Id="rId68" Type="http://schemas.openxmlformats.org/officeDocument/2006/relationships/oleObject" Target="embeddings/oleObject19.bin"/><Relationship Id="rId67" Type="http://schemas.openxmlformats.org/officeDocument/2006/relationships/oleObject" Target="embeddings/oleObject18.bin"/><Relationship Id="rId66" Type="http://schemas.openxmlformats.org/officeDocument/2006/relationships/oleObject" Target="embeddings/oleObject17.bin"/><Relationship Id="rId65" Type="http://schemas.openxmlformats.org/officeDocument/2006/relationships/image" Target="media/image39.wmf"/><Relationship Id="rId64" Type="http://schemas.openxmlformats.org/officeDocument/2006/relationships/oleObject" Target="embeddings/oleObject16.bin"/><Relationship Id="rId63" Type="http://schemas.openxmlformats.org/officeDocument/2006/relationships/oleObject" Target="embeddings/oleObject15.bin"/><Relationship Id="rId62" Type="http://schemas.openxmlformats.org/officeDocument/2006/relationships/oleObject" Target="embeddings/oleObject14.bin"/><Relationship Id="rId61" Type="http://schemas.openxmlformats.org/officeDocument/2006/relationships/image" Target="media/image38.wmf"/><Relationship Id="rId60" Type="http://schemas.openxmlformats.org/officeDocument/2006/relationships/oleObject" Target="embeddings/oleObject13.bin"/><Relationship Id="rId6" Type="http://schemas.openxmlformats.org/officeDocument/2006/relationships/footer" Target="footer3.xml"/><Relationship Id="rId59" Type="http://schemas.openxmlformats.org/officeDocument/2006/relationships/oleObject" Target="embeddings/oleObject12.bin"/><Relationship Id="rId58" Type="http://schemas.openxmlformats.org/officeDocument/2006/relationships/image" Target="media/image37.wmf"/><Relationship Id="rId57" Type="http://schemas.openxmlformats.org/officeDocument/2006/relationships/oleObject" Target="embeddings/oleObject11.bin"/><Relationship Id="rId56" Type="http://schemas.openxmlformats.org/officeDocument/2006/relationships/image" Target="media/image36.wmf"/><Relationship Id="rId55" Type="http://schemas.openxmlformats.org/officeDocument/2006/relationships/oleObject" Target="embeddings/oleObject10.bin"/><Relationship Id="rId54" Type="http://schemas.openxmlformats.org/officeDocument/2006/relationships/image" Target="media/image35.wmf"/><Relationship Id="rId53" Type="http://schemas.openxmlformats.org/officeDocument/2006/relationships/oleObject" Target="embeddings/oleObject9.bin"/><Relationship Id="rId52" Type="http://schemas.openxmlformats.org/officeDocument/2006/relationships/image" Target="media/image34.wmf"/><Relationship Id="rId51" Type="http://schemas.openxmlformats.org/officeDocument/2006/relationships/oleObject" Target="embeddings/oleObject8.bin"/><Relationship Id="rId50" Type="http://schemas.openxmlformats.org/officeDocument/2006/relationships/image" Target="media/image33.wmf"/><Relationship Id="rId5" Type="http://schemas.openxmlformats.org/officeDocument/2006/relationships/footer" Target="footer2.xml"/><Relationship Id="rId49" Type="http://schemas.openxmlformats.org/officeDocument/2006/relationships/oleObject" Target="embeddings/oleObject7.bin"/><Relationship Id="rId48" Type="http://schemas.openxmlformats.org/officeDocument/2006/relationships/image" Target="media/image32.wmf"/><Relationship Id="rId47" Type="http://schemas.openxmlformats.org/officeDocument/2006/relationships/oleObject" Target="embeddings/oleObject6.bin"/><Relationship Id="rId46" Type="http://schemas.openxmlformats.org/officeDocument/2006/relationships/oleObject" Target="embeddings/oleObject5.bin"/><Relationship Id="rId45" Type="http://schemas.openxmlformats.org/officeDocument/2006/relationships/image" Target="media/image31.wmf"/><Relationship Id="rId44" Type="http://schemas.openxmlformats.org/officeDocument/2006/relationships/oleObject" Target="embeddings/oleObject4.bin"/><Relationship Id="rId43" Type="http://schemas.openxmlformats.org/officeDocument/2006/relationships/image" Target="media/image30.wmf"/><Relationship Id="rId42" Type="http://schemas.openxmlformats.org/officeDocument/2006/relationships/oleObject" Target="embeddings/oleObject3.bin"/><Relationship Id="rId41" Type="http://schemas.openxmlformats.org/officeDocument/2006/relationships/image" Target="media/image29.wmf"/><Relationship Id="rId40" Type="http://schemas.openxmlformats.org/officeDocument/2006/relationships/oleObject" Target="embeddings/oleObject2.bin"/><Relationship Id="rId4" Type="http://schemas.openxmlformats.org/officeDocument/2006/relationships/footer" Target="footer1.xml"/><Relationship Id="rId39" Type="http://schemas.openxmlformats.org/officeDocument/2006/relationships/image" Target="media/image28.wmf"/><Relationship Id="rId38" Type="http://schemas.openxmlformats.org/officeDocument/2006/relationships/oleObject" Target="embeddings/oleObject1.bin"/><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pn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wmf"/><Relationship Id="rId12" Type="http://schemas.openxmlformats.org/officeDocument/2006/relationships/image" Target="media/image2.png"/><Relationship Id="rId11" Type="http://schemas.openxmlformats.org/officeDocument/2006/relationships/image" Target="media/image1.png"/><Relationship Id="rId102" Type="http://schemas.openxmlformats.org/officeDocument/2006/relationships/fontTable" Target="fontTable.xml"/><Relationship Id="rId101" Type="http://schemas.openxmlformats.org/officeDocument/2006/relationships/customXml" Target="../customXml/item2.xml"/><Relationship Id="rId100" Type="http://schemas.openxmlformats.org/officeDocument/2006/relationships/numbering" Target="numbering.xml"/><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dbffe044-9615-4036-878d-1b332d31a389</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223BAFE8</paraID>
      <start>11</start>
      <end>17</end>
      <status>modified</status>
      <modifiedWord>“三区三线”</modifiedWord>
      <trackRevisions>false</trackRevisions>
    </reviewItem>
    <reviewItem>
      <errorID>f4c8c051-1100-4660-96b2-1aed548b4a02</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7D9D5676</paraID>
      <start>12</start>
      <end>18</end>
      <status>modified</status>
      <modifiedWord>“三区三线”</modifiedWord>
      <trackRevisions>false</trackRevisions>
    </reviewItem>
    <reviewItem>
      <errorID>dfd34574-e591-4f6c-9c3f-b93edeeba091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46E53F93</paraID>
      <start>0</start>
      <end>2</end>
      <status>ignored</status>
      <modifiedWord/>
      <trackRevisions>false</trackRevisions>
    </reviewItem>
    <reviewItem>
      <errorID>c1d84903-292f-41ba-a835-76e145d19a79</errorID>
      <errorWord>政策中</errorWord>
      <group>L1_Word</group>
      <groupName>字词问题</groupName>
      <ability>L2_Typo</ability>
      <abilityName>字词错误</abilityName>
      <candidateList>
        <item>政策</item>
      </candidateList>
      <explain/>
      <paraID>7A7B640C</paraID>
      <start>10</start>
      <end>12</end>
      <status>modified</status>
      <modifiedWord>政策</modifiedWord>
      <trackRevisions>false</trackRevisions>
    </reviewItem>
    <reviewItem>
      <errorID>5f219f66-7819-4d7c-8209-d3f897ff9a90</errorID>
      <errorWord>政策中</errorWord>
      <group>L1_Word</group>
      <groupName>字词问题</groupName>
      <ability>L2_Typo</ability>
      <abilityName>字词错误</abilityName>
      <candidateList>
        <item>政策</item>
      </candidateList>
      <explain/>
      <paraID>56635E87</paraID>
      <start>10</start>
      <end>12</end>
      <status>modified</status>
      <modifiedWord>政策</modifiedWord>
      <trackRevisions>false</trackRevisions>
    </reviewItem>
    <reviewItem>
      <errorID>b513e517-276f-4d01-835b-514d254df4c1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6398CE27</paraID>
      <start>0</start>
      <end>2</end>
      <status>ignored</status>
      <modifiedWord/>
      <trackRevisions>false</trackRevisions>
    </reviewItem>
    <reviewItem>
      <errorID>12baea9b-14db-4e30-8f62-12bd8135fc4b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5A8D1E1E</paraID>
      <start>0</start>
      <end>2</end>
      <status>ignored</status>
      <modifiedWord/>
      <trackRevisions>false</trackRevisions>
    </reviewItem>
    <reviewItem>
      <errorID>8bf06c1b-a227-4a6e-8a39-e2f81038ff90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7130099E</paraID>
      <start>0</start>
      <end>2</end>
      <status>ignored</status>
      <modifiedWord/>
      <trackRevisions>false</trackRevisions>
    </reviewItem>
    <reviewItem>
      <errorID>520983f9-b624-4303-844f-79ac6b69b580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4CCCC014</paraID>
      <start>0</start>
      <end>2</end>
      <status>ignored</status>
      <modifiedWord/>
      <trackRevisions>false</trackRevisions>
    </reviewItem>
    <reviewItem>
      <errorID>5b9aad59-128d-46db-8d85-a4d71a1ebfbb</errorID>
      <errorWord>（2016）150号</errorWord>
      <group>L1_Knowledge</group>
      <groupName>知识性问题</groupName>
      <ability>L2_Knowledge</ability>
      <abilityName>其他知识</abilityName>
      <candidateList>
        <item>〔2016〕150号</item>
      </candidateList>
      <explain>发文字号格式错误。</explain>
      <paraID>71F0C880</paraID>
      <start>39</start>
      <end>49</end>
      <status>modified</status>
      <modifiedWord>〔2016〕150号</modifiedWord>
      <trackRevisions>false</trackRevisions>
    </reviewItem>
    <reviewItem>
      <errorID>788b92b8-3272-4c5a-a095-31a08f3b626d</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4C302B0E</paraID>
      <start>107</start>
      <end>110</end>
      <status>ignored</status>
      <modifiedWord/>
      <trackRevisions>false</trackRevisions>
    </reviewItem>
    <reviewItem>
      <errorID>a5f953ac-9f19-4707-8032-328f97b6a896</errorID>
      <errorWord>(</errorWord>
      <group>L1_Format</group>
      <groupName>格式问题</groupName>
      <ability>L2_HalfPunc</ability>
      <abilityName>全半角检查</abilityName>
      <candidateList>
        <item>（</item>
      </candidateList>
      <explain>文本全半角错误。</explain>
      <paraID>4C302B0E</paraID>
      <start>124</start>
      <end>125</end>
      <status>modified</status>
      <modifiedWord>（</modifiedWord>
      <trackRevisions>false</trackRevisions>
    </reviewItem>
    <reviewItem>
      <errorID>bb62a981-dbcc-4f23-acad-463eb297e0ef</errorID>
      <errorWord>)</errorWord>
      <group>L1_Format</group>
      <groupName>格式问题</groupName>
      <ability>L2_HalfPunc</ability>
      <abilityName>全半角检查</abilityName>
      <candidateList>
        <item>）</item>
      </candidateList>
      <explain>文本全半角错误。</explain>
      <paraID>4C302B0E</paraID>
      <start>128</start>
      <end>129</end>
      <status>modified</status>
      <modifiedWord>）</modifiedWord>
      <trackRevisions>false</trackRevisions>
    </reviewItem>
    <reviewItem>
      <errorID>abf26d6f-59d2-48d0-b79b-d4694f1f1d5b</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6200BDE6</paraID>
      <start>30</start>
      <end>33</end>
      <status>ignored</status>
      <modifiedWord/>
      <trackRevisions>false</trackRevisions>
    </reviewItem>
    <reviewItem>
      <errorID>2afe45ee-6baa-4f74-a9b7-42a080c8f341</errorID>
      <errorWord>)</errorWord>
      <group>L1_Format</group>
      <groupName>格式问题</groupName>
      <ability>L2_HalfPunc</ability>
      <abilityName>全半角检查</abilityName>
      <candidateList>
        <item>）</item>
      </candidateList>
      <explain>文本全半角错误。</explain>
      <paraID>24F97A90</paraID>
      <start>70</start>
      <end>71</end>
      <status>modified</status>
      <modifiedWord>）</modifiedWord>
      <trackRevisions>false</trackRevisions>
    </reviewItem>
    <reviewItem>
      <errorID>fb71d027-561f-49bc-9eed-d2ca9dcd9a27</errorID>
      <errorWord>)</errorWord>
      <group>L1_Format</group>
      <groupName>格式问题</groupName>
      <ability>L2_HalfPunc</ability>
      <abilityName>全半角检查</abilityName>
      <candidateList>
        <item>）</item>
      </candidateList>
      <explain>文本全半角错误。</explain>
      <paraID>24F97A90</paraID>
      <start>100</start>
      <end>101</end>
      <status>modified</status>
      <modifiedWord>）</modifiedWord>
      <trackRevisions>false</trackRevisions>
    </reviewItem>
    <reviewItem>
      <errorID>b2fa7cec-5a88-4d6e-94f5-49dd6bd54ec4</errorID>
      <errorWord>上线</errorWord>
      <group>L1_Word</group>
      <groupName>字词问题</groupName>
      <ability>L2_Typo</ability>
      <abilityName>字词错误</abilityName>
      <candidateList>
        <item>上限</item>
      </candidateList>
      <explain/>
      <paraID>547EB5CE</paraID>
      <start>57</start>
      <end>59</end>
      <status>ignored</status>
      <modifiedWord/>
      <trackRevisions>false</trackRevisions>
    </reviewItem>
    <reviewItem>
      <errorID>978c09df-907a-418a-83f3-93bc5d92221d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25F77661</paraID>
      <start>60</start>
      <end>62</end>
      <status>modified</status>
      <modifiedWord>》《</modifiedWord>
      <trackRevisions>false</trackRevisions>
    </reviewItem>
    <reviewItem>
      <errorID>2a354202-f527-4b21-a03a-1b92e5e8ef4d</errorID>
      <errorWord>安徽省湿地保护条例</errorWord>
      <group>L1_Knowledge</group>
      <groupName>知识性问题</groupName>
      <ability>L2_Knowledge</ability>
      <abilityName>其他知识</abilityName>
      <candidateList/>
      <explain>该法规已废止，请注意检查引用是否正确。</explain>
      <paraID>1EEEF263</paraID>
      <start>86</start>
      <end>95</end>
      <status>ignored</status>
      <modifiedWord/>
      <trackRevisions>false</trackRevisions>
    </reviewItem>
    <reviewItem>
      <errorID>ff0e7679-61b1-4ef3-b6cf-923f059e36eb</errorID>
      <errorWord>；</errorWord>
      <group>L1_Word</group>
      <groupName>字词问题</groupName>
      <ability>L2_Typo</ability>
      <abilityName>字词错误</abilityName>
      <candidateList>
        <item>；对</item>
      </candidateList>
      <explain/>
      <paraID>1EEEF263</paraID>
      <start>198</start>
      <end>199</end>
      <status>ignored</status>
      <modifiedWord/>
      <trackRevisions>false</trackRevisions>
    </reviewItem>
    <reviewItem>
      <errorID>7126465d-ab94-43fa-a977-13ac25de2c9a</errorID>
      <errorWord>国家风景名胜区管理条例</errorWord>
      <group>L1_Knowledge</group>
      <groupName>知识性问题</groupName>
      <ability>L2_Knowledge</ability>
      <abilityName>其他知识</abilityName>
      <candidateList/>
      <explain>当前法律法规未收录或尚未生效，注意核查是否正确。</explain>
      <paraID> 991E7FD</paraID>
      <start>122</start>
      <end>133</end>
      <status>ignored</status>
      <modifiedWord/>
      <trackRevisions>false</trackRevisions>
    </reviewItem>
    <reviewItem>
      <errorID>307775ee-8dcd-4600-aa1e-1d1159fa626e</errorID>
      <errorWord>，</errorWord>
      <group>L1_Word</group>
      <groupName>字词问题</groupName>
      <ability>L2_Typo</ability>
      <abilityName>字词错误</abilityName>
      <candidateList>
        <item>，对</item>
      </candidateList>
      <explain/>
      <paraID>7B8C9B36</paraID>
      <start>132</start>
      <end>133</end>
      <status>ignored</status>
      <modifiedWord/>
      <trackRevisions>false</trackRevisions>
    </reviewItem>
    <reviewItem>
      <errorID>265565d5-6ccd-4677-bde1-20ac5bcb0de7</errorID>
      <errorWord>，</errorWord>
      <group>L1_Word</group>
      <groupName>字词问题</groupName>
      <ability>L2_Typo</ability>
      <abilityName>字词错误</abilityName>
      <candidateList>
        <item>，具</item>
      </candidateList>
      <explain/>
      <paraID>4E472E2A</paraID>
      <start>152</start>
      <end>154</end>
      <status>modified</status>
      <modifiedWord>，具</modifiedWord>
      <trackRevisions>false</trackRevisions>
    </reviewItem>
    <reviewItem>
      <errorID>f802814b-98b1-4006-b7c8-33c7ba86ca79</errorID>
      <errorWord>上线</errorWord>
      <group>L1_Word</group>
      <groupName>字词问题</groupName>
      <ability>L2_Typo</ability>
      <abilityName>字词错误</abilityName>
      <candidateList>
        <item>上限</item>
      </candidateList>
      <explain/>
      <paraID>4E472E2A</paraID>
      <start>203</start>
      <end>205</end>
      <status>ignored</status>
      <modifiedWord/>
      <trackRevisions>false</trackRevisions>
    </reviewItem>
    <reviewItem>
      <errorID>1f53c35f-1a17-4017-ac37-546996fb0b9c</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43EEFCE2</paraID>
      <start>11</start>
      <end>17</end>
      <status>modified</status>
      <modifiedWord>“三区三线”</modifiedWord>
      <trackRevisions>false</trackRevisions>
    </reviewItem>
    <reviewItem>
      <errorID>3fd6cf61-e822-42bc-8611-c81a56360ef4</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 85D6319</paraID>
      <start>21</start>
      <end>29</end>
      <status>modified</status>
      <modifiedWord>国家林业和草原局</modifiedWord>
      <trackRevisions>false</trackRevisions>
    </reviewItem>
    <reviewItem>
      <errorID>e7418fe0-1ec2-4f24-9c13-1764e163b7af</errorID>
      <errorWord>国家林业局</errorWord>
      <group>L1_Knowledge</group>
      <groupName>知识性问题</groupName>
      <ability>L2_Organization</ability>
      <abilityName>机构检查</abilityName>
      <candidateList>
        <item>国家林业和草原局</item>
      </candidateList>
      <explain>2018年3月，中共中央印发了《深化党和国家机构改革方案》，将国家林业局的职责，整合到新组建的国家林业和草原局。</explain>
      <paraID>3760C97C</paraID>
      <start>19</start>
      <end>27</end>
      <status>modified</status>
      <modifiedWord>国家林业和草原局</modifiedWord>
      <trackRevisions>false</trackRevisions>
    </reviewItem>
    <reviewItem>
      <errorID>7de3492e-f582-4f77-9f82-79a6ee0e9883</errorID>
      <errorWord>生态保护底线</errorWord>
      <group>L1_Political</group>
      <groupName>政治性问题</groupName>
      <ability>L2_Keyword</ability>
      <abilityName>固定表述</abilityName>
      <candidateList>
        <item>生态保护红线</item>
      </candidateList>
      <explain>词汇“生态保护红线”在特定场景下为固定表述形式，请确认此处的“生态保护底线”是否存在不当。</explain>
      <paraID>19A18A1C</paraID>
      <start>4</start>
      <end>10</end>
      <status>ignored</status>
      <modifiedWord/>
      <trackRevisions>false</trackRevisions>
    </reviewItem>
    <reviewItem>
      <errorID>8534ac94-2069-4a2c-b2be-a4225aaa1e5b</errorID>
      <errorWord>符合</errorWord>
      <group>L1_Word</group>
      <groupName>字词问题</groupName>
      <ability>L2_Typo</ability>
      <abilityName>字词错误</abilityName>
      <candidateList>
        <item>复合</item>
      </candidateList>
      <explain/>
      <paraID>45CB7A5D</paraID>
      <start>83</start>
      <end>85</end>
      <status>ignored</status>
      <modifiedWord/>
      <trackRevisions>false</trackRevisions>
    </reviewItem>
    <reviewItem>
      <errorID>04f4e9b6-5c2f-4e7f-b7c2-007646d39cbb</errorID>
      <errorWord>及其</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 6F2F129</paraID>
      <start>132</start>
      <end>133</end>
      <status>modified</status>
      <modifiedWord>及</modifiedWord>
      <trackRevisions>false</trackRevisions>
    </reviewItem>
    <reviewItem>
      <errorID>ffc4fc0a-65e0-4f75-bce5-d1a55982f294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637DB56</paraID>
      <start>0</start>
      <end>2</end>
      <status>ignored</status>
      <modifiedWord/>
      <trackRevisions>false</trackRevisions>
    </reviewItem>
    <reviewItem>
      <errorID>ce9fae8c-3982-4d6c-b03e-dddac308226a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636535B2</paraID>
      <start>0</start>
      <end>2</end>
      <status>ignored</status>
      <modifiedWord/>
      <trackRevisions>false</trackRevisions>
    </reviewItem>
    <reviewItem>
      <errorID>d5980d60-d831-4019-ad02-cca2f82ac77d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1D67170B</paraID>
      <start>0</start>
      <end>2</end>
      <status>ignored</status>
      <modifiedWord/>
      <trackRevisions>false</trackRevisions>
    </reviewItem>
    <reviewItem>
      <errorID>b6c9f6b5-8d4b-4fd3-82e6-f869c01f0830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65963FB</paraID>
      <start>0</start>
      <end>2</end>
      <status>ignored</status>
      <modifiedWord/>
      <trackRevisions>false</trackRevisions>
    </reviewItem>
    <reviewItem>
      <errorID>a2fd92ea-bedc-4680-a319-e4550d66fe0f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482951FA</paraID>
      <start>0</start>
      <end>2</end>
      <status>ignored</status>
      <modifiedWord/>
      <trackRevisions>false</trackRevisions>
    </reviewItem>
    <reviewItem>
      <errorID>d716ebc5-d88d-4ce1-a443-b419c2d8c041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4D2DCB0A</paraID>
      <start>0</start>
      <end>2</end>
      <status>ignored</status>
      <modifiedWord/>
      <trackRevisions>false</trackRevisions>
    </reviewItem>
    <reviewItem>
      <errorID>4cb0178b-8a01-47b4-b915-8f6729714e5f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482EC86</paraID>
      <start>0</start>
      <end>2</end>
      <status>ignored</status>
      <modifiedWord/>
      <trackRevisions>false</trackRevisions>
    </reviewItem>
    <reviewItem>
      <errorID>fe19884f-9047-4fa6-80a4-9046995df013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5F51D21C</paraID>
      <start>0</start>
      <end>2</end>
      <status>ignored</status>
      <modifiedWord/>
      <trackRevisions>false</trackRevisions>
    </reviewItem>
    <reviewItem>
      <errorID>7854f508-27bb-4955-a593-7d42d1be4aef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4B12B894</paraID>
      <start>0</start>
      <end>2</end>
      <status>ignored</status>
      <modifiedWord/>
      <trackRevisions>false</trackRevisions>
    </reviewItem>
    <reviewItem>
      <errorID>c86deb08-649d-49fa-85d3-e3df6155877e</errorID>
      <errorWord>II</errorWord>
      <group>L1_Knowledge</group>
      <groupName>知识性问题</groupName>
      <ability>L2_Knowledge</ability>
      <abilityName>其他知识</abilityName>
      <candidateList>
        <item>Ⅱ</item>
      </candidateList>
      <explain/>
      <paraID> E9BE91C</paraID>
      <start>295</start>
      <end>297</end>
      <status>ignored</status>
      <modifiedWord/>
      <trackRevisions>false</trackRevisions>
    </reviewItem>
    <reviewItem>
      <errorID>d1647a85-719f-4756-885e-9e9e8cc06208</errorID>
      <errorWord>II</errorWord>
      <group>L1_Knowledge</group>
      <groupName>知识性问题</groupName>
      <ability>L2_Knowledge</ability>
      <abilityName>其他知识</abilityName>
      <candidateList>
        <item>Ⅱ</item>
      </candidateList>
      <explain/>
      <paraID>1D8E2370</paraID>
      <start>268</start>
      <end>270</end>
      <status>ignored</status>
      <modifiedWord/>
      <trackRevisions>false</trackRevisions>
    </reviewItem>
    <reviewItem>
      <errorID>7eca56b4-8637-4962-a3ae-ee94e0095717</errorID>
      <errorWord>(</errorWord>
      <group>L1_Format</group>
      <groupName>格式问题</groupName>
      <ability>L2_HalfPunc</ability>
      <abilityName>全半角检查</abilityName>
      <candidateList>
        <item>（</item>
      </candidateList>
      <explain>文本全半角错误。</explain>
      <paraID> D24E6F0</paraID>
      <start>177</start>
      <end>178</end>
      <status>modified</status>
      <modifiedWord>（</modifiedWord>
      <trackRevisions>false</trackRevisions>
    </reviewItem>
    <reviewItem>
      <errorID>f0bd1324-c6d2-4f2f-8cf0-f73abec3f3f3</errorID>
      <errorWord>电器设备</errorWord>
      <group>L1_Word</group>
      <groupName>字词问题</groupName>
      <ability>L2_Typo</ability>
      <abilityName>字词错误</abilityName>
      <candidateList>
        <item>电气设备</item>
      </candidateList>
      <explain/>
      <paraID>267C09C5</paraID>
      <start>58</start>
      <end>62</end>
      <status>modified</status>
      <modifiedWord>电气设备</modifiedWord>
      <trackRevisions>false</trackRevisions>
    </reviewItem>
    <reviewItem>
      <errorID>69fdf213-9fe8-4328-b22b-4d8c93d1adb5</errorID>
      <errorWord>联通</errorWord>
      <group>L1_Word</group>
      <groupName>字词问题</groupName>
      <ability>L2_Typo</ability>
      <abilityName>字词错误</abilityName>
      <candidateList>
        <item>连通</item>
      </candidateList>
      <explain>存在发音相同字词的误用。</explain>
      <paraID>267C09C5</paraID>
      <start>86</start>
      <end>88</end>
      <status>modified</status>
      <modifiedWord>连通</modifiedWord>
      <trackRevisions>false</trackRevisions>
    </reviewItem>
    <reviewItem>
      <errorID>0e3aa718-929e-40a2-be70-5d8a395af09a</errorID>
      <errorWord>II</errorWord>
      <group>L1_Knowledge</group>
      <groupName>知识性问题</groupName>
      <ability>L2_Knowledge</ability>
      <abilityName>其他知识</abilityName>
      <candidateList>
        <item>Ⅱ</item>
      </candidateList>
      <explain/>
      <paraID>654F1962</paraID>
      <start>391</start>
      <end>393</end>
      <status>ignored</status>
      <modifiedWord/>
      <trackRevisions>false</trackRevisions>
    </reviewItem>
    <reviewItem>
      <errorID>8406388b-2a0c-4730-a3f9-2354ff749e75</errorID>
      <errorWord>电器设备</errorWord>
      <group>L1_Word</group>
      <groupName>字词问题</groupName>
      <ability>L2_Typo</ability>
      <abilityName>字词错误</abilityName>
      <candidateList>
        <item>电气设备</item>
      </candidateList>
      <explain/>
      <paraID>3D9A270F</paraID>
      <start>67</start>
      <end>71</end>
      <status>modified</status>
      <modifiedWord>电气设备</modifiedWord>
      <trackRevisions>false</trackRevisions>
    </reviewItem>
    <reviewItem>
      <errorID>3483cb51-179a-4f61-89cb-71b90e6712e9</errorID>
      <errorWord>联通</errorWord>
      <group>L1_Word</group>
      <groupName>字词问题</groupName>
      <ability>L2_Typo</ability>
      <abilityName>字词错误</abilityName>
      <candidateList>
        <item>连通</item>
      </candidateList>
      <explain>存在发音相同字词的误用。</explain>
      <paraID>3D9A270F</paraID>
      <start>95</start>
      <end>97</end>
      <status>modified</status>
      <modifiedWord>连通</modifiedWord>
      <trackRevisions>false</trackRevisions>
    </reviewItem>
    <reviewItem>
      <errorID>4917846c-3347-442f-b65b-5bec73d785d6</errorID>
      <errorWord>挖</errorWord>
      <group>L1_Word</group>
      <groupName>字词问题</groupName>
      <ability>L2_Typo</ability>
      <abilityName>字词错误</abilityName>
      <candidateList>
        <item>挖和</item>
      </candidateList>
      <explain/>
      <paraID>3BD78752</paraID>
      <start>81</start>
      <end>83</end>
      <status>modified</status>
      <modifiedWord>挖和</modifiedWord>
      <trackRevisions>false</trackRevisions>
    </reviewItem>
    <reviewItem>
      <errorID>2dcb100a-9248-403f-b69c-c0ce99f285e1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548DB70C</paraID>
      <start>0</start>
      <end>2</end>
      <status>ignored</status>
      <modifiedWord/>
      <trackRevisions>false</trackRevisions>
    </reviewItem>
    <reviewItem>
      <errorID>e8ddcbc8-fbe7-4c4e-be82-e8c625dfdf0e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CB3891</paraID>
      <start>0</start>
      <end>2</end>
      <status>ignored</status>
      <modifiedWord/>
      <trackRevisions>false</trackRevisions>
    </reviewItem>
    <reviewItem>
      <errorID>95a73046-6474-4eaf-a14e-ee2df9df36b2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9B48B83</paraID>
      <start>0</start>
      <end>2</end>
      <status>ignored</status>
      <modifiedWord/>
      <trackRevisions>false</trackRevisions>
    </reviewItem>
    <reviewItem>
      <errorID>87af02c4-fa2e-48ad-83d9-1312f830701f</errorID>
      <errorWord>自已建</errorWord>
      <group>L1_Word</group>
      <groupName>字词问题</groupName>
      <ability>L2_Typo</ability>
      <abilityName>字词错误</abilityName>
      <candidateList>
        <item>自己建</item>
      </candidateList>
      <explain/>
      <paraID>6A639B1A</paraID>
      <start>2</start>
      <end>5</end>
      <status>ignored</status>
      <modifiedWord/>
      <trackRevisions>false</trackRevisions>
    </reviewItem>
    <reviewItem>
      <errorID>da633210-be4b-4b87-9196-08091446abb1</errorID>
      <errorWord>途径</errorWord>
      <group>L1_Word</group>
      <groupName>字词问题</groupName>
      <ability>L2_Typo</ability>
      <abilityName>字词错误</abilityName>
      <candidateList>
        <item>途经</item>
      </candidateList>
      <explain>存在发音相同字词的误用。</explain>
      <paraID>6A639B1A</paraID>
      <start>166</start>
      <end>168</end>
      <status>modified</status>
      <modifiedWord>途经</modifiedWord>
      <trackRevisions>false</trackRevisions>
    </reviewItem>
    <reviewItem>
      <errorID>60896484-5684-40ea-809a-d51987ef7722</errorID>
      <errorWord>途径</errorWord>
      <group>L1_Word</group>
      <groupName>字词问题</groupName>
      <ability>L2_Typo</ability>
      <abilityName>字词错误</abilityName>
      <candidateList>
        <item>途经</item>
      </candidateList>
      <explain/>
      <paraID>6A639B1A</paraID>
      <start>278</start>
      <end>280</end>
      <status>modified</status>
      <modifiedWord>途经</modifiedWord>
      <trackRevisions>false</trackRevisions>
    </reviewItem>
    <reviewItem>
      <errorID>13ee26d4-cb94-4ffc-a23b-56c649a599ae</errorID>
      <errorWord>浇制</errorWord>
      <group>L1_Word</group>
      <groupName>字词问题</groupName>
      <ability>L2_Typo</ability>
      <abilityName>字词错误</abilityName>
      <candidateList>
        <item>浇筑</item>
      </candidateList>
      <explain>存在发音相近字词的误用。</explain>
      <paraID>56CD4D0F</paraID>
      <start>12</start>
      <end>14</end>
      <status>modified</status>
      <modifiedWord>浇筑</modifiedWord>
      <trackRevisions>false</trackRevisions>
    </reviewItem>
    <reviewItem>
      <errorID>218552dd-23bd-49fa-b6c3-9670d592cb81</errorID>
      <errorWord>~</errorWord>
      <group>L1_Format</group>
      <groupName>格式问题</groupName>
      <ability>L2_HalfPunc</ability>
      <abilityName>全半角检查</abilityName>
      <candidateList>
        <item>～</item>
      </candidateList>
      <explain>文本全半角错误。</explain>
      <paraID>501AFEE7</paraID>
      <start>35</start>
      <end>36</end>
      <status>ignored</status>
      <modifiedWord/>
      <trackRevisions>false</trackRevisions>
    </reviewItem>
    <reviewItem>
      <errorID>07d5d725-ac86-4708-b8cb-2e70e981f668</errorID>
      <errorWord>~</errorWord>
      <group>L1_Format</group>
      <groupName>格式问题</groupName>
      <ability>L2_HalfPunc</ability>
      <abilityName>全半角检查</abilityName>
      <candidateList>
        <item>～</item>
      </candidateList>
      <explain>文本全半角错误。</explain>
      <paraID>24DCFDD6</paraID>
      <start>154</start>
      <end>155</end>
      <status>ignored</status>
      <modifiedWord/>
      <trackRevisions>false</trackRevisions>
    </reviewItem>
    <reviewItem>
      <errorID>5301a694-f649-44bf-b4c6-b38ed9024829</errorID>
      <errorWord>定</errorWord>
      <group>L1_Word</group>
      <groupName>字词问题</groupName>
      <ability>L2_Typo</ability>
      <abilityName>字词错误</abilityName>
      <candidateList>
        <item>定于</item>
      </candidateList>
      <explain/>
      <paraID>2C93F754</paraID>
      <start>8</start>
      <end>10</end>
      <status>modified</status>
      <modifiedWord>定于</modifiedWord>
      <trackRevisions>false</trackRevisions>
    </reviewItem>
    <reviewItem>
      <errorID>38fb1b0c-cca1-4a9f-81dc-8932556c9b5e</errorID>
      <errorWord>III</errorWord>
      <group>L1_Knowledge</group>
      <groupName>知识性问题</groupName>
      <ability>L2_Knowledge</ability>
      <abilityName>其他知识</abilityName>
      <candidateList>
        <item>Ⅲ</item>
      </candidateList>
      <explain/>
      <paraID>51B9263B</paraID>
      <start>69</start>
      <end>72</end>
      <status>ignored</status>
      <modifiedWord/>
      <trackRevisions>false</trackRevisions>
    </reviewItem>
    <reviewItem>
      <errorID>ecf6b265-5934-4306-8ad8-1ef6a6927a8c</errorID>
      <errorWord>III</errorWord>
      <group>L1_Word</group>
      <groupName>字词问题</groupName>
      <ability>L2_Typo</ability>
      <abilityName>字词错误</abilityName>
      <candidateList>
        <item>Ⅲ</item>
      </candidateList>
      <explain/>
      <paraID>51B9263B</paraID>
      <start>114</start>
      <end>117</end>
      <status>ignored</status>
      <modifiedWord/>
      <trackRevisions>false</trackRevisions>
    </reviewItem>
    <reviewItem>
      <errorID>3015bd7b-2d2f-4174-8a33-2050b3479e0f</errorID>
      <errorWord>III</errorWord>
      <group>L1_Word</group>
      <groupName>字词问题</groupName>
      <ability>L2_Typo</ability>
      <abilityName>字词错误</abilityName>
      <candidateList>
        <item>Ⅲ</item>
      </candidateList>
      <explain/>
      <paraID>51B9263B</paraID>
      <start>168</start>
      <end>171</end>
      <status>ignored</status>
      <modifiedWord/>
      <trackRevisions>false</trackRevisions>
    </reviewItem>
    <reviewItem>
      <errorID>6a232367-44e8-437f-be90-5ffb8c246936</errorID>
      <errorWord>~</errorWord>
      <group>L1_Format</group>
      <groupName>格式问题</groupName>
      <ability>L2_HalfPunc</ability>
      <abilityName>全半角检查</abilityName>
      <candidateList>
        <item>～</item>
      </candidateList>
      <explain>文本全半角错误。</explain>
      <paraID>502A64B8</paraID>
      <start>139</start>
      <end>140</end>
      <status>ignored</status>
      <modifiedWord/>
      <trackRevisions>false</trackRevisions>
    </reviewItem>
    <reviewItem>
      <errorID>3ed29465-33bc-4504-9286-0488514ae201</errorID>
      <errorWord>年平</errorWord>
      <group>L1_Word</group>
      <groupName>字词问题</groupName>
      <ability>L2_Typo</ability>
      <abilityName>字词错误</abilityName>
      <candidateList>
        <item>平均</item>
      </candidateList>
      <explain/>
      <paraID>502A64B8</paraID>
      <start>147</start>
      <end>149</end>
      <status>ignored</status>
      <modifiedWord/>
      <trackRevisions>false</trackRevisions>
    </reviewItem>
    <reviewItem>
      <errorID>9a2d4db8-c02b-4726-9af0-612feee3835f</errorID>
      <errorWord>年平</errorWord>
      <group>L1_Word</group>
      <groupName>字词问题</groupName>
      <ability>L2_Typo</ability>
      <abilityName>字词错误</abilityName>
      <candidateList>
        <item>平均</item>
      </candidateList>
      <explain/>
      <paraID>502A64B8</paraID>
      <start>166</start>
      <end>168</end>
      <status>ignored</status>
      <modifiedWord/>
      <trackRevisions>false</trackRevisions>
    </reviewItem>
    <reviewItem>
      <errorID>aad6609f-2e21-4c63-afcc-086fdce34c53</errorID>
      <errorWord>(</errorWord>
      <group>L1_Format</group>
      <groupName>格式问题</groupName>
      <ability>L2_HalfPunc</ability>
      <abilityName>全半角检查</abilityName>
      <candidateList>
        <item>（</item>
      </candidateList>
      <explain>文本全半角错误。</explain>
      <paraID>502A64B8</paraID>
      <start>181</start>
      <end>182</end>
      <status>modified</status>
      <modifiedWord>（</modifiedWord>
      <trackRevisions>false</trackRevisions>
    </reviewItem>
    <reviewItem>
      <errorID>680ce1bb-5ba9-48f6-8984-d6189af8b5a7</errorID>
      <errorWord>)</errorWord>
      <group>L1_Format</group>
      <groupName>格式问题</groupName>
      <ability>L2_HalfPunc</ability>
      <abilityName>全半角检查</abilityName>
      <candidateList>
        <item>）</item>
      </candidateList>
      <explain>文本全半角错误。</explain>
      <paraID>502A64B8</paraID>
      <start>186</start>
      <end>187</end>
      <status>modified</status>
      <modifiedWord>）</modifiedWord>
      <trackRevisions>false</trackRevisions>
    </reviewItem>
    <reviewItem>
      <errorID>bf403b5e-2e46-442f-afdb-aac7d1b8053d</errorID>
      <errorWord>年均</errorWord>
      <group>L1_Word</group>
      <groupName>字词问题</groupName>
      <ability>L2_Typo</ability>
      <abilityName>字词错误</abilityName>
      <candidateList>
        <item>平均</item>
      </candidateList>
      <explain/>
      <paraID>502A64B8</paraID>
      <start>197</start>
      <end>199</end>
      <status>ignored</status>
      <modifiedWord/>
      <trackRevisions>false</trackRevisions>
    </reviewItem>
    <reviewItem>
      <errorID>3288b396-51ad-4bb2-8d9c-cd6258fe4c2c</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52F18661</paraID>
      <start>65</start>
      <end>67</end>
      <status>modified</status>
      <modifiedWord>成分</modifiedWord>
      <trackRevisions>false</trackRevisions>
    </reviewItem>
    <reviewItem>
      <errorID>d39757f0-dcf6-4e33-8c17-47d90f4e5384</errorID>
      <errorWord>子遗</errorWord>
      <group>L1_Word</group>
      <groupName>字词问题</groupName>
      <ability>L2_Typo</ability>
      <abilityName>字词错误</abilityName>
      <candidateList>
        <item>孑遗</item>
      </candidateList>
      <explain/>
      <paraID>52F18661</paraID>
      <start>102</start>
      <end>104</end>
      <status>modified</status>
      <modifiedWord>孑遗</modifiedWord>
      <trackRevisions>false</trackRevisions>
    </reviewItem>
    <reviewItem>
      <errorID>ecb6a93d-7ec8-493b-ac24-45fbf21a83e7</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4EE71E94</paraID>
      <start>103</start>
      <end>106</end>
      <status>ignored</status>
      <modifiedWord/>
      <trackRevisions>false</trackRevisions>
    </reviewItem>
    <reviewItem>
      <errorID>40693da6-660e-46b6-a6c8-d17c57e969f3</errorID>
      <errorWord>(</errorWord>
      <group>L1_Format</group>
      <groupName>格式问题</groupName>
      <ability>L2_HalfPunc</ability>
      <abilityName>全半角检查</abilityName>
      <candidateList>
        <item>（</item>
      </candidateList>
      <explain>文本全半角错误。</explain>
      <paraID>4EE71E94</paraID>
      <start>120</start>
      <end>121</end>
      <status>modified</status>
      <modifiedWord>（</modifiedWord>
      <trackRevisions>false</trackRevisions>
    </reviewItem>
    <reviewItem>
      <errorID>e7bf0e96-8a15-4d82-b55f-89b190b9a2b9</errorID>
      <errorWord>)</errorWord>
      <group>L1_Format</group>
      <groupName>格式问题</groupName>
      <ability>L2_HalfPunc</ability>
      <abilityName>全半角检查</abilityName>
      <candidateList>
        <item>）</item>
      </candidateList>
      <explain>文本全半角错误。</explain>
      <paraID>4EE71E94</paraID>
      <start>124</start>
      <end>125</end>
      <status>modified</status>
      <modifiedWord>）</modifiedWord>
      <trackRevisions>false</trackRevisions>
    </reviewItem>
    <reviewItem>
      <errorID>db7f3ba2-ba53-409c-9a7e-48422f64731a</errorID>
      <errorWord>5）、</errorWord>
      <group>L1_Punc</group>
      <groupName>标点问题</groupName>
      <ability>L2_Punc</ability>
      <abilityName>标点符号检查</abilityName>
      <candidateList>
        <item>5）</item>
      </candidateList>
      <explain>根据国标GB/T 15834-2011《标点符号用法》中的4.5.3.3节，带括号的汉字数字或阿拉伯数字表次序时，后面通常不加顿号。如“（一）指导思想”“（二）行动指南”。</explain>
      <paraID>539222ED</paraID>
      <start>30</start>
      <end>33</end>
      <status>ignored</status>
      <modifiedWord/>
      <trackRevisions>false</trackRevisions>
    </reviewItem>
    <reviewItem>
      <errorID>bd19fd8e-4bc9-40b5-b777-e2e924f86569</errorID>
      <errorWord>:</errorWord>
      <group>L1_Format</group>
      <groupName>格式问题</groupName>
      <ability>L2_HalfPunc</ability>
      <abilityName>全半角检查</abilityName>
      <candidateList>
        <item>：</item>
      </candidateList>
      <explain>文本全半角错误。</explain>
      <paraID>526F6275</paraID>
      <start>5</start>
      <end>6</end>
      <status>modified</status>
      <modifiedWord>：</modifiedWord>
      <trackRevisions>false</trackRevisions>
    </reviewItem>
    <reviewItem>
      <errorID>9c935300-f735-4612-a18c-64d834802db9</errorID>
      <errorWord>:</errorWord>
      <group>L1_Format</group>
      <groupName>格式问题</groupName>
      <ability>L2_HalfPunc</ability>
      <abilityName>全半角检查</abilityName>
      <candidateList>
        <item>：</item>
      </candidateList>
      <explain>文本全半角错误。</explain>
      <paraID>526F6275</paraID>
      <start>18</start>
      <end>19</end>
      <status>modified</status>
      <modifiedWord>：</modifiedWord>
      <trackRevisions>false</trackRevisions>
    </reviewItem>
    <reviewItem>
      <errorID>e8614aa4-0215-4e7f-ab10-4b6fc3881701</errorID>
      <errorWord>:</errorWord>
      <group>L1_Format</group>
      <groupName>格式问题</groupName>
      <ability>L2_HalfPunc</ability>
      <abilityName>全半角检查</abilityName>
      <candidateList>
        <item>：</item>
      </candidateList>
      <explain>文本全半角错误。</explain>
      <paraID>51947638</paraID>
      <start>4</start>
      <end>5</end>
      <status>modified</status>
      <modifiedWord>：</modifiedWord>
      <trackRevisions>false</trackRevisions>
    </reviewItem>
    <reviewItem>
      <errorID>24521ce6-6efc-48e8-bd18-7577d3fe4c04</errorID>
      <errorWord>:</errorWord>
      <group>L1_Format</group>
      <groupName>格式问题</groupName>
      <ability>L2_HalfPunc</ability>
      <abilityName>全半角检查</abilityName>
      <candidateList>
        <item>：</item>
      </candidateList>
      <explain>文本全半角错误。</explain>
      <paraID> D28D230</paraID>
      <start>4</start>
      <end>5</end>
      <status>modified</status>
      <modifiedWord>：</modifiedWord>
      <trackRevisions>false</trackRevisions>
    </reviewItem>
    <reviewItem>
      <errorID>0511395f-ccd3-4e9c-b3ff-c28e4c9d62dd</errorID>
      <errorWord>:</errorWord>
      <group>L1_Format</group>
      <groupName>格式问题</groupName>
      <ability>L2_HalfPunc</ability>
      <abilityName>全半角检查</abilityName>
      <candidateList>
        <item>：</item>
      </candidateList>
      <explain>文本全半角错误。</explain>
      <paraID>1865CA1F</paraID>
      <start>5</start>
      <end>6</end>
      <status>modified</status>
      <modifiedWord>：</modifiedWord>
      <trackRevisions>false</trackRevisions>
    </reviewItem>
    <reviewItem>
      <errorID>9618e2cb-65ba-4109-8a56-d66b38d25aa8</errorID>
      <errorWord>)</errorWord>
      <group>L1_Format</group>
      <groupName>格式问题</groupName>
      <ability>L2_HalfPunc</ability>
      <abilityName>全半角检查</abilityName>
      <candidateList>
        <item>）</item>
      </candidateList>
      <explain>文本全半角错误。</explain>
      <paraID> 69ABFD6</paraID>
      <start>49</start>
      <end>50</end>
      <status>modified</status>
      <modifiedWord>）</modifiedWord>
      <trackRevisions>false</trackRevisions>
    </reviewItem>
    <reviewItem>
      <errorID>9165f111-c5b6-46f8-89ca-496e7152b43b</errorID>
      <errorWord>)</errorWord>
      <group>L1_Format</group>
      <groupName>格式问题</groupName>
      <ability>L2_HalfPunc</ability>
      <abilityName>全半角检查</abilityName>
      <candidateList>
        <item>）</item>
      </candidateList>
      <explain>文本全半角错误。</explain>
      <paraID> 69ABFD6</paraID>
      <start>79</start>
      <end>80</end>
      <status>modified</status>
      <modifiedWord>）</modifiedWord>
      <trackRevisions>false</trackRevisions>
    </reviewItem>
    <reviewItem>
      <errorID>c91dbdd3-43de-4723-a4e4-8ce084b7a6ba</errorID>
      <errorWord>:</errorWord>
      <group>L1_Format</group>
      <groupName>格式问题</groupName>
      <ability>L2_HalfPunc</ability>
      <abilityName>全半角检查</abilityName>
      <candidateList>
        <item>：</item>
      </candidateList>
      <explain>文本全半角错误。</explain>
      <paraID>38BC1DA3</paraID>
      <start>7</start>
      <end>8</end>
      <status>modified</status>
      <modifiedWord>：</modifiedWord>
      <trackRevisions>false</trackRevisions>
    </reviewItem>
    <reviewItem>
      <errorID>41fdf315-caaf-4529-af07-50c989c58684</errorID>
      <errorWord>（</errorWord>
      <group>L1_Format</group>
      <groupName>格式问题</groupName>
      <ability>L2_HalfPunc</ability>
      <abilityName>全半角检查</abilityName>
      <candidateList>
        <item>(</item>
      </candidateList>
      <explain>文本全半角错误。</explain>
      <paraID>46E9A86D</paraID>
      <start>12</start>
      <end>13</end>
      <status>ignored</status>
      <modifiedWord/>
      <trackRevisions>false</trackRevisions>
    </reviewItem>
    <reviewItem>
      <errorID>243a669e-07ce-4401-8306-5e30ae0577fc</errorID>
      <errorWord>）</errorWord>
      <group>L1_Format</group>
      <groupName>格式问题</groupName>
      <ability>L2_HalfPunc</ability>
      <abilityName>全半角检查</abilityName>
      <candidateList>
        <item>)</item>
      </candidateList>
      <explain>文本全半角错误。</explain>
      <paraID>46E9A86D</paraID>
      <start>19</start>
      <end>20</end>
      <status>ignored</status>
      <modifiedWord/>
      <trackRevisions>false</trackRevisions>
    </reviewItem>
    <reviewItem>
      <errorID>26d245ab-12ab-4228-a5ad-f90e5a6fc1de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17800A1</paraID>
      <start>0</start>
      <end>2</end>
      <status>ignored</status>
      <modifiedWord/>
      <trackRevisions>false</trackRevisions>
    </reviewItem>
    <reviewItem>
      <errorID>db1aecd9-64ca-420e-b285-99b84a62adc2</errorID>
      <errorWord>曝露</errorWord>
      <group>L1_Word</group>
      <groupName>字词问题</groupName>
      <ability>L2_Typo</ability>
      <abilityName>字词错误</abilityName>
      <candidateList>
        <item>暴露</item>
      </candidateList>
      <explain>〈动〉（隐蔽的事物、缺陷、矛盾、问题等）显露出来：～目标｜～无遗。</explain>
      <paraID>1FFCDA5C</paraID>
      <start>41</start>
      <end>43</end>
      <status>ignored</status>
      <modifiedWord/>
      <trackRevisions>false</trackRevisions>
    </reviewItem>
    <reviewItem>
      <errorID>25307ff0-86e0-41fa-a687-c4c023bfa426</errorID>
      <errorWord>即为</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1FFCDA5C</paraID>
      <start>66</start>
      <end>67</end>
      <status>modified</status>
      <modifiedWord>即</modifiedWord>
      <trackRevisions>false</trackRevisions>
    </reviewItem>
    <reviewItem>
      <errorID>76bf500f-b3c2-47d2-b9fd-b6c0c4e1b4a7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2979A1A4</paraID>
      <start>0</start>
      <end>2</end>
      <status>ignored</status>
      <modifiedWord/>
      <trackRevisions>false</trackRevisions>
    </reviewItem>
    <reviewItem>
      <errorID>2a83fb54-aebe-4999-bb12-3a90691d60b9</errorID>
      <errorWord>不</errorWord>
      <group>L1_Word</group>
      <groupName>字词问题</groupName>
      <ability>L2_Typo</ability>
      <abilityName>字词错误</abilityName>
      <candidateList>
        <item>不确</item>
      </candidateList>
      <explain/>
      <paraID>43F06563</paraID>
      <start>59</start>
      <end>61</end>
      <status>modified</status>
      <modifiedWord>不确</modifiedWord>
      <trackRevisions>false</trackRevisions>
    </reviewItem>
    <reviewItem>
      <errorID>cdc3e104-82c8-49fd-a3b4-19b9be3f7cd6</errorID>
      <errorWord>（</errorWord>
      <group>L1_Punc</group>
      <groupName>标点问题</groupName>
      <ability>L2_Punc</ability>
      <abilityName>标点符号检查</abilityName>
      <candidateList/>
      <explain>同一形式括号套用。</explain>
      <paraID>650CD371</paraID>
      <start>204</start>
      <end>205</end>
      <status>ignored</status>
      <modifiedWord/>
      <trackRevisions>false</trackRevisions>
    </reviewItem>
    <reviewItem>
      <errorID>f6ff59a2-816a-4185-85e9-ace8329e40b1</errorID>
      <errorWord>）</errorWord>
      <group>L1_Punc</group>
      <groupName>标点问题</groupName>
      <ability>L2_Punc</ability>
      <abilityName>标点符号检查</abilityName>
      <candidateList/>
      <explain>同一形式括号套用。</explain>
      <paraID>650CD371</paraID>
      <start>210</start>
      <end>211</end>
      <status>ignored</status>
      <modifiedWord/>
      <trackRevisions>false</trackRevisions>
    </reviewItem>
    <reviewItem>
      <errorID>56dd5c58-f17f-4633-9d51-8147569e98b3</errorID>
      <errorWord>（</errorWord>
      <group>L1_Punc</group>
      <groupName>标点问题</groupName>
      <ability>L2_Punc</ability>
      <abilityName>标点符号检查</abilityName>
      <candidateList/>
      <explain>同一形式括号套用。</explain>
      <paraID>650CD371</paraID>
      <start>228</start>
      <end>229</end>
      <status>ignored</status>
      <modifiedWord/>
      <trackRevisions>false</trackRevisions>
    </reviewItem>
    <reviewItem>
      <errorID>14a63d11-23da-4354-a5f2-ca90fe810945</errorID>
      <errorWord>）</errorWord>
      <group>L1_Punc</group>
      <groupName>标点问题</groupName>
      <ability>L2_Punc</ability>
      <abilityName>标点符号检查</abilityName>
      <candidateList/>
      <explain>同一形式括号套用。</explain>
      <paraID>650CD371</paraID>
      <start>231</start>
      <end>232</end>
      <status>ignored</status>
      <modifiedWord/>
      <trackRevisions>false</trackRevisions>
    </reviewItem>
    <reviewItem>
      <errorID>f89c2ee8-7e7e-475b-8cba-465abf7d4e24</errorID>
      <errorWord>~</errorWord>
      <group>L1_Format</group>
      <groupName>格式问题</groupName>
      <ability>L2_HalfPunc</ability>
      <abilityName>全半角检查</abilityName>
      <candidateList>
        <item>～</item>
      </candidateList>
      <explain>文本全半角错误。</explain>
      <paraID>650CD371</paraID>
      <start>269</start>
      <end>270</end>
      <status>ignored</status>
      <modifiedWord/>
      <trackRevisions>false</trackRevisions>
    </reviewItem>
    <reviewItem>
      <errorID>c90976b9-9ca5-4124-ac16-d61182ace7d0</errorID>
      <errorWord>减小</errorWord>
      <group>L1_Word</group>
      <groupName>字词问题</groupName>
      <ability>L2_Typo</ability>
      <abilityName>字词错误</abilityName>
      <candidateList>
        <item>减少</item>
      </candidateList>
      <explain>存在字形相近字词的误用。</explain>
      <paraID>68AFDA76</paraID>
      <start>173</start>
      <end>175</end>
      <status>modified</status>
      <modifiedWord>减少</modifiedWord>
      <trackRevisions>false</trackRevisions>
    </reviewItem>
    <reviewItem>
      <errorID>631a6d5f-c220-4460-8d1f-a7c9967683c8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6E22CEDD</paraID>
      <start>166</start>
      <end>167</end>
      <status>modified</status>
      <modifiedWord>地</modifiedWord>
      <trackRevisions>false</trackRevisions>
    </reviewItem>
    <reviewItem>
      <errorID>d5d294cd-38f1-477f-a1eb-b39ce5b5d84e</errorID>
      <errorWord>)</errorWord>
      <group>L1_Format</group>
      <groupName>格式问题</groupName>
      <ability>L2_HalfPunc</ability>
      <abilityName>全半角检查</abilityName>
      <candidateList>
        <item>）</item>
      </candidateList>
      <explain>文本全半角错误。</explain>
      <paraID>3BA2F67F</paraID>
      <start>22</start>
      <end>23</end>
      <status>modified</status>
      <modifiedWord>）</modifiedWord>
      <trackRevisions>false</trackRevisions>
    </reviewItem>
    <reviewItem>
      <errorID>c4c28043-291d-4f0f-8275-9d653875ed06</errorID>
      <errorWord>)</errorWord>
      <group>L1_Format</group>
      <groupName>格式问题</groupName>
      <ability>L2_HalfPunc</ability>
      <abilityName>全半角检查</abilityName>
      <candidateList>
        <item>）</item>
      </candidateList>
      <explain>文本全半角错误。</explain>
      <paraID>704D07E3</paraID>
      <start>23</start>
      <end>24</end>
      <status>modified</status>
      <modifiedWord>）</modifiedWord>
      <trackRevisions>false</trackRevisions>
    </reviewItem>
    <reviewItem>
      <errorID>28dae59c-ade7-4fd1-91f2-b3dea454078d</errorID>
      <errorWord>)</errorWord>
      <group>L1_Format</group>
      <groupName>格式问题</groupName>
      <ability>L2_HalfPunc</ability>
      <abilityName>全半角检查</abilityName>
      <candidateList>
        <item>）</item>
      </candidateList>
      <explain>文本全半角错误。</explain>
      <paraID>6C87C340</paraID>
      <start>32</start>
      <end>33</end>
      <status>modified</status>
      <modifiedWord>）</modifiedWord>
      <trackRevisions>false</trackRevisions>
    </reviewItem>
    <reviewItem>
      <errorID>639ca182-c212-400b-8fcc-a1e94548ec67</errorID>
      <errorWord>)</errorWord>
      <group>L1_Format</group>
      <groupName>格式问题</groupName>
      <ability>L2_HalfPunc</ability>
      <abilityName>全半角检查</abilityName>
      <candidateList>
        <item>）</item>
      </candidateList>
      <explain>文本全半角错误。</explain>
      <paraID>79E9E25F</paraID>
      <start>23</start>
      <end>24</end>
      <status>modified</status>
      <modifiedWord>）</modifiedWord>
      <trackRevisions>false</trackRevisions>
    </reviewItem>
    <reviewItem>
      <errorID>73295c8a-fc2f-4021-8210-a6dc0b13aec5</errorID>
      <errorWord>)</errorWord>
      <group>L1_Format</group>
      <groupName>格式问题</groupName>
      <ability>L2_HalfPunc</ability>
      <abilityName>全半角检查</abilityName>
      <candidateList>
        <item>）</item>
      </candidateList>
      <explain>文本全半角错误。</explain>
      <paraID>5BEFA208</paraID>
      <start>21</start>
      <end>22</end>
      <status>modified</status>
      <modifiedWord>）</modifiedWord>
      <trackRevisions>false</trackRevisions>
    </reviewItem>
    <reviewItem>
      <errorID>32ec2a8c-7984-4129-bc25-86b721adebaf</errorID>
      <errorWord>)</errorWord>
      <group>L1_Format</group>
      <groupName>格式问题</groupName>
      <ability>L2_HalfPunc</ability>
      <abilityName>全半角检查</abilityName>
      <candidateList>
        <item>）</item>
      </candidateList>
      <explain>文本全半角错误。</explain>
      <paraID>5929811E</paraID>
      <start>55</start>
      <end>56</end>
      <status>modified</status>
      <modifiedWord>）</modifiedWord>
      <trackRevisions>false</trackRevisions>
    </reviewItem>
    <reviewItem>
      <errorID>3e469a4f-4e64-4c2b-926a-1c9984bb5078</errorID>
      <errorWord>)</errorWord>
      <group>L1_Format</group>
      <groupName>格式问题</groupName>
      <ability>L2_HalfPunc</ability>
      <abilityName>全半角检查</abilityName>
      <candidateList>
        <item>）</item>
      </candidateList>
      <explain>文本全半角错误。</explain>
      <paraID>5929811E</paraID>
      <start>69</start>
      <end>70</end>
      <status>modified</status>
      <modifiedWord>）</modifiedWord>
      <trackRevisions>false</trackRevisions>
    </reviewItem>
    <reviewItem>
      <errorID>121587c6-07e1-458a-9e23-7bec629c7c9c</errorID>
      <errorWord>)</errorWord>
      <group>L1_Format</group>
      <groupName>格式问题</groupName>
      <ability>L2_HalfPunc</ability>
      <abilityName>全半角检查</abilityName>
      <candidateList>
        <item>）</item>
      </candidateList>
      <explain>文本全半角错误。</explain>
      <paraID>5929811E</paraID>
      <start>96</start>
      <end>97</end>
      <status>modified</status>
      <modifiedWord>）</modifiedWord>
      <trackRevisions>false</trackRevisions>
    </reviewItem>
    <reviewItem>
      <errorID>e99c5887-7cc6-4ddd-bd38-5f0d07f64052</errorID>
      <errorWord>(</errorWord>
      <group>L1_Format</group>
      <groupName>格式问题</groupName>
      <ability>L2_HalfPunc</ability>
      <abilityName>全半角检查</abilityName>
      <candidateList>
        <item>（</item>
      </candidateList>
      <explain>文本全半角错误。</explain>
      <paraID>4FCCD097</paraID>
      <start>112</start>
      <end>113</end>
      <status>modified</status>
      <modifiedWord>（</modifiedWord>
      <trackRevisions>false</trackRevisions>
    </reviewItem>
    <reviewItem>
      <errorID>2bb21c3f-5695-4462-ae07-61349822583f</errorID>
      <errorWord>)</errorWord>
      <group>L1_Format</group>
      <groupName>格式问题</groupName>
      <ability>L2_HalfPunc</ability>
      <abilityName>全半角检查</abilityName>
      <candidateList>
        <item>）</item>
      </candidateList>
      <explain>文本全半角错误。</explain>
      <paraID>27812DF0</paraID>
      <start>33</start>
      <end>34</end>
      <status>modified</status>
      <modifiedWord>）</modifiedWord>
      <trackRevisions>false</trackRevisions>
    </reviewItem>
    <reviewItem>
      <errorID>5b3f6cbc-4486-4a27-acbc-180dd15d5933</errorID>
      <errorWord>)</errorWord>
      <group>L1_Format</group>
      <groupName>格式问题</groupName>
      <ability>L2_HalfPunc</ability>
      <abilityName>全半角检查</abilityName>
      <candidateList>
        <item>）</item>
      </candidateList>
      <explain>文本全半角错误。</explain>
      <paraID>28738178</paraID>
      <start>22</start>
      <end>23</end>
      <status>modified</status>
      <modifiedWord>）</modifiedWord>
      <trackRevisions>false</trackRevisions>
    </reviewItem>
    <reviewItem>
      <errorID>75ca1cfc-6a33-454f-ab25-b2e08c4052c3</errorID>
      <errorWord>)</errorWord>
      <group>L1_Format</group>
      <groupName>格式问题</groupName>
      <ability>L2_HalfPunc</ability>
      <abilityName>全半角检查</abilityName>
      <candidateList>
        <item>）</item>
      </candidateList>
      <explain>文本全半角错误。</explain>
      <paraID>48A82660</paraID>
      <start>23</start>
      <end>24</end>
      <status>modified</status>
      <modifiedWord>）</modifiedWord>
      <trackRevisions>false</trackRevisions>
    </reviewItem>
    <reviewItem>
      <errorID>db49cd64-f3b1-4aec-9245-07e4ebbe8949</errorID>
      <errorWord>)</errorWord>
      <group>L1_Format</group>
      <groupName>格式问题</groupName>
      <ability>L2_HalfPunc</ability>
      <abilityName>全半角检查</abilityName>
      <candidateList>
        <item>）</item>
      </candidateList>
      <explain>文本全半角错误。</explain>
      <paraID> 1B115FA</paraID>
      <start>95</start>
      <end>96</end>
      <status>modified</status>
      <modifiedWord>）</modifiedWord>
      <trackRevisions>false</trackRevisions>
    </reviewItem>
    <reviewItem>
      <errorID>072cdaab-0fb2-4d15-a03c-5d50412fe17f</errorID>
      <errorWord>（</errorWord>
      <group>L1_Punc</group>
      <groupName>标点问题</groupName>
      <ability>L2_Punc</ability>
      <abilityName>标点符号检查</abilityName>
      <candidateList>
        <item/>
      </candidateList>
      <explain>同一形式括号套用。</explain>
      <paraID>5904D8F5</paraID>
      <start>29</start>
      <end>30</end>
      <status>ignored</status>
      <modifiedWord/>
      <trackRevisions>false</trackRevisions>
    </reviewItem>
    <reviewItem>
      <errorID>899b294e-203c-48f5-b2cd-32806eafb9a3</errorID>
      <errorWord>(</errorWord>
      <group>L1_Punc</group>
      <groupName>标点问题</groupName>
      <ability>L2_Punc</ability>
      <abilityName>标点符号检查</abilityName>
      <candidateList/>
      <explain>同一形式括号套用。</explain>
      <paraID>5904D8F5</paraID>
      <start>41</start>
      <end>42</end>
      <status>ignored</status>
      <modifiedWord/>
      <trackRevisions>false</trackRevisions>
    </reviewItem>
    <reviewItem>
      <errorID>4efbd88d-d475-4906-b737-7df4e24c5a2d</errorID>
      <errorWord>)</errorWord>
      <group>L1_Punc</group>
      <groupName>标点问题</groupName>
      <ability>L2_Punc</ability>
      <abilityName>标点符号检查</abilityName>
      <candidateList/>
      <explain>同一形式括号套用。</explain>
      <paraID>5904D8F5</paraID>
      <start>43</start>
      <end>44</end>
      <status>ignored</status>
      <modifiedWord/>
      <trackRevisions>false</trackRevisions>
    </reviewItem>
    <reviewItem>
      <errorID>dfc50d9a-93c8-4fe5-bbb2-c1e5de1abd6f</errorID>
      <errorWord>）</errorWord>
      <group>L1_Punc</group>
      <groupName>标点问题</groupName>
      <ability>L2_Punc</ability>
      <abilityName>标点符号检查</abilityName>
      <candidateList/>
      <explain>同一形式括号套用。</explain>
      <paraID>5904D8F5</paraID>
      <start>46</start>
      <end>47</end>
      <status>ignored</status>
      <modifiedWord/>
      <trackRevisions>false</trackRevisions>
    </reviewItem>
    <reviewItem>
      <errorID>8eae8275-31be-402a-a979-b628cb18a0c3</errorID>
      <errorWord>（</errorWord>
      <group>L1_Punc</group>
      <groupName>标点问题</groupName>
      <ability>L2_Punc</ability>
      <abilityName>标点符号检查</abilityName>
      <candidateList/>
      <explain>同一形式括号套用。</explain>
      <paraID>19A5160C</paraID>
      <start>6</start>
      <end>7</end>
      <status>ignored</status>
      <modifiedWord/>
      <trackRevisions>false</trackRevisions>
    </reviewItem>
    <reviewItem>
      <errorID>5c015662-e9f9-4644-89f3-8c2b32b38c67</errorID>
      <errorWord>）</errorWord>
      <group>L1_Punc</group>
      <groupName>标点问题</groupName>
      <ability>L2_Punc</ability>
      <abilityName>标点符号检查</abilityName>
      <candidateList/>
      <explain>同一形式括号套用。</explain>
      <paraID>19A5160C</paraID>
      <start>8</start>
      <end>9</end>
      <status>ignored</status>
      <modifiedWord/>
      <trackRevisions>false</trackRevisions>
    </reviewItem>
    <reviewItem>
      <errorID>85667efd-6425-4040-b7f8-1280dcbd5315</errorID>
      <errorWord>（</errorWord>
      <group>L1_Punc</group>
      <groupName>标点问题</groupName>
      <ability>L2_Punc</ability>
      <abilityName>标点符号检查</abilityName>
      <candidateList>
        <item/>
      </candidateList>
      <explain>同一形式括号套用。</explain>
      <paraID>4625642D</paraID>
      <start>139</start>
      <end>140</end>
      <status>ignored</status>
      <modifiedWord/>
      <trackRevisions>false</trackRevisions>
    </reviewItem>
    <reviewItem>
      <errorID>0f9de4d2-8aec-459c-91eb-13f8c2db5b49</errorID>
      <errorWord>(</errorWord>
      <group>L1_Punc</group>
      <groupName>标点问题</groupName>
      <ability>L2_Punc</ability>
      <abilityName>标点符号检查</abilityName>
      <candidateList/>
      <explain>同一形式括号套用。</explain>
      <paraID>4625642D</paraID>
      <start>150</start>
      <end>151</end>
      <status>ignored</status>
      <modifiedWord/>
      <trackRevisions>false</trackRevisions>
    </reviewItem>
    <reviewItem>
      <errorID>527932a4-69c6-47fd-8689-16becda6baa7</errorID>
      <errorWord>)</errorWord>
      <group>L1_Punc</group>
      <groupName>标点问题</groupName>
      <ability>L2_Punc</ability>
      <abilityName>标点符号检查</abilityName>
      <candidateList/>
      <explain>同一形式括号套用。</explain>
      <paraID>4625642D</paraID>
      <start>152</start>
      <end>153</end>
      <status>ignored</status>
      <modifiedWord/>
      <trackRevisions>false</trackRevisions>
    </reviewItem>
    <reviewItem>
      <errorID>db1e7ace-cec8-4f82-b05e-e3f5e8e32175</errorID>
      <errorWord>）</errorWord>
      <group>L1_Punc</group>
      <groupName>标点问题</groupName>
      <ability>L2_Punc</ability>
      <abilityName>标点符号检查</abilityName>
      <candidateList/>
      <explain>同一形式括号套用。</explain>
      <paraID>4625642D</paraID>
      <start>155</start>
      <end>156</end>
      <status>ignored</status>
      <modifiedWord/>
      <trackRevisions>false</trackRevisions>
    </reviewItem>
    <reviewItem>
      <errorID>7c9e6315-bd57-484b-8e93-da9bccc26c73</errorID>
      <errorWord>~</errorWord>
      <group>L1_Format</group>
      <groupName>格式问题</groupName>
      <ability>L2_HalfPunc</ability>
      <abilityName>全半角检查</abilityName>
      <candidateList>
        <item>～</item>
      </candidateList>
      <explain>文本全半角错误。</explain>
      <paraID>4625642D</paraID>
      <start>356</start>
      <end>357</end>
      <status>ignored</status>
      <modifiedWord/>
      <trackRevisions>false</trackRevisions>
    </reviewItem>
    <reviewItem>
      <errorID>9b4ec674-40a5-4057-9326-bef0d2701e3f</errorID>
      <errorWord>须</errorWord>
      <group>L1_Word</group>
      <groupName>字词问题</groupName>
      <ability>L2_Typo</ability>
      <abilityName>字词错误</abilityName>
      <candidateList>
        <item>需</item>
      </candidateList>
      <explain>存在发音相同字词的误用。</explain>
      <paraID>151F7B41</paraID>
      <start>121</start>
      <end>122</end>
      <status>modified</status>
      <modifiedWord>需</modifiedWord>
      <trackRevisions>false</trackRevisions>
    </reviewItem>
    <reviewItem>
      <errorID>d150ebe6-ebcb-4dd4-9e83-3db3761354d9</errorID>
      <errorWord>用与</errorWord>
      <group>L1_Word</group>
      <groupName>字词问题</groupName>
      <ability>L2_Typo</ability>
      <abilityName>字词错误</abilityName>
      <candidateList>
        <item>用于</item>
      </candidateList>
      <explain/>
      <paraID>3AE381CF</paraID>
      <start>186</start>
      <end>188</end>
      <status>modified</status>
      <modifiedWord>用于</modifiedWord>
      <trackRevisions>false</trackRevisions>
    </reviewItem>
    <reviewItem>
      <errorID>63af96c7-5914-4659-a079-3285094ab04a</errorID>
      <errorWord>废</errorWord>
      <group>L1_Word</group>
      <groupName>字词问题</groupName>
      <ability>L2_Typo</ability>
      <abilityName>字词错误</abilityName>
      <candidateList>
        <item>废弃</item>
      </candidateList>
      <explain/>
      <paraID>11EEEA47</paraID>
      <start>37</start>
      <end>39</end>
      <status>modified</status>
      <modifiedWord>废弃</modifiedWord>
      <trackRevisions>false</trackRevisions>
    </reviewItem>
    <reviewItem>
      <errorID>f2ead7a7-7c4c-4b2c-8060-74d85eb1e48b</errorID>
      <errorWord>洒</errorWord>
      <group>L1_Word</group>
      <groupName>字词问题</groupName>
      <ability>L2_Typo</ability>
      <abilityName>字词错误</abilityName>
      <candidateList>
        <item>撒</item>
      </candidateList>
      <explain>存在发音相同字词的误用。</explain>
      <paraID>5AC2A3EB</paraID>
      <start>74</start>
      <end>75</end>
      <status>modified</status>
      <modifiedWord>撒</modifiedWord>
      <trackRevisions>false</trackRevisions>
    </reviewItem>
    <reviewItem>
      <errorID>4f84cf52-5d5c-4bb5-a5d2-a0db64ec047b</errorID>
      <errorWord>电器设备</errorWord>
      <group>L1_Word</group>
      <groupName>字词问题</groupName>
      <ability>L2_Typo</ability>
      <abilityName>字词错误</abilityName>
      <candidateList>
        <item>电气设备</item>
      </candidateList>
      <explain/>
      <paraID>46B4409D</paraID>
      <start>26</start>
      <end>30</end>
      <status>modified</status>
      <modifiedWord>电气设备</modifiedWord>
      <trackRevisions>false</trackRevisions>
    </reviewItem>
    <reviewItem>
      <errorID>becb6cfd-0256-4aad-8fb4-9ab89bac6765</errorID>
      <errorWord>（</errorWord>
      <group>L1_Format</group>
      <groupName>格式问题</groupName>
      <ability>L2_HalfPunc</ability>
      <abilityName>全半角检查</abilityName>
      <candidateList>
        <item>(</item>
      </candidateList>
      <explain>文本全半角错误。</explain>
      <paraID>2E319A89</paraID>
      <start>37</start>
      <end>38</end>
      <status>ignored</status>
      <modifiedWord/>
      <trackRevisions>false</trackRevisions>
    </reviewItem>
    <reviewItem>
      <errorID>9d37e1b9-440b-4119-945e-bbaa30e94e99</errorID>
      <errorWord>）</errorWord>
      <group>L1_Format</group>
      <groupName>格式问题</groupName>
      <ability>L2_HalfPunc</ability>
      <abilityName>全半角检查</abilityName>
      <candidateList>
        <item>)</item>
      </candidateList>
      <explain>文本全半角错误。</explain>
      <paraID>2E319A89</paraID>
      <start>41</start>
      <end>42</end>
      <status>ignored</status>
      <modifiedWord/>
      <trackRevisions>false</trackRevisions>
    </reviewItem>
    <reviewItem>
      <errorID>1f58b0b5-920f-4c53-b7a8-daf6e0748df3</errorID>
      <errorWord>（</errorWord>
      <group>L1_Format</group>
      <groupName>格式问题</groupName>
      <ability>L2_HalfPunc</ability>
      <abilityName>全半角检查</abilityName>
      <candidateList>
        <item>(</item>
      </candidateList>
      <explain>文本全半角错误。</explain>
      <paraID>6ED1C76A</paraID>
      <start>40</start>
      <end>41</end>
      <status>ignored</status>
      <modifiedWord/>
      <trackRevisions>false</trackRevisions>
    </reviewItem>
    <reviewItem>
      <errorID>84493dc3-377d-4e08-b116-685801b58a81</errorID>
      <errorWord>）</errorWord>
      <group>L1_Format</group>
      <groupName>格式问题</groupName>
      <ability>L2_HalfPunc</ability>
      <abilityName>全半角检查</abilityName>
      <candidateList>
        <item>)</item>
      </candidateList>
      <explain>文本全半角错误。</explain>
      <paraID>6ED1C76A</paraID>
      <start>44</start>
      <end>45</end>
      <status>ignored</status>
      <modifiedWord/>
      <trackRevisions>false</trackRevisions>
    </reviewItem>
    <reviewItem>
      <errorID>3510421f-b413-47eb-bb9d-c68baf3f382c</errorID>
      <errorWord>电器设备</errorWord>
      <group>L1_Word</group>
      <groupName>字词问题</groupName>
      <ability>L2_Typo</ability>
      <abilityName>字词错误</abilityName>
      <candidateList>
        <item>电气设备</item>
      </candidateList>
      <explain/>
      <paraID>2FB34EB1</paraID>
      <start>109</start>
      <end>113</end>
      <status>modified</status>
      <modifiedWord>电气设备</modifiedWord>
      <trackRevisions>false</trackRevisions>
    </reviewItem>
    <reviewItem>
      <errorID>bf171284-466f-4840-bbc1-4639848fd24c</errorID>
      <errorWord>)</errorWord>
      <group>L1_Format</group>
      <groupName>格式问题</groupName>
      <ability>L2_HalfPunc</ability>
      <abilityName>全半角检查</abilityName>
      <candidateList>
        <item>）</item>
      </candidateList>
      <explain>文本全半角错误。</explain>
      <paraID>2FB34EB1</paraID>
      <start>221</start>
      <end>222</end>
      <status>modified</status>
      <modifiedWord>）</modifiedWord>
      <trackRevisions>false</trackRevisions>
    </reviewItem>
    <reviewItem>
      <errorID>b45c8a8c-8377-47bf-8f7a-d01fd3f5d601</errorID>
      <errorWord>（</errorWord>
      <group>L1_Format</group>
      <groupName>格式问题</groupName>
      <ability>L2_HalfPunc</ability>
      <abilityName>全半角检查</abilityName>
      <candidateList>
        <item>(</item>
      </candidateList>
      <explain>文本全半角错误。</explain>
      <paraID>132744A7</paraID>
      <start>4</start>
      <end>5</end>
      <status>ignored</status>
      <modifiedWord/>
      <trackRevisions>false</trackRevisions>
    </reviewItem>
    <reviewItem>
      <errorID>9e4fb04b-6818-402c-bcb6-1edb3ee275c3</errorID>
      <errorWord>）</errorWord>
      <group>L1_Format</group>
      <groupName>格式问题</groupName>
      <ability>L2_HalfPunc</ability>
      <abilityName>全半角检查</abilityName>
      <candidateList>
        <item>)</item>
      </candidateList>
      <explain>文本全半角错误。</explain>
      <paraID>132744A7</paraID>
      <start>7</start>
      <end>8</end>
      <status>ignored</status>
      <modifiedWord/>
      <trackRevisions>false</trackRevisions>
    </reviewItem>
    <reviewItem>
      <errorID>da712b96-3446-4766-9e73-7dcbfdf216dd</errorID>
      <errorWord>（</errorWord>
      <group>L1_Format</group>
      <groupName>格式问题</groupName>
      <ability>L2_HalfPunc</ability>
      <abilityName>全半角检查</abilityName>
      <candidateList>
        <item>(</item>
      </candidateList>
      <explain>文本全半角错误。</explain>
      <paraID>6254CDFF</paraID>
      <start>4</start>
      <end>5</end>
      <status>ignored</status>
      <modifiedWord/>
      <trackRevisions>false</trackRevisions>
    </reviewItem>
    <reviewItem>
      <errorID>5a4f46bb-1aa8-4a28-bdd6-2a36910d2e2e</errorID>
      <errorWord>）</errorWord>
      <group>L1_Format</group>
      <groupName>格式问题</groupName>
      <ability>L2_HalfPunc</ability>
      <abilityName>全半角检查</abilityName>
      <candidateList>
        <item>)</item>
      </candidateList>
      <explain>文本全半角错误。</explain>
      <paraID>6254CDFF</paraID>
      <start>7</start>
      <end>8</end>
      <status>ignored</status>
      <modifiedWord/>
      <trackRevisions>false</trackRevisions>
    </reviewItem>
    <reviewItem>
      <errorID>9e97f290-f8f2-4489-ab18-2fbece24266b</errorID>
      <errorWord>（</errorWord>
      <group>L1_Format</group>
      <groupName>格式问题</groupName>
      <ability>L2_HalfPunc</ability>
      <abilityName>全半角检查</abilityName>
      <candidateList>
        <item>(</item>
      </candidateList>
      <explain>文本全半角错误。</explain>
      <paraID>37589137</paraID>
      <start>4</start>
      <end>5</end>
      <status>ignored</status>
      <modifiedWord/>
      <trackRevisions>false</trackRevisions>
    </reviewItem>
    <reviewItem>
      <errorID>c656f5f3-5cb0-4b2c-8cec-e4d921a7145a</errorID>
      <errorWord>）</errorWord>
      <group>L1_Format</group>
      <groupName>格式问题</groupName>
      <ability>L2_HalfPunc</ability>
      <abilityName>全半角检查</abilityName>
      <candidateList>
        <item>)</item>
      </candidateList>
      <explain>文本全半角错误。</explain>
      <paraID>37589137</paraID>
      <start>7</start>
      <end>8</end>
      <status>ignored</status>
      <modifiedWord/>
      <trackRevisions>false</trackRevisions>
    </reviewItem>
    <reviewItem>
      <errorID>0024d1d7-2e74-422e-b5f1-a5ebcf72708e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12879BA</paraID>
      <start>0</start>
      <end>2</end>
      <status>ignored</status>
      <modifiedWord/>
      <trackRevisions>false</trackRevisions>
    </reviewItem>
    <reviewItem>
      <errorID>12b53b6e-d183-4f2e-b6b5-b5f0a222635e</errorID>
      <errorWord>（</errorWord>
      <group>L1_Format</group>
      <groupName>格式问题</groupName>
      <ability>L2_HalfPunc</ability>
      <abilityName>全半角检查</abilityName>
      <candidateList>
        <item>(</item>
      </candidateList>
      <explain>文本全半角错误。</explain>
      <paraID>2254A7CA</paraID>
      <start>0</start>
      <end>1</end>
      <status>ignored</status>
      <modifiedWord/>
      <trackRevisions>false</trackRevisions>
    </reviewItem>
    <reviewItem>
      <errorID>c4494312-e430-4f7a-87fe-4c16c9f8ed98</errorID>
      <errorWord>，</errorWord>
      <group>L1_Format</group>
      <groupName>格式问题</groupName>
      <ability>L2_HalfPunc</ability>
      <abilityName>全半角检查</abilityName>
      <candidateList>
        <item>,</item>
      </candidateList>
      <explain>文本全半角错误。</explain>
      <paraID>2254A7CA</paraID>
      <start>3</start>
      <end>4</end>
      <status>ignored</status>
      <modifiedWord/>
      <trackRevisions>false</trackRevisions>
    </reviewItem>
    <reviewItem>
      <errorID>b5176414-cb04-404a-af63-edadefbb14ff</errorID>
      <errorWord>，</errorWord>
      <group>L1_Format</group>
      <groupName>格式问题</groupName>
      <ability>L2_HalfPunc</ability>
      <abilityName>全半角检查</abilityName>
      <candidateList>
        <item>,</item>
      </candidateList>
      <explain>文本全半角错误。</explain>
      <paraID>2254A7CA</paraID>
      <start>6</start>
      <end>7</end>
      <status>ignored</status>
      <modifiedWord/>
      <trackRevisions>false</trackRevisions>
    </reviewItem>
    <reviewItem>
      <errorID>9746776f-a9db-4472-8c97-71f5bf8e7fa0</errorID>
      <errorWord>）</errorWord>
      <group>L1_Format</group>
      <groupName>格式问题</groupName>
      <ability>L2_HalfPunc</ability>
      <abilityName>全半角检查</abilityName>
      <candidateList>
        <item>)</item>
      </candidateList>
      <explain>文本全半角错误。</explain>
      <paraID>2254A7CA</paraID>
      <start>10</start>
      <end>11</end>
      <status>ignored</status>
      <modifiedWord/>
      <trackRevisions>false</trackRevisions>
    </reviewItem>
    <reviewItem>
      <errorID>a341be4d-c76b-45dd-a8f4-8045977553f8</errorID>
      <errorWord>（</errorWord>
      <group>L1_Format</group>
      <groupName>格式问题</groupName>
      <ability>L2_HalfPunc</ability>
      <abilityName>全半角检查</abilityName>
      <candidateList>
        <item>(</item>
      </candidateList>
      <explain>文本全半角错误。</explain>
      <paraID>22EE9889</paraID>
      <start>0</start>
      <end>1</end>
      <status>ignored</status>
      <modifiedWord/>
      <trackRevisions>false</trackRevisions>
    </reviewItem>
    <reviewItem>
      <errorID>d7153bf9-e886-4d0e-a823-7ec3804a3bdc</errorID>
      <errorWord>，</errorWord>
      <group>L1_Format</group>
      <groupName>格式问题</groupName>
      <ability>L2_HalfPunc</ability>
      <abilityName>全半角检查</abilityName>
      <candidateList>
        <item>,</item>
      </candidateList>
      <explain>文本全半角错误。</explain>
      <paraID>22EE9889</paraID>
      <start>5</start>
      <end>6</end>
      <status>ignored</status>
      <modifiedWord/>
      <trackRevisions>false</trackRevisions>
    </reviewItem>
    <reviewItem>
      <errorID>5049c0d9-e72e-4dab-b0d5-8c0733801894</errorID>
      <errorWord>，</errorWord>
      <group>L1_Format</group>
      <groupName>格式问题</groupName>
      <ability>L2_HalfPunc</ability>
      <abilityName>全半角检查</abilityName>
      <candidateList>
        <item>,</item>
      </candidateList>
      <explain>文本全半角错误。</explain>
      <paraID>22EE9889</paraID>
      <start>8</start>
      <end>9</end>
      <status>ignored</status>
      <modifiedWord/>
      <trackRevisions>false</trackRevisions>
    </reviewItem>
    <reviewItem>
      <errorID>b7981592-6803-4b8b-9d3e-99a63b2dc2d5</errorID>
      <errorWord>）</errorWord>
      <group>L1_Format</group>
      <groupName>格式问题</groupName>
      <ability>L2_HalfPunc</ability>
      <abilityName>全半角检查</abilityName>
      <candidateList>
        <item>)</item>
      </candidateList>
      <explain>文本全半角错误。</explain>
      <paraID>22EE9889</paraID>
      <start>12</start>
      <end>13</end>
      <status>ignored</status>
      <modifiedWord/>
      <trackRevisions>false</trackRevisions>
    </reviewItem>
    <reviewItem>
      <errorID>77d8bcc1-8221-47d0-a8e4-7913e68273d7</errorID>
      <errorWord>（</errorWord>
      <group>L1_Format</group>
      <groupName>格式问题</groupName>
      <ability>L2_HalfPunc</ability>
      <abilityName>全半角检查</abilityName>
      <candidateList>
        <item>(</item>
      </candidateList>
      <explain>文本全半角错误。</explain>
      <paraID>5088C56A</paraID>
      <start>0</start>
      <end>1</end>
      <status>ignored</status>
      <modifiedWord/>
      <trackRevisions>false</trackRevisions>
    </reviewItem>
    <reviewItem>
      <errorID>1d52b0c7-7960-403f-970e-6b1f65d8dd52</errorID>
      <errorWord>，</errorWord>
      <group>L1_Format</group>
      <groupName>格式问题</groupName>
      <ability>L2_HalfPunc</ability>
      <abilityName>全半角检查</abilityName>
      <candidateList>
        <item>,</item>
      </candidateList>
      <explain>文本全半角错误。</explain>
      <paraID>5088C56A</paraID>
      <start>3</start>
      <end>4</end>
      <status>ignored</status>
      <modifiedWord/>
      <trackRevisions>false</trackRevisions>
    </reviewItem>
    <reviewItem>
      <errorID>4fe4a153-305b-4c72-b792-8656f850ec9e</errorID>
      <errorWord>，</errorWord>
      <group>L1_Format</group>
      <groupName>格式问题</groupName>
      <ability>L2_HalfPunc</ability>
      <abilityName>全半角检查</abilityName>
      <candidateList>
        <item>,</item>
      </candidateList>
      <explain>文本全半角错误。</explain>
      <paraID>5088C56A</paraID>
      <start>6</start>
      <end>7</end>
      <status>ignored</status>
      <modifiedWord/>
      <trackRevisions>false</trackRevisions>
    </reviewItem>
    <reviewItem>
      <errorID>bb2ce5ff-b2c8-41df-94b4-d11ea0579700</errorID>
      <errorWord>）</errorWord>
      <group>L1_Format</group>
      <groupName>格式问题</groupName>
      <ability>L2_HalfPunc</ability>
      <abilityName>全半角检查</abilityName>
      <candidateList>
        <item>)</item>
      </candidateList>
      <explain>文本全半角错误。</explain>
      <paraID>5088C56A</paraID>
      <start>10</start>
      <end>11</end>
      <status>ignored</status>
      <modifiedWord/>
      <trackRevisions>false</trackRevisions>
    </reviewItem>
    <reviewItem>
      <errorID>dab41298-5895-40d1-8af6-6af131bd3183</errorID>
      <errorWord>（</errorWord>
      <group>L1_Format</group>
      <groupName>格式问题</groupName>
      <ability>L2_HalfPunc</ability>
      <abilityName>全半角检查</abilityName>
      <candidateList>
        <item>(</item>
      </candidateList>
      <explain>文本全半角错误。</explain>
      <paraID>53BA3A18</paraID>
      <start>0</start>
      <end>1</end>
      <status>ignored</status>
      <modifiedWord/>
      <trackRevisions>false</trackRevisions>
    </reviewItem>
    <reviewItem>
      <errorID>cba76699-a2d3-4fbb-a630-47f0e3fa9cb7</errorID>
      <errorWord>，</errorWord>
      <group>L1_Format</group>
      <groupName>格式问题</groupName>
      <ability>L2_HalfPunc</ability>
      <abilityName>全半角检查</abilityName>
      <candidateList>
        <item>,</item>
      </candidateList>
      <explain>文本全半角错误。</explain>
      <paraID>53BA3A18</paraID>
      <start>5</start>
      <end>6</end>
      <status>ignored</status>
      <modifiedWord/>
      <trackRevisions>false</trackRevisions>
    </reviewItem>
    <reviewItem>
      <errorID>8920acbe-fb6c-484f-bfe1-79c008e306a1</errorID>
      <errorWord>，</errorWord>
      <group>L1_Format</group>
      <groupName>格式问题</groupName>
      <ability>L2_HalfPunc</ability>
      <abilityName>全半角检查</abilityName>
      <candidateList>
        <item>,</item>
      </candidateList>
      <explain>文本全半角错误。</explain>
      <paraID>53BA3A18</paraID>
      <start>8</start>
      <end>9</end>
      <status>ignored</status>
      <modifiedWord/>
      <trackRevisions>false</trackRevisions>
    </reviewItem>
    <reviewItem>
      <errorID>41cfb538-da45-4fea-8a6a-ea6c6de0f9b6</errorID>
      <errorWord>）</errorWord>
      <group>L1_Format</group>
      <groupName>格式问题</groupName>
      <ability>L2_HalfPunc</ability>
      <abilityName>全半角检查</abilityName>
      <candidateList>
        <item>)</item>
      </candidateList>
      <explain>文本全半角错误。</explain>
      <paraID>53BA3A18</paraID>
      <start>12</start>
      <end>13</end>
      <status>ignored</status>
      <modifiedWord/>
      <trackRevisions>false</trackRevisions>
    </reviewItem>
    <reviewItem>
      <errorID>fd7e6335-b9c1-4f1a-ac53-0ea82cdcea2f</errorID>
      <errorWord>（</errorWord>
      <group>L1_Format</group>
      <groupName>格式问题</groupName>
      <ability>L2_HalfPunc</ability>
      <abilityName>全半角检查</abilityName>
      <candidateList>
        <item>(</item>
      </candidateList>
      <explain>文本全半角错误。</explain>
      <paraID>5BE9A344</paraID>
      <start>0</start>
      <end>1</end>
      <status>ignored</status>
      <modifiedWord/>
      <trackRevisions>false</trackRevisions>
    </reviewItem>
    <reviewItem>
      <errorID>7c6cf9cb-abf4-4413-a78e-459fbcb8a51e</errorID>
      <errorWord>，</errorWord>
      <group>L1_Format</group>
      <groupName>格式问题</groupName>
      <ability>L2_HalfPunc</ability>
      <abilityName>全半角检查</abilityName>
      <candidateList>
        <item>,</item>
      </candidateList>
      <explain>文本全半角错误。</explain>
      <paraID>5BE9A344</paraID>
      <start>4</start>
      <end>5</end>
      <status>ignored</status>
      <modifiedWord/>
      <trackRevisions>false</trackRevisions>
    </reviewItem>
    <reviewItem>
      <errorID>e183b977-7611-4b17-9125-6f17fa88d341</errorID>
      <errorWord>，</errorWord>
      <group>L1_Format</group>
      <groupName>格式问题</groupName>
      <ability>L2_HalfPunc</ability>
      <abilityName>全半角检查</abilityName>
      <candidateList>
        <item>,</item>
      </candidateList>
      <explain>文本全半角错误。</explain>
      <paraID>5BE9A344</paraID>
      <start>7</start>
      <end>8</end>
      <status>ignored</status>
      <modifiedWord/>
      <trackRevisions>false</trackRevisions>
    </reviewItem>
    <reviewItem>
      <errorID>a44a29a8-61ab-4c9f-a63e-a526a602c3b6</errorID>
      <errorWord>）</errorWord>
      <group>L1_Format</group>
      <groupName>格式问题</groupName>
      <ability>L2_HalfPunc</ability>
      <abilityName>全半角检查</abilityName>
      <candidateList>
        <item>)</item>
      </candidateList>
      <explain>文本全半角错误。</explain>
      <paraID>5BE9A344</paraID>
      <start>11</start>
      <end>12</end>
      <status>ignored</status>
      <modifiedWord/>
      <trackRevisions>false</trackRevisions>
    </reviewItem>
    <reviewItem>
      <errorID>a9e84507-f32b-4062-8635-e53d7633306e</errorID>
      <errorWord>（</errorWord>
      <group>L1_Format</group>
      <groupName>格式问题</groupName>
      <ability>L2_HalfPunc</ability>
      <abilityName>全半角检查</abilityName>
      <candidateList>
        <item>(</item>
      </candidateList>
      <explain>文本全半角错误。</explain>
      <paraID>642E5150</paraID>
      <start>0</start>
      <end>1</end>
      <status>ignored</status>
      <modifiedWord/>
      <trackRevisions>false</trackRevisions>
    </reviewItem>
    <reviewItem>
      <errorID>e37b59e6-7a78-435c-ab15-65011dc694ab</errorID>
      <errorWord>，</errorWord>
      <group>L1_Format</group>
      <groupName>格式问题</groupName>
      <ability>L2_HalfPunc</ability>
      <abilityName>全半角检查</abilityName>
      <candidateList>
        <item>,</item>
      </candidateList>
      <explain>文本全半角错误。</explain>
      <paraID>642E5150</paraID>
      <start>4</start>
      <end>5</end>
      <status>ignored</status>
      <modifiedWord/>
      <trackRevisions>false</trackRevisions>
    </reviewItem>
    <reviewItem>
      <errorID>1bd96c6c-c204-46fb-9767-102d4a634aaa</errorID>
      <errorWord>，</errorWord>
      <group>L1_Format</group>
      <groupName>格式问题</groupName>
      <ability>L2_HalfPunc</ability>
      <abilityName>全半角检查</abilityName>
      <candidateList>
        <item>,</item>
      </candidateList>
      <explain>文本全半角错误。</explain>
      <paraID>642E5150</paraID>
      <start>8</start>
      <end>9</end>
      <status>ignored</status>
      <modifiedWord/>
      <trackRevisions>false</trackRevisions>
    </reviewItem>
    <reviewItem>
      <errorID>685922ce-70bc-48ad-b46b-3921c8d8a01b</errorID>
      <errorWord>）</errorWord>
      <group>L1_Format</group>
      <groupName>格式问题</groupName>
      <ability>L2_HalfPunc</ability>
      <abilityName>全半角检查</abilityName>
      <candidateList>
        <item>)</item>
      </candidateList>
      <explain>文本全半角错误。</explain>
      <paraID>642E5150</paraID>
      <start>12</start>
      <end>13</end>
      <status>ignored</status>
      <modifiedWord/>
      <trackRevisions>false</trackRevisions>
    </reviewItem>
    <reviewItem>
      <errorID>7153427e-838d-444d-9636-d43635c17eaa</errorID>
      <errorWord>（</errorWord>
      <group>L1_Format</group>
      <groupName>格式问题</groupName>
      <ability>L2_HalfPunc</ability>
      <abilityName>全半角检查</abilityName>
      <candidateList>
        <item>(</item>
      </candidateList>
      <explain>文本全半角错误。</explain>
      <paraID>4E8A58DA</paraID>
      <start>0</start>
      <end>1</end>
      <status>ignored</status>
      <modifiedWord/>
      <trackRevisions>false</trackRevisions>
    </reviewItem>
    <reviewItem>
      <errorID>9044ba56-6b4b-4137-8b3a-409f6c6e587c</errorID>
      <errorWord>，</errorWord>
      <group>L1_Format</group>
      <groupName>格式问题</groupName>
      <ability>L2_HalfPunc</ability>
      <abilityName>全半角检查</abilityName>
      <candidateList>
        <item>,</item>
      </candidateList>
      <explain>文本全半角错误。</explain>
      <paraID>4E8A58DA</paraID>
      <start>3</start>
      <end>4</end>
      <status>ignored</status>
      <modifiedWord/>
      <trackRevisions>false</trackRevisions>
    </reviewItem>
    <reviewItem>
      <errorID>9640515c-70ea-43d5-bab2-74b4aad748e7</errorID>
      <errorWord>，</errorWord>
      <group>L1_Format</group>
      <groupName>格式问题</groupName>
      <ability>L2_HalfPunc</ability>
      <abilityName>全半角检查</abilityName>
      <candidateList>
        <item>,</item>
      </candidateList>
      <explain>文本全半角错误。</explain>
      <paraID>4E8A58DA</paraID>
      <start>7</start>
      <end>8</end>
      <status>ignored</status>
      <modifiedWord/>
      <trackRevisions>false</trackRevisions>
    </reviewItem>
    <reviewItem>
      <errorID>8884e602-7022-4a24-a8e2-754c5e58912f</errorID>
      <errorWord>）</errorWord>
      <group>L1_Format</group>
      <groupName>格式问题</groupName>
      <ability>L2_HalfPunc</ability>
      <abilityName>全半角检查</abilityName>
      <candidateList>
        <item>)</item>
      </candidateList>
      <explain>文本全半角错误。</explain>
      <paraID>4E8A58DA</paraID>
      <start>11</start>
      <end>12</end>
      <status>ignored</status>
      <modifiedWord/>
      <trackRevisions>false</trackRevisions>
    </reviewItem>
    <reviewItem>
      <errorID>f345224f-e2b5-4187-af3f-cce3f5da3242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7971676</paraID>
      <start>157</start>
      <end>158</end>
      <status>modified</status>
      <modifiedWord>地</modifiedWord>
      <trackRevisions>false</trackRevisions>
    </reviewItem>
    <reviewItem>
      <errorID>a6406fca-db7a-4c03-a84d-b8fec2d2e8bb</errorID>
      <errorWord>56~68%</errorWord>
      <group>L1_Knowledge</group>
      <groupName>知识性问题</groupName>
      <ability>L2_Knowledge</ability>
      <abilityName>其他知识</abilityName>
      <candidateList>
        <item>56%～68%</item>
      </candidateList>
      <explain>1. “56~68%”中的单位“%”仅出现在后一个数字上，容易引起歧义；根据《现代汉语标点符号数字用法规范手册》，数字表示范围两边需要使用统一的格式。2. 根据标点国标 4.13 中的规则，数字、时间或地域连接符应使用（视觉上更长的）“—”或“～”。</explain>
      <paraID>652812FF</paraID>
      <start>18</start>
      <end>24</end>
      <status>ignored</status>
      <modifiedWord/>
      <trackRevisions>false</trackRevisions>
    </reviewItem>
    <reviewItem>
      <errorID>30848d6e-9be0-4e3d-80b3-bd7c26c79c33</errorID>
      <errorWord>（</errorWord>
      <group>L1_Punc</group>
      <groupName>标点问题</groupName>
      <ability>L2_Punc</ability>
      <abilityName>标点符号检查</abilityName>
      <candidateList>
        <item/>
      </candidateList>
      <explain>同一形式括号套用。</explain>
      <paraID>21B692BE</paraID>
      <start>36</start>
      <end>37</end>
      <status>ignored</status>
      <modifiedWord/>
      <trackRevisions>false</trackRevisions>
    </reviewItem>
    <reviewItem>
      <errorID>ac4360a9-f834-42c8-a880-30e663e7796d</errorID>
      <errorWord>(</errorWord>
      <group>L1_Punc</group>
      <groupName>标点问题</groupName>
      <ability>L2_Punc</ability>
      <abilityName>标点符号检查</abilityName>
      <candidateList/>
      <explain>同一形式括号套用。</explain>
      <paraID>21B692BE</paraID>
      <start>39</start>
      <end>40</end>
      <status>ignored</status>
      <modifiedWord/>
      <trackRevisions>false</trackRevisions>
    </reviewItem>
    <reviewItem>
      <errorID>98f5bc7c-0d73-4ad5-90cc-50c50cda77e0</errorID>
      <errorWord>)</errorWord>
      <group>L1_Punc</group>
      <groupName>标点问题</groupName>
      <ability>L2_Punc</ability>
      <abilityName>标点符号检查</abilityName>
      <candidateList/>
      <explain>同一形式括号套用。</explain>
      <paraID>21B692BE</paraID>
      <start>41</start>
      <end>42</end>
      <status>ignored</status>
      <modifiedWord/>
      <trackRevisions>false</trackRevisions>
    </reviewItem>
    <reviewItem>
      <errorID>86046c62-9e68-44e5-8f67-c965c2f7c95c</errorID>
      <errorWord>）</errorWord>
      <group>L1_Punc</group>
      <groupName>标点问题</groupName>
      <ability>L2_Punc</ability>
      <abilityName>标点符号检查</abilityName>
      <candidateList/>
      <explain>同一形式括号套用。</explain>
      <paraID>21B692BE</paraID>
      <start>42</start>
      <end>43</end>
      <status>ignored</status>
      <modifiedWord/>
      <trackRevisions>false</trackRevisions>
    </reviewItem>
    <reviewItem>
      <errorID>61fdf453-0c10-4076-9259-889217b35400</errorID>
      <errorWord>)</errorWord>
      <group>L1_Format</group>
      <groupName>格式问题</groupName>
      <ability>L2_HalfPunc</ability>
      <abilityName>全半角检查</abilityName>
      <candidateList>
        <item>）</item>
      </candidateList>
      <explain>文本全半角错误。</explain>
      <paraID>4B3712EF</paraID>
      <start>48</start>
      <end>49</end>
      <status>modified</status>
      <modifiedWord>）</modifiedWord>
      <trackRevisions>false</trackRevisions>
    </reviewItem>
    <reviewItem>
      <errorID>b2f76114-3353-4c73-bb7c-2ff14d4b1cf4</errorID>
      <errorWord>)</errorWord>
      <group>L1_Format</group>
      <groupName>格式问题</groupName>
      <ability>L2_HalfPunc</ability>
      <abilityName>全半角检查</abilityName>
      <candidateList>
        <item>）</item>
      </candidateList>
      <explain>文本全半角错误。</explain>
      <paraID>4B3712EF</paraID>
      <start>76</start>
      <end>77</end>
      <status>modified</status>
      <modifiedWord>）</modifiedWord>
      <trackRevisions>false</trackRevisions>
    </reviewItem>
    <reviewItem>
      <errorID>863fb4db-1869-41a5-85df-361d5692ed98</errorID>
      <errorWord>说明是</errorWord>
      <group>L1_Word</group>
      <groupName>字词问题</groupName>
      <ability>L2_Typo</ability>
      <abilityName>字词错误</abilityName>
      <candidateList>
        <item>说明</item>
      </candidateList>
      <explain/>
      <paraID>1F4A82E4</paraID>
      <start>71</start>
      <end>73</end>
      <status>modified</status>
      <modifiedWord>说明</modifiedWord>
      <trackRevisions>false</trackRevisions>
    </reviewItem>
    <reviewItem>
      <errorID>a91dd5e9-044d-4c00-9014-6ed13c62a0d7</errorID>
      <errorWord>协做</errorWord>
      <group>L1_Word</group>
      <groupName>字词问题</groupName>
      <ability>L2_Typo</ability>
      <abilityName>字词错误</abilityName>
      <candidateList>
        <item>协作</item>
      </candidateList>
      <explain/>
      <paraID>601871D7</paraID>
      <start>397</start>
      <end>399</end>
      <status>modified</status>
      <modifiedWord>协作</modifiedWord>
      <trackRevisions>false</trackRevisions>
    </reviewItem>
    <reviewItem>
      <errorID>af98bdc7-83ff-4a0c-9892-41de8120d9a1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49B6E635</paraID>
      <start>305</start>
      <end>306</end>
      <status>ignored</status>
      <modifiedWord/>
      <trackRevisions>false</trackRevisions>
    </reviewItem>
    <reviewItem>
      <errorID>05bd3d07-9255-4d63-8e3c-41b27109a4f8</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49B6E635</paraID>
      <start>312</start>
      <end>313</end>
      <status>modified</status>
      <modifiedWord>或</modifiedWord>
      <trackRevisions>false</trackRevisions>
    </reviewItem>
    <reviewItem>
      <errorID>9ca01503-ab0c-4883-8a36-f946ebf947d6</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49B6E635</paraID>
      <start>325</start>
      <end>326</end>
      <status>modified</status>
      <modifiedWord>或</modifiedWord>
      <trackRevisions>false</trackRevisions>
    </reviewItem>
    <reviewItem>
      <errorID>e8f1dd20-baea-47c6-8e2c-bb523dd28996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49B6E635</paraID>
      <start>347</start>
      <end>348</end>
      <status>ignored</status>
      <modifiedWord/>
      <trackRevisions>false</trackRevisions>
    </reviewItem>
    <reviewItem>
      <errorID>286afb56-998c-483c-934e-17d3089a0167</errorID>
      <errorWord>:</errorWord>
      <group>L1_Format</group>
      <groupName>格式问题</groupName>
      <ability>L2_HalfPunc</ability>
      <abilityName>全半角检查</abilityName>
      <candidateList>
        <item>：</item>
      </candidateList>
      <explain>文本全半角错误。</explain>
      <paraID>234DAC67</paraID>
      <start>1</start>
      <end>2</end>
      <status>modified</status>
      <modifiedWord>：</modifiedWord>
      <trackRevisions>false</trackRevisions>
    </reviewItem>
    <reviewItem>
      <errorID>b98c03c5-5dd5-411c-b0b3-ef6812ad500b</errorID>
      <errorWord>事故并</errorWord>
      <group>L1_Word</group>
      <groupName>字词问题</groupName>
      <ability>L2_Typo</ability>
      <abilityName>字词错误</abilityName>
      <candidateList>
        <item>事故</item>
      </candidateList>
      <explain/>
      <paraID>69B8D618</paraID>
      <start>80</start>
      <end>82</end>
      <status>modified</status>
      <modifiedWord>事故</modifiedWord>
      <trackRevisions>false</trackRevisions>
    </reviewItem>
    <reviewItem>
      <errorID>e7dd6a97-b3dd-4234-adce-c1e075878d65</errorID>
      <errorWord>、</errorWord>
      <group>L1_Punc</group>
      <groupName>标点问题</groupName>
      <ability>L2_Punc</ability>
      <abilityName>标点符号检查</abilityName>
      <candidateList>
        <item>.</item>
      </candidateList>
      <explain/>
      <paraID>582498CA</paraID>
      <start>1</start>
      <end>2</end>
      <status>ignored</status>
      <modifiedWord/>
      <trackRevisions>false</trackRevisions>
    </reviewItem>
    <reviewItem>
      <errorID>e61a4875-ab39-4716-aae9-5f41cc78f26a</errorID>
      <errorWord>、</errorWord>
      <group>L1_Punc</group>
      <groupName>标点问题</groupName>
      <ability>L2_Punc</ability>
      <abilityName>标点符号检查</abilityName>
      <candidateList>
        <item>.</item>
      </candidateList>
      <explain/>
      <paraID>100573DD</paraID>
      <start>1</start>
      <end>2</end>
      <status>ignored</status>
      <modifiedWord/>
      <trackRevisions>false</trackRevisions>
    </reviewItem>
    <reviewItem>
      <errorID>e221cabb-146d-4319-a6a3-6d31179e2dd7</errorID>
      <errorWord>、</errorWord>
      <group>L1_Punc</group>
      <groupName>标点问题</groupName>
      <ability>L2_Punc</ability>
      <abilityName>标点符号检查</abilityName>
      <candidateList>
        <item>.</item>
      </candidateList>
      <explain/>
      <paraID>7EFFF118</paraID>
      <start>1</start>
      <end>2</end>
      <status>ignored</status>
      <modifiedWord/>
      <trackRevisions>false</trackRevisions>
    </reviewItem>
    <reviewItem>
      <errorID>0f13203d-9038-4f54-94c3-73ab9f18a782</errorID>
      <errorWord>、</errorWord>
      <group>L1_Punc</group>
      <groupName>标点问题</groupName>
      <ability>L2_Punc</ability>
      <abilityName>标点符号检查</abilityName>
      <candidateList>
        <item>.</item>
      </candidateList>
      <explain/>
      <paraID>23149B61</paraID>
      <start>1</start>
      <end>2</end>
      <status>ignored</status>
      <modifiedWord/>
      <trackRevisions>false</trackRevisions>
    </reviewItem>
    <reviewItem>
      <errorID>6d43236a-2a19-4f98-b413-23e895c6f9f7</errorID>
      <errorWord>、</errorWord>
      <group>L1_Punc</group>
      <groupName>标点问题</groupName>
      <ability>L2_Punc</ability>
      <abilityName>标点符号检查</abilityName>
      <candidateList>
        <item>.</item>
      </candidateList>
      <explain/>
      <paraID>172A5FBE</paraID>
      <start>1</start>
      <end>2</end>
      <status>ignored</status>
      <modifiedWord/>
      <trackRevisions>false</trackRevisions>
    </reviewItem>
    <reviewItem>
      <errorID>f165ccbe-211d-4bdc-a461-775e6d5d0b87</errorID>
      <errorWord>、</errorWord>
      <group>L1_Punc</group>
      <groupName>标点问题</groupName>
      <ability>L2_Punc</ability>
      <abilityName>标点符号检查</abilityName>
      <candidateList>
        <item>.</item>
      </candidateList>
      <explain/>
      <paraID>43AF56BA</paraID>
      <start>1</start>
      <end>2</end>
      <status>ignored</status>
      <modifiedWord/>
      <trackRevisions>false</trackRevisions>
    </reviewItem>
    <reviewItem>
      <errorID>33e8c41a-5b96-4a92-a6a8-d7fb238b083e</errorID>
      <errorWord>、</errorWord>
      <group>L1_Punc</group>
      <groupName>标点问题</groupName>
      <ability>L2_Punc</ability>
      <abilityName>标点符号检查</abilityName>
      <candidateList>
        <item>.</item>
      </candidateList>
      <explain/>
      <paraID>63D4FB98</paraID>
      <start>1</start>
      <end>2</end>
      <status>ignored</status>
      <modifiedWord/>
      <trackRevisions>false</trackRevisions>
    </reviewItem>
    <reviewItem>
      <errorID>1dd22526-6747-4a19-bad1-e18b4901c58e</errorID>
      <errorWord>、</errorWord>
      <group>L1_Punc</group>
      <groupName>标点问题</groupName>
      <ability>L2_Punc</ability>
      <abilityName>标点符号检查</abilityName>
      <candidateList>
        <item>.</item>
      </candidateList>
      <explain/>
      <paraID>4652F411</paraID>
      <start>1</start>
      <end>2</end>
      <status>ignored</status>
      <modifiedWord/>
      <trackRevisions>false</trackRevisions>
    </reviewItem>
    <reviewItem>
      <errorID>b711a5cf-bfe6-4e8b-8818-4733132b14b1</errorID>
      <errorWord>、</errorWord>
      <group>L1_Punc</group>
      <groupName>标点问题</groupName>
      <ability>L2_Punc</ability>
      <abilityName>标点符号检查</abilityName>
      <candidateList>
        <item>.</item>
      </candidateList>
      <explain/>
      <paraID>56D94887</paraID>
      <start>1</start>
      <end>2</end>
      <status>ignored</status>
      <modifiedWord/>
      <trackRevisions>false</trackRevisions>
    </reviewItem>
    <reviewItem>
      <errorID>cacb9f8d-4bf5-4967-b7c8-ea7df53f6520</errorID>
      <errorWord>和法制观念</errorWord>
      <group>L1_Word</group>
      <groupName>字词问题</groupName>
      <ability>L2_Typo</ability>
      <abilityName>字词错误</abilityName>
      <candidateList>
        <item>和法治观念</item>
      </candidateList>
      <explain/>
      <paraID>56D94887</paraID>
      <start>50</start>
      <end>55</end>
      <status>modified</status>
      <modifiedWord>和法治观念</modifiedWord>
      <trackRevisions>false</trackRevisions>
    </reviewItem>
    <reviewItem>
      <errorID>d74903bb-3add-454b-ab1d-1f16cc3353a0</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 21D72BE</paraID>
      <start>11</start>
      <end>17</end>
      <status>modified</status>
      <modifiedWord>“三区三线”</modifiedWord>
      <trackRevisions>false</trackRevisions>
    </reviewItem>
    <reviewItem>
      <errorID>ff270b77-dc7a-4620-bc63-7fb90a1e029d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176376D1</paraID>
      <start>0</start>
      <end>2</end>
      <status>ignored</status>
      <modifiedWord/>
      <trackRevisions>false</trackRevisions>
    </reviewItem>
    <reviewItem>
      <errorID>3ec2fce7-cf9e-4dda-8bd5-ba9982f205e4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5009C387</paraID>
      <start>0</start>
      <end>2</end>
      <status>ignored</status>
      <modifiedWord/>
      <trackRevisions>false</trackRevisions>
    </reviewItem>
    <reviewItem>
      <errorID>291fb8c8-4d8b-4a61-bd26-e75affdc738d</errorID>
      <errorWord>：</errorWord>
      <group>L1_Word</group>
      <groupName>字词问题</groupName>
      <ability>L2_Typo</ability>
      <abilityName>字词错误</abilityName>
      <candidateList>
        <item>：考</item>
      </candidateList>
      <explain/>
      <paraID>6127E43D</paraID>
      <start>4</start>
      <end>6</end>
      <status>modified</status>
      <modifiedWord>：考</modifiedWord>
      <trackRevisions>false</trackRevisions>
    </reviewItem>
    <reviewItem>
      <errorID>9bd50552-43b5-472f-8ad6-aec2c3967145</errorID>
      <errorWord>个</errorWord>
      <group>L1_Knowledge</group>
      <groupName>知识性问题</groupName>
      <ability>L2_Knowledge</ability>
      <abilityName>其他知识</abilityName>
      <candidateList>
        <item>条</item>
      </candidateList>
      <explain>请检查“个”是否为量词使用错误，建议修改为“条”。</explain>
      <paraID> E84D962</paraID>
      <start>14</start>
      <end>15</end>
      <status>modified</status>
      <modifiedWord>条</modifiedWord>
      <trackRevisions>false</trackRevisions>
    </reviewItem>
    <reviewItem>
      <errorID>2d9d7daf-cff3-4b41-835c-0e32836eae61</errorID>
      <errorWord>受</errorWord>
      <group>L1_Word</group>
      <groupName>字词问题</groupName>
      <ability>L2_Typo</ability>
      <abilityName>字词错误</abilityName>
      <candidateList>
        <item>受到</item>
      </candidateList>
      <explain/>
      <paraID>562BE3CD</paraID>
      <start>13</start>
      <end>15</end>
      <status>modified</status>
      <modifiedWord>受到</modifiedWord>
      <trackRevisions>false</trackRevisions>
    </reviewItem>
    <reviewItem>
      <errorID>d9f93d3a-01a9-4d9d-802e-3f34335b361e</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298CE925</paraID>
      <start>60</start>
      <end>62</end>
      <status>modified</status>
      <modifiedWord>》《</modifiedWord>
      <trackRevisions>false</trackRevisions>
    </reviewItem>
    <reviewItem>
      <errorID>b736255f-cace-4009-a130-834636fd1d24</errorID>
      <errorWord>提高</errorWord>
      <group>L1_Grammar</group>
      <groupName>语法问题</groupName>
      <ability>L2_Grammar</ability>
      <abilityName>语法错误</abilityName>
      <candidateList>
        <item>增强</item>
      </candidateList>
      <explain>“提高～意识”搭配不当，建议修改为“增强～意识”。</explain>
      <paraID>4050EBD1</paraID>
      <start>19</start>
      <end>21</end>
      <status>modified</status>
      <modifiedWord>增强</modifiedWord>
      <trackRevisions>false</trackRevisions>
    </reviewItem>
    <reviewItem>
      <errorID>08f8e78c-e850-4e6d-8e2b-6ae7979e9e94</errorID>
      <errorWord>加强</errorWord>
      <group>L1_Grammar</group>
      <groupName>语法问题</groupName>
      <ability>L2_Grammar</ability>
      <abilityName>语法错误</abilityName>
      <candidateList>
        <item>加大</item>
      </candidateList>
      <explain>“加强～力度”搭配不当，建议修改为“加大～力度”。</explain>
      <paraID>4CCF8E19</paraID>
      <start>22</start>
      <end>24</end>
      <status>modified</status>
      <modifiedWord>加大</modifiedWord>
      <trackRevisions>false</trackRevisions>
    </reviewItem>
    <reviewItem>
      <errorID>2bd55c0c-b895-42a6-8a49-5d2f19d03d03</errorID>
      <errorWord>减低</errorWord>
      <group>L1_Word</group>
      <groupName>字词问题</groupName>
      <ability>L2_Typo</ability>
      <abilityName>字词错误</abilityName>
      <candidateList>
        <item>降低</item>
      </candidateList>
      <explain>存在发音相近字词的误用。</explain>
      <paraID>2BA2CA46</paraID>
      <start>191</start>
      <end>193</end>
      <status>modified</status>
      <modifiedWord>降低</modifiedWord>
      <trackRevisions>false</trackRevisions>
    </reviewItem>
    <reviewItem>
      <errorID>98a384f4-8c7b-4008-bdf0-4cefb12f383c</errorID>
      <errorWord>其它</errorWord>
      <group>L1_Word</group>
      <groupName>字词问题</groupName>
      <ability>L2_Alias</ability>
      <abilityName>也作/曾用词</abilityName>
      <candidateList>
        <item>其他</item>
      </candidateList>
      <explain>词汇[其它]为不规范表述或旧称，其规范书面表述为[其他]。</explain>
      <paraID>38C88021</paraID>
      <start>66</start>
      <end>68</end>
      <status>modified</status>
      <modifiedWord>其他</modifiedWord>
      <trackRevisions>false</trackRevisions>
    </reviewItem>
    <reviewItem>
      <errorID>0a094286-3894-47ba-85e6-49dd3d24a6df</errorID>
      <errorWord>加强</errorWord>
      <group>L1_Grammar</group>
      <groupName>语法问题</groupName>
      <ability>L2_Grammar</ability>
      <abilityName>语法错误</abilityName>
      <candidateList>
        <item>加大</item>
      </candidateList>
      <explain>“加强～力度”搭配不当，建议修改为“加大～力度”。</explain>
      <paraID>6E73068A</paraID>
      <start>37</start>
      <end>39</end>
      <status>modified</status>
      <modifiedWord>加大</modifiedWord>
      <trackRevisions>false</trackRevisions>
    </reviewItem>
    <reviewItem>
      <errorID>677f7a79-a1f7-4598-9c95-f602dd87fb5b</errorID>
      <errorWord>减小</errorWord>
      <group>L1_Word</group>
      <groupName>字词问题</groupName>
      <ability>L2_Typo</ability>
      <abilityName>字词错误</abilityName>
      <candidateList>
        <item>减少</item>
      </candidateList>
      <explain>〈动〉减去一部分：～人员｜～麻烦｜工作中的缺点～了。</explain>
      <paraID>6E73068A</paraID>
      <start>267</start>
      <end>269</end>
      <status>modified</status>
      <modifiedWord>减少</modifiedWord>
      <trackRevisions>false</trackRevisions>
    </reviewItem>
    <reviewItem>
      <errorID>2f553a8b-96c2-4a90-89a4-0541639b88f4</errorID>
      <errorWord>；</errorWord>
      <group>L1_Word</group>
      <groupName>字词问题</groupName>
      <ability>L2_Typo</ability>
      <abilityName>字词错误</abilityName>
      <candidateList>
        <item>；在</item>
      </candidateList>
      <explain/>
      <paraID>68EA18D8</paraID>
      <start>132</start>
      <end>134</end>
      <status>modified</status>
      <modifiedWord>；在</modifiedWord>
      <trackRevisions>false</trackRevisions>
    </reviewItem>
    <reviewItem>
      <errorID>acb20033-6028-44ca-ab6f-f11996763508</errorID>
      <errorWord>期</errorWord>
      <group>L1_Word</group>
      <groupName>字词问题</groupName>
      <ability>L2_Typo</ability>
      <abilityName>字词错误</abilityName>
      <candidateList>
        <item>期间</item>
      </candidateList>
      <explain>〈名〉某个时期里面：农忙～｜春节～｜抗战～。</explain>
      <paraID>5D7D9D76</paraID>
      <start>43</start>
      <end>45</end>
      <status>modified</status>
      <modifiedWord>期间</modifiedWord>
      <trackRevisions>false</trackRevisions>
    </reviewItem>
    <reviewItem>
      <errorID>7cf9c5bc-0659-4b41-ae35-049ff7c73d4e</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6C2672CA</paraID>
      <start>63</start>
      <end>64</end>
      <status>modified</status>
      <modifiedWord>且</modifiedWord>
      <trackRevisions>false</trackRevisions>
    </reviewItem>
    <reviewItem>
      <errorID>f8510d2e-26e1-4356-9ab5-1999ebc6308a</errorID>
      <errorWord>较大</errorWord>
      <group>L1_Word</group>
      <groupName>字词问题</groupName>
      <ability>L2_Typo</ability>
      <abilityName>字词错误</abilityName>
      <candidateList>
        <item>极大</item>
      </candidateList>
      <explain/>
      <paraID>24609AA9</paraID>
      <start>57</start>
      <end>59</end>
      <status>modified</status>
      <modifiedWord>极大</modifiedWord>
      <trackRevisions>false</trackRevisions>
    </reviewItem>
    <reviewItem>
      <errorID>a11dec2e-9ed1-4e1b-9e47-ecfbd81f6a61</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24609AA9</paraID>
      <start>59</start>
      <end>60</end>
      <status>modified</status>
      <modifiedWord>地</modifiedWord>
      <trackRevisions>false</trackRevisions>
    </reviewItem>
    <reviewItem>
      <errorID>42769922-aabb-42b2-b04d-02c247e9140a</errorID>
      <errorWord>抛撒</errorWord>
      <group>L1_Word</group>
      <groupName>字词问题</groupName>
      <ability>L2_Typo</ability>
      <abilityName>字词错误</abilityName>
      <candidateList>
        <item>抛洒</item>
      </candidateList>
      <explain>存在发音相同字词的误用。</explain>
      <paraID>4748E438</paraID>
      <start>37</start>
      <end>39</end>
      <status>modified</status>
      <modifiedWord>抛洒</modifiedWord>
      <trackRevisions>false</trackRevisions>
    </reviewItem>
    <reviewItem>
      <errorID>abc0f3fd-00ee-446e-b65e-b651660c6008</errorID>
      <errorWord>的</errorWord>
      <group>L1_Word</group>
      <groupName>字词问题</groupName>
      <ability>L2_DDD</ability>
      <abilityName>的地得用法</abilityName>
      <candidateList>
        <item>得</item>
      </candidateList>
      <explain>“得”常用在动词或形容词后面，表示动作结果、程度或状态评价。</explain>
      <paraID>1B9D44F0</paraID>
      <start>35</start>
      <end>36</end>
      <status>modified</status>
      <modifiedWord>得</modifiedWord>
      <trackRevisions>false</trackRevisions>
    </reviewItem>
    <reviewItem>
      <errorID>d07a4feb-058f-40b3-9bb8-2b9b16c99907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1B9D44F0</paraID>
      <start>39</start>
      <end>40</end>
      <status>modified</status>
      <modifiedWord>地</modifiedWord>
      <trackRevisions>false</trackRevisions>
    </reviewItem>
    <reviewItem>
      <errorID>b975efe0-de49-48a0-8b7f-2f91bcca3748</errorID>
      <errorWord>程</errorWord>
      <group>L1_Word</group>
      <groupName>字词问题</groupName>
      <ability>L2_Typo</ability>
      <abilityName>字词错误</abilityName>
      <candidateList>
        <item>程中</item>
      </candidateList>
      <explain/>
      <paraID>3AFB2506</paraID>
      <start>52</start>
      <end>54</end>
      <status>modified</status>
      <modifiedWord>程中</modifiedWord>
      <trackRevisions>false</trackRevisions>
    </reviewItem>
    <reviewItem>
      <errorID>c8e6b1f4-b909-4bca-8989-464095f4fe3a</errorID>
      <errorWord>洒</errorWord>
      <group>L1_Word</group>
      <groupName>字词问题</groupName>
      <ability>L2_Typo</ability>
      <abilityName>字词错误</abilityName>
      <candidateList>
        <item>撒</item>
      </candidateList>
      <explain>存在发音相同字词的误用。</explain>
      <paraID>3AFB2506</paraID>
      <start>68</start>
      <end>69</end>
      <status>modified</status>
      <modifiedWord>撒</modifiedWord>
      <trackRevisions>false</trackRevisions>
    </reviewItem>
    <reviewItem>
      <errorID>20691c7a-b590-445f-bb62-26e1437f2db4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426EAF05</paraID>
      <start>34</start>
      <end>35</end>
      <status>ignored</status>
      <modifiedWord/>
      <trackRevisions>false</trackRevisions>
    </reviewItem>
    <reviewItem>
      <errorID>63383c61-89b5-402f-b901-563bff7a49f0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426EAF05</paraID>
      <start>83</start>
      <end>84</end>
      <status>ignored</status>
      <modifiedWord/>
      <trackRevisions>false</trackRevisions>
    </reviewItem>
    <reviewItem>
      <errorID>8dc23efb-0f25-4bec-8fb9-dd837d534d9f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426EAF05</paraID>
      <start>120</start>
      <end>121</end>
      <status>ignored</status>
      <modifiedWord/>
      <trackRevisions>false</trackRevisions>
    </reviewItem>
    <reviewItem>
      <errorID>ae3115ca-8c65-4ebf-a23c-640f6428a727</errorID>
      <errorWord>作</errorWord>
      <group>L1_Word</group>
      <groupName>字词问题</groupName>
      <ability>L2_Typo</ability>
      <abilityName>字词错误</abilityName>
      <candidateList>
        <item>做</item>
      </candidateList>
      <explain>存在发音相同字词的误用。</explain>
      <paraID>431F137B</paraID>
      <start>13</start>
      <end>14</end>
      <status>modified</status>
      <modifiedWord>做</modifiedWord>
      <trackRevisions>false</trackRevisions>
    </reviewItem>
    <reviewItem>
      <errorID>8ad14a07-ca5e-42ff-867d-e6efd011c5dc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431F137B</paraID>
      <start>37</start>
      <end>38</end>
      <status>ignored</status>
      <modifiedWord/>
      <trackRevisions>false</trackRevisions>
    </reviewItem>
    <reviewItem>
      <errorID>b9981fd1-d364-47df-8fb3-9d58ba87d447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431F137B</paraID>
      <start>86</start>
      <end>87</end>
      <status>ignored</status>
      <modifiedWord/>
      <trackRevisions>false</trackRevisions>
    </reviewItem>
    <reviewItem>
      <errorID>c773f762-8844-4296-91f7-1955be4d92ac</errorID>
      <errorWord>程</errorWord>
      <group>L1_Word</group>
      <groupName>字词问题</groupName>
      <ability>L2_Typo</ability>
      <abilityName>字词错误</abilityName>
      <candidateList>
        <item>程中</item>
      </candidateList>
      <explain/>
      <paraID>101B05D8</paraID>
      <start>9</start>
      <end>11</end>
      <status>modified</status>
      <modifiedWord>程中</modifiedWord>
      <trackRevisions>false</trackRevisions>
    </reviewItem>
    <reviewItem>
      <errorID>93cef8ee-8534-457a-8d3b-7b993c86d6f5</errorID>
      <errorWord>产生</errorWord>
      <group>L1_Word</group>
      <groupName>字词问题</groupName>
      <ability>L2_Typo</ability>
      <abilityName>字词错误</abilityName>
      <candidateList>
        <item>发生</item>
      </candidateList>
      <explain>〈动〉❶原来没有的事出现了；产生：～变化｜～事故｜～关系。❷卵子受精后逐渐生长。</explain>
      <paraID>5B672E4E</paraID>
      <start>92</start>
      <end>94</end>
      <status>modified</status>
      <modifiedWord>发生</modifiedWord>
      <trackRevisions>false</trackRevisions>
    </reviewItem>
    <reviewItem>
      <errorID>ce1518ff-6c54-41d8-b8c8-7809584fb477</errorID>
      <errorWord>作到</errorWord>
      <group>L1_Word</group>
      <groupName>字词问题</groupName>
      <ability>L2_Typo</ability>
      <abilityName>字词错误</abilityName>
      <candidateList>
        <item>做到</item>
      </candidateList>
      <explain/>
      <paraID>654C4528</paraID>
      <start>43</start>
      <end>45</end>
      <status>modified</status>
      <modifiedWord>做到</modifiedWord>
      <trackRevisions>false</trackRevisions>
    </reviewItem>
    <reviewItem>
      <errorID>ae6f1496-caa9-40bc-8975-8dfc5b6cca2f</errorID>
      <errorWord>工程的</errorWord>
      <group>L1_Word</group>
      <groupName>字词问题</groupName>
      <ability>L2_Typo</ability>
      <abilityName>字词错误</abilityName>
      <candidateList>
        <item>工程</item>
      </candidateList>
      <explain/>
      <paraID> 62EF776</paraID>
      <start>1</start>
      <end>3</end>
      <status>modified</status>
      <modifiedWord>工程</modifiedWord>
      <trackRevisions>false</trackRevisions>
    </reviewItem>
    <reviewItem>
      <errorID>4340c029-20e3-4040-bb5e-12507d14859b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5BCC136C</paraID>
      <start>27</start>
      <end>29</end>
      <status>modified</status>
      <modifiedWord>》《</modifiedWord>
      <trackRevisions>false</trackRevisions>
    </reviewItem>
    <reviewItem>
      <errorID>f6e46438-7f0c-4bd7-8e12-76084a391ffb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5BCC136C</paraID>
      <start>32</start>
      <end>34</end>
      <status>modified</status>
      <modifiedWord>》《</modifiedWord>
      <trackRevisions>false</trackRevisions>
    </reviewItem>
    <reviewItem>
      <errorID>53973cd9-26a7-4a58-9839-a53c831ee816</errorID>
      <errorWord>程</errorWord>
      <group>L1_Word</group>
      <groupName>字词问题</groupName>
      <ability>L2_Typo</ability>
      <abilityName>字词错误</abilityName>
      <candidateList>
        <item>程中</item>
      </candidateList>
      <explain/>
      <paraID>76E851DD</paraID>
      <start>4</start>
      <end>6</end>
      <status>modified</status>
      <modifiedWord>程中</modifiedWord>
      <trackRevisions>false</trackRevisions>
    </reviewItem>
    <reviewItem>
      <errorID>0abba142-e0ce-4e68-a089-bba0815cadce</errorID>
      <errorWord>(</errorWord>
      <group>L1_Format</group>
      <groupName>格式问题</groupName>
      <ability>L2_HalfPunc</ability>
      <abilityName>全半角检查</abilityName>
      <candidateList>
        <item>（</item>
      </candidateList>
      <explain>文本全半角错误。</explain>
      <paraID>1A98D923</paraID>
      <start>9</start>
      <end>10</end>
      <status>modified</status>
      <modifiedWord>（</modifiedWord>
      <trackRevisions>false</trackRevisions>
    </reviewItem>
    <reviewItem>
      <errorID>21233caa-b936-4c7d-b074-415cf294a4fe</errorID>
      <errorWord>(</errorWord>
      <group>L1_Format</group>
      <groupName>格式问题</groupName>
      <ability>L2_HalfPunc</ability>
      <abilityName>全半角检查</abilityName>
      <candidateList>
        <item>（</item>
      </candidateList>
      <explain>文本全半角错误。</explain>
      <paraID>1A98D923</paraID>
      <start>39</start>
      <end>40</end>
      <status>modified</status>
      <modifiedWord>（</modifiedWord>
      <trackRevisions>false</trackRevisions>
    </reviewItem>
    <reviewItem>
      <errorID>6b6a6404-226a-4fca-b5ec-b64c005e0de9</errorID>
      <errorWord>提高</errorWord>
      <group>L1_Grammar</group>
      <groupName>语法问题</groupName>
      <ability>L2_Grammar</ability>
      <abilityName>语法错误</abilityName>
      <candidateList>
        <item>增强</item>
      </candidateList>
      <explain>“提高～意识”搭配不当，建议修改为“增强～意识”。</explain>
      <paraID>229FDCF7</paraID>
      <start>26</start>
      <end>28</end>
      <status>modified</status>
      <modifiedWord>增强</modifiedWord>
      <trackRevisions>false</trackRevisions>
    </reviewItem>
    <reviewItem>
      <errorID>791d6ab3-9e1c-4ea3-ae94-1047c625cfe8</errorID>
      <errorWord>加强</errorWord>
      <group>L1_Grammar</group>
      <groupName>语法问题</groupName>
      <ability>L2_Grammar</ability>
      <abilityName>语法错误</abilityName>
      <candidateList>
        <item>加大</item>
      </candidateList>
      <explain>“加强～力度”搭配不当，建议修改为“加大～力度”。</explain>
      <paraID>1031F5CF</paraID>
      <start>46</start>
      <end>48</end>
      <status>modified</status>
      <modifiedWord>加大</modifiedWord>
      <trackRevisions>false</trackRevisions>
    </reviewItem>
    <reviewItem>
      <errorID>d8eb2a24-4010-4fbf-bfab-4c75132bb20c</errorID>
      <errorWord>减低</errorWord>
      <group>L1_Word</group>
      <groupName>字词问题</groupName>
      <ability>L2_Typo</ability>
      <abilityName>字词错误</abilityName>
      <candidateList>
        <item>降低</item>
      </candidateList>
      <explain>存在发音相近字词的误用。</explain>
      <paraID>7708A0C0</paraID>
      <start>133</start>
      <end>135</end>
      <status>modified</status>
      <modifiedWord>降低</modifiedWord>
      <trackRevisions>false</trackRevisions>
    </reviewItem>
    <reviewItem>
      <errorID>6adbd11b-a989-4295-9794-77b40f346f8f</errorID>
      <errorWord>程</errorWord>
      <group>L1_Word</group>
      <groupName>字词问题</groupName>
      <ability>L2_Typo</ability>
      <abilityName>字词错误</abilityName>
      <candidateList>
        <item>程中</item>
      </candidateList>
      <explain/>
      <paraID> A5835DD</paraID>
      <start>106</start>
      <end>108</end>
      <status>modified</status>
      <modifiedWord>程中</modifiedWord>
      <trackRevisions>false</trackRevisions>
    </reviewItem>
    <reviewItem>
      <errorID>a3911166-a42d-4a96-bd8f-c08455729665</errorID>
      <errorWord>的</errorWord>
      <group>L1_Word</group>
      <groupName>字词问题</groupName>
      <ability>L2_DDD</ability>
      <abilityName>的地得用法</abilityName>
      <candidateList>
        <item>得</item>
      </candidateList>
      <explain>“得”常用在动词或形容词后面，表示动作结果、程度或状态评价。</explain>
      <paraID>5A7F1ACB</paraID>
      <start>291</start>
      <end>292</end>
      <status>modified</status>
      <modifiedWord>得</modifiedWord>
      <trackRevisions>false</trackRevisions>
    </reviewItem>
    <reviewItem>
      <errorID>d0ea473a-8fcd-4142-980b-78389b8d860a</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5A7F1ACB</paraID>
      <start>295</start>
      <end>296</end>
      <status>modified</status>
      <modifiedWord>地</modifiedWord>
      <trackRevisions>false</trackRevisions>
    </reviewItem>
    <reviewItem>
      <errorID>8d207832-4004-43dc-8a5a-73fa9fed2dc9</errorID>
      <errorWord>涉及到</errorWord>
      <group>L1_Grammar</group>
      <groupName>语法问题</groupName>
      <ability>L2_Grammar</ability>
      <abilityName>语法错误</abilityName>
      <candidateList>
        <item>涉及</item>
      </candidateList>
      <explain>〈动〉牵涉到；关联到：案子～好几个人｜这个问题～面很广。</explain>
      <paraID>2780E562</paraID>
      <start>171</start>
      <end>173</end>
      <status>modified</status>
      <modifiedWord>涉及</modifiedWord>
      <trackRevisions>false</trackRevisions>
    </reviewItem>
    <reviewItem>
      <errorID>c402124a-5f37-4ee5-b9c1-653aca664c2a</errorID>
      <errorWord>抛撒</errorWord>
      <group>L1_Word</group>
      <groupName>字词问题</groupName>
      <ability>L2_Typo</ability>
      <abilityName>字词错误</abilityName>
      <candidateList>
        <item>抛洒</item>
      </candidateList>
      <explain>存在发音相同字词的误用。</explain>
      <paraID>3CC781D5</paraID>
      <start>37</start>
      <end>39</end>
      <status>modified</status>
      <modifiedWord>抛洒</modifiedWord>
      <trackRevisions>false</trackRevisions>
    </reviewItem>
    <reviewItem>
      <errorID>ebd63d05-f4cb-4732-9bba-8511a648bf84</errorID>
      <errorWord>程</errorWord>
      <group>L1_Word</group>
      <groupName>字词问题</groupName>
      <ability>L2_Typo</ability>
      <abilityName>字词错误</abilityName>
      <candidateList>
        <item>程中</item>
      </candidateList>
      <explain/>
      <paraID> 237E266</paraID>
      <start>52</start>
      <end>54</end>
      <status>modified</status>
      <modifiedWord>程中</modifiedWord>
      <trackRevisions>false</trackRevisions>
    </reviewItem>
    <reviewItem>
      <errorID>78f49760-a18b-479c-9992-8c1de6eccc25</errorID>
      <errorWord>洒</errorWord>
      <group>L1_Word</group>
      <groupName>字词问题</groupName>
      <ability>L2_Typo</ability>
      <abilityName>字词错误</abilityName>
      <candidateList>
        <item>撒</item>
      </candidateList>
      <explain>存在发音相同字词的误用。</explain>
      <paraID> 237E266</paraID>
      <start>68</start>
      <end>69</end>
      <status>modified</status>
      <modifiedWord>撒</modifiedWord>
      <trackRevisions>false</trackRevisions>
    </reviewItem>
    <reviewItem>
      <errorID>71a99651-2ec8-4502-89a4-4a74e0e04725</errorID>
      <errorWord>即为</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62F24941</paraID>
      <start>43</start>
      <end>44</end>
      <status>modified</status>
      <modifiedWord>即</modifiedWord>
      <trackRevisions>false</trackRevisions>
    </reviewItem>
    <reviewItem>
      <errorID>b1bfa9b6-9028-4349-bdc9-42feef687624</errorID>
      <errorWord>管理文件的</errorWord>
      <group>L1_Word</group>
      <groupName>字词问题</groupName>
      <ability>L2_Typo</ability>
      <abilityName>字词错误</abilityName>
      <candidateList>
        <item>管理文件</item>
      </candidateList>
      <explain/>
      <paraID>13D88F43</paraID>
      <start>23</start>
      <end>27</end>
      <status>modified</status>
      <modifiedWord>管理文件</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d7a2516-d7d8-4d63-ba06-6d119efb2ced}">
  <ds:schemaRefs/>
</ds:datastoreItem>
</file>

<file path=docProps/app.xml><?xml version="1.0" encoding="utf-8"?>
<Properties xmlns="http://schemas.openxmlformats.org/officeDocument/2006/extended-properties" xmlns:vt="http://schemas.openxmlformats.org/officeDocument/2006/docPropsVTypes">
  <Template>Normal</Template>
  <Company>wangyh</Company>
  <Pages>129</Pages>
  <Words>21324</Words>
  <Characters>22846</Characters>
  <Lines>425</Lines>
  <Paragraphs>119</Paragraphs>
  <TotalTime>83</TotalTime>
  <ScaleCrop>false</ScaleCrop>
  <LinksUpToDate>false</LinksUpToDate>
  <CharactersWithSpaces>22982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2022-08-25T00:52:00Z</dcterms:created>
  <dc:creator>Administrator</dc:creator>
  <cp:lastModifiedBy>GR</cp:lastModifiedBy>
  <cp:lastPrinted>2025-10-30T08:41:00Z</cp:lastPrinted>
  <dcterms:modified xsi:type="dcterms:W3CDTF">2026-04-21T07:16:37Z</dcterms:modified>
  <dc:title>建设项目环境影响报告表</dc:title>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D9BCE22B9CEE447C92CC50679A5F6E6F_13</vt:lpwstr>
  </property>
  <property fmtid="{D5CDD505-2E9C-101B-9397-08002B2CF9AE}" pid="4" name="KSOTemplateDocerSaveRecord">
    <vt:lpwstr>eyJoZGlkIjoiMTdmYTc2ZjQ4YjhhY2MzNjFiNDJmODZlZmZmMjQ0YWEiLCJ1c2VySWQiOiI0MDk2MDA3MjUifQ==</vt:lpwstr>
  </property>
</Properties>
</file>