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14:paraId="148956AE">
      <w:pPr>
        <w:spacing w:line="360" w:lineRule="auto"/>
        <w:ind w:right="-144"/>
        <w:jc w:val="center"/>
        <w:rPr>
          <w:b/>
          <w:bCs/>
          <w:color w:val="auto"/>
          <w:sz w:val="36"/>
          <w:szCs w:val="36"/>
        </w:rPr>
      </w:pPr>
      <w:bookmarkStart w:id="0" w:name="_Hlk485979684"/>
      <w:r>
        <w:drawing>
          <wp:inline distT="0" distB="0" distL="114300" distR="114300">
            <wp:extent cx="4926965" cy="8546465"/>
            <wp:effectExtent l="0" t="0" r="6985" b="6985"/>
            <wp:docPr id="2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1"/>
                    <pic:cNvPicPr>
                      <a:picLocks noChangeAspect="1"/>
                    </pic:cNvPicPr>
                  </pic:nvPicPr>
                  <pic:blipFill>
                    <a:blip r:embed="rId16"/>
                    <a:srcRect l="16314" t="6322" r="17813"/>
                    <a:stretch>
                      <a:fillRect/>
                    </a:stretch>
                  </pic:blipFill>
                  <pic:spPr>
                    <a:xfrm>
                      <a:off x="0" y="0"/>
                      <a:ext cx="4926965" cy="8546465"/>
                    </a:xfrm>
                    <a:prstGeom prst="rect">
                      <a:avLst/>
                    </a:prstGeom>
                    <a:noFill/>
                    <a:ln>
                      <a:noFill/>
                    </a:ln>
                  </pic:spPr>
                </pic:pic>
              </a:graphicData>
            </a:graphic>
          </wp:inline>
        </w:drawing>
      </w:r>
    </w:p>
    <w:p w14:paraId="69B339B2">
      <w:pPr>
        <w:spacing w:line="360" w:lineRule="auto"/>
        <w:rPr>
          <w:color w:val="auto"/>
          <w:sz w:val="28"/>
          <w:szCs w:val="28"/>
          <w:highlight w:val="none"/>
        </w:rPr>
      </w:pPr>
      <w:r>
        <w:drawing>
          <wp:inline distT="0" distB="0" distL="114300" distR="114300">
            <wp:extent cx="5393690" cy="8630920"/>
            <wp:effectExtent l="0" t="0" r="16510" b="17780"/>
            <wp:docPr id="2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2"/>
                    <pic:cNvPicPr>
                      <a:picLocks noChangeAspect="1"/>
                    </pic:cNvPicPr>
                  </pic:nvPicPr>
                  <pic:blipFill>
                    <a:blip r:embed="rId17"/>
                    <a:srcRect l="9302" r="11190"/>
                    <a:stretch>
                      <a:fillRect/>
                    </a:stretch>
                  </pic:blipFill>
                  <pic:spPr>
                    <a:xfrm>
                      <a:off x="0" y="0"/>
                      <a:ext cx="5393690" cy="8630920"/>
                    </a:xfrm>
                    <a:prstGeom prst="rect">
                      <a:avLst/>
                    </a:prstGeom>
                    <a:noFill/>
                    <a:ln>
                      <a:noFill/>
                    </a:ln>
                  </pic:spPr>
                </pic:pic>
              </a:graphicData>
            </a:graphic>
          </wp:inline>
        </w:drawing>
      </w:r>
      <w:r>
        <w:drawing>
          <wp:inline distT="0" distB="0" distL="114300" distR="114300">
            <wp:extent cx="5901055" cy="7889875"/>
            <wp:effectExtent l="0" t="0" r="4445" b="15875"/>
            <wp:docPr id="26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3"/>
                    <pic:cNvPicPr>
                      <a:picLocks noChangeAspect="1"/>
                    </pic:cNvPicPr>
                  </pic:nvPicPr>
                  <pic:blipFill>
                    <a:blip r:embed="rId18"/>
                    <a:stretch>
                      <a:fillRect/>
                    </a:stretch>
                  </pic:blipFill>
                  <pic:spPr>
                    <a:xfrm>
                      <a:off x="0" y="0"/>
                      <a:ext cx="5901055" cy="7889875"/>
                    </a:xfrm>
                    <a:prstGeom prst="rect">
                      <a:avLst/>
                    </a:prstGeom>
                    <a:noFill/>
                    <a:ln>
                      <a:noFill/>
                    </a:ln>
                  </pic:spPr>
                </pic:pic>
              </a:graphicData>
            </a:graphic>
          </wp:inline>
        </w:drawing>
      </w:r>
      <w:r>
        <w:drawing>
          <wp:inline distT="0" distB="0" distL="114300" distR="114300">
            <wp:extent cx="5845810" cy="7957820"/>
            <wp:effectExtent l="0" t="0" r="2540" b="5080"/>
            <wp:docPr id="2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4"/>
                    <pic:cNvPicPr>
                      <a:picLocks noChangeAspect="1"/>
                    </pic:cNvPicPr>
                  </pic:nvPicPr>
                  <pic:blipFill>
                    <a:blip r:embed="rId19"/>
                    <a:stretch>
                      <a:fillRect/>
                    </a:stretch>
                  </pic:blipFill>
                  <pic:spPr>
                    <a:xfrm>
                      <a:off x="0" y="0"/>
                      <a:ext cx="5845810" cy="7957820"/>
                    </a:xfrm>
                    <a:prstGeom prst="rect">
                      <a:avLst/>
                    </a:prstGeom>
                    <a:noFill/>
                    <a:ln>
                      <a:noFill/>
                    </a:ln>
                  </pic:spPr>
                </pic:pic>
              </a:graphicData>
            </a:graphic>
          </wp:inline>
        </w:drawing>
      </w:r>
      <w:r>
        <w:drawing>
          <wp:inline distT="0" distB="0" distL="114300" distR="114300">
            <wp:extent cx="5796915" cy="8390255"/>
            <wp:effectExtent l="0" t="0" r="13335" b="10795"/>
            <wp:docPr id="2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5"/>
                    <pic:cNvPicPr>
                      <a:picLocks noChangeAspect="1"/>
                    </pic:cNvPicPr>
                  </pic:nvPicPr>
                  <pic:blipFill>
                    <a:blip r:embed="rId20"/>
                    <a:stretch>
                      <a:fillRect/>
                    </a:stretch>
                  </pic:blipFill>
                  <pic:spPr>
                    <a:xfrm>
                      <a:off x="0" y="0"/>
                      <a:ext cx="5796915" cy="8390255"/>
                    </a:xfrm>
                    <a:prstGeom prst="rect">
                      <a:avLst/>
                    </a:prstGeom>
                    <a:noFill/>
                    <a:ln>
                      <a:noFill/>
                    </a:ln>
                  </pic:spPr>
                </pic:pic>
              </a:graphicData>
            </a:graphic>
          </wp:inline>
        </w:drawing>
      </w:r>
      <w:r>
        <w:drawing>
          <wp:inline distT="0" distB="0" distL="114300" distR="114300">
            <wp:extent cx="5938520" cy="7955280"/>
            <wp:effectExtent l="0" t="0" r="5080" b="7620"/>
            <wp:docPr id="2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6"/>
                    <pic:cNvPicPr>
                      <a:picLocks noChangeAspect="1"/>
                    </pic:cNvPicPr>
                  </pic:nvPicPr>
                  <pic:blipFill>
                    <a:blip r:embed="rId21"/>
                    <a:stretch>
                      <a:fillRect/>
                    </a:stretch>
                  </pic:blipFill>
                  <pic:spPr>
                    <a:xfrm>
                      <a:off x="0" y="0"/>
                      <a:ext cx="5938520" cy="7955280"/>
                    </a:xfrm>
                    <a:prstGeom prst="rect">
                      <a:avLst/>
                    </a:prstGeom>
                    <a:noFill/>
                    <a:ln>
                      <a:noFill/>
                    </a:ln>
                  </pic:spPr>
                </pic:pic>
              </a:graphicData>
            </a:graphic>
          </wp:inline>
        </w:drawing>
      </w:r>
      <w:bookmarkStart w:id="246" w:name="_GoBack"/>
      <w:bookmarkEnd w:id="246"/>
      <w:r>
        <w:drawing>
          <wp:inline distT="0" distB="0" distL="114300" distR="114300">
            <wp:extent cx="5643880" cy="7778115"/>
            <wp:effectExtent l="0" t="0" r="13970" b="13335"/>
            <wp:docPr id="26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7"/>
                    <pic:cNvPicPr>
                      <a:picLocks noChangeAspect="1"/>
                    </pic:cNvPicPr>
                  </pic:nvPicPr>
                  <pic:blipFill>
                    <a:blip r:embed="rId22"/>
                    <a:stretch>
                      <a:fillRect/>
                    </a:stretch>
                  </pic:blipFill>
                  <pic:spPr>
                    <a:xfrm>
                      <a:off x="0" y="0"/>
                      <a:ext cx="5643880" cy="7778115"/>
                    </a:xfrm>
                    <a:prstGeom prst="rect">
                      <a:avLst/>
                    </a:prstGeom>
                    <a:noFill/>
                    <a:ln>
                      <a:noFill/>
                    </a:ln>
                  </pic:spPr>
                </pic:pic>
              </a:graphicData>
            </a:graphic>
          </wp:inline>
        </w:drawing>
      </w:r>
      <w:r>
        <w:drawing>
          <wp:inline distT="0" distB="0" distL="114300" distR="114300">
            <wp:extent cx="5650865" cy="7896225"/>
            <wp:effectExtent l="0" t="0" r="6985" b="9525"/>
            <wp:docPr id="2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8"/>
                    <pic:cNvPicPr>
                      <a:picLocks noChangeAspect="1"/>
                    </pic:cNvPicPr>
                  </pic:nvPicPr>
                  <pic:blipFill>
                    <a:blip r:embed="rId23"/>
                    <a:stretch>
                      <a:fillRect/>
                    </a:stretch>
                  </pic:blipFill>
                  <pic:spPr>
                    <a:xfrm>
                      <a:off x="0" y="0"/>
                      <a:ext cx="5650865" cy="7896225"/>
                    </a:xfrm>
                    <a:prstGeom prst="rect">
                      <a:avLst/>
                    </a:prstGeom>
                    <a:noFill/>
                    <a:ln>
                      <a:noFill/>
                    </a:ln>
                  </pic:spPr>
                </pic:pic>
              </a:graphicData>
            </a:graphic>
          </wp:inline>
        </w:drawing>
      </w:r>
      <w:r>
        <w:drawing>
          <wp:inline distT="0" distB="0" distL="114300" distR="114300">
            <wp:extent cx="5360035" cy="8060690"/>
            <wp:effectExtent l="0" t="0" r="12065" b="16510"/>
            <wp:docPr id="2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9"/>
                    <pic:cNvPicPr>
                      <a:picLocks noChangeAspect="1"/>
                    </pic:cNvPicPr>
                  </pic:nvPicPr>
                  <pic:blipFill>
                    <a:blip r:embed="rId24"/>
                    <a:srcRect l="4364" r="2933"/>
                    <a:stretch>
                      <a:fillRect/>
                    </a:stretch>
                  </pic:blipFill>
                  <pic:spPr>
                    <a:xfrm>
                      <a:off x="0" y="0"/>
                      <a:ext cx="5360035" cy="8060690"/>
                    </a:xfrm>
                    <a:prstGeom prst="rect">
                      <a:avLst/>
                    </a:prstGeom>
                    <a:noFill/>
                    <a:ln>
                      <a:noFill/>
                    </a:ln>
                  </pic:spPr>
                </pic:pic>
              </a:graphicData>
            </a:graphic>
          </wp:inline>
        </w:drawing>
      </w:r>
      <w:r>
        <w:drawing>
          <wp:inline distT="0" distB="0" distL="114300" distR="114300">
            <wp:extent cx="5486400" cy="8025765"/>
            <wp:effectExtent l="0" t="0" r="0" b="13335"/>
            <wp:docPr id="2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0"/>
                    <pic:cNvPicPr>
                      <a:picLocks noChangeAspect="1"/>
                    </pic:cNvPicPr>
                  </pic:nvPicPr>
                  <pic:blipFill>
                    <a:blip r:embed="rId25"/>
                    <a:stretch>
                      <a:fillRect/>
                    </a:stretch>
                  </pic:blipFill>
                  <pic:spPr>
                    <a:xfrm>
                      <a:off x="0" y="0"/>
                      <a:ext cx="5486400" cy="8025765"/>
                    </a:xfrm>
                    <a:prstGeom prst="rect">
                      <a:avLst/>
                    </a:prstGeom>
                    <a:noFill/>
                    <a:ln>
                      <a:noFill/>
                    </a:ln>
                  </pic:spPr>
                </pic:pic>
              </a:graphicData>
            </a:graphic>
          </wp:inline>
        </w:drawing>
      </w:r>
      <w:r>
        <w:drawing>
          <wp:inline distT="0" distB="0" distL="114300" distR="114300">
            <wp:extent cx="5474970" cy="8023225"/>
            <wp:effectExtent l="0" t="0" r="11430" b="15875"/>
            <wp:docPr id="2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1"/>
                    <pic:cNvPicPr>
                      <a:picLocks noChangeAspect="1"/>
                    </pic:cNvPicPr>
                  </pic:nvPicPr>
                  <pic:blipFill>
                    <a:blip r:embed="rId26"/>
                    <a:stretch>
                      <a:fillRect/>
                    </a:stretch>
                  </pic:blipFill>
                  <pic:spPr>
                    <a:xfrm>
                      <a:off x="0" y="0"/>
                      <a:ext cx="5474970" cy="8023225"/>
                    </a:xfrm>
                    <a:prstGeom prst="rect">
                      <a:avLst/>
                    </a:prstGeom>
                    <a:noFill/>
                    <a:ln>
                      <a:noFill/>
                    </a:ln>
                  </pic:spPr>
                </pic:pic>
              </a:graphicData>
            </a:graphic>
          </wp:inline>
        </w:drawing>
      </w:r>
    </w:p>
    <w:p w14:paraId="2C34E5C3">
      <w:pPr>
        <w:autoSpaceDE w:val="0"/>
        <w:autoSpaceDN w:val="0"/>
        <w:adjustRightInd w:val="0"/>
        <w:spacing w:line="360" w:lineRule="auto"/>
        <w:jc w:val="center"/>
        <w:rPr>
          <w:b/>
          <w:color w:val="auto"/>
          <w:kern w:val="0"/>
          <w:sz w:val="28"/>
          <w:szCs w:val="28"/>
          <w:highlight w:val="none"/>
          <w:lang w:val="zh-CN"/>
        </w:rPr>
      </w:pPr>
    </w:p>
    <w:p w14:paraId="3703F8CC">
      <w:pPr>
        <w:autoSpaceDE w:val="0"/>
        <w:autoSpaceDN w:val="0"/>
        <w:adjustRightInd w:val="0"/>
        <w:spacing w:line="360" w:lineRule="auto"/>
        <w:jc w:val="center"/>
        <w:rPr>
          <w:b/>
          <w:color w:val="auto"/>
          <w:kern w:val="0"/>
          <w:sz w:val="28"/>
          <w:szCs w:val="28"/>
          <w:highlight w:val="none"/>
          <w:lang w:val="zh-CN"/>
        </w:rPr>
      </w:pPr>
    </w:p>
    <w:p w14:paraId="6F2065C2">
      <w:pPr>
        <w:autoSpaceDE w:val="0"/>
        <w:autoSpaceDN w:val="0"/>
        <w:adjustRightInd w:val="0"/>
        <w:spacing w:line="360" w:lineRule="auto"/>
        <w:jc w:val="center"/>
        <w:rPr>
          <w:b/>
          <w:color w:val="auto"/>
          <w:kern w:val="0"/>
          <w:sz w:val="28"/>
          <w:szCs w:val="28"/>
          <w:highlight w:val="none"/>
          <w:lang w:val="zh-CN"/>
        </w:rPr>
      </w:pPr>
      <w:r>
        <w:rPr>
          <w:b/>
          <w:color w:val="auto"/>
          <w:kern w:val="0"/>
          <w:sz w:val="28"/>
          <w:szCs w:val="28"/>
          <w:highlight w:val="none"/>
          <w:lang w:val="zh-CN"/>
        </w:rPr>
        <w:t>填表说明</w:t>
      </w:r>
    </w:p>
    <w:p w14:paraId="2E559017">
      <w:pPr>
        <w:overflowPunct w:val="0"/>
        <w:spacing w:line="360" w:lineRule="auto"/>
        <w:ind w:firstLine="480" w:firstLineChars="200"/>
        <w:rPr>
          <w:rFonts w:ascii="Times New Roman" w:hAnsi="Times New Roman" w:eastAsia="宋体" w:cs="Times New Roman"/>
          <w:color w:val="auto"/>
          <w:kern w:val="0"/>
          <w:sz w:val="24"/>
          <w:szCs w:val="24"/>
          <w:highlight w:val="none"/>
          <w:lang w:val="zh-CN"/>
        </w:rPr>
      </w:pPr>
      <w:r>
        <w:rPr>
          <w:rFonts w:hint="eastAsia" w:ascii="Times New Roman" w:hAnsi="Times New Roman" w:eastAsia="宋体" w:cs="Times New Roman"/>
          <w:color w:val="auto"/>
          <w:kern w:val="0"/>
          <w:sz w:val="24"/>
          <w:szCs w:val="24"/>
          <w:highlight w:val="none"/>
          <w:lang w:val="en-US" w:eastAsia="zh-CN"/>
        </w:rPr>
        <w:t>1.</w:t>
      </w:r>
      <w:r>
        <w:rPr>
          <w:rFonts w:ascii="Times New Roman" w:hAnsi="Times New Roman" w:eastAsia="宋体" w:cs="Times New Roman"/>
          <w:color w:val="auto"/>
          <w:kern w:val="0"/>
          <w:sz w:val="24"/>
          <w:szCs w:val="24"/>
          <w:highlight w:val="none"/>
        </w:rPr>
        <w:t>此环境影响报告表按照《辐射环境保护管理导则 核技术利用建设项目</w:t>
      </w:r>
      <w:r>
        <w:rPr>
          <w:rFonts w:hint="eastAsia" w:ascii="Times New Roman" w:hAnsi="Times New Roman" w:eastAsia="宋体" w:cs="Times New Roman"/>
          <w:color w:val="auto"/>
          <w:kern w:val="0"/>
          <w:sz w:val="24"/>
          <w:szCs w:val="24"/>
          <w:highlight w:val="none"/>
          <w:lang w:val="en-US" w:eastAsia="zh-CN"/>
        </w:rPr>
        <w:t xml:space="preserve"> </w:t>
      </w:r>
      <w:r>
        <w:rPr>
          <w:rFonts w:ascii="Times New Roman" w:hAnsi="Times New Roman" w:eastAsia="宋体" w:cs="Times New Roman"/>
          <w:color w:val="auto"/>
          <w:kern w:val="0"/>
          <w:sz w:val="24"/>
          <w:szCs w:val="24"/>
          <w:highlight w:val="none"/>
        </w:rPr>
        <w:t>环境影响评价文件的内容和格式》（HJ10.1-2016）的要求进行编制</w:t>
      </w:r>
      <w:r>
        <w:rPr>
          <w:rFonts w:ascii="Times New Roman" w:hAnsi="Times New Roman" w:eastAsia="宋体" w:cs="Times New Roman"/>
          <w:color w:val="auto"/>
          <w:kern w:val="0"/>
          <w:sz w:val="24"/>
          <w:szCs w:val="24"/>
          <w:highlight w:val="none"/>
          <w:lang w:val="zh-CN"/>
        </w:rPr>
        <w:t>。</w:t>
      </w:r>
    </w:p>
    <w:p w14:paraId="24A96C5C">
      <w:pPr>
        <w:overflowPunct w:val="0"/>
        <w:spacing w:line="360" w:lineRule="auto"/>
        <w:ind w:firstLine="480" w:firstLineChars="200"/>
        <w:rPr>
          <w:color w:val="auto"/>
          <w:kern w:val="0"/>
          <w:sz w:val="24"/>
          <w:szCs w:val="24"/>
          <w:highlight w:val="none"/>
          <w:lang w:val="zh-CN"/>
        </w:rPr>
      </w:pPr>
      <w:r>
        <w:rPr>
          <w:color w:val="auto"/>
          <w:kern w:val="0"/>
          <w:sz w:val="24"/>
          <w:szCs w:val="24"/>
          <w:highlight w:val="none"/>
          <w:lang w:val="zh-CN"/>
        </w:rPr>
        <w:t>2.从事以下</w:t>
      </w:r>
      <w:r>
        <w:rPr>
          <w:rFonts w:hint="eastAsia"/>
          <w:color w:val="auto"/>
          <w:kern w:val="0"/>
          <w:sz w:val="24"/>
          <w:szCs w:val="24"/>
          <w:highlight w:val="none"/>
          <w:lang w:val="en-US" w:eastAsia="zh-CN"/>
        </w:rPr>
        <w:t>核技术利用项目需</w:t>
      </w:r>
      <w:r>
        <w:rPr>
          <w:color w:val="auto"/>
          <w:kern w:val="0"/>
          <w:sz w:val="24"/>
          <w:szCs w:val="24"/>
          <w:highlight w:val="none"/>
          <w:lang w:val="zh-CN"/>
        </w:rPr>
        <w:t>填报本</w:t>
      </w:r>
      <w:r>
        <w:rPr>
          <w:rFonts w:hint="eastAsia"/>
          <w:color w:val="auto"/>
          <w:kern w:val="0"/>
          <w:sz w:val="24"/>
          <w:szCs w:val="24"/>
          <w:highlight w:val="none"/>
          <w:lang w:val="en-US" w:eastAsia="zh-CN"/>
        </w:rPr>
        <w:t>环境影响</w:t>
      </w:r>
      <w:r>
        <w:rPr>
          <w:color w:val="auto"/>
          <w:kern w:val="0"/>
          <w:sz w:val="24"/>
          <w:szCs w:val="24"/>
          <w:highlight w:val="none"/>
          <w:lang w:val="zh-CN"/>
        </w:rPr>
        <w:t>报告表：</w:t>
      </w:r>
    </w:p>
    <w:p w14:paraId="5DB06625">
      <w:pPr>
        <w:overflowPunct w:val="0"/>
        <w:spacing w:line="360" w:lineRule="auto"/>
        <w:ind w:firstLine="480" w:firstLineChars="200"/>
        <w:rPr>
          <w:color w:val="auto"/>
          <w:kern w:val="0"/>
          <w:sz w:val="24"/>
          <w:szCs w:val="24"/>
          <w:lang w:val="zh-CN"/>
        </w:rPr>
      </w:pPr>
      <w:r>
        <w:rPr>
          <w:color w:val="auto"/>
          <w:kern w:val="0"/>
          <w:sz w:val="24"/>
          <w:szCs w:val="24"/>
          <w:lang w:val="zh-CN"/>
        </w:rPr>
        <w:t>（</w:t>
      </w:r>
      <w:r>
        <w:rPr>
          <w:color w:val="auto"/>
          <w:kern w:val="0"/>
          <w:sz w:val="24"/>
          <w:szCs w:val="24"/>
        </w:rPr>
        <w:t>1</w:t>
      </w:r>
      <w:r>
        <w:rPr>
          <w:color w:val="auto"/>
          <w:kern w:val="0"/>
          <w:sz w:val="24"/>
          <w:szCs w:val="24"/>
          <w:lang w:val="zh-CN"/>
        </w:rPr>
        <w:t>）制备PET用放射性药物的；</w:t>
      </w:r>
    </w:p>
    <w:p w14:paraId="20BC38A3">
      <w:pPr>
        <w:overflowPunct w:val="0"/>
        <w:spacing w:line="360" w:lineRule="auto"/>
        <w:ind w:firstLine="480" w:firstLineChars="200"/>
        <w:rPr>
          <w:color w:val="auto"/>
          <w:kern w:val="0"/>
          <w:sz w:val="24"/>
          <w:szCs w:val="24"/>
          <w:lang w:val="zh-CN"/>
        </w:rPr>
      </w:pPr>
      <w:r>
        <w:rPr>
          <w:color w:val="auto"/>
          <w:kern w:val="0"/>
          <w:sz w:val="24"/>
          <w:szCs w:val="24"/>
          <w:lang w:val="zh-CN"/>
        </w:rPr>
        <w:t>（</w:t>
      </w:r>
      <w:r>
        <w:rPr>
          <w:color w:val="auto"/>
          <w:kern w:val="0"/>
          <w:sz w:val="24"/>
          <w:szCs w:val="24"/>
        </w:rPr>
        <w:t>2</w:t>
      </w:r>
      <w:r>
        <w:rPr>
          <w:color w:val="auto"/>
          <w:kern w:val="0"/>
          <w:sz w:val="24"/>
          <w:szCs w:val="24"/>
          <w:lang w:val="zh-CN"/>
        </w:rPr>
        <w:t>）医疗使用Ⅰ类放射源的；</w:t>
      </w:r>
    </w:p>
    <w:p w14:paraId="35D53365">
      <w:pPr>
        <w:overflowPunct w:val="0"/>
        <w:spacing w:line="360" w:lineRule="auto"/>
        <w:ind w:firstLine="480" w:firstLineChars="200"/>
        <w:rPr>
          <w:color w:val="auto"/>
          <w:kern w:val="0"/>
          <w:sz w:val="24"/>
          <w:szCs w:val="24"/>
          <w:lang w:val="zh-CN"/>
        </w:rPr>
      </w:pPr>
      <w:r>
        <w:rPr>
          <w:color w:val="auto"/>
          <w:kern w:val="0"/>
          <w:sz w:val="24"/>
          <w:szCs w:val="24"/>
          <w:lang w:val="zh-CN"/>
        </w:rPr>
        <w:t>（</w:t>
      </w:r>
      <w:r>
        <w:rPr>
          <w:color w:val="auto"/>
          <w:kern w:val="0"/>
          <w:sz w:val="24"/>
          <w:szCs w:val="24"/>
        </w:rPr>
        <w:t>3</w:t>
      </w:r>
      <w:r>
        <w:rPr>
          <w:color w:val="auto"/>
          <w:kern w:val="0"/>
          <w:sz w:val="24"/>
          <w:szCs w:val="24"/>
          <w:lang w:val="zh-CN"/>
        </w:rPr>
        <w:t>）使用Ⅱ类、Ⅲ类放射源的；</w:t>
      </w:r>
    </w:p>
    <w:p w14:paraId="5E9ED793">
      <w:pPr>
        <w:overflowPunct w:val="0"/>
        <w:spacing w:line="360" w:lineRule="auto"/>
        <w:ind w:firstLine="480" w:firstLineChars="200"/>
        <w:rPr>
          <w:color w:val="auto"/>
          <w:kern w:val="0"/>
          <w:sz w:val="24"/>
          <w:szCs w:val="24"/>
          <w:lang w:val="zh-CN"/>
        </w:rPr>
      </w:pPr>
      <w:r>
        <w:rPr>
          <w:color w:val="auto"/>
          <w:kern w:val="0"/>
          <w:sz w:val="24"/>
          <w:szCs w:val="24"/>
          <w:lang w:val="zh-CN"/>
        </w:rPr>
        <w:t>（</w:t>
      </w:r>
      <w:r>
        <w:rPr>
          <w:color w:val="auto"/>
          <w:kern w:val="0"/>
          <w:sz w:val="24"/>
          <w:szCs w:val="24"/>
        </w:rPr>
        <w:t>4</w:t>
      </w:r>
      <w:r>
        <w:rPr>
          <w:color w:val="auto"/>
          <w:kern w:val="0"/>
          <w:sz w:val="24"/>
          <w:szCs w:val="24"/>
          <w:lang w:val="zh-CN"/>
        </w:rPr>
        <w:t>）生产、使用Ⅱ类射线装置的；</w:t>
      </w:r>
    </w:p>
    <w:p w14:paraId="5C985660">
      <w:pPr>
        <w:overflowPunct w:val="0"/>
        <w:spacing w:line="360" w:lineRule="auto"/>
        <w:ind w:firstLine="480" w:firstLineChars="200"/>
        <w:rPr>
          <w:color w:val="auto"/>
          <w:kern w:val="0"/>
          <w:sz w:val="24"/>
          <w:szCs w:val="24"/>
          <w:lang w:val="zh-CN"/>
        </w:rPr>
      </w:pPr>
      <w:r>
        <w:rPr>
          <w:color w:val="auto"/>
          <w:kern w:val="0"/>
          <w:sz w:val="24"/>
          <w:szCs w:val="24"/>
          <w:lang w:val="zh-CN"/>
        </w:rPr>
        <w:t>（</w:t>
      </w:r>
      <w:r>
        <w:rPr>
          <w:color w:val="auto"/>
          <w:kern w:val="0"/>
          <w:sz w:val="24"/>
          <w:szCs w:val="24"/>
        </w:rPr>
        <w:t>5</w:t>
      </w:r>
      <w:r>
        <w:rPr>
          <w:color w:val="auto"/>
          <w:kern w:val="0"/>
          <w:sz w:val="24"/>
          <w:szCs w:val="24"/>
          <w:lang w:val="zh-CN"/>
        </w:rPr>
        <w:t>）乙、丙级非密封放射性物质工作场所（医疗机构使用植入治疗用放射性粒子源的除外）；</w:t>
      </w:r>
    </w:p>
    <w:p w14:paraId="6ABFA549">
      <w:pPr>
        <w:overflowPunct w:val="0"/>
        <w:spacing w:line="360" w:lineRule="auto"/>
        <w:ind w:firstLine="480" w:firstLineChars="200"/>
        <w:rPr>
          <w:color w:val="auto"/>
          <w:kern w:val="0"/>
          <w:sz w:val="24"/>
          <w:szCs w:val="24"/>
          <w:lang w:val="zh-CN"/>
        </w:rPr>
      </w:pPr>
      <w:r>
        <w:rPr>
          <w:color w:val="auto"/>
          <w:kern w:val="0"/>
          <w:sz w:val="24"/>
          <w:szCs w:val="24"/>
          <w:lang w:val="zh-CN"/>
        </w:rPr>
        <w:t>（</w:t>
      </w:r>
      <w:r>
        <w:rPr>
          <w:color w:val="auto"/>
          <w:kern w:val="0"/>
          <w:sz w:val="24"/>
          <w:szCs w:val="24"/>
        </w:rPr>
        <w:t>6</w:t>
      </w:r>
      <w:r>
        <w:rPr>
          <w:color w:val="auto"/>
          <w:kern w:val="0"/>
          <w:sz w:val="24"/>
          <w:szCs w:val="24"/>
          <w:lang w:val="zh-CN"/>
        </w:rPr>
        <w:t>）在野外进行放射性同位素示踪试验的；</w:t>
      </w:r>
    </w:p>
    <w:p w14:paraId="41514F9E">
      <w:pPr>
        <w:overflowPunct w:val="0"/>
        <w:spacing w:line="360" w:lineRule="auto"/>
        <w:ind w:firstLine="480" w:firstLineChars="200"/>
        <w:rPr>
          <w:color w:val="auto"/>
          <w:kern w:val="0"/>
          <w:sz w:val="24"/>
          <w:szCs w:val="24"/>
          <w:lang w:val="zh-CN"/>
        </w:rPr>
      </w:pPr>
      <w:r>
        <w:rPr>
          <w:color w:val="auto"/>
          <w:kern w:val="0"/>
          <w:sz w:val="24"/>
          <w:szCs w:val="24"/>
          <w:lang w:val="zh-CN"/>
        </w:rPr>
        <w:t>（</w:t>
      </w:r>
      <w:r>
        <w:rPr>
          <w:color w:val="auto"/>
          <w:kern w:val="0"/>
          <w:sz w:val="24"/>
          <w:szCs w:val="24"/>
        </w:rPr>
        <w:t>7</w:t>
      </w:r>
      <w:r>
        <w:rPr>
          <w:color w:val="auto"/>
          <w:kern w:val="0"/>
          <w:sz w:val="24"/>
          <w:szCs w:val="24"/>
          <w:lang w:val="zh-CN"/>
        </w:rPr>
        <w:t>）以上项目的改、扩建（不含在已许可场所增加不超出已许可活动种类和不高于已许可范围等级的核素或射线装置的）。</w:t>
      </w:r>
    </w:p>
    <w:p w14:paraId="61C1F7AB">
      <w:pPr>
        <w:overflowPunct w:val="0"/>
        <w:spacing w:line="360" w:lineRule="auto"/>
        <w:ind w:firstLine="480" w:firstLineChars="200"/>
        <w:rPr>
          <w:color w:val="auto"/>
          <w:kern w:val="0"/>
          <w:sz w:val="24"/>
          <w:szCs w:val="24"/>
          <w:lang w:val="zh-CN"/>
        </w:rPr>
      </w:pPr>
      <w:r>
        <w:rPr>
          <w:color w:val="auto"/>
          <w:kern w:val="0"/>
          <w:sz w:val="24"/>
          <w:szCs w:val="24"/>
          <w:lang w:val="zh-CN"/>
        </w:rPr>
        <w:t>放射源分类见《关于发布放射源分类办法的公告》（</w:t>
      </w:r>
      <w:r>
        <w:rPr>
          <w:color w:val="auto"/>
          <w:kern w:val="0"/>
          <w:sz w:val="24"/>
          <w:szCs w:val="24"/>
        </w:rPr>
        <w:t>原</w:t>
      </w:r>
      <w:r>
        <w:rPr>
          <w:color w:val="auto"/>
          <w:kern w:val="0"/>
          <w:sz w:val="24"/>
          <w:szCs w:val="24"/>
          <w:lang w:val="zh-CN"/>
        </w:rPr>
        <w:t>国家环</w:t>
      </w:r>
      <w:r>
        <w:rPr>
          <w:color w:val="auto"/>
          <w:kern w:val="0"/>
          <w:sz w:val="24"/>
          <w:szCs w:val="24"/>
        </w:rPr>
        <w:t>保</w:t>
      </w:r>
      <w:r>
        <w:rPr>
          <w:color w:val="auto"/>
          <w:kern w:val="0"/>
          <w:sz w:val="24"/>
          <w:szCs w:val="24"/>
          <w:lang w:val="zh-CN"/>
        </w:rPr>
        <w:t>总局</w:t>
      </w:r>
      <w:r>
        <w:rPr>
          <w:color w:val="auto"/>
          <w:kern w:val="0"/>
          <w:sz w:val="24"/>
          <w:szCs w:val="24"/>
        </w:rPr>
        <w:t xml:space="preserve"> </w:t>
      </w:r>
      <w:r>
        <w:rPr>
          <w:color w:val="auto"/>
          <w:kern w:val="0"/>
          <w:sz w:val="24"/>
          <w:szCs w:val="24"/>
          <w:lang w:val="zh-CN"/>
        </w:rPr>
        <w:t>公告2005年</w:t>
      </w:r>
      <w:r>
        <w:rPr>
          <w:color w:val="auto"/>
          <w:kern w:val="0"/>
          <w:sz w:val="24"/>
          <w:szCs w:val="24"/>
        </w:rPr>
        <w:t xml:space="preserve"> </w:t>
      </w:r>
      <w:r>
        <w:rPr>
          <w:color w:val="auto"/>
          <w:kern w:val="0"/>
          <w:sz w:val="24"/>
          <w:szCs w:val="24"/>
          <w:lang w:val="zh-CN"/>
        </w:rPr>
        <w:t>第62号），射线装置的分类见《关于发布</w:t>
      </w:r>
      <w:r>
        <w:rPr>
          <w:rFonts w:hint="eastAsia"/>
          <w:color w:val="auto"/>
          <w:kern w:val="0"/>
          <w:sz w:val="24"/>
          <w:szCs w:val="24"/>
          <w:lang w:val="zh-CN"/>
        </w:rPr>
        <w:t>〈</w:t>
      </w:r>
      <w:r>
        <w:rPr>
          <w:color w:val="auto"/>
          <w:kern w:val="0"/>
          <w:sz w:val="24"/>
          <w:szCs w:val="24"/>
          <w:lang w:val="zh-CN"/>
        </w:rPr>
        <w:t>射线装置分类</w:t>
      </w:r>
      <w:r>
        <w:rPr>
          <w:rFonts w:hint="eastAsia"/>
          <w:color w:val="auto"/>
          <w:kern w:val="0"/>
          <w:sz w:val="24"/>
          <w:szCs w:val="24"/>
          <w:lang w:val="zh-CN"/>
        </w:rPr>
        <w:t>〉</w:t>
      </w:r>
      <w:r>
        <w:rPr>
          <w:color w:val="auto"/>
          <w:kern w:val="0"/>
          <w:sz w:val="24"/>
          <w:szCs w:val="24"/>
          <w:lang w:val="zh-CN"/>
        </w:rPr>
        <w:t>的公告》（</w:t>
      </w:r>
      <w:r>
        <w:rPr>
          <w:color w:val="auto"/>
          <w:kern w:val="0"/>
          <w:sz w:val="24"/>
          <w:szCs w:val="24"/>
        </w:rPr>
        <w:t>原</w:t>
      </w:r>
      <w:r>
        <w:rPr>
          <w:color w:val="auto"/>
          <w:kern w:val="0"/>
          <w:sz w:val="24"/>
          <w:szCs w:val="24"/>
          <w:lang w:val="zh-CN"/>
        </w:rPr>
        <w:t>环境保护部和国家卫生计生委</w:t>
      </w:r>
      <w:r>
        <w:rPr>
          <w:color w:val="auto"/>
          <w:kern w:val="0"/>
          <w:sz w:val="24"/>
          <w:szCs w:val="24"/>
        </w:rPr>
        <w:t xml:space="preserve"> </w:t>
      </w:r>
      <w:r>
        <w:rPr>
          <w:color w:val="auto"/>
          <w:kern w:val="0"/>
          <w:sz w:val="24"/>
          <w:szCs w:val="24"/>
          <w:lang w:val="zh-CN"/>
        </w:rPr>
        <w:t>公告</w:t>
      </w:r>
      <w:r>
        <w:rPr>
          <w:color w:val="auto"/>
          <w:kern w:val="0"/>
          <w:sz w:val="24"/>
          <w:szCs w:val="24"/>
        </w:rPr>
        <w:t xml:space="preserve"> </w:t>
      </w:r>
      <w:r>
        <w:rPr>
          <w:color w:val="auto"/>
          <w:kern w:val="0"/>
          <w:sz w:val="24"/>
          <w:szCs w:val="24"/>
          <w:lang w:val="zh-CN"/>
        </w:rPr>
        <w:t>20</w:t>
      </w:r>
      <w:r>
        <w:rPr>
          <w:color w:val="auto"/>
          <w:kern w:val="0"/>
          <w:sz w:val="24"/>
          <w:szCs w:val="24"/>
        </w:rPr>
        <w:t>17</w:t>
      </w:r>
      <w:r>
        <w:rPr>
          <w:color w:val="auto"/>
          <w:kern w:val="0"/>
          <w:sz w:val="24"/>
          <w:szCs w:val="24"/>
          <w:lang w:val="zh-CN"/>
        </w:rPr>
        <w:t>年</w:t>
      </w:r>
      <w:r>
        <w:rPr>
          <w:color w:val="auto"/>
          <w:kern w:val="0"/>
          <w:sz w:val="24"/>
          <w:szCs w:val="24"/>
        </w:rPr>
        <w:t xml:space="preserve"> </w:t>
      </w:r>
      <w:r>
        <w:rPr>
          <w:color w:val="auto"/>
          <w:kern w:val="0"/>
          <w:sz w:val="24"/>
          <w:szCs w:val="24"/>
          <w:lang w:val="zh-CN"/>
        </w:rPr>
        <w:t>第</w:t>
      </w:r>
      <w:r>
        <w:rPr>
          <w:color w:val="auto"/>
          <w:kern w:val="0"/>
          <w:sz w:val="24"/>
          <w:szCs w:val="24"/>
        </w:rPr>
        <w:t>66</w:t>
      </w:r>
      <w:r>
        <w:rPr>
          <w:color w:val="auto"/>
          <w:kern w:val="0"/>
          <w:sz w:val="24"/>
          <w:szCs w:val="24"/>
          <w:lang w:val="zh-CN"/>
        </w:rPr>
        <w:t>号）。</w:t>
      </w:r>
    </w:p>
    <w:p w14:paraId="58111258">
      <w:pPr>
        <w:overflowPunct w:val="0"/>
        <w:spacing w:line="360" w:lineRule="auto"/>
        <w:ind w:firstLine="480" w:firstLineChars="200"/>
        <w:rPr>
          <w:color w:val="auto"/>
          <w:kern w:val="0"/>
          <w:sz w:val="24"/>
          <w:szCs w:val="24"/>
          <w:lang w:val="zh-CN"/>
        </w:rPr>
      </w:pPr>
      <w:r>
        <w:rPr>
          <w:color w:val="auto"/>
          <w:kern w:val="0"/>
          <w:sz w:val="24"/>
          <w:szCs w:val="24"/>
        </w:rPr>
        <w:t>3</w:t>
      </w:r>
      <w:r>
        <w:rPr>
          <w:color w:val="auto"/>
          <w:kern w:val="0"/>
          <w:sz w:val="24"/>
          <w:szCs w:val="24"/>
          <w:lang w:val="zh-CN"/>
        </w:rPr>
        <w:t>.此环境影响报告表中当量剂量与有效剂量等效使用。</w:t>
      </w:r>
    </w:p>
    <w:p w14:paraId="04228B41">
      <w:pPr>
        <w:adjustRightInd w:val="0"/>
        <w:snapToGrid w:val="0"/>
        <w:spacing w:line="480" w:lineRule="auto"/>
        <w:ind w:firstLine="480" w:firstLineChars="200"/>
        <w:rPr>
          <w:color w:val="auto"/>
          <w:kern w:val="0"/>
          <w:sz w:val="24"/>
          <w:szCs w:val="24"/>
          <w:lang w:val="zh-CN"/>
        </w:rPr>
      </w:pPr>
    </w:p>
    <w:p w14:paraId="34A66973">
      <w:pPr>
        <w:adjustRightInd w:val="0"/>
        <w:snapToGrid w:val="0"/>
        <w:spacing w:line="480" w:lineRule="auto"/>
        <w:ind w:firstLine="480" w:firstLineChars="200"/>
        <w:rPr>
          <w:color w:val="auto"/>
          <w:kern w:val="0"/>
          <w:sz w:val="24"/>
          <w:szCs w:val="24"/>
          <w:lang w:val="zh-CN"/>
        </w:rPr>
      </w:pPr>
    </w:p>
    <w:p w14:paraId="7921D53E">
      <w:pPr>
        <w:rPr>
          <w:color w:val="auto"/>
          <w:lang w:val="zh-CN"/>
        </w:rPr>
      </w:pPr>
    </w:p>
    <w:p w14:paraId="46C876D5">
      <w:pPr>
        <w:adjustRightInd w:val="0"/>
        <w:snapToGrid w:val="0"/>
        <w:spacing w:line="480" w:lineRule="auto"/>
        <w:ind w:firstLine="480" w:firstLineChars="200"/>
        <w:rPr>
          <w:color w:val="auto"/>
          <w:kern w:val="0"/>
          <w:sz w:val="24"/>
          <w:szCs w:val="24"/>
          <w:lang w:val="zh-CN"/>
        </w:rPr>
      </w:pPr>
    </w:p>
    <w:p w14:paraId="66EFCF39">
      <w:pPr>
        <w:adjustRightInd w:val="0"/>
        <w:snapToGrid w:val="0"/>
        <w:spacing w:line="480" w:lineRule="auto"/>
        <w:ind w:firstLine="560" w:firstLineChars="200"/>
        <w:rPr>
          <w:color w:val="auto"/>
          <w:sz w:val="28"/>
          <w:szCs w:val="28"/>
        </w:rPr>
      </w:pPr>
    </w:p>
    <w:p w14:paraId="7EA919A7">
      <w:pPr>
        <w:pStyle w:val="12"/>
        <w:rPr>
          <w:color w:val="auto"/>
        </w:rPr>
      </w:pPr>
    </w:p>
    <w:p w14:paraId="71FB3754">
      <w:pPr>
        <w:rPr>
          <w:color w:val="auto"/>
        </w:rPr>
      </w:pPr>
    </w:p>
    <w:p w14:paraId="34C133E5">
      <w:pPr>
        <w:pStyle w:val="89"/>
        <w:jc w:val="center"/>
        <w:rPr>
          <w:rFonts w:ascii="Times New Roman" w:hAnsi="Times New Roman" w:eastAsia="黑体"/>
          <w:color w:val="auto"/>
          <w:lang w:val="zh-CN"/>
        </w:rPr>
        <w:sectPr>
          <w:headerReference r:id="rId3" w:type="default"/>
          <w:footerReference r:id="rId4" w:type="default"/>
          <w:pgSz w:w="11907" w:h="16840"/>
          <w:pgMar w:top="1440" w:right="1800" w:bottom="1440" w:left="1519" w:header="964" w:footer="964" w:gutter="0"/>
          <w:pgBorders>
            <w:top w:val="none" w:sz="0" w:space="0"/>
            <w:left w:val="none" w:sz="0" w:space="0"/>
            <w:bottom w:val="none" w:sz="0" w:space="0"/>
            <w:right w:val="none" w:sz="0" w:space="0"/>
          </w:pgBorders>
          <w:pgNumType w:start="1"/>
          <w:cols w:space="720" w:num="1"/>
          <w:docGrid w:type="lines" w:linePitch="312" w:charSpace="0"/>
        </w:sectPr>
      </w:pPr>
    </w:p>
    <w:p w14:paraId="3C86E3B6">
      <w:pPr>
        <w:pStyle w:val="89"/>
        <w:jc w:val="center"/>
        <w:rPr>
          <w:rFonts w:ascii="Times New Roman" w:hAnsi="Times New Roman" w:eastAsia="黑体"/>
          <w:b/>
          <w:bCs/>
          <w:color w:val="auto"/>
        </w:rPr>
      </w:pPr>
      <w:r>
        <w:rPr>
          <w:rFonts w:ascii="Times New Roman" w:hAnsi="Times New Roman" w:eastAsia="黑体"/>
          <w:b/>
          <w:bCs/>
          <w:color w:val="auto"/>
          <w:lang w:val="zh-CN"/>
        </w:rPr>
        <w:t>目    录</w:t>
      </w:r>
    </w:p>
    <w:p w14:paraId="62CACF98">
      <w:pPr>
        <w:pStyle w:val="26"/>
        <w:tabs>
          <w:tab w:val="right" w:leader="dot" w:pos="8307"/>
        </w:tabs>
        <w:rPr>
          <w:color w:val="auto"/>
          <w:sz w:val="28"/>
          <w:szCs w:val="28"/>
        </w:rPr>
      </w:pPr>
      <w:r>
        <w:rPr>
          <w:color w:val="auto"/>
          <w:sz w:val="28"/>
          <w:szCs w:val="28"/>
        </w:rPr>
        <w:fldChar w:fldCharType="begin"/>
      </w:r>
      <w:r>
        <w:rPr>
          <w:color w:val="auto"/>
          <w:sz w:val="28"/>
          <w:szCs w:val="28"/>
        </w:rPr>
        <w:instrText xml:space="preserve"> TOC \o "1-3" \h \z \u </w:instrText>
      </w:r>
      <w:r>
        <w:rPr>
          <w:color w:val="auto"/>
          <w:sz w:val="28"/>
          <w:szCs w:val="28"/>
        </w:rPr>
        <w:fldChar w:fldCharType="separate"/>
      </w:r>
      <w:r>
        <w:rPr>
          <w:color w:val="auto"/>
          <w:sz w:val="28"/>
          <w:szCs w:val="28"/>
        </w:rPr>
        <w:fldChar w:fldCharType="begin"/>
      </w:r>
      <w:r>
        <w:rPr>
          <w:color w:val="auto"/>
          <w:sz w:val="28"/>
          <w:szCs w:val="28"/>
        </w:rPr>
        <w:instrText xml:space="preserve"> HYPERLINK \l _Toc14807 </w:instrText>
      </w:r>
      <w:r>
        <w:rPr>
          <w:color w:val="auto"/>
          <w:sz w:val="28"/>
          <w:szCs w:val="28"/>
        </w:rPr>
        <w:fldChar w:fldCharType="separate"/>
      </w:r>
      <w:r>
        <w:rPr>
          <w:color w:val="auto"/>
          <w:sz w:val="28"/>
          <w:szCs w:val="28"/>
        </w:rPr>
        <w:t>表1 项目基本情况</w:t>
      </w:r>
      <w:r>
        <w:rPr>
          <w:color w:val="auto"/>
          <w:sz w:val="28"/>
          <w:szCs w:val="28"/>
        </w:rPr>
        <w:tab/>
      </w:r>
      <w:r>
        <w:rPr>
          <w:color w:val="auto"/>
          <w:sz w:val="28"/>
          <w:szCs w:val="28"/>
        </w:rPr>
        <w:fldChar w:fldCharType="begin"/>
      </w:r>
      <w:r>
        <w:rPr>
          <w:color w:val="auto"/>
          <w:sz w:val="28"/>
          <w:szCs w:val="28"/>
        </w:rPr>
        <w:instrText xml:space="preserve"> PAGEREF _Toc14807 \h </w:instrText>
      </w:r>
      <w:r>
        <w:rPr>
          <w:color w:val="auto"/>
          <w:sz w:val="28"/>
          <w:szCs w:val="28"/>
        </w:rPr>
        <w:fldChar w:fldCharType="separate"/>
      </w:r>
      <w:r>
        <w:rPr>
          <w:color w:val="auto"/>
          <w:sz w:val="28"/>
          <w:szCs w:val="28"/>
        </w:rPr>
        <w:t>1</w:t>
      </w:r>
      <w:r>
        <w:rPr>
          <w:color w:val="auto"/>
          <w:sz w:val="28"/>
          <w:szCs w:val="28"/>
        </w:rPr>
        <w:fldChar w:fldCharType="end"/>
      </w:r>
      <w:r>
        <w:rPr>
          <w:color w:val="auto"/>
          <w:sz w:val="28"/>
          <w:szCs w:val="28"/>
        </w:rPr>
        <w:fldChar w:fldCharType="end"/>
      </w:r>
    </w:p>
    <w:p w14:paraId="3DCCD50F">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_Toc2830 </w:instrText>
      </w:r>
      <w:r>
        <w:rPr>
          <w:bCs/>
          <w:color w:val="auto"/>
          <w:sz w:val="28"/>
          <w:szCs w:val="28"/>
          <w:lang w:val="zh-CN"/>
        </w:rPr>
        <w:fldChar w:fldCharType="separate"/>
      </w:r>
      <w:r>
        <w:rPr>
          <w:color w:val="auto"/>
          <w:sz w:val="28"/>
          <w:szCs w:val="28"/>
          <w:highlight w:val="none"/>
        </w:rPr>
        <w:t>表2 放射源</w:t>
      </w:r>
      <w:r>
        <w:rPr>
          <w:color w:val="auto"/>
          <w:sz w:val="28"/>
          <w:szCs w:val="28"/>
        </w:rPr>
        <w:tab/>
      </w:r>
      <w:r>
        <w:rPr>
          <w:color w:val="auto"/>
          <w:sz w:val="28"/>
          <w:szCs w:val="28"/>
        </w:rPr>
        <w:fldChar w:fldCharType="begin"/>
      </w:r>
      <w:r>
        <w:rPr>
          <w:color w:val="auto"/>
          <w:sz w:val="28"/>
          <w:szCs w:val="28"/>
        </w:rPr>
        <w:instrText xml:space="preserve"> PAGEREF _Toc2830 \h </w:instrText>
      </w:r>
      <w:r>
        <w:rPr>
          <w:color w:val="auto"/>
          <w:sz w:val="28"/>
          <w:szCs w:val="28"/>
        </w:rPr>
        <w:fldChar w:fldCharType="separate"/>
      </w:r>
      <w:r>
        <w:rPr>
          <w:color w:val="auto"/>
          <w:sz w:val="28"/>
          <w:szCs w:val="28"/>
        </w:rPr>
        <w:t>12</w:t>
      </w:r>
      <w:r>
        <w:rPr>
          <w:color w:val="auto"/>
          <w:sz w:val="28"/>
          <w:szCs w:val="28"/>
        </w:rPr>
        <w:fldChar w:fldCharType="end"/>
      </w:r>
      <w:r>
        <w:rPr>
          <w:bCs/>
          <w:color w:val="auto"/>
          <w:sz w:val="28"/>
          <w:szCs w:val="28"/>
          <w:lang w:val="zh-CN"/>
        </w:rPr>
        <w:fldChar w:fldCharType="end"/>
      </w:r>
    </w:p>
    <w:p w14:paraId="4F25A85B">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_Toc24503 </w:instrText>
      </w:r>
      <w:r>
        <w:rPr>
          <w:bCs/>
          <w:color w:val="auto"/>
          <w:sz w:val="28"/>
          <w:szCs w:val="28"/>
          <w:lang w:val="zh-CN"/>
        </w:rPr>
        <w:fldChar w:fldCharType="separate"/>
      </w:r>
      <w:r>
        <w:rPr>
          <w:color w:val="auto"/>
          <w:sz w:val="28"/>
          <w:szCs w:val="28"/>
          <w:highlight w:val="none"/>
        </w:rPr>
        <w:t>表3 非密封放射性物质</w:t>
      </w:r>
      <w:r>
        <w:rPr>
          <w:color w:val="auto"/>
          <w:sz w:val="28"/>
          <w:szCs w:val="28"/>
        </w:rPr>
        <w:tab/>
      </w:r>
      <w:r>
        <w:rPr>
          <w:color w:val="auto"/>
          <w:sz w:val="28"/>
          <w:szCs w:val="28"/>
        </w:rPr>
        <w:fldChar w:fldCharType="begin"/>
      </w:r>
      <w:r>
        <w:rPr>
          <w:color w:val="auto"/>
          <w:sz w:val="28"/>
          <w:szCs w:val="28"/>
        </w:rPr>
        <w:instrText xml:space="preserve"> PAGEREF _Toc24503 \h </w:instrText>
      </w:r>
      <w:r>
        <w:rPr>
          <w:color w:val="auto"/>
          <w:sz w:val="28"/>
          <w:szCs w:val="28"/>
        </w:rPr>
        <w:fldChar w:fldCharType="separate"/>
      </w:r>
      <w:r>
        <w:rPr>
          <w:color w:val="auto"/>
          <w:sz w:val="28"/>
          <w:szCs w:val="28"/>
        </w:rPr>
        <w:t>12</w:t>
      </w:r>
      <w:r>
        <w:rPr>
          <w:color w:val="auto"/>
          <w:sz w:val="28"/>
          <w:szCs w:val="28"/>
        </w:rPr>
        <w:fldChar w:fldCharType="end"/>
      </w:r>
      <w:r>
        <w:rPr>
          <w:bCs/>
          <w:color w:val="auto"/>
          <w:sz w:val="28"/>
          <w:szCs w:val="28"/>
          <w:lang w:val="zh-CN"/>
        </w:rPr>
        <w:fldChar w:fldCharType="end"/>
      </w:r>
    </w:p>
    <w:p w14:paraId="322F2CC1">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_Toc1216 </w:instrText>
      </w:r>
      <w:r>
        <w:rPr>
          <w:bCs/>
          <w:color w:val="auto"/>
          <w:sz w:val="28"/>
          <w:szCs w:val="28"/>
          <w:lang w:val="zh-CN"/>
        </w:rPr>
        <w:fldChar w:fldCharType="separate"/>
      </w:r>
      <w:r>
        <w:rPr>
          <w:color w:val="auto"/>
          <w:sz w:val="28"/>
          <w:szCs w:val="28"/>
          <w:highlight w:val="none"/>
        </w:rPr>
        <w:t>表4 射线装置</w:t>
      </w:r>
      <w:r>
        <w:rPr>
          <w:color w:val="auto"/>
          <w:sz w:val="28"/>
          <w:szCs w:val="28"/>
        </w:rPr>
        <w:tab/>
      </w:r>
      <w:r>
        <w:rPr>
          <w:color w:val="auto"/>
          <w:sz w:val="28"/>
          <w:szCs w:val="28"/>
        </w:rPr>
        <w:fldChar w:fldCharType="begin"/>
      </w:r>
      <w:r>
        <w:rPr>
          <w:color w:val="auto"/>
          <w:sz w:val="28"/>
          <w:szCs w:val="28"/>
        </w:rPr>
        <w:instrText xml:space="preserve"> PAGEREF _Toc1216 \h </w:instrText>
      </w:r>
      <w:r>
        <w:rPr>
          <w:color w:val="auto"/>
          <w:sz w:val="28"/>
          <w:szCs w:val="28"/>
        </w:rPr>
        <w:fldChar w:fldCharType="separate"/>
      </w:r>
      <w:r>
        <w:rPr>
          <w:color w:val="auto"/>
          <w:sz w:val="28"/>
          <w:szCs w:val="28"/>
        </w:rPr>
        <w:t>13</w:t>
      </w:r>
      <w:r>
        <w:rPr>
          <w:color w:val="auto"/>
          <w:sz w:val="28"/>
          <w:szCs w:val="28"/>
        </w:rPr>
        <w:fldChar w:fldCharType="end"/>
      </w:r>
      <w:r>
        <w:rPr>
          <w:bCs/>
          <w:color w:val="auto"/>
          <w:sz w:val="28"/>
          <w:szCs w:val="28"/>
          <w:lang w:val="zh-CN"/>
        </w:rPr>
        <w:fldChar w:fldCharType="end"/>
      </w:r>
    </w:p>
    <w:p w14:paraId="259AE5F4">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_Toc30918 </w:instrText>
      </w:r>
      <w:r>
        <w:rPr>
          <w:bCs/>
          <w:color w:val="auto"/>
          <w:sz w:val="28"/>
          <w:szCs w:val="28"/>
          <w:lang w:val="zh-CN"/>
        </w:rPr>
        <w:fldChar w:fldCharType="separate"/>
      </w:r>
      <w:r>
        <w:rPr>
          <w:color w:val="auto"/>
          <w:sz w:val="28"/>
          <w:szCs w:val="28"/>
          <w:highlight w:val="none"/>
        </w:rPr>
        <w:t>表5 废弃物</w:t>
      </w:r>
      <w:r>
        <w:rPr>
          <w:rFonts w:hint="eastAsia"/>
          <w:color w:val="auto"/>
          <w:sz w:val="28"/>
          <w:szCs w:val="28"/>
          <w:highlight w:val="none"/>
        </w:rPr>
        <w:t>（重点是放射性废弃物）</w:t>
      </w:r>
      <w:r>
        <w:rPr>
          <w:color w:val="auto"/>
          <w:sz w:val="28"/>
          <w:szCs w:val="28"/>
        </w:rPr>
        <w:tab/>
      </w:r>
      <w:r>
        <w:rPr>
          <w:color w:val="auto"/>
          <w:sz w:val="28"/>
          <w:szCs w:val="28"/>
        </w:rPr>
        <w:fldChar w:fldCharType="begin"/>
      </w:r>
      <w:r>
        <w:rPr>
          <w:color w:val="auto"/>
          <w:sz w:val="28"/>
          <w:szCs w:val="28"/>
        </w:rPr>
        <w:instrText xml:space="preserve"> PAGEREF _Toc30918 \h </w:instrText>
      </w:r>
      <w:r>
        <w:rPr>
          <w:color w:val="auto"/>
          <w:sz w:val="28"/>
          <w:szCs w:val="28"/>
        </w:rPr>
        <w:fldChar w:fldCharType="separate"/>
      </w:r>
      <w:r>
        <w:rPr>
          <w:color w:val="auto"/>
          <w:sz w:val="28"/>
          <w:szCs w:val="28"/>
        </w:rPr>
        <w:t>14</w:t>
      </w:r>
      <w:r>
        <w:rPr>
          <w:color w:val="auto"/>
          <w:sz w:val="28"/>
          <w:szCs w:val="28"/>
        </w:rPr>
        <w:fldChar w:fldCharType="end"/>
      </w:r>
      <w:r>
        <w:rPr>
          <w:bCs/>
          <w:color w:val="auto"/>
          <w:sz w:val="28"/>
          <w:szCs w:val="28"/>
          <w:lang w:val="zh-CN"/>
        </w:rPr>
        <w:fldChar w:fldCharType="end"/>
      </w:r>
    </w:p>
    <w:p w14:paraId="297BA8E4">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_Toc20164 </w:instrText>
      </w:r>
      <w:r>
        <w:rPr>
          <w:bCs/>
          <w:color w:val="auto"/>
          <w:sz w:val="28"/>
          <w:szCs w:val="28"/>
          <w:lang w:val="zh-CN"/>
        </w:rPr>
        <w:fldChar w:fldCharType="separate"/>
      </w:r>
      <w:r>
        <w:rPr>
          <w:color w:val="auto"/>
          <w:sz w:val="28"/>
          <w:szCs w:val="28"/>
          <w:highlight w:val="none"/>
        </w:rPr>
        <w:t>表6 评价依据</w:t>
      </w:r>
      <w:r>
        <w:rPr>
          <w:color w:val="auto"/>
          <w:sz w:val="28"/>
          <w:szCs w:val="28"/>
        </w:rPr>
        <w:tab/>
      </w:r>
      <w:r>
        <w:rPr>
          <w:color w:val="auto"/>
          <w:sz w:val="28"/>
          <w:szCs w:val="28"/>
        </w:rPr>
        <w:fldChar w:fldCharType="begin"/>
      </w:r>
      <w:r>
        <w:rPr>
          <w:color w:val="auto"/>
          <w:sz w:val="28"/>
          <w:szCs w:val="28"/>
        </w:rPr>
        <w:instrText xml:space="preserve"> PAGEREF _Toc20164 \h </w:instrText>
      </w:r>
      <w:r>
        <w:rPr>
          <w:color w:val="auto"/>
          <w:sz w:val="28"/>
          <w:szCs w:val="28"/>
        </w:rPr>
        <w:fldChar w:fldCharType="separate"/>
      </w:r>
      <w:r>
        <w:rPr>
          <w:color w:val="auto"/>
          <w:sz w:val="28"/>
          <w:szCs w:val="28"/>
        </w:rPr>
        <w:t>15</w:t>
      </w:r>
      <w:r>
        <w:rPr>
          <w:color w:val="auto"/>
          <w:sz w:val="28"/>
          <w:szCs w:val="28"/>
        </w:rPr>
        <w:fldChar w:fldCharType="end"/>
      </w:r>
      <w:r>
        <w:rPr>
          <w:bCs/>
          <w:color w:val="auto"/>
          <w:sz w:val="28"/>
          <w:szCs w:val="28"/>
          <w:lang w:val="zh-CN"/>
        </w:rPr>
        <w:fldChar w:fldCharType="end"/>
      </w:r>
    </w:p>
    <w:p w14:paraId="653C41E8">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_Toc25676 </w:instrText>
      </w:r>
      <w:r>
        <w:rPr>
          <w:bCs/>
          <w:color w:val="auto"/>
          <w:sz w:val="28"/>
          <w:szCs w:val="28"/>
          <w:lang w:val="zh-CN"/>
        </w:rPr>
        <w:fldChar w:fldCharType="separate"/>
      </w:r>
      <w:r>
        <w:rPr>
          <w:color w:val="auto"/>
          <w:sz w:val="28"/>
          <w:szCs w:val="28"/>
          <w:highlight w:val="none"/>
        </w:rPr>
        <w:t>表7 保护目标与评价标准</w:t>
      </w:r>
      <w:r>
        <w:rPr>
          <w:color w:val="auto"/>
          <w:sz w:val="28"/>
          <w:szCs w:val="28"/>
        </w:rPr>
        <w:tab/>
      </w:r>
      <w:r>
        <w:rPr>
          <w:color w:val="auto"/>
          <w:sz w:val="28"/>
          <w:szCs w:val="28"/>
        </w:rPr>
        <w:fldChar w:fldCharType="begin"/>
      </w:r>
      <w:r>
        <w:rPr>
          <w:color w:val="auto"/>
          <w:sz w:val="28"/>
          <w:szCs w:val="28"/>
        </w:rPr>
        <w:instrText xml:space="preserve"> PAGEREF _Toc25676 \h </w:instrText>
      </w:r>
      <w:r>
        <w:rPr>
          <w:color w:val="auto"/>
          <w:sz w:val="28"/>
          <w:szCs w:val="28"/>
        </w:rPr>
        <w:fldChar w:fldCharType="separate"/>
      </w:r>
      <w:r>
        <w:rPr>
          <w:color w:val="auto"/>
          <w:sz w:val="28"/>
          <w:szCs w:val="28"/>
        </w:rPr>
        <w:t>18</w:t>
      </w:r>
      <w:r>
        <w:rPr>
          <w:color w:val="auto"/>
          <w:sz w:val="28"/>
          <w:szCs w:val="28"/>
        </w:rPr>
        <w:fldChar w:fldCharType="end"/>
      </w:r>
      <w:r>
        <w:rPr>
          <w:bCs/>
          <w:color w:val="auto"/>
          <w:sz w:val="28"/>
          <w:szCs w:val="28"/>
          <w:lang w:val="zh-CN"/>
        </w:rPr>
        <w:fldChar w:fldCharType="end"/>
      </w:r>
    </w:p>
    <w:p w14:paraId="423FA005">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_Toc5152 </w:instrText>
      </w:r>
      <w:r>
        <w:rPr>
          <w:bCs/>
          <w:color w:val="auto"/>
          <w:sz w:val="28"/>
          <w:szCs w:val="28"/>
          <w:lang w:val="zh-CN"/>
        </w:rPr>
        <w:fldChar w:fldCharType="separate"/>
      </w:r>
      <w:r>
        <w:rPr>
          <w:color w:val="auto"/>
          <w:sz w:val="28"/>
          <w:szCs w:val="28"/>
          <w:highlight w:val="none"/>
        </w:rPr>
        <w:t>表8 环境质量和辐射现状</w:t>
      </w:r>
      <w:r>
        <w:rPr>
          <w:color w:val="auto"/>
          <w:sz w:val="28"/>
          <w:szCs w:val="28"/>
        </w:rPr>
        <w:tab/>
      </w:r>
      <w:r>
        <w:rPr>
          <w:color w:val="auto"/>
          <w:sz w:val="28"/>
          <w:szCs w:val="28"/>
        </w:rPr>
        <w:fldChar w:fldCharType="begin"/>
      </w:r>
      <w:r>
        <w:rPr>
          <w:color w:val="auto"/>
          <w:sz w:val="28"/>
          <w:szCs w:val="28"/>
        </w:rPr>
        <w:instrText xml:space="preserve"> PAGEREF _Toc5152 \h </w:instrText>
      </w:r>
      <w:r>
        <w:rPr>
          <w:color w:val="auto"/>
          <w:sz w:val="28"/>
          <w:szCs w:val="28"/>
        </w:rPr>
        <w:fldChar w:fldCharType="separate"/>
      </w:r>
      <w:r>
        <w:rPr>
          <w:color w:val="auto"/>
          <w:sz w:val="28"/>
          <w:szCs w:val="28"/>
        </w:rPr>
        <w:t>28</w:t>
      </w:r>
      <w:r>
        <w:rPr>
          <w:color w:val="auto"/>
          <w:sz w:val="28"/>
          <w:szCs w:val="28"/>
        </w:rPr>
        <w:fldChar w:fldCharType="end"/>
      </w:r>
      <w:r>
        <w:rPr>
          <w:bCs/>
          <w:color w:val="auto"/>
          <w:sz w:val="28"/>
          <w:szCs w:val="28"/>
          <w:lang w:val="zh-CN"/>
        </w:rPr>
        <w:fldChar w:fldCharType="end"/>
      </w:r>
    </w:p>
    <w:p w14:paraId="47DF153C">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_Toc20108 </w:instrText>
      </w:r>
      <w:r>
        <w:rPr>
          <w:bCs/>
          <w:color w:val="auto"/>
          <w:sz w:val="28"/>
          <w:szCs w:val="28"/>
          <w:lang w:val="zh-CN"/>
        </w:rPr>
        <w:fldChar w:fldCharType="separate"/>
      </w:r>
      <w:r>
        <w:rPr>
          <w:color w:val="auto"/>
          <w:sz w:val="28"/>
          <w:szCs w:val="28"/>
          <w:highlight w:val="none"/>
        </w:rPr>
        <w:t>表9 项目工程分析与源项</w:t>
      </w:r>
      <w:r>
        <w:rPr>
          <w:color w:val="auto"/>
          <w:sz w:val="28"/>
          <w:szCs w:val="28"/>
        </w:rPr>
        <w:tab/>
      </w:r>
      <w:r>
        <w:rPr>
          <w:color w:val="auto"/>
          <w:sz w:val="28"/>
          <w:szCs w:val="28"/>
        </w:rPr>
        <w:fldChar w:fldCharType="begin"/>
      </w:r>
      <w:r>
        <w:rPr>
          <w:color w:val="auto"/>
          <w:sz w:val="28"/>
          <w:szCs w:val="28"/>
        </w:rPr>
        <w:instrText xml:space="preserve"> PAGEREF _Toc20108 \h </w:instrText>
      </w:r>
      <w:r>
        <w:rPr>
          <w:color w:val="auto"/>
          <w:sz w:val="28"/>
          <w:szCs w:val="28"/>
        </w:rPr>
        <w:fldChar w:fldCharType="separate"/>
      </w:r>
      <w:r>
        <w:rPr>
          <w:color w:val="auto"/>
          <w:sz w:val="28"/>
          <w:szCs w:val="28"/>
        </w:rPr>
        <w:t>32</w:t>
      </w:r>
      <w:r>
        <w:rPr>
          <w:color w:val="auto"/>
          <w:sz w:val="28"/>
          <w:szCs w:val="28"/>
        </w:rPr>
        <w:fldChar w:fldCharType="end"/>
      </w:r>
      <w:r>
        <w:rPr>
          <w:bCs/>
          <w:color w:val="auto"/>
          <w:sz w:val="28"/>
          <w:szCs w:val="28"/>
          <w:lang w:val="zh-CN"/>
        </w:rPr>
        <w:fldChar w:fldCharType="end"/>
      </w:r>
    </w:p>
    <w:p w14:paraId="5914A6F6">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_Toc12286 </w:instrText>
      </w:r>
      <w:r>
        <w:rPr>
          <w:bCs/>
          <w:color w:val="auto"/>
          <w:sz w:val="28"/>
          <w:szCs w:val="28"/>
          <w:lang w:val="zh-CN"/>
        </w:rPr>
        <w:fldChar w:fldCharType="separate"/>
      </w:r>
      <w:r>
        <w:rPr>
          <w:color w:val="auto"/>
          <w:sz w:val="28"/>
          <w:szCs w:val="28"/>
          <w:highlight w:val="none"/>
        </w:rPr>
        <w:t>表10 辐射安全与防护</w:t>
      </w:r>
      <w:r>
        <w:rPr>
          <w:color w:val="auto"/>
          <w:sz w:val="28"/>
          <w:szCs w:val="28"/>
        </w:rPr>
        <w:tab/>
      </w:r>
      <w:r>
        <w:rPr>
          <w:color w:val="auto"/>
          <w:sz w:val="28"/>
          <w:szCs w:val="28"/>
        </w:rPr>
        <w:fldChar w:fldCharType="begin"/>
      </w:r>
      <w:r>
        <w:rPr>
          <w:color w:val="auto"/>
          <w:sz w:val="28"/>
          <w:szCs w:val="28"/>
        </w:rPr>
        <w:instrText xml:space="preserve"> PAGEREF _Toc12286 \h </w:instrText>
      </w:r>
      <w:r>
        <w:rPr>
          <w:color w:val="auto"/>
          <w:sz w:val="28"/>
          <w:szCs w:val="28"/>
        </w:rPr>
        <w:fldChar w:fldCharType="separate"/>
      </w:r>
      <w:r>
        <w:rPr>
          <w:color w:val="auto"/>
          <w:sz w:val="28"/>
          <w:szCs w:val="28"/>
        </w:rPr>
        <w:t>40</w:t>
      </w:r>
      <w:r>
        <w:rPr>
          <w:color w:val="auto"/>
          <w:sz w:val="28"/>
          <w:szCs w:val="28"/>
        </w:rPr>
        <w:fldChar w:fldCharType="end"/>
      </w:r>
      <w:r>
        <w:rPr>
          <w:bCs/>
          <w:color w:val="auto"/>
          <w:sz w:val="28"/>
          <w:szCs w:val="28"/>
          <w:lang w:val="zh-CN"/>
        </w:rPr>
        <w:fldChar w:fldCharType="end"/>
      </w:r>
    </w:p>
    <w:p w14:paraId="2554345F">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_Toc20025 </w:instrText>
      </w:r>
      <w:r>
        <w:rPr>
          <w:bCs/>
          <w:color w:val="auto"/>
          <w:sz w:val="28"/>
          <w:szCs w:val="28"/>
          <w:lang w:val="zh-CN"/>
        </w:rPr>
        <w:fldChar w:fldCharType="separate"/>
      </w:r>
      <w:r>
        <w:rPr>
          <w:color w:val="auto"/>
          <w:sz w:val="28"/>
          <w:szCs w:val="28"/>
          <w:highlight w:val="none"/>
        </w:rPr>
        <w:t>表11 环境影响分析</w:t>
      </w:r>
      <w:r>
        <w:rPr>
          <w:color w:val="auto"/>
          <w:sz w:val="28"/>
          <w:szCs w:val="28"/>
        </w:rPr>
        <w:tab/>
      </w:r>
      <w:r>
        <w:rPr>
          <w:color w:val="auto"/>
          <w:sz w:val="28"/>
          <w:szCs w:val="28"/>
        </w:rPr>
        <w:fldChar w:fldCharType="begin"/>
      </w:r>
      <w:r>
        <w:rPr>
          <w:color w:val="auto"/>
          <w:sz w:val="28"/>
          <w:szCs w:val="28"/>
        </w:rPr>
        <w:instrText xml:space="preserve"> PAGEREF _Toc20025 \h </w:instrText>
      </w:r>
      <w:r>
        <w:rPr>
          <w:color w:val="auto"/>
          <w:sz w:val="28"/>
          <w:szCs w:val="28"/>
        </w:rPr>
        <w:fldChar w:fldCharType="separate"/>
      </w:r>
      <w:r>
        <w:rPr>
          <w:color w:val="auto"/>
          <w:sz w:val="28"/>
          <w:szCs w:val="28"/>
        </w:rPr>
        <w:t>49</w:t>
      </w:r>
      <w:r>
        <w:rPr>
          <w:color w:val="auto"/>
          <w:sz w:val="28"/>
          <w:szCs w:val="28"/>
        </w:rPr>
        <w:fldChar w:fldCharType="end"/>
      </w:r>
      <w:r>
        <w:rPr>
          <w:bCs/>
          <w:color w:val="auto"/>
          <w:sz w:val="28"/>
          <w:szCs w:val="28"/>
          <w:lang w:val="zh-CN"/>
        </w:rPr>
        <w:fldChar w:fldCharType="end"/>
      </w:r>
    </w:p>
    <w:p w14:paraId="0B6C7ED8">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_Toc3528 </w:instrText>
      </w:r>
      <w:r>
        <w:rPr>
          <w:bCs/>
          <w:color w:val="auto"/>
          <w:sz w:val="28"/>
          <w:szCs w:val="28"/>
          <w:lang w:val="zh-CN"/>
        </w:rPr>
        <w:fldChar w:fldCharType="separate"/>
      </w:r>
      <w:r>
        <w:rPr>
          <w:color w:val="auto"/>
          <w:sz w:val="28"/>
          <w:szCs w:val="28"/>
          <w:highlight w:val="none"/>
        </w:rPr>
        <w:t>表12 辐射安全管理</w:t>
      </w:r>
      <w:r>
        <w:rPr>
          <w:color w:val="auto"/>
          <w:sz w:val="28"/>
          <w:szCs w:val="28"/>
        </w:rPr>
        <w:tab/>
      </w:r>
      <w:r>
        <w:rPr>
          <w:color w:val="auto"/>
          <w:sz w:val="28"/>
          <w:szCs w:val="28"/>
        </w:rPr>
        <w:fldChar w:fldCharType="begin"/>
      </w:r>
      <w:r>
        <w:rPr>
          <w:color w:val="auto"/>
          <w:sz w:val="28"/>
          <w:szCs w:val="28"/>
        </w:rPr>
        <w:instrText xml:space="preserve"> PAGEREF _Toc3528 \h </w:instrText>
      </w:r>
      <w:r>
        <w:rPr>
          <w:color w:val="auto"/>
          <w:sz w:val="28"/>
          <w:szCs w:val="28"/>
        </w:rPr>
        <w:fldChar w:fldCharType="separate"/>
      </w:r>
      <w:r>
        <w:rPr>
          <w:color w:val="auto"/>
          <w:sz w:val="28"/>
          <w:szCs w:val="28"/>
        </w:rPr>
        <w:t>66</w:t>
      </w:r>
      <w:r>
        <w:rPr>
          <w:color w:val="auto"/>
          <w:sz w:val="28"/>
          <w:szCs w:val="28"/>
        </w:rPr>
        <w:fldChar w:fldCharType="end"/>
      </w:r>
      <w:r>
        <w:rPr>
          <w:bCs/>
          <w:color w:val="auto"/>
          <w:sz w:val="28"/>
          <w:szCs w:val="28"/>
          <w:lang w:val="zh-CN"/>
        </w:rPr>
        <w:fldChar w:fldCharType="end"/>
      </w:r>
    </w:p>
    <w:p w14:paraId="73412D99">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_Toc6792 </w:instrText>
      </w:r>
      <w:r>
        <w:rPr>
          <w:bCs/>
          <w:color w:val="auto"/>
          <w:sz w:val="28"/>
          <w:szCs w:val="28"/>
          <w:lang w:val="zh-CN"/>
        </w:rPr>
        <w:fldChar w:fldCharType="separate"/>
      </w:r>
      <w:r>
        <w:rPr>
          <w:color w:val="auto"/>
          <w:sz w:val="28"/>
          <w:szCs w:val="28"/>
          <w:highlight w:val="none"/>
        </w:rPr>
        <w:t>表1</w:t>
      </w:r>
      <w:r>
        <w:rPr>
          <w:rFonts w:hint="eastAsia"/>
          <w:color w:val="auto"/>
          <w:sz w:val="28"/>
          <w:szCs w:val="28"/>
          <w:highlight w:val="none"/>
        </w:rPr>
        <w:t>3</w:t>
      </w:r>
      <w:r>
        <w:rPr>
          <w:color w:val="auto"/>
          <w:sz w:val="28"/>
          <w:szCs w:val="28"/>
          <w:highlight w:val="none"/>
        </w:rPr>
        <w:t xml:space="preserve"> 结论与建议</w:t>
      </w:r>
      <w:r>
        <w:rPr>
          <w:color w:val="auto"/>
          <w:sz w:val="28"/>
          <w:szCs w:val="28"/>
        </w:rPr>
        <w:tab/>
      </w:r>
      <w:r>
        <w:rPr>
          <w:color w:val="auto"/>
          <w:sz w:val="28"/>
          <w:szCs w:val="28"/>
        </w:rPr>
        <w:fldChar w:fldCharType="begin"/>
      </w:r>
      <w:r>
        <w:rPr>
          <w:color w:val="auto"/>
          <w:sz w:val="28"/>
          <w:szCs w:val="28"/>
        </w:rPr>
        <w:instrText xml:space="preserve"> PAGEREF _Toc6792 \h </w:instrText>
      </w:r>
      <w:r>
        <w:rPr>
          <w:color w:val="auto"/>
          <w:sz w:val="28"/>
          <w:szCs w:val="28"/>
        </w:rPr>
        <w:fldChar w:fldCharType="separate"/>
      </w:r>
      <w:r>
        <w:rPr>
          <w:color w:val="auto"/>
          <w:sz w:val="28"/>
          <w:szCs w:val="28"/>
        </w:rPr>
        <w:t>71</w:t>
      </w:r>
      <w:r>
        <w:rPr>
          <w:color w:val="auto"/>
          <w:sz w:val="28"/>
          <w:szCs w:val="28"/>
        </w:rPr>
        <w:fldChar w:fldCharType="end"/>
      </w:r>
      <w:r>
        <w:rPr>
          <w:bCs/>
          <w:color w:val="auto"/>
          <w:sz w:val="28"/>
          <w:szCs w:val="28"/>
          <w:lang w:val="zh-CN"/>
        </w:rPr>
        <w:fldChar w:fldCharType="end"/>
      </w:r>
    </w:p>
    <w:p w14:paraId="5429C7D3">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_Toc881 </w:instrText>
      </w:r>
      <w:r>
        <w:rPr>
          <w:bCs/>
          <w:color w:val="auto"/>
          <w:sz w:val="28"/>
          <w:szCs w:val="28"/>
          <w:lang w:val="zh-CN"/>
        </w:rPr>
        <w:fldChar w:fldCharType="separate"/>
      </w:r>
      <w:r>
        <w:rPr>
          <w:color w:val="auto"/>
          <w:sz w:val="28"/>
          <w:szCs w:val="28"/>
          <w:highlight w:val="none"/>
        </w:rPr>
        <w:t>表1</w:t>
      </w:r>
      <w:r>
        <w:rPr>
          <w:rFonts w:hint="eastAsia"/>
          <w:color w:val="auto"/>
          <w:sz w:val="28"/>
          <w:szCs w:val="28"/>
          <w:highlight w:val="none"/>
        </w:rPr>
        <w:t>4</w:t>
      </w:r>
      <w:r>
        <w:rPr>
          <w:color w:val="auto"/>
          <w:sz w:val="28"/>
          <w:szCs w:val="28"/>
          <w:highlight w:val="none"/>
        </w:rPr>
        <w:t xml:space="preserve"> 审批</w:t>
      </w:r>
      <w:r>
        <w:rPr>
          <w:color w:val="auto"/>
          <w:sz w:val="28"/>
          <w:szCs w:val="28"/>
        </w:rPr>
        <w:tab/>
      </w:r>
      <w:r>
        <w:rPr>
          <w:color w:val="auto"/>
          <w:sz w:val="28"/>
          <w:szCs w:val="28"/>
        </w:rPr>
        <w:fldChar w:fldCharType="begin"/>
      </w:r>
      <w:r>
        <w:rPr>
          <w:color w:val="auto"/>
          <w:sz w:val="28"/>
          <w:szCs w:val="28"/>
        </w:rPr>
        <w:instrText xml:space="preserve"> PAGEREF _Toc881 \h </w:instrText>
      </w:r>
      <w:r>
        <w:rPr>
          <w:color w:val="auto"/>
          <w:sz w:val="28"/>
          <w:szCs w:val="28"/>
        </w:rPr>
        <w:fldChar w:fldCharType="separate"/>
      </w:r>
      <w:r>
        <w:rPr>
          <w:color w:val="auto"/>
          <w:sz w:val="28"/>
          <w:szCs w:val="28"/>
        </w:rPr>
        <w:t>75</w:t>
      </w:r>
      <w:r>
        <w:rPr>
          <w:color w:val="auto"/>
          <w:sz w:val="28"/>
          <w:szCs w:val="28"/>
        </w:rPr>
        <w:fldChar w:fldCharType="end"/>
      </w:r>
      <w:r>
        <w:rPr>
          <w:bCs/>
          <w:color w:val="auto"/>
          <w:sz w:val="28"/>
          <w:szCs w:val="28"/>
          <w:lang w:val="zh-CN"/>
        </w:rPr>
        <w:fldChar w:fldCharType="end"/>
      </w:r>
    </w:p>
    <w:p w14:paraId="7EBCFEA6">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_Toc1776 </w:instrText>
      </w:r>
      <w:r>
        <w:rPr>
          <w:bCs/>
          <w:color w:val="auto"/>
          <w:sz w:val="28"/>
          <w:szCs w:val="28"/>
          <w:lang w:val="zh-CN"/>
        </w:rPr>
        <w:fldChar w:fldCharType="separate"/>
      </w:r>
      <w:r>
        <w:rPr>
          <w:color w:val="auto"/>
          <w:sz w:val="28"/>
          <w:szCs w:val="28"/>
        </w:rPr>
        <w:t>附</w:t>
      </w:r>
      <w:r>
        <w:rPr>
          <w:rFonts w:hint="eastAsia"/>
          <w:color w:val="auto"/>
          <w:sz w:val="28"/>
          <w:szCs w:val="28"/>
        </w:rPr>
        <w:t>图</w:t>
      </w:r>
      <w:r>
        <w:rPr>
          <w:color w:val="auto"/>
          <w:sz w:val="28"/>
          <w:szCs w:val="28"/>
        </w:rPr>
        <w:t>1</w:t>
      </w:r>
      <w:r>
        <w:rPr>
          <w:rFonts w:hint="eastAsia"/>
          <w:color w:val="auto"/>
          <w:sz w:val="28"/>
          <w:szCs w:val="28"/>
        </w:rPr>
        <w:t>：项目</w:t>
      </w:r>
      <w:r>
        <w:rPr>
          <w:rFonts w:hint="eastAsia"/>
          <w:color w:val="auto"/>
          <w:sz w:val="28"/>
          <w:szCs w:val="28"/>
          <w:lang w:val="en-US" w:eastAsia="zh-CN"/>
        </w:rPr>
        <w:t>地理位置</w:t>
      </w:r>
      <w:r>
        <w:rPr>
          <w:rFonts w:hint="eastAsia"/>
          <w:color w:val="auto"/>
          <w:sz w:val="28"/>
          <w:szCs w:val="28"/>
        </w:rPr>
        <w:t>图</w:t>
      </w:r>
      <w:r>
        <w:rPr>
          <w:bCs/>
          <w:color w:val="auto"/>
          <w:sz w:val="28"/>
          <w:szCs w:val="28"/>
          <w:lang w:val="zh-CN"/>
        </w:rPr>
        <w:fldChar w:fldCharType="end"/>
      </w:r>
    </w:p>
    <w:p w14:paraId="508F328A">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_Toc6619 </w:instrText>
      </w:r>
      <w:r>
        <w:rPr>
          <w:bCs/>
          <w:color w:val="auto"/>
          <w:sz w:val="28"/>
          <w:szCs w:val="28"/>
          <w:lang w:val="zh-CN"/>
        </w:rPr>
        <w:fldChar w:fldCharType="separate"/>
      </w:r>
      <w:r>
        <w:rPr>
          <w:color w:val="auto"/>
          <w:sz w:val="28"/>
          <w:szCs w:val="28"/>
        </w:rPr>
        <w:t>附</w:t>
      </w:r>
      <w:r>
        <w:rPr>
          <w:rFonts w:hint="eastAsia"/>
          <w:color w:val="auto"/>
          <w:sz w:val="28"/>
          <w:szCs w:val="28"/>
        </w:rPr>
        <w:t>图</w:t>
      </w:r>
      <w:r>
        <w:rPr>
          <w:rFonts w:hint="eastAsia"/>
          <w:color w:val="auto"/>
          <w:sz w:val="28"/>
          <w:szCs w:val="28"/>
          <w:lang w:val="en-US" w:eastAsia="zh-CN"/>
        </w:rPr>
        <w:t>2</w:t>
      </w:r>
      <w:r>
        <w:rPr>
          <w:rFonts w:hint="eastAsia"/>
          <w:color w:val="auto"/>
          <w:sz w:val="28"/>
          <w:szCs w:val="28"/>
        </w:rPr>
        <w:t>：项目厂区总平面布置图</w:t>
      </w:r>
      <w:r>
        <w:rPr>
          <w:bCs/>
          <w:color w:val="auto"/>
          <w:sz w:val="28"/>
          <w:szCs w:val="28"/>
          <w:lang w:val="zh-CN"/>
        </w:rPr>
        <w:fldChar w:fldCharType="end"/>
      </w:r>
    </w:p>
    <w:p w14:paraId="4CB25737">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_Toc25988 </w:instrText>
      </w:r>
      <w:r>
        <w:rPr>
          <w:bCs/>
          <w:color w:val="auto"/>
          <w:sz w:val="28"/>
          <w:szCs w:val="28"/>
          <w:lang w:val="zh-CN"/>
        </w:rPr>
        <w:fldChar w:fldCharType="separate"/>
      </w:r>
      <w:r>
        <w:rPr>
          <w:rFonts w:hint="eastAsia"/>
          <w:color w:val="auto"/>
          <w:sz w:val="28"/>
          <w:szCs w:val="28"/>
          <w:lang w:val="en-US" w:eastAsia="zh-CN"/>
        </w:rPr>
        <w:t>附图3：探伤房平面布局图</w:t>
      </w:r>
      <w:r>
        <w:rPr>
          <w:bCs/>
          <w:color w:val="auto"/>
          <w:sz w:val="28"/>
          <w:szCs w:val="28"/>
          <w:lang w:val="zh-CN"/>
        </w:rPr>
        <w:fldChar w:fldCharType="end"/>
      </w:r>
    </w:p>
    <w:p w14:paraId="0ACBF1F5">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_Toc25988 </w:instrText>
      </w:r>
      <w:r>
        <w:rPr>
          <w:bCs/>
          <w:color w:val="auto"/>
          <w:sz w:val="28"/>
          <w:szCs w:val="28"/>
          <w:lang w:val="zh-CN"/>
        </w:rPr>
        <w:fldChar w:fldCharType="separate"/>
      </w:r>
      <w:r>
        <w:rPr>
          <w:rFonts w:hint="eastAsia"/>
          <w:color w:val="auto"/>
          <w:sz w:val="28"/>
          <w:szCs w:val="28"/>
          <w:lang w:val="en-US" w:eastAsia="zh-CN"/>
        </w:rPr>
        <w:t>附图4：探伤房防护设施设计图</w:t>
      </w:r>
      <w:r>
        <w:rPr>
          <w:bCs/>
          <w:color w:val="auto"/>
          <w:sz w:val="28"/>
          <w:szCs w:val="28"/>
          <w:lang w:val="zh-CN"/>
        </w:rPr>
        <w:fldChar w:fldCharType="end"/>
      </w:r>
    </w:p>
    <w:p w14:paraId="055F171F">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_Toc19236 </w:instrText>
      </w:r>
      <w:r>
        <w:rPr>
          <w:bCs/>
          <w:color w:val="auto"/>
          <w:sz w:val="28"/>
          <w:szCs w:val="28"/>
          <w:lang w:val="zh-CN"/>
        </w:rPr>
        <w:fldChar w:fldCharType="separate"/>
      </w:r>
      <w:r>
        <w:rPr>
          <w:color w:val="auto"/>
          <w:sz w:val="28"/>
          <w:szCs w:val="28"/>
        </w:rPr>
        <w:t>附</w:t>
      </w:r>
      <w:r>
        <w:rPr>
          <w:rFonts w:hint="eastAsia"/>
          <w:color w:val="auto"/>
          <w:sz w:val="28"/>
          <w:szCs w:val="28"/>
        </w:rPr>
        <w:t>图</w:t>
      </w:r>
      <w:r>
        <w:rPr>
          <w:rFonts w:hint="eastAsia"/>
          <w:color w:val="auto"/>
          <w:sz w:val="28"/>
          <w:szCs w:val="28"/>
          <w:lang w:val="en-US" w:eastAsia="zh-CN"/>
        </w:rPr>
        <w:t>5</w:t>
      </w:r>
      <w:r>
        <w:rPr>
          <w:rFonts w:hint="eastAsia"/>
          <w:color w:val="auto"/>
          <w:sz w:val="28"/>
          <w:szCs w:val="28"/>
        </w:rPr>
        <w:t>：</w:t>
      </w:r>
      <w:r>
        <w:rPr>
          <w:rFonts w:hint="default"/>
          <w:color w:val="auto"/>
          <w:sz w:val="28"/>
          <w:szCs w:val="28"/>
          <w:lang w:val="en-US" w:eastAsia="zh-CN"/>
        </w:rPr>
        <w:t>本项目与</w:t>
      </w:r>
      <w:r>
        <w:rPr>
          <w:rFonts w:hint="eastAsia"/>
          <w:color w:val="auto"/>
          <w:sz w:val="28"/>
          <w:szCs w:val="28"/>
          <w:lang w:val="en-US" w:eastAsia="zh-CN"/>
        </w:rPr>
        <w:t>六安</w:t>
      </w:r>
      <w:r>
        <w:rPr>
          <w:rFonts w:hint="default"/>
          <w:color w:val="auto"/>
          <w:sz w:val="28"/>
          <w:szCs w:val="28"/>
          <w:lang w:val="en-US" w:eastAsia="zh-CN"/>
        </w:rPr>
        <w:t>市生态保护红线相对位置图</w:t>
      </w:r>
      <w:r>
        <w:rPr>
          <w:bCs/>
          <w:color w:val="auto"/>
          <w:sz w:val="28"/>
          <w:szCs w:val="28"/>
          <w:lang w:val="zh-CN"/>
        </w:rPr>
        <w:fldChar w:fldCharType="end"/>
      </w:r>
    </w:p>
    <w:p w14:paraId="251C7596">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_Toc18626 </w:instrText>
      </w:r>
      <w:r>
        <w:rPr>
          <w:bCs/>
          <w:color w:val="auto"/>
          <w:sz w:val="28"/>
          <w:szCs w:val="28"/>
          <w:lang w:val="zh-CN"/>
        </w:rPr>
        <w:fldChar w:fldCharType="separate"/>
      </w:r>
      <w:r>
        <w:rPr>
          <w:color w:val="auto"/>
          <w:sz w:val="28"/>
          <w:szCs w:val="28"/>
        </w:rPr>
        <w:t>附</w:t>
      </w:r>
      <w:r>
        <w:rPr>
          <w:rFonts w:hint="eastAsia"/>
          <w:color w:val="auto"/>
          <w:sz w:val="28"/>
          <w:szCs w:val="28"/>
        </w:rPr>
        <w:t>图</w:t>
      </w:r>
      <w:r>
        <w:rPr>
          <w:rFonts w:hint="eastAsia"/>
          <w:color w:val="auto"/>
          <w:sz w:val="28"/>
          <w:szCs w:val="28"/>
          <w:lang w:val="en-US" w:eastAsia="zh-CN"/>
        </w:rPr>
        <w:t>6</w:t>
      </w:r>
      <w:r>
        <w:rPr>
          <w:rFonts w:hint="eastAsia"/>
          <w:color w:val="auto"/>
          <w:sz w:val="28"/>
          <w:szCs w:val="28"/>
        </w:rPr>
        <w:t>：</w:t>
      </w:r>
      <w:r>
        <w:rPr>
          <w:rFonts w:hint="default"/>
          <w:color w:val="auto"/>
          <w:sz w:val="28"/>
          <w:szCs w:val="28"/>
          <w:lang w:val="en-US" w:eastAsia="zh-CN"/>
        </w:rPr>
        <w:t>本项目与</w:t>
      </w:r>
      <w:r>
        <w:rPr>
          <w:rFonts w:hint="eastAsia"/>
          <w:color w:val="auto"/>
          <w:sz w:val="28"/>
          <w:szCs w:val="28"/>
          <w:lang w:val="en-US" w:eastAsia="zh-CN"/>
        </w:rPr>
        <w:t>六安</w:t>
      </w:r>
      <w:r>
        <w:rPr>
          <w:rFonts w:hint="default"/>
          <w:color w:val="auto"/>
          <w:sz w:val="28"/>
          <w:szCs w:val="28"/>
          <w:lang w:val="en-US" w:eastAsia="zh-CN"/>
        </w:rPr>
        <w:t>市</w:t>
      </w:r>
      <w:r>
        <w:rPr>
          <w:rFonts w:hint="eastAsia"/>
          <w:color w:val="auto"/>
          <w:sz w:val="28"/>
          <w:szCs w:val="28"/>
          <w:lang w:val="en-US" w:eastAsia="zh-CN"/>
        </w:rPr>
        <w:t>环境管控单元</w:t>
      </w:r>
      <w:r>
        <w:rPr>
          <w:rFonts w:hint="default"/>
          <w:color w:val="auto"/>
          <w:sz w:val="28"/>
          <w:szCs w:val="28"/>
          <w:lang w:val="en-US" w:eastAsia="zh-CN"/>
        </w:rPr>
        <w:t>相对位置图</w:t>
      </w:r>
      <w:r>
        <w:rPr>
          <w:bCs/>
          <w:color w:val="auto"/>
          <w:sz w:val="28"/>
          <w:szCs w:val="28"/>
          <w:lang w:val="zh-CN"/>
        </w:rPr>
        <w:fldChar w:fldCharType="end"/>
      </w:r>
    </w:p>
    <w:p w14:paraId="0C9C5335">
      <w:pPr>
        <w:pStyle w:val="26"/>
        <w:tabs>
          <w:tab w:val="right" w:leader="dot" w:pos="8307"/>
        </w:tabs>
        <w:rPr>
          <w:bCs/>
          <w:color w:val="auto"/>
          <w:sz w:val="28"/>
          <w:szCs w:val="28"/>
          <w:lang w:val="zh-CN"/>
        </w:rPr>
      </w:pPr>
    </w:p>
    <w:p w14:paraId="71870CFB">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_Toc26200 </w:instrText>
      </w:r>
      <w:r>
        <w:rPr>
          <w:bCs/>
          <w:color w:val="auto"/>
          <w:sz w:val="28"/>
          <w:szCs w:val="28"/>
          <w:lang w:val="zh-CN"/>
        </w:rPr>
        <w:fldChar w:fldCharType="separate"/>
      </w:r>
      <w:r>
        <w:rPr>
          <w:color w:val="auto"/>
          <w:sz w:val="28"/>
          <w:szCs w:val="28"/>
        </w:rPr>
        <w:t>附件1</w:t>
      </w:r>
      <w:r>
        <w:rPr>
          <w:rFonts w:hint="eastAsia"/>
          <w:color w:val="auto"/>
          <w:sz w:val="28"/>
          <w:szCs w:val="28"/>
        </w:rPr>
        <w:t>：</w:t>
      </w:r>
      <w:r>
        <w:rPr>
          <w:color w:val="auto"/>
          <w:sz w:val="28"/>
          <w:szCs w:val="28"/>
        </w:rPr>
        <w:t>委托书</w:t>
      </w:r>
      <w:r>
        <w:rPr>
          <w:bCs/>
          <w:color w:val="auto"/>
          <w:sz w:val="28"/>
          <w:szCs w:val="28"/>
          <w:lang w:val="zh-CN"/>
        </w:rPr>
        <w:fldChar w:fldCharType="end"/>
      </w:r>
    </w:p>
    <w:p w14:paraId="562FFC3C">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_Toc23255 </w:instrText>
      </w:r>
      <w:r>
        <w:rPr>
          <w:bCs/>
          <w:color w:val="auto"/>
          <w:sz w:val="28"/>
          <w:szCs w:val="28"/>
          <w:lang w:val="zh-CN"/>
        </w:rPr>
        <w:fldChar w:fldCharType="separate"/>
      </w:r>
      <w:r>
        <w:rPr>
          <w:color w:val="auto"/>
          <w:sz w:val="28"/>
          <w:szCs w:val="28"/>
        </w:rPr>
        <w:t>附件2</w:t>
      </w:r>
      <w:r>
        <w:rPr>
          <w:rFonts w:hint="eastAsia"/>
          <w:color w:val="auto"/>
          <w:sz w:val="28"/>
          <w:szCs w:val="28"/>
        </w:rPr>
        <w:t>：</w:t>
      </w:r>
      <w:r>
        <w:rPr>
          <w:rFonts w:hint="default" w:ascii="Times New Roman" w:hAnsi="Times New Roman" w:cs="Times New Roman"/>
          <w:color w:val="auto"/>
          <w:sz w:val="28"/>
          <w:szCs w:val="28"/>
          <w:lang w:eastAsia="zh-CN"/>
        </w:rPr>
        <w:t>安徽泓济环境科技有限公司</w:t>
      </w:r>
      <w:r>
        <w:rPr>
          <w:rFonts w:hint="eastAsia" w:ascii="Times New Roman" w:hAnsi="Times New Roman" w:cs="Times New Roman"/>
          <w:color w:val="auto"/>
          <w:sz w:val="28"/>
          <w:szCs w:val="28"/>
        </w:rPr>
        <w:t>会议纪要</w:t>
      </w:r>
      <w:r>
        <w:rPr>
          <w:bCs/>
          <w:color w:val="auto"/>
          <w:sz w:val="28"/>
          <w:szCs w:val="28"/>
          <w:lang w:val="zh-CN"/>
        </w:rPr>
        <w:fldChar w:fldCharType="end"/>
      </w:r>
    </w:p>
    <w:p w14:paraId="5239E68D">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_Toc28195 </w:instrText>
      </w:r>
      <w:r>
        <w:rPr>
          <w:bCs/>
          <w:color w:val="auto"/>
          <w:sz w:val="28"/>
          <w:szCs w:val="28"/>
          <w:lang w:val="zh-CN"/>
        </w:rPr>
        <w:fldChar w:fldCharType="separate"/>
      </w:r>
      <w:r>
        <w:rPr>
          <w:color w:val="auto"/>
          <w:sz w:val="28"/>
          <w:szCs w:val="28"/>
        </w:rPr>
        <w:t>附件</w:t>
      </w:r>
      <w:r>
        <w:rPr>
          <w:rFonts w:hint="eastAsia"/>
          <w:color w:val="auto"/>
          <w:sz w:val="28"/>
          <w:szCs w:val="28"/>
        </w:rPr>
        <w:t>3：</w:t>
      </w:r>
      <w:r>
        <w:rPr>
          <w:rFonts w:hint="eastAsia"/>
          <w:color w:val="auto"/>
          <w:sz w:val="28"/>
          <w:szCs w:val="28"/>
          <w:lang w:val="en-US" w:eastAsia="zh-CN"/>
        </w:rPr>
        <w:t>厂区大项目</w:t>
      </w:r>
      <w:r>
        <w:rPr>
          <w:rFonts w:hint="eastAsia"/>
          <w:color w:val="auto"/>
          <w:sz w:val="28"/>
          <w:szCs w:val="28"/>
        </w:rPr>
        <w:t>备案表</w:t>
      </w:r>
      <w:r>
        <w:rPr>
          <w:bCs/>
          <w:color w:val="auto"/>
          <w:sz w:val="28"/>
          <w:szCs w:val="28"/>
          <w:lang w:val="zh-CN"/>
        </w:rPr>
        <w:fldChar w:fldCharType="end"/>
      </w:r>
    </w:p>
    <w:p w14:paraId="475177F9">
      <w:pPr>
        <w:pStyle w:val="26"/>
        <w:tabs>
          <w:tab w:val="right" w:leader="dot" w:pos="8307"/>
        </w:tabs>
        <w:rPr>
          <w:rFonts w:hint="default" w:eastAsia="宋体"/>
          <w:color w:val="auto"/>
          <w:sz w:val="28"/>
          <w:szCs w:val="28"/>
          <w:lang w:val="en-US" w:eastAsia="zh-CN"/>
        </w:rPr>
      </w:pPr>
      <w:r>
        <w:rPr>
          <w:bCs/>
          <w:color w:val="auto"/>
          <w:sz w:val="28"/>
          <w:szCs w:val="28"/>
          <w:lang w:val="zh-CN"/>
        </w:rPr>
        <w:fldChar w:fldCharType="begin"/>
      </w:r>
      <w:r>
        <w:rPr>
          <w:bCs/>
          <w:color w:val="auto"/>
          <w:sz w:val="28"/>
          <w:szCs w:val="28"/>
          <w:lang w:val="zh-CN"/>
        </w:rPr>
        <w:instrText xml:space="preserve"> HYPERLINK \l _Toc14085 </w:instrText>
      </w:r>
      <w:r>
        <w:rPr>
          <w:bCs/>
          <w:color w:val="auto"/>
          <w:sz w:val="28"/>
          <w:szCs w:val="28"/>
          <w:lang w:val="zh-CN"/>
        </w:rPr>
        <w:fldChar w:fldCharType="separate"/>
      </w:r>
      <w:r>
        <w:rPr>
          <w:color w:val="auto"/>
          <w:sz w:val="28"/>
          <w:szCs w:val="28"/>
        </w:rPr>
        <w:t>附件</w:t>
      </w:r>
      <w:r>
        <w:rPr>
          <w:rFonts w:hint="eastAsia"/>
          <w:color w:val="auto"/>
          <w:sz w:val="28"/>
          <w:szCs w:val="28"/>
        </w:rPr>
        <w:t>4：</w:t>
      </w:r>
      <w:r>
        <w:rPr>
          <w:rFonts w:hint="eastAsia"/>
          <w:bCs/>
          <w:color w:val="auto"/>
          <w:sz w:val="28"/>
          <w:szCs w:val="28"/>
          <w:lang w:val="en-US" w:eastAsia="zh-CN"/>
        </w:rPr>
        <w:t>厂区</w:t>
      </w:r>
      <w:r>
        <w:rPr>
          <w:bCs/>
          <w:color w:val="auto"/>
          <w:sz w:val="28"/>
          <w:szCs w:val="28"/>
          <w:lang w:val="zh-CN"/>
        </w:rPr>
        <w:fldChar w:fldCharType="end"/>
      </w:r>
      <w:r>
        <w:rPr>
          <w:rFonts w:hint="eastAsia"/>
          <w:bCs/>
          <w:color w:val="auto"/>
          <w:sz w:val="28"/>
          <w:szCs w:val="28"/>
          <w:lang w:val="en-US" w:eastAsia="zh-CN"/>
        </w:rPr>
        <w:t>大项目环评批复</w:t>
      </w:r>
    </w:p>
    <w:p w14:paraId="6C83ADCC">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_Toc20569 </w:instrText>
      </w:r>
      <w:r>
        <w:rPr>
          <w:bCs/>
          <w:color w:val="auto"/>
          <w:sz w:val="28"/>
          <w:szCs w:val="28"/>
          <w:lang w:val="zh-CN"/>
        </w:rPr>
        <w:fldChar w:fldCharType="separate"/>
      </w:r>
      <w:r>
        <w:rPr>
          <w:rFonts w:hint="eastAsia"/>
          <w:color w:val="auto"/>
          <w:sz w:val="28"/>
          <w:szCs w:val="28"/>
        </w:rPr>
        <w:t>附件5：</w:t>
      </w:r>
      <w:r>
        <w:rPr>
          <w:rFonts w:hint="eastAsia"/>
          <w:color w:val="auto"/>
          <w:sz w:val="28"/>
          <w:szCs w:val="28"/>
          <w:lang w:val="en-US" w:eastAsia="zh-CN"/>
        </w:rPr>
        <w:t>X射线探伤机设备具体参数说明</w:t>
      </w:r>
      <w:r>
        <w:rPr>
          <w:bCs/>
          <w:color w:val="auto"/>
          <w:sz w:val="28"/>
          <w:szCs w:val="28"/>
          <w:lang w:val="zh-CN"/>
        </w:rPr>
        <w:fldChar w:fldCharType="end"/>
      </w:r>
    </w:p>
    <w:p w14:paraId="780D33AF">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_Toc1381 </w:instrText>
      </w:r>
      <w:r>
        <w:rPr>
          <w:bCs/>
          <w:color w:val="auto"/>
          <w:sz w:val="28"/>
          <w:szCs w:val="28"/>
          <w:lang w:val="zh-CN"/>
        </w:rPr>
        <w:fldChar w:fldCharType="separate"/>
      </w:r>
      <w:r>
        <w:rPr>
          <w:rFonts w:hint="eastAsia"/>
          <w:color w:val="auto"/>
          <w:sz w:val="28"/>
          <w:szCs w:val="28"/>
        </w:rPr>
        <w:t>附件</w:t>
      </w:r>
      <w:r>
        <w:rPr>
          <w:rFonts w:hint="eastAsia"/>
          <w:color w:val="auto"/>
          <w:sz w:val="28"/>
          <w:szCs w:val="28"/>
          <w:lang w:val="en-US" w:eastAsia="zh-CN"/>
        </w:rPr>
        <w:t>6</w:t>
      </w:r>
      <w:r>
        <w:rPr>
          <w:rFonts w:hint="eastAsia"/>
          <w:color w:val="auto"/>
          <w:sz w:val="28"/>
          <w:szCs w:val="28"/>
        </w:rPr>
        <w:t>：</w:t>
      </w:r>
      <w:r>
        <w:rPr>
          <w:color w:val="auto"/>
          <w:sz w:val="28"/>
          <w:szCs w:val="28"/>
          <w:lang w:val="zh-CN"/>
        </w:rPr>
        <w:t>基础资料等说明</w:t>
      </w:r>
      <w:r>
        <w:rPr>
          <w:bCs/>
          <w:color w:val="auto"/>
          <w:sz w:val="28"/>
          <w:szCs w:val="28"/>
          <w:lang w:val="zh-CN"/>
        </w:rPr>
        <w:fldChar w:fldCharType="end"/>
      </w:r>
    </w:p>
    <w:p w14:paraId="1D8DFE58">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_Toc31365 </w:instrText>
      </w:r>
      <w:r>
        <w:rPr>
          <w:bCs/>
          <w:color w:val="auto"/>
          <w:sz w:val="28"/>
          <w:szCs w:val="28"/>
          <w:lang w:val="zh-CN"/>
        </w:rPr>
        <w:fldChar w:fldCharType="separate"/>
      </w:r>
      <w:r>
        <w:rPr>
          <w:color w:val="auto"/>
          <w:sz w:val="28"/>
          <w:szCs w:val="28"/>
        </w:rPr>
        <w:t>附件</w:t>
      </w:r>
      <w:r>
        <w:rPr>
          <w:rFonts w:hint="eastAsia"/>
          <w:color w:val="auto"/>
          <w:sz w:val="28"/>
          <w:szCs w:val="28"/>
          <w:lang w:val="en-US" w:eastAsia="zh-CN"/>
        </w:rPr>
        <w:t>7</w:t>
      </w:r>
      <w:r>
        <w:rPr>
          <w:rFonts w:hint="eastAsia"/>
          <w:color w:val="auto"/>
          <w:sz w:val="28"/>
          <w:szCs w:val="28"/>
        </w:rPr>
        <w:t>：</w:t>
      </w:r>
      <w:r>
        <w:rPr>
          <w:color w:val="auto"/>
          <w:sz w:val="28"/>
          <w:szCs w:val="28"/>
        </w:rPr>
        <w:t>辐射安全</w:t>
      </w:r>
      <w:r>
        <w:rPr>
          <w:rFonts w:hint="eastAsia"/>
          <w:color w:val="auto"/>
          <w:sz w:val="28"/>
          <w:szCs w:val="28"/>
        </w:rPr>
        <w:t>与防护领导小组</w:t>
      </w:r>
      <w:r>
        <w:rPr>
          <w:bCs/>
          <w:color w:val="auto"/>
          <w:sz w:val="28"/>
          <w:szCs w:val="28"/>
          <w:lang w:val="zh-CN"/>
        </w:rPr>
        <w:fldChar w:fldCharType="end"/>
      </w:r>
    </w:p>
    <w:p w14:paraId="7BA97577">
      <w:pPr>
        <w:pStyle w:val="26"/>
        <w:tabs>
          <w:tab w:val="right" w:leader="dot" w:pos="8307"/>
        </w:tabs>
        <w:rPr>
          <w:color w:val="auto"/>
          <w:sz w:val="28"/>
          <w:szCs w:val="28"/>
        </w:rPr>
      </w:pPr>
      <w:r>
        <w:rPr>
          <w:bCs/>
          <w:color w:val="auto"/>
          <w:sz w:val="28"/>
          <w:szCs w:val="28"/>
          <w:lang w:val="zh-CN"/>
        </w:rPr>
        <w:fldChar w:fldCharType="begin"/>
      </w:r>
      <w:r>
        <w:rPr>
          <w:bCs/>
          <w:color w:val="auto"/>
          <w:sz w:val="28"/>
          <w:szCs w:val="28"/>
          <w:lang w:val="zh-CN"/>
        </w:rPr>
        <w:instrText xml:space="preserve"> HYPERLINK \l _Toc10650 </w:instrText>
      </w:r>
      <w:r>
        <w:rPr>
          <w:bCs/>
          <w:color w:val="auto"/>
          <w:sz w:val="28"/>
          <w:szCs w:val="28"/>
          <w:lang w:val="zh-CN"/>
        </w:rPr>
        <w:fldChar w:fldCharType="separate"/>
      </w:r>
      <w:r>
        <w:rPr>
          <w:rFonts w:hint="eastAsia"/>
          <w:color w:val="auto"/>
          <w:sz w:val="28"/>
          <w:szCs w:val="28"/>
        </w:rPr>
        <w:t>附件</w:t>
      </w:r>
      <w:r>
        <w:rPr>
          <w:rFonts w:hint="eastAsia"/>
          <w:color w:val="auto"/>
          <w:sz w:val="28"/>
          <w:szCs w:val="28"/>
          <w:lang w:val="en-US" w:eastAsia="zh-CN"/>
        </w:rPr>
        <w:t>8</w:t>
      </w:r>
      <w:r>
        <w:rPr>
          <w:rFonts w:hint="eastAsia"/>
          <w:color w:val="auto"/>
          <w:sz w:val="28"/>
          <w:szCs w:val="28"/>
        </w:rPr>
        <w:t>：</w:t>
      </w:r>
      <w:r>
        <w:rPr>
          <w:rFonts w:hint="eastAsia"/>
          <w:color w:val="auto"/>
          <w:sz w:val="28"/>
          <w:szCs w:val="28"/>
          <w:lang w:val="zh-CN"/>
        </w:rPr>
        <w:t>辐射事故应急预案</w:t>
      </w:r>
      <w:r>
        <w:rPr>
          <w:bCs/>
          <w:color w:val="auto"/>
          <w:sz w:val="28"/>
          <w:szCs w:val="28"/>
          <w:lang w:val="zh-CN"/>
        </w:rPr>
        <w:fldChar w:fldCharType="end"/>
      </w:r>
    </w:p>
    <w:p w14:paraId="0920F7D8">
      <w:pPr>
        <w:jc w:val="left"/>
        <w:outlineLvl w:val="0"/>
        <w:rPr>
          <w:b w:val="0"/>
          <w:bCs/>
          <w:color w:val="auto"/>
          <w:sz w:val="28"/>
          <w:szCs w:val="28"/>
        </w:rPr>
      </w:pPr>
      <w:r>
        <w:rPr>
          <w:b w:val="0"/>
          <w:bCs/>
          <w:color w:val="auto"/>
          <w:sz w:val="28"/>
          <w:szCs w:val="28"/>
        </w:rPr>
        <w:t>附件</w:t>
      </w:r>
      <w:r>
        <w:rPr>
          <w:rFonts w:hint="eastAsia"/>
          <w:b w:val="0"/>
          <w:bCs/>
          <w:color w:val="auto"/>
          <w:sz w:val="28"/>
          <w:szCs w:val="28"/>
          <w:lang w:val="en-US" w:eastAsia="zh-CN"/>
        </w:rPr>
        <w:t>9</w:t>
      </w:r>
      <w:r>
        <w:rPr>
          <w:rFonts w:hint="eastAsia"/>
          <w:b w:val="0"/>
          <w:bCs/>
          <w:color w:val="auto"/>
          <w:sz w:val="28"/>
          <w:szCs w:val="28"/>
        </w:rPr>
        <w:t>：</w:t>
      </w:r>
      <w:r>
        <w:rPr>
          <w:b w:val="0"/>
          <w:bCs/>
          <w:color w:val="auto"/>
          <w:sz w:val="28"/>
          <w:szCs w:val="28"/>
        </w:rPr>
        <w:t>辐射安全管理制度</w:t>
      </w:r>
    </w:p>
    <w:p w14:paraId="4D30A73E">
      <w:pPr>
        <w:pStyle w:val="26"/>
        <w:tabs>
          <w:tab w:val="right" w:leader="dot" w:pos="8307"/>
        </w:tabs>
        <w:rPr>
          <w:bCs/>
          <w:color w:val="auto"/>
          <w:sz w:val="28"/>
          <w:szCs w:val="28"/>
          <w:lang w:val="zh-CN"/>
        </w:rPr>
      </w:pPr>
      <w:r>
        <w:rPr>
          <w:bCs/>
          <w:color w:val="auto"/>
          <w:sz w:val="28"/>
          <w:szCs w:val="28"/>
          <w:lang w:val="zh-CN"/>
        </w:rPr>
        <w:fldChar w:fldCharType="begin"/>
      </w:r>
      <w:r>
        <w:rPr>
          <w:bCs/>
          <w:color w:val="auto"/>
          <w:sz w:val="28"/>
          <w:szCs w:val="28"/>
          <w:lang w:val="zh-CN"/>
        </w:rPr>
        <w:instrText xml:space="preserve"> HYPERLINK \l _Toc4016 </w:instrText>
      </w:r>
      <w:r>
        <w:rPr>
          <w:bCs/>
          <w:color w:val="auto"/>
          <w:sz w:val="28"/>
          <w:szCs w:val="28"/>
          <w:lang w:val="zh-CN"/>
        </w:rPr>
        <w:fldChar w:fldCharType="separate"/>
      </w:r>
      <w:r>
        <w:rPr>
          <w:rFonts w:hint="eastAsia"/>
          <w:color w:val="auto"/>
          <w:sz w:val="28"/>
          <w:szCs w:val="28"/>
        </w:rPr>
        <w:t>附件</w:t>
      </w:r>
      <w:r>
        <w:rPr>
          <w:rFonts w:hint="eastAsia"/>
          <w:color w:val="auto"/>
          <w:sz w:val="28"/>
          <w:szCs w:val="28"/>
          <w:lang w:val="en-US" w:eastAsia="zh-CN"/>
        </w:rPr>
        <w:t>10</w:t>
      </w:r>
      <w:r>
        <w:rPr>
          <w:color w:val="auto"/>
          <w:sz w:val="28"/>
          <w:szCs w:val="28"/>
        </w:rPr>
        <w:t>：</w:t>
      </w:r>
      <w:r>
        <w:rPr>
          <w:rFonts w:eastAsia="宋体"/>
          <w:b w:val="0"/>
          <w:bCs/>
          <w:color w:val="auto"/>
          <w:sz w:val="28"/>
          <w:szCs w:val="28"/>
        </w:rPr>
        <w:t>辐射环境本底</w:t>
      </w:r>
      <w:r>
        <w:rPr>
          <w:rFonts w:hint="eastAsia" w:eastAsia="宋体"/>
          <w:b w:val="0"/>
          <w:bCs/>
          <w:color w:val="auto"/>
          <w:sz w:val="28"/>
          <w:szCs w:val="28"/>
        </w:rPr>
        <w:t>及声环境现状</w:t>
      </w:r>
      <w:r>
        <w:rPr>
          <w:rFonts w:eastAsia="宋体"/>
          <w:b w:val="0"/>
          <w:bCs/>
          <w:color w:val="auto"/>
          <w:sz w:val="28"/>
          <w:szCs w:val="28"/>
        </w:rPr>
        <w:t>检测报告</w:t>
      </w:r>
      <w:r>
        <w:rPr>
          <w:bCs/>
          <w:color w:val="auto"/>
          <w:sz w:val="28"/>
          <w:szCs w:val="28"/>
          <w:lang w:val="zh-CN"/>
        </w:rPr>
        <w:fldChar w:fldCharType="end"/>
      </w:r>
    </w:p>
    <w:p w14:paraId="306F1FBA">
      <w:pPr>
        <w:jc w:val="left"/>
        <w:outlineLvl w:val="0"/>
        <w:rPr>
          <w:rFonts w:hint="default" w:eastAsia="宋体"/>
          <w:b w:val="0"/>
          <w:bCs/>
          <w:color w:val="auto"/>
          <w:sz w:val="28"/>
          <w:szCs w:val="28"/>
          <w:lang w:val="en-US" w:eastAsia="zh-CN"/>
        </w:rPr>
      </w:pPr>
      <w:r>
        <w:rPr>
          <w:rFonts w:eastAsia="宋体"/>
          <w:b w:val="0"/>
          <w:bCs/>
          <w:color w:val="auto"/>
          <w:sz w:val="28"/>
          <w:szCs w:val="28"/>
        </w:rPr>
        <w:t>附件</w:t>
      </w:r>
      <w:r>
        <w:rPr>
          <w:rFonts w:hint="eastAsia" w:eastAsia="宋体"/>
          <w:b w:val="0"/>
          <w:bCs/>
          <w:color w:val="auto"/>
          <w:sz w:val="28"/>
          <w:szCs w:val="28"/>
          <w:lang w:val="en-US" w:eastAsia="zh-CN"/>
        </w:rPr>
        <w:t>1</w:t>
      </w:r>
      <w:r>
        <w:rPr>
          <w:rFonts w:hint="eastAsia"/>
          <w:b w:val="0"/>
          <w:bCs/>
          <w:color w:val="auto"/>
          <w:sz w:val="28"/>
          <w:szCs w:val="28"/>
          <w:lang w:val="en-US" w:eastAsia="zh-CN"/>
        </w:rPr>
        <w:t>1</w:t>
      </w:r>
      <w:r>
        <w:rPr>
          <w:rFonts w:hint="eastAsia" w:eastAsia="宋体"/>
          <w:b w:val="0"/>
          <w:bCs/>
          <w:color w:val="auto"/>
          <w:sz w:val="28"/>
          <w:szCs w:val="28"/>
        </w:rPr>
        <w:t>：</w:t>
      </w:r>
      <w:r>
        <w:rPr>
          <w:rFonts w:hint="eastAsia"/>
          <w:b w:val="0"/>
          <w:bCs/>
          <w:color w:val="auto"/>
          <w:sz w:val="28"/>
          <w:szCs w:val="28"/>
          <w:lang w:val="en-US" w:eastAsia="zh-CN"/>
        </w:rPr>
        <w:t>检测机构资质证书</w:t>
      </w:r>
    </w:p>
    <w:p w14:paraId="539ACBF6">
      <w:pPr>
        <w:jc w:val="left"/>
        <w:outlineLvl w:val="0"/>
        <w:rPr>
          <w:rFonts w:hint="default" w:eastAsia="宋体"/>
          <w:b w:val="0"/>
          <w:bCs/>
          <w:color w:val="auto"/>
          <w:sz w:val="28"/>
          <w:szCs w:val="28"/>
          <w:lang w:val="en-US" w:eastAsia="zh-CN"/>
        </w:rPr>
      </w:pPr>
      <w:r>
        <w:rPr>
          <w:rFonts w:eastAsia="宋体"/>
          <w:b w:val="0"/>
          <w:bCs/>
          <w:color w:val="auto"/>
          <w:sz w:val="28"/>
          <w:szCs w:val="28"/>
        </w:rPr>
        <w:t>附件</w:t>
      </w:r>
      <w:r>
        <w:rPr>
          <w:rFonts w:hint="eastAsia" w:eastAsia="宋体"/>
          <w:b w:val="0"/>
          <w:bCs/>
          <w:color w:val="auto"/>
          <w:sz w:val="28"/>
          <w:szCs w:val="28"/>
          <w:lang w:val="en-US" w:eastAsia="zh-CN"/>
        </w:rPr>
        <w:t>1</w:t>
      </w:r>
      <w:r>
        <w:rPr>
          <w:rFonts w:hint="eastAsia"/>
          <w:b w:val="0"/>
          <w:bCs/>
          <w:color w:val="auto"/>
          <w:sz w:val="28"/>
          <w:szCs w:val="28"/>
          <w:lang w:val="en-US" w:eastAsia="zh-CN"/>
        </w:rPr>
        <w:t>2</w:t>
      </w:r>
      <w:r>
        <w:rPr>
          <w:rFonts w:hint="eastAsia" w:eastAsia="宋体"/>
          <w:b w:val="0"/>
          <w:bCs/>
          <w:color w:val="auto"/>
          <w:sz w:val="28"/>
          <w:szCs w:val="28"/>
        </w:rPr>
        <w:t>：</w:t>
      </w:r>
      <w:r>
        <w:rPr>
          <w:rFonts w:hint="eastAsia"/>
          <w:b w:val="0"/>
          <w:bCs/>
          <w:color w:val="auto"/>
          <w:sz w:val="28"/>
          <w:szCs w:val="28"/>
          <w:lang w:val="en-US" w:eastAsia="zh-CN"/>
        </w:rPr>
        <w:t>检测机构人员上岗证</w:t>
      </w:r>
    </w:p>
    <w:p w14:paraId="29593DF3">
      <w:pPr>
        <w:jc w:val="left"/>
        <w:outlineLvl w:val="0"/>
        <w:rPr>
          <w:rFonts w:hint="default" w:eastAsia="宋体"/>
          <w:b w:val="0"/>
          <w:bCs/>
          <w:color w:val="auto"/>
          <w:sz w:val="28"/>
          <w:szCs w:val="28"/>
          <w:lang w:val="en-US" w:eastAsia="zh-CN"/>
        </w:rPr>
      </w:pPr>
      <w:r>
        <w:rPr>
          <w:rFonts w:eastAsia="宋体"/>
          <w:b w:val="0"/>
          <w:bCs/>
          <w:color w:val="auto"/>
          <w:sz w:val="28"/>
          <w:szCs w:val="28"/>
        </w:rPr>
        <w:t>附件</w:t>
      </w:r>
      <w:r>
        <w:rPr>
          <w:rFonts w:hint="eastAsia" w:eastAsia="宋体"/>
          <w:b w:val="0"/>
          <w:bCs/>
          <w:color w:val="auto"/>
          <w:sz w:val="28"/>
          <w:szCs w:val="28"/>
          <w:lang w:val="en-US" w:eastAsia="zh-CN"/>
        </w:rPr>
        <w:t>1</w:t>
      </w:r>
      <w:r>
        <w:rPr>
          <w:rFonts w:hint="eastAsia"/>
          <w:b w:val="0"/>
          <w:bCs/>
          <w:color w:val="auto"/>
          <w:sz w:val="28"/>
          <w:szCs w:val="28"/>
          <w:lang w:val="en-US" w:eastAsia="zh-CN"/>
        </w:rPr>
        <w:t>3</w:t>
      </w:r>
      <w:r>
        <w:rPr>
          <w:rFonts w:hint="eastAsia" w:eastAsia="宋体"/>
          <w:b w:val="0"/>
          <w:bCs/>
          <w:color w:val="auto"/>
          <w:sz w:val="28"/>
          <w:szCs w:val="28"/>
        </w:rPr>
        <w:t>：</w:t>
      </w:r>
      <w:r>
        <w:rPr>
          <w:rFonts w:hint="eastAsia"/>
          <w:b w:val="0"/>
          <w:bCs/>
          <w:color w:val="auto"/>
          <w:sz w:val="28"/>
          <w:szCs w:val="28"/>
          <w:lang w:val="en-US" w:eastAsia="zh-CN"/>
        </w:rPr>
        <w:t>检测设备校准证书</w:t>
      </w:r>
    </w:p>
    <w:p w14:paraId="5D5DA9F7">
      <w:pPr>
        <w:jc w:val="left"/>
        <w:outlineLvl w:val="0"/>
        <w:rPr>
          <w:rFonts w:hint="default" w:eastAsia="宋体"/>
          <w:b w:val="0"/>
          <w:bCs/>
          <w:color w:val="auto"/>
          <w:sz w:val="28"/>
          <w:szCs w:val="28"/>
          <w:lang w:val="en-US" w:eastAsia="zh-CN"/>
        </w:rPr>
      </w:pPr>
      <w:r>
        <w:rPr>
          <w:bCs/>
          <w:color w:val="auto"/>
          <w:sz w:val="28"/>
          <w:szCs w:val="28"/>
          <w:lang w:val="zh-CN"/>
        </w:rPr>
        <w:fldChar w:fldCharType="end"/>
      </w:r>
      <w:r>
        <w:rPr>
          <w:rFonts w:eastAsia="宋体"/>
          <w:b w:val="0"/>
          <w:bCs/>
          <w:color w:val="auto"/>
          <w:sz w:val="28"/>
          <w:szCs w:val="28"/>
        </w:rPr>
        <w:t>附件</w:t>
      </w:r>
      <w:r>
        <w:rPr>
          <w:rFonts w:hint="eastAsia" w:eastAsia="宋体"/>
          <w:b w:val="0"/>
          <w:bCs/>
          <w:color w:val="auto"/>
          <w:sz w:val="28"/>
          <w:szCs w:val="28"/>
          <w:lang w:val="en-US" w:eastAsia="zh-CN"/>
        </w:rPr>
        <w:t>1</w:t>
      </w:r>
      <w:r>
        <w:rPr>
          <w:rFonts w:hint="eastAsia"/>
          <w:b w:val="0"/>
          <w:bCs/>
          <w:color w:val="auto"/>
          <w:sz w:val="28"/>
          <w:szCs w:val="28"/>
          <w:lang w:val="en-US" w:eastAsia="zh-CN"/>
        </w:rPr>
        <w:t>4</w:t>
      </w:r>
      <w:r>
        <w:rPr>
          <w:rFonts w:hint="eastAsia" w:eastAsia="宋体"/>
          <w:b w:val="0"/>
          <w:bCs/>
          <w:color w:val="auto"/>
          <w:sz w:val="28"/>
          <w:szCs w:val="28"/>
        </w:rPr>
        <w:t>：</w:t>
      </w:r>
      <w:r>
        <w:rPr>
          <w:rFonts w:hint="eastAsia"/>
          <w:b w:val="0"/>
          <w:bCs/>
          <w:color w:val="auto"/>
          <w:sz w:val="28"/>
          <w:szCs w:val="28"/>
          <w:lang w:val="en-US" w:eastAsia="zh-CN"/>
        </w:rPr>
        <w:t>专家评审意见及修改清单</w:t>
      </w:r>
    </w:p>
    <w:p w14:paraId="066B0E77">
      <w:pPr>
        <w:spacing w:line="360" w:lineRule="auto"/>
        <w:rPr>
          <w:bCs/>
          <w:color w:val="auto"/>
          <w:sz w:val="28"/>
          <w:szCs w:val="28"/>
          <w:lang w:val="zh-CN"/>
        </w:rPr>
      </w:pPr>
      <w:r>
        <w:rPr>
          <w:rFonts w:hint="eastAsia"/>
          <w:bCs/>
          <w:color w:val="auto"/>
          <w:sz w:val="28"/>
          <w:szCs w:val="28"/>
        </w:rPr>
        <w:t xml:space="preserve">附表  </w:t>
      </w:r>
      <w:r>
        <w:rPr>
          <w:rFonts w:hint="eastAsia"/>
          <w:bCs/>
          <w:color w:val="auto"/>
          <w:sz w:val="28"/>
          <w:szCs w:val="28"/>
          <w:lang w:val="zh-CN"/>
        </w:rPr>
        <w:t>建设项目环评审批基础信息表</w:t>
      </w:r>
    </w:p>
    <w:p w14:paraId="40DAEC20">
      <w:pPr>
        <w:pStyle w:val="5"/>
        <w:rPr>
          <w:color w:val="auto"/>
          <w:lang w:val="zh-CN"/>
        </w:rPr>
      </w:pPr>
    </w:p>
    <w:p w14:paraId="00653969">
      <w:pPr>
        <w:rPr>
          <w:color w:val="auto"/>
          <w:lang w:val="zh-CN"/>
        </w:rPr>
      </w:pPr>
    </w:p>
    <w:p w14:paraId="3D37BEE1">
      <w:pPr>
        <w:pStyle w:val="5"/>
        <w:rPr>
          <w:color w:val="auto"/>
          <w:lang w:val="zh-CN"/>
        </w:rPr>
      </w:pPr>
    </w:p>
    <w:p w14:paraId="30995E9E">
      <w:pPr>
        <w:rPr>
          <w:color w:val="auto"/>
          <w:lang w:val="zh-CN"/>
        </w:rPr>
        <w:sectPr>
          <w:pgSz w:w="11907" w:h="16840"/>
          <w:pgMar w:top="1440" w:right="1800" w:bottom="1440" w:left="1800" w:header="964" w:footer="964" w:gutter="0"/>
          <w:pgBorders>
            <w:top w:val="none" w:sz="0" w:space="0"/>
            <w:left w:val="none" w:sz="0" w:space="0"/>
            <w:bottom w:val="none" w:sz="0" w:space="0"/>
            <w:right w:val="none" w:sz="0" w:space="0"/>
          </w:pgBorders>
          <w:pgNumType w:start="1"/>
          <w:cols w:space="720" w:num="1"/>
          <w:docGrid w:type="lines" w:linePitch="312" w:charSpace="0"/>
        </w:sectPr>
      </w:pPr>
    </w:p>
    <w:bookmarkEnd w:id="0"/>
    <w:p w14:paraId="15B4F673">
      <w:pPr>
        <w:pStyle w:val="3"/>
        <w:tabs>
          <w:tab w:val="left" w:pos="5670"/>
        </w:tabs>
        <w:spacing w:before="0" w:after="0" w:line="360" w:lineRule="auto"/>
        <w:rPr>
          <w:color w:val="auto"/>
          <w:sz w:val="28"/>
          <w:szCs w:val="28"/>
        </w:rPr>
      </w:pPr>
      <w:bookmarkStart w:id="1" w:name="_Toc15389547"/>
      <w:bookmarkStart w:id="2" w:name="_Toc14807"/>
      <w:r>
        <w:rPr>
          <w:color w:val="auto"/>
          <w:sz w:val="28"/>
          <w:szCs w:val="28"/>
        </w:rPr>
        <w:t>表1 项目基本情况</w:t>
      </w:r>
      <w:bookmarkEnd w:id="1"/>
      <w:bookmarkEnd w:id="2"/>
    </w:p>
    <w:tbl>
      <w:tblPr>
        <w:tblStyle w:val="35"/>
        <w:tblW w:w="51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8"/>
        <w:gridCol w:w="1037"/>
        <w:gridCol w:w="1228"/>
        <w:gridCol w:w="1463"/>
        <w:gridCol w:w="1115"/>
        <w:gridCol w:w="1240"/>
        <w:gridCol w:w="550"/>
        <w:gridCol w:w="1845"/>
      </w:tblGrid>
      <w:tr w14:paraId="12347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4" w:type="dxa"/>
            <w:gridSpan w:val="2"/>
            <w:vAlign w:val="center"/>
          </w:tcPr>
          <w:p w14:paraId="4B8D7E10">
            <w:pPr>
              <w:spacing w:line="360" w:lineRule="auto"/>
              <w:jc w:val="center"/>
              <w:rPr>
                <w:color w:val="auto"/>
                <w:sz w:val="24"/>
                <w:szCs w:val="24"/>
                <w:highlight w:val="none"/>
              </w:rPr>
            </w:pPr>
            <w:r>
              <w:rPr>
                <w:color w:val="auto"/>
                <w:sz w:val="24"/>
                <w:szCs w:val="24"/>
                <w:highlight w:val="none"/>
              </w:rPr>
              <w:t>建设项目名称</w:t>
            </w:r>
          </w:p>
        </w:tc>
        <w:tc>
          <w:tcPr>
            <w:tcW w:w="7252" w:type="dxa"/>
            <w:gridSpan w:val="6"/>
            <w:vAlign w:val="center"/>
          </w:tcPr>
          <w:p w14:paraId="1B4AB246">
            <w:pPr>
              <w:spacing w:line="360" w:lineRule="auto"/>
              <w:jc w:val="center"/>
              <w:rPr>
                <w:color w:val="auto"/>
                <w:sz w:val="24"/>
                <w:szCs w:val="24"/>
                <w:highlight w:val="none"/>
              </w:rPr>
            </w:pPr>
            <w:r>
              <w:rPr>
                <w:rFonts w:hint="eastAsia"/>
                <w:color w:val="auto"/>
                <w:sz w:val="24"/>
                <w:szCs w:val="24"/>
                <w:highlight w:val="none"/>
              </w:rPr>
              <w:t>新建</w:t>
            </w:r>
            <w:r>
              <w:rPr>
                <w:rFonts w:hint="eastAsia"/>
                <w:color w:val="auto"/>
                <w:sz w:val="24"/>
                <w:szCs w:val="24"/>
                <w:highlight w:val="none"/>
                <w:lang w:val="en-US" w:eastAsia="zh-CN"/>
              </w:rPr>
              <w:t>一</w:t>
            </w:r>
            <w:r>
              <w:rPr>
                <w:rFonts w:hint="eastAsia"/>
                <w:color w:val="auto"/>
                <w:sz w:val="24"/>
                <w:szCs w:val="24"/>
                <w:highlight w:val="none"/>
              </w:rPr>
              <w:t>座</w:t>
            </w:r>
            <w:r>
              <w:rPr>
                <w:rFonts w:hint="eastAsia"/>
                <w:color w:val="auto"/>
                <w:sz w:val="24"/>
                <w:szCs w:val="24"/>
                <w:highlight w:val="none"/>
                <w:lang w:val="en-US" w:eastAsia="zh-CN"/>
              </w:rPr>
              <w:t>固定式</w:t>
            </w:r>
            <w:r>
              <w:rPr>
                <w:rFonts w:hint="eastAsia"/>
                <w:color w:val="auto"/>
                <w:sz w:val="24"/>
                <w:szCs w:val="24"/>
                <w:highlight w:val="none"/>
              </w:rPr>
              <w:t>X射线探伤房项目</w:t>
            </w:r>
          </w:p>
        </w:tc>
      </w:tr>
      <w:tr w14:paraId="5B7DD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4" w:type="dxa"/>
            <w:gridSpan w:val="2"/>
            <w:vAlign w:val="center"/>
          </w:tcPr>
          <w:p w14:paraId="7C0C7492">
            <w:pPr>
              <w:spacing w:line="360" w:lineRule="auto"/>
              <w:jc w:val="center"/>
              <w:rPr>
                <w:color w:val="auto"/>
                <w:sz w:val="24"/>
                <w:szCs w:val="24"/>
                <w:highlight w:val="none"/>
              </w:rPr>
            </w:pPr>
            <w:r>
              <w:rPr>
                <w:color w:val="auto"/>
                <w:sz w:val="24"/>
                <w:szCs w:val="24"/>
                <w:highlight w:val="none"/>
              </w:rPr>
              <w:t>建设单位</w:t>
            </w:r>
          </w:p>
        </w:tc>
        <w:tc>
          <w:tcPr>
            <w:tcW w:w="7252" w:type="dxa"/>
            <w:gridSpan w:val="6"/>
            <w:vAlign w:val="center"/>
          </w:tcPr>
          <w:p w14:paraId="4918AD40">
            <w:pPr>
              <w:spacing w:line="360" w:lineRule="auto"/>
              <w:jc w:val="center"/>
              <w:rPr>
                <w:color w:val="auto"/>
                <w:sz w:val="24"/>
                <w:szCs w:val="24"/>
                <w:highlight w:val="none"/>
              </w:rPr>
            </w:pPr>
            <w:r>
              <w:rPr>
                <w:rFonts w:hint="default" w:ascii="Times New Roman" w:hAnsi="Times New Roman" w:cs="Times New Roman"/>
                <w:color w:val="auto"/>
                <w:sz w:val="24"/>
                <w:szCs w:val="24"/>
                <w:highlight w:val="none"/>
                <w:lang w:eastAsia="zh-CN"/>
              </w:rPr>
              <w:t>安徽泓济环境科技有限公司</w:t>
            </w:r>
          </w:p>
        </w:tc>
      </w:tr>
      <w:tr w14:paraId="47186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4" w:type="dxa"/>
            <w:gridSpan w:val="2"/>
            <w:vAlign w:val="center"/>
          </w:tcPr>
          <w:p w14:paraId="6891A4E2">
            <w:pPr>
              <w:spacing w:line="360" w:lineRule="auto"/>
              <w:jc w:val="center"/>
              <w:rPr>
                <w:color w:val="auto"/>
                <w:sz w:val="24"/>
                <w:szCs w:val="24"/>
                <w:highlight w:val="none"/>
              </w:rPr>
            </w:pPr>
            <w:r>
              <w:rPr>
                <w:color w:val="auto"/>
                <w:sz w:val="24"/>
                <w:szCs w:val="24"/>
                <w:highlight w:val="none"/>
              </w:rPr>
              <w:t>法人代表</w:t>
            </w:r>
          </w:p>
        </w:tc>
        <w:tc>
          <w:tcPr>
            <w:tcW w:w="1198" w:type="dxa"/>
            <w:vAlign w:val="center"/>
          </w:tcPr>
          <w:p w14:paraId="335038AD">
            <w:pPr>
              <w:spacing w:line="360" w:lineRule="auto"/>
              <w:jc w:val="center"/>
              <w:rPr>
                <w:color w:val="auto"/>
                <w:sz w:val="24"/>
                <w:szCs w:val="24"/>
                <w:highlight w:val="none"/>
              </w:rPr>
            </w:pPr>
            <w:r>
              <w:rPr>
                <w:rFonts w:hint="eastAsia" w:ascii="Times New Roman" w:hAnsi="Times New Roman" w:cs="Times New Roman"/>
                <w:color w:val="auto"/>
                <w:sz w:val="24"/>
                <w:szCs w:val="24"/>
                <w:highlight w:val="none"/>
              </w:rPr>
              <w:t>毛勇先</w:t>
            </w:r>
          </w:p>
        </w:tc>
        <w:tc>
          <w:tcPr>
            <w:tcW w:w="1530" w:type="dxa"/>
            <w:vAlign w:val="center"/>
          </w:tcPr>
          <w:p w14:paraId="0A79B188">
            <w:pPr>
              <w:spacing w:line="360" w:lineRule="auto"/>
              <w:jc w:val="center"/>
              <w:rPr>
                <w:color w:val="auto"/>
                <w:sz w:val="24"/>
                <w:szCs w:val="24"/>
                <w:highlight w:val="none"/>
              </w:rPr>
            </w:pPr>
            <w:r>
              <w:rPr>
                <w:color w:val="auto"/>
                <w:sz w:val="24"/>
                <w:szCs w:val="24"/>
                <w:highlight w:val="none"/>
              </w:rPr>
              <w:t>联系人</w:t>
            </w:r>
          </w:p>
        </w:tc>
        <w:tc>
          <w:tcPr>
            <w:tcW w:w="1239" w:type="dxa"/>
            <w:vAlign w:val="center"/>
          </w:tcPr>
          <w:p w14:paraId="2C2F7E31">
            <w:pPr>
              <w:spacing w:line="360" w:lineRule="auto"/>
              <w:jc w:val="center"/>
              <w:rPr>
                <w:color w:val="auto"/>
                <w:sz w:val="24"/>
                <w:szCs w:val="24"/>
                <w:highlight w:val="none"/>
              </w:rPr>
            </w:pPr>
            <w:r>
              <w:rPr>
                <w:rFonts w:hint="eastAsia"/>
                <w:color w:val="auto"/>
                <w:sz w:val="24"/>
                <w:szCs w:val="24"/>
                <w:highlight w:val="none"/>
              </w:rPr>
              <w:t>潘浩</w:t>
            </w:r>
          </w:p>
        </w:tc>
        <w:tc>
          <w:tcPr>
            <w:tcW w:w="1234" w:type="dxa"/>
            <w:vAlign w:val="center"/>
          </w:tcPr>
          <w:p w14:paraId="5F95F05F">
            <w:pPr>
              <w:spacing w:line="360" w:lineRule="auto"/>
              <w:jc w:val="center"/>
              <w:rPr>
                <w:color w:val="auto"/>
                <w:sz w:val="24"/>
                <w:szCs w:val="24"/>
                <w:highlight w:val="none"/>
              </w:rPr>
            </w:pPr>
            <w:r>
              <w:rPr>
                <w:color w:val="auto"/>
                <w:sz w:val="24"/>
                <w:szCs w:val="24"/>
                <w:highlight w:val="none"/>
              </w:rPr>
              <w:t>联系电话</w:t>
            </w:r>
          </w:p>
        </w:tc>
        <w:tc>
          <w:tcPr>
            <w:tcW w:w="2051" w:type="dxa"/>
            <w:gridSpan w:val="2"/>
            <w:vAlign w:val="center"/>
          </w:tcPr>
          <w:p w14:paraId="3D88F631">
            <w:pPr>
              <w:spacing w:line="360" w:lineRule="auto"/>
              <w:jc w:val="center"/>
              <w:rPr>
                <w:color w:val="auto"/>
                <w:sz w:val="24"/>
                <w:szCs w:val="24"/>
                <w:highlight w:val="none"/>
              </w:rPr>
            </w:pPr>
            <w:r>
              <w:rPr>
                <w:rFonts w:hint="eastAsia"/>
                <w:color w:val="auto"/>
                <w:sz w:val="24"/>
                <w:szCs w:val="24"/>
                <w:highlight w:val="none"/>
              </w:rPr>
              <w:t>18956428081</w:t>
            </w:r>
          </w:p>
        </w:tc>
      </w:tr>
      <w:tr w14:paraId="28C22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4" w:type="dxa"/>
            <w:gridSpan w:val="2"/>
            <w:vAlign w:val="center"/>
          </w:tcPr>
          <w:p w14:paraId="7EAA9F04">
            <w:pPr>
              <w:spacing w:line="360" w:lineRule="auto"/>
              <w:jc w:val="center"/>
              <w:rPr>
                <w:bCs/>
                <w:color w:val="auto"/>
                <w:sz w:val="24"/>
                <w:szCs w:val="24"/>
                <w:highlight w:val="none"/>
              </w:rPr>
            </w:pPr>
            <w:r>
              <w:rPr>
                <w:bCs/>
                <w:color w:val="auto"/>
                <w:sz w:val="24"/>
                <w:szCs w:val="24"/>
                <w:highlight w:val="none"/>
              </w:rPr>
              <w:t>注册地址</w:t>
            </w:r>
          </w:p>
        </w:tc>
        <w:tc>
          <w:tcPr>
            <w:tcW w:w="7252" w:type="dxa"/>
            <w:gridSpan w:val="6"/>
            <w:vAlign w:val="center"/>
          </w:tcPr>
          <w:p w14:paraId="5CC06E76">
            <w:pPr>
              <w:spacing w:line="360" w:lineRule="auto"/>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六安集中示范园区（一元大道以东）</w:t>
            </w:r>
          </w:p>
        </w:tc>
      </w:tr>
      <w:tr w14:paraId="762B2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4" w:type="dxa"/>
            <w:gridSpan w:val="2"/>
            <w:vAlign w:val="center"/>
          </w:tcPr>
          <w:p w14:paraId="061050A8">
            <w:pPr>
              <w:spacing w:line="360" w:lineRule="auto"/>
              <w:jc w:val="center"/>
              <w:rPr>
                <w:color w:val="auto"/>
                <w:sz w:val="24"/>
                <w:szCs w:val="24"/>
                <w:highlight w:val="none"/>
              </w:rPr>
            </w:pPr>
            <w:r>
              <w:rPr>
                <w:color w:val="auto"/>
                <w:sz w:val="24"/>
                <w:szCs w:val="24"/>
                <w:highlight w:val="none"/>
              </w:rPr>
              <w:t>项目建设地点</w:t>
            </w:r>
          </w:p>
        </w:tc>
        <w:tc>
          <w:tcPr>
            <w:tcW w:w="7252" w:type="dxa"/>
            <w:gridSpan w:val="6"/>
            <w:vAlign w:val="center"/>
          </w:tcPr>
          <w:p w14:paraId="68806328">
            <w:pPr>
              <w:pStyle w:val="11"/>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安徽六安金安经济开发区长淮路666号</w:t>
            </w:r>
            <w:r>
              <w:rPr>
                <w:rFonts w:hint="eastAsia" w:cs="Times New Roman"/>
                <w:color w:val="auto"/>
                <w:kern w:val="2"/>
                <w:sz w:val="24"/>
                <w:szCs w:val="24"/>
                <w:highlight w:val="none"/>
                <w:lang w:val="en-US" w:eastAsia="zh-CN" w:bidi="ar-SA"/>
              </w:rPr>
              <w:t>，2#生产厂房内东北角</w:t>
            </w:r>
          </w:p>
        </w:tc>
      </w:tr>
      <w:tr w14:paraId="383ED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4" w:type="dxa"/>
            <w:gridSpan w:val="2"/>
            <w:vAlign w:val="center"/>
          </w:tcPr>
          <w:p w14:paraId="6AD06503">
            <w:pPr>
              <w:spacing w:line="360" w:lineRule="auto"/>
              <w:jc w:val="center"/>
              <w:rPr>
                <w:color w:val="auto"/>
                <w:sz w:val="24"/>
                <w:szCs w:val="24"/>
                <w:highlight w:val="none"/>
              </w:rPr>
            </w:pPr>
            <w:r>
              <w:rPr>
                <w:rFonts w:hint="eastAsia"/>
                <w:color w:val="auto"/>
                <w:sz w:val="24"/>
                <w:szCs w:val="24"/>
                <w:highlight w:val="none"/>
              </w:rPr>
              <w:t>立项审批</w:t>
            </w:r>
            <w:r>
              <w:rPr>
                <w:color w:val="auto"/>
                <w:sz w:val="24"/>
                <w:szCs w:val="24"/>
                <w:highlight w:val="none"/>
              </w:rPr>
              <w:t>部门</w:t>
            </w:r>
          </w:p>
        </w:tc>
        <w:tc>
          <w:tcPr>
            <w:tcW w:w="2728" w:type="dxa"/>
            <w:gridSpan w:val="2"/>
            <w:vAlign w:val="center"/>
          </w:tcPr>
          <w:p w14:paraId="00034243">
            <w:pPr>
              <w:snapToGrid w:val="0"/>
              <w:ind w:left="-105" w:leftChars="-50" w:right="-105" w:rightChars="-50"/>
              <w:jc w:val="center"/>
              <w:rPr>
                <w:color w:val="auto"/>
                <w:sz w:val="24"/>
                <w:szCs w:val="24"/>
                <w:highlight w:val="none"/>
              </w:rPr>
            </w:pPr>
            <w:r>
              <w:rPr>
                <w:rFonts w:hint="eastAsia"/>
                <w:color w:val="auto"/>
                <w:sz w:val="24"/>
                <w:szCs w:val="24"/>
                <w:highlight w:val="none"/>
              </w:rPr>
              <w:t>/</w:t>
            </w:r>
          </w:p>
        </w:tc>
        <w:tc>
          <w:tcPr>
            <w:tcW w:w="1239" w:type="dxa"/>
            <w:vAlign w:val="center"/>
          </w:tcPr>
          <w:p w14:paraId="2234709A">
            <w:pPr>
              <w:spacing w:line="360" w:lineRule="auto"/>
              <w:jc w:val="center"/>
              <w:rPr>
                <w:color w:val="auto"/>
                <w:sz w:val="24"/>
                <w:szCs w:val="24"/>
                <w:highlight w:val="none"/>
              </w:rPr>
            </w:pPr>
            <w:r>
              <w:rPr>
                <w:rFonts w:hint="eastAsia"/>
                <w:color w:val="auto"/>
                <w:sz w:val="24"/>
                <w:szCs w:val="24"/>
                <w:highlight w:val="none"/>
              </w:rPr>
              <w:t>批准文号</w:t>
            </w:r>
          </w:p>
        </w:tc>
        <w:tc>
          <w:tcPr>
            <w:tcW w:w="3285" w:type="dxa"/>
            <w:gridSpan w:val="3"/>
            <w:vAlign w:val="center"/>
          </w:tcPr>
          <w:p w14:paraId="44C8DF90">
            <w:pPr>
              <w:snapToGrid w:val="0"/>
              <w:jc w:val="center"/>
              <w:rPr>
                <w:color w:val="auto"/>
                <w:sz w:val="24"/>
                <w:szCs w:val="24"/>
                <w:highlight w:val="none"/>
              </w:rPr>
            </w:pPr>
            <w:r>
              <w:rPr>
                <w:rFonts w:hint="eastAsia"/>
                <w:color w:val="auto"/>
                <w:sz w:val="24"/>
                <w:szCs w:val="24"/>
                <w:highlight w:val="none"/>
              </w:rPr>
              <w:t>/</w:t>
            </w:r>
          </w:p>
        </w:tc>
      </w:tr>
      <w:tr w14:paraId="22F84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4" w:type="dxa"/>
            <w:gridSpan w:val="2"/>
            <w:vAlign w:val="center"/>
          </w:tcPr>
          <w:p w14:paraId="7D95F5E2">
            <w:pPr>
              <w:jc w:val="center"/>
              <w:rPr>
                <w:color w:val="auto"/>
                <w:sz w:val="24"/>
                <w:szCs w:val="24"/>
                <w:highlight w:val="none"/>
              </w:rPr>
            </w:pPr>
            <w:r>
              <w:rPr>
                <w:color w:val="auto"/>
                <w:sz w:val="24"/>
                <w:szCs w:val="24"/>
                <w:highlight w:val="none"/>
              </w:rPr>
              <w:t>建设项目总投资（万元）</w:t>
            </w:r>
          </w:p>
        </w:tc>
        <w:tc>
          <w:tcPr>
            <w:tcW w:w="1198" w:type="dxa"/>
            <w:vAlign w:val="center"/>
          </w:tcPr>
          <w:p w14:paraId="6A0E5B8D">
            <w:pPr>
              <w:jc w:val="center"/>
              <w:rPr>
                <w:rFonts w:hint="default" w:eastAsia="宋体"/>
                <w:color w:val="auto"/>
                <w:sz w:val="24"/>
                <w:szCs w:val="24"/>
                <w:highlight w:val="none"/>
                <w:lang w:val="en-US" w:eastAsia="zh-CN"/>
              </w:rPr>
            </w:pPr>
            <w:r>
              <w:rPr>
                <w:rFonts w:hint="eastAsia"/>
                <w:color w:val="auto"/>
                <w:sz w:val="24"/>
                <w:szCs w:val="24"/>
                <w:highlight w:val="none"/>
                <w:lang w:val="en-US" w:eastAsia="zh-CN"/>
              </w:rPr>
              <w:t>70</w:t>
            </w:r>
          </w:p>
        </w:tc>
        <w:tc>
          <w:tcPr>
            <w:tcW w:w="1530" w:type="dxa"/>
            <w:vAlign w:val="center"/>
          </w:tcPr>
          <w:p w14:paraId="4CAF1940">
            <w:pPr>
              <w:jc w:val="center"/>
              <w:rPr>
                <w:color w:val="auto"/>
                <w:sz w:val="24"/>
                <w:szCs w:val="24"/>
                <w:highlight w:val="none"/>
              </w:rPr>
            </w:pPr>
            <w:r>
              <w:rPr>
                <w:color w:val="auto"/>
                <w:sz w:val="24"/>
                <w:szCs w:val="24"/>
                <w:highlight w:val="none"/>
              </w:rPr>
              <w:t>项目环保投资（万元）</w:t>
            </w:r>
          </w:p>
        </w:tc>
        <w:tc>
          <w:tcPr>
            <w:tcW w:w="1239" w:type="dxa"/>
            <w:vAlign w:val="center"/>
          </w:tcPr>
          <w:p w14:paraId="5DE73008">
            <w:pPr>
              <w:jc w:val="center"/>
              <w:rPr>
                <w:rFonts w:hint="default" w:eastAsia="宋体"/>
                <w:color w:val="auto"/>
                <w:sz w:val="24"/>
                <w:szCs w:val="24"/>
                <w:highlight w:val="none"/>
                <w:lang w:val="en-US" w:eastAsia="zh-CN"/>
              </w:rPr>
            </w:pPr>
            <w:r>
              <w:rPr>
                <w:rFonts w:hint="eastAsia"/>
                <w:color w:val="auto"/>
                <w:sz w:val="24"/>
                <w:szCs w:val="24"/>
                <w:highlight w:val="none"/>
                <w:lang w:val="en-US" w:eastAsia="zh-CN"/>
              </w:rPr>
              <w:t>20</w:t>
            </w:r>
          </w:p>
        </w:tc>
        <w:tc>
          <w:tcPr>
            <w:tcW w:w="1810" w:type="dxa"/>
            <w:gridSpan w:val="2"/>
            <w:vAlign w:val="center"/>
          </w:tcPr>
          <w:p w14:paraId="1E6B7A5E">
            <w:pPr>
              <w:ind w:left="-1" w:leftChars="-12" w:right="-46" w:rightChars="-22" w:hanging="24" w:hangingChars="10"/>
              <w:jc w:val="center"/>
              <w:rPr>
                <w:color w:val="auto"/>
                <w:sz w:val="24"/>
                <w:szCs w:val="24"/>
                <w:highlight w:val="none"/>
              </w:rPr>
            </w:pPr>
            <w:r>
              <w:rPr>
                <w:color w:val="auto"/>
                <w:sz w:val="24"/>
                <w:szCs w:val="24"/>
                <w:highlight w:val="none"/>
              </w:rPr>
              <w:t>投资比例（环保投资/总投资）</w:t>
            </w:r>
          </w:p>
        </w:tc>
        <w:tc>
          <w:tcPr>
            <w:tcW w:w="1475" w:type="dxa"/>
            <w:vAlign w:val="center"/>
          </w:tcPr>
          <w:p w14:paraId="5E64B6DE">
            <w:pPr>
              <w:jc w:val="center"/>
              <w:rPr>
                <w:color w:val="auto"/>
                <w:sz w:val="24"/>
                <w:szCs w:val="24"/>
                <w:highlight w:val="none"/>
              </w:rPr>
            </w:pPr>
            <w:r>
              <w:rPr>
                <w:rFonts w:hint="eastAsia"/>
                <w:color w:val="auto"/>
                <w:sz w:val="24"/>
                <w:szCs w:val="24"/>
                <w:highlight w:val="none"/>
                <w:lang w:val="en-US" w:eastAsia="zh-CN"/>
              </w:rPr>
              <w:t>28.6</w:t>
            </w:r>
            <w:r>
              <w:rPr>
                <w:rFonts w:hint="eastAsia"/>
                <w:color w:val="auto"/>
                <w:sz w:val="24"/>
                <w:szCs w:val="24"/>
                <w:highlight w:val="none"/>
              </w:rPr>
              <w:t>%</w:t>
            </w:r>
          </w:p>
        </w:tc>
      </w:tr>
      <w:tr w14:paraId="7BBFB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4" w:type="dxa"/>
            <w:gridSpan w:val="2"/>
            <w:vAlign w:val="center"/>
          </w:tcPr>
          <w:p w14:paraId="27812088">
            <w:pPr>
              <w:spacing w:line="360" w:lineRule="auto"/>
              <w:jc w:val="center"/>
              <w:rPr>
                <w:color w:val="auto"/>
                <w:sz w:val="24"/>
                <w:szCs w:val="24"/>
                <w:highlight w:val="none"/>
              </w:rPr>
            </w:pPr>
            <w:r>
              <w:rPr>
                <w:color w:val="auto"/>
                <w:sz w:val="24"/>
                <w:szCs w:val="24"/>
                <w:highlight w:val="none"/>
              </w:rPr>
              <w:t>项目性质</w:t>
            </w:r>
          </w:p>
        </w:tc>
        <w:tc>
          <w:tcPr>
            <w:tcW w:w="3967" w:type="dxa"/>
            <w:gridSpan w:val="3"/>
            <w:vAlign w:val="center"/>
          </w:tcPr>
          <w:p w14:paraId="4C33A91A">
            <w:pPr>
              <w:spacing w:line="360" w:lineRule="auto"/>
              <w:jc w:val="center"/>
              <w:rPr>
                <w:color w:val="auto"/>
                <w:sz w:val="24"/>
                <w:szCs w:val="24"/>
                <w:highlight w:val="none"/>
              </w:rPr>
            </w:pPr>
            <w:r>
              <w:rPr>
                <w:color w:val="auto"/>
                <w:sz w:val="24"/>
                <w:szCs w:val="24"/>
                <w:highlight w:val="none"/>
              </w:rPr>
              <w:sym w:font="Wingdings" w:char="F0FE"/>
            </w:r>
            <w:r>
              <w:rPr>
                <w:color w:val="auto"/>
                <w:sz w:val="24"/>
                <w:szCs w:val="24"/>
                <w:highlight w:val="none"/>
              </w:rPr>
              <w:t>新建</w:t>
            </w:r>
            <w:r>
              <w:rPr>
                <w:color w:val="auto"/>
                <w:sz w:val="24"/>
                <w:szCs w:val="24"/>
                <w:highlight w:val="none"/>
              </w:rPr>
              <w:sym w:font="Wingdings" w:char="00A8"/>
            </w:r>
            <w:r>
              <w:rPr>
                <w:color w:val="auto"/>
                <w:sz w:val="24"/>
                <w:szCs w:val="24"/>
                <w:highlight w:val="none"/>
              </w:rPr>
              <w:t>改建</w:t>
            </w:r>
            <w:r>
              <w:rPr>
                <w:color w:val="auto"/>
                <w:sz w:val="24"/>
                <w:szCs w:val="24"/>
                <w:highlight w:val="none"/>
              </w:rPr>
              <w:sym w:font="Wingdings" w:char="00A8"/>
            </w:r>
            <w:r>
              <w:rPr>
                <w:color w:val="auto"/>
                <w:sz w:val="24"/>
                <w:szCs w:val="24"/>
                <w:highlight w:val="none"/>
              </w:rPr>
              <w:t>扩建</w:t>
            </w:r>
            <w:r>
              <w:rPr>
                <w:color w:val="auto"/>
                <w:sz w:val="24"/>
                <w:szCs w:val="24"/>
                <w:highlight w:val="none"/>
              </w:rPr>
              <w:sym w:font="Wingdings" w:char="00A8"/>
            </w:r>
            <w:r>
              <w:rPr>
                <w:color w:val="auto"/>
                <w:sz w:val="24"/>
                <w:szCs w:val="24"/>
                <w:highlight w:val="none"/>
              </w:rPr>
              <w:t>其</w:t>
            </w:r>
            <w:r>
              <w:rPr>
                <w:rFonts w:hint="eastAsia"/>
                <w:color w:val="auto"/>
                <w:sz w:val="24"/>
                <w:szCs w:val="24"/>
                <w:highlight w:val="none"/>
              </w:rPr>
              <w:t>它</w:t>
            </w:r>
          </w:p>
        </w:tc>
        <w:tc>
          <w:tcPr>
            <w:tcW w:w="1810" w:type="dxa"/>
            <w:gridSpan w:val="2"/>
            <w:vAlign w:val="center"/>
          </w:tcPr>
          <w:p w14:paraId="68EAB869">
            <w:pPr>
              <w:spacing w:line="360" w:lineRule="auto"/>
              <w:ind w:left="-1" w:leftChars="-12" w:right="-46" w:rightChars="-22" w:hanging="24" w:hangingChars="10"/>
              <w:jc w:val="center"/>
              <w:rPr>
                <w:color w:val="auto"/>
                <w:sz w:val="24"/>
                <w:szCs w:val="24"/>
                <w:highlight w:val="none"/>
              </w:rPr>
            </w:pPr>
            <w:r>
              <w:rPr>
                <w:color w:val="auto"/>
                <w:sz w:val="24"/>
                <w:szCs w:val="24"/>
                <w:highlight w:val="none"/>
              </w:rPr>
              <w:t>占地面积（m</w:t>
            </w:r>
            <w:r>
              <w:rPr>
                <w:color w:val="auto"/>
                <w:sz w:val="24"/>
                <w:szCs w:val="24"/>
                <w:highlight w:val="none"/>
                <w:vertAlign w:val="superscript"/>
              </w:rPr>
              <w:t>2</w:t>
            </w:r>
            <w:r>
              <w:rPr>
                <w:color w:val="auto"/>
                <w:sz w:val="24"/>
                <w:szCs w:val="24"/>
                <w:highlight w:val="none"/>
              </w:rPr>
              <w:t>）</w:t>
            </w:r>
          </w:p>
        </w:tc>
        <w:tc>
          <w:tcPr>
            <w:tcW w:w="1475" w:type="dxa"/>
            <w:vAlign w:val="center"/>
          </w:tcPr>
          <w:p w14:paraId="120051DE">
            <w:pPr>
              <w:spacing w:line="360" w:lineRule="auto"/>
              <w:ind w:left="-1" w:leftChars="-12" w:right="-46" w:rightChars="-22" w:hanging="24" w:hangingChars="10"/>
              <w:jc w:val="center"/>
              <w:rPr>
                <w:rFonts w:hint="default" w:eastAsia="宋体"/>
                <w:color w:val="auto"/>
                <w:sz w:val="24"/>
                <w:szCs w:val="24"/>
                <w:highlight w:val="none"/>
                <w:lang w:val="en-US" w:eastAsia="zh-CN"/>
              </w:rPr>
            </w:pPr>
            <w:r>
              <w:rPr>
                <w:rFonts w:hint="eastAsia"/>
                <w:color w:val="auto"/>
                <w:sz w:val="24"/>
                <w:szCs w:val="24"/>
                <w:highlight w:val="none"/>
                <w:lang w:val="en-US" w:eastAsia="zh-CN"/>
              </w:rPr>
              <w:t>26</w:t>
            </w:r>
          </w:p>
        </w:tc>
      </w:tr>
      <w:tr w14:paraId="06700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Merge w:val="restart"/>
            <w:vAlign w:val="center"/>
          </w:tcPr>
          <w:p w14:paraId="3FBAE0FB">
            <w:pPr>
              <w:spacing w:line="360" w:lineRule="auto"/>
              <w:jc w:val="center"/>
              <w:rPr>
                <w:color w:val="auto"/>
                <w:sz w:val="24"/>
                <w:szCs w:val="24"/>
                <w:highlight w:val="none"/>
              </w:rPr>
            </w:pPr>
            <w:r>
              <w:rPr>
                <w:color w:val="auto"/>
                <w:sz w:val="24"/>
                <w:szCs w:val="24"/>
                <w:highlight w:val="none"/>
              </w:rPr>
              <w:t>应</w:t>
            </w:r>
          </w:p>
          <w:p w14:paraId="30EC97C1">
            <w:pPr>
              <w:spacing w:line="360" w:lineRule="auto"/>
              <w:jc w:val="center"/>
              <w:rPr>
                <w:color w:val="auto"/>
                <w:sz w:val="24"/>
                <w:szCs w:val="24"/>
                <w:highlight w:val="none"/>
              </w:rPr>
            </w:pPr>
            <w:r>
              <w:rPr>
                <w:color w:val="auto"/>
                <w:sz w:val="24"/>
                <w:szCs w:val="24"/>
                <w:highlight w:val="none"/>
              </w:rPr>
              <w:t>用</w:t>
            </w:r>
          </w:p>
          <w:p w14:paraId="2E4848C2">
            <w:pPr>
              <w:spacing w:line="360" w:lineRule="auto"/>
              <w:jc w:val="center"/>
              <w:rPr>
                <w:color w:val="auto"/>
                <w:sz w:val="24"/>
                <w:szCs w:val="24"/>
                <w:highlight w:val="none"/>
              </w:rPr>
            </w:pPr>
            <w:r>
              <w:rPr>
                <w:color w:val="auto"/>
                <w:sz w:val="24"/>
                <w:szCs w:val="24"/>
                <w:highlight w:val="none"/>
              </w:rPr>
              <w:t>类</w:t>
            </w:r>
          </w:p>
          <w:p w14:paraId="7951B418">
            <w:pPr>
              <w:spacing w:line="360" w:lineRule="auto"/>
              <w:jc w:val="center"/>
              <w:rPr>
                <w:color w:val="auto"/>
                <w:sz w:val="24"/>
                <w:szCs w:val="24"/>
                <w:highlight w:val="none"/>
              </w:rPr>
            </w:pPr>
            <w:r>
              <w:rPr>
                <w:color w:val="auto"/>
                <w:sz w:val="24"/>
                <w:szCs w:val="24"/>
                <w:highlight w:val="none"/>
              </w:rPr>
              <w:t>型</w:t>
            </w:r>
          </w:p>
        </w:tc>
        <w:tc>
          <w:tcPr>
            <w:tcW w:w="1122" w:type="dxa"/>
            <w:vMerge w:val="restart"/>
            <w:vAlign w:val="center"/>
          </w:tcPr>
          <w:p w14:paraId="2313BCE8">
            <w:pPr>
              <w:spacing w:line="240" w:lineRule="auto"/>
              <w:jc w:val="center"/>
              <w:rPr>
                <w:color w:val="auto"/>
                <w:sz w:val="24"/>
                <w:szCs w:val="24"/>
                <w:highlight w:val="none"/>
              </w:rPr>
            </w:pPr>
            <w:r>
              <w:rPr>
                <w:color w:val="auto"/>
                <w:sz w:val="24"/>
                <w:szCs w:val="24"/>
                <w:highlight w:val="none"/>
              </w:rPr>
              <w:t>放射源</w:t>
            </w:r>
          </w:p>
        </w:tc>
        <w:tc>
          <w:tcPr>
            <w:tcW w:w="1198" w:type="dxa"/>
            <w:vAlign w:val="center"/>
          </w:tcPr>
          <w:p w14:paraId="74623F21">
            <w:pPr>
              <w:spacing w:line="360" w:lineRule="auto"/>
              <w:jc w:val="center"/>
              <w:rPr>
                <w:color w:val="auto"/>
                <w:sz w:val="24"/>
                <w:szCs w:val="24"/>
                <w:highlight w:val="none"/>
              </w:rPr>
            </w:pPr>
            <w:r>
              <w:rPr>
                <w:color w:val="auto"/>
                <w:sz w:val="24"/>
                <w:szCs w:val="24"/>
                <w:highlight w:val="none"/>
              </w:rPr>
              <w:sym w:font="Wingdings" w:char="00A8"/>
            </w:r>
            <w:r>
              <w:rPr>
                <w:color w:val="auto"/>
                <w:sz w:val="24"/>
                <w:szCs w:val="24"/>
                <w:highlight w:val="none"/>
              </w:rPr>
              <w:t>销售</w:t>
            </w:r>
          </w:p>
        </w:tc>
        <w:tc>
          <w:tcPr>
            <w:tcW w:w="6054" w:type="dxa"/>
            <w:gridSpan w:val="5"/>
            <w:vAlign w:val="center"/>
          </w:tcPr>
          <w:p w14:paraId="134F5621">
            <w:pPr>
              <w:spacing w:line="360" w:lineRule="auto"/>
              <w:jc w:val="center"/>
              <w:rPr>
                <w:color w:val="auto"/>
                <w:sz w:val="24"/>
                <w:szCs w:val="24"/>
                <w:highlight w:val="none"/>
              </w:rPr>
            </w:pPr>
            <w:r>
              <w:rPr>
                <w:color w:val="auto"/>
                <w:sz w:val="24"/>
                <w:szCs w:val="24"/>
                <w:highlight w:val="none"/>
              </w:rPr>
              <w:sym w:font="Wingdings" w:char="00A8"/>
            </w:r>
            <w:r>
              <w:rPr>
                <w:color w:val="auto"/>
                <w:sz w:val="24"/>
                <w:szCs w:val="24"/>
                <w:highlight w:val="none"/>
              </w:rPr>
              <w:t xml:space="preserve">Ⅰ类  </w:t>
            </w:r>
            <w:r>
              <w:rPr>
                <w:color w:val="auto"/>
                <w:sz w:val="24"/>
                <w:szCs w:val="24"/>
                <w:highlight w:val="none"/>
              </w:rPr>
              <w:sym w:font="Wingdings" w:char="00A8"/>
            </w:r>
            <w:r>
              <w:rPr>
                <w:color w:val="auto"/>
                <w:sz w:val="24"/>
                <w:szCs w:val="24"/>
                <w:highlight w:val="none"/>
              </w:rPr>
              <w:t xml:space="preserve">Ⅱ类  </w:t>
            </w:r>
            <w:r>
              <w:rPr>
                <w:color w:val="auto"/>
                <w:sz w:val="24"/>
                <w:szCs w:val="24"/>
                <w:highlight w:val="none"/>
              </w:rPr>
              <w:sym w:font="Wingdings" w:char="00A8"/>
            </w:r>
            <w:r>
              <w:rPr>
                <w:color w:val="auto"/>
                <w:sz w:val="24"/>
                <w:szCs w:val="24"/>
                <w:highlight w:val="none"/>
              </w:rPr>
              <w:t xml:space="preserve">Ⅲ类  </w:t>
            </w:r>
            <w:r>
              <w:rPr>
                <w:color w:val="auto"/>
                <w:sz w:val="24"/>
                <w:szCs w:val="24"/>
                <w:highlight w:val="none"/>
              </w:rPr>
              <w:sym w:font="Wingdings" w:char="00A8"/>
            </w:r>
            <w:r>
              <w:rPr>
                <w:color w:val="auto"/>
                <w:sz w:val="24"/>
                <w:szCs w:val="24"/>
                <w:highlight w:val="none"/>
              </w:rPr>
              <w:t xml:space="preserve">Ⅳ类  </w:t>
            </w:r>
            <w:r>
              <w:rPr>
                <w:color w:val="auto"/>
                <w:sz w:val="24"/>
                <w:szCs w:val="24"/>
                <w:highlight w:val="none"/>
              </w:rPr>
              <w:sym w:font="Wingdings" w:char="00A8"/>
            </w:r>
            <w:r>
              <w:rPr>
                <w:color w:val="auto"/>
                <w:sz w:val="24"/>
                <w:szCs w:val="24"/>
                <w:highlight w:val="none"/>
              </w:rPr>
              <w:t xml:space="preserve">Ⅴ类 </w:t>
            </w:r>
          </w:p>
        </w:tc>
      </w:tr>
      <w:tr w14:paraId="3C556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Merge w:val="continue"/>
            <w:vAlign w:val="center"/>
          </w:tcPr>
          <w:p w14:paraId="3C25EA09">
            <w:pPr>
              <w:spacing w:line="360" w:lineRule="auto"/>
              <w:jc w:val="center"/>
              <w:rPr>
                <w:color w:val="auto"/>
                <w:sz w:val="24"/>
                <w:szCs w:val="24"/>
                <w:highlight w:val="none"/>
              </w:rPr>
            </w:pPr>
          </w:p>
        </w:tc>
        <w:tc>
          <w:tcPr>
            <w:tcW w:w="1122" w:type="dxa"/>
            <w:vMerge w:val="continue"/>
            <w:vAlign w:val="center"/>
          </w:tcPr>
          <w:p w14:paraId="2EE502ED">
            <w:pPr>
              <w:spacing w:line="240" w:lineRule="auto"/>
              <w:jc w:val="center"/>
              <w:rPr>
                <w:color w:val="auto"/>
                <w:sz w:val="24"/>
                <w:szCs w:val="24"/>
                <w:highlight w:val="none"/>
              </w:rPr>
            </w:pPr>
          </w:p>
        </w:tc>
        <w:tc>
          <w:tcPr>
            <w:tcW w:w="1198" w:type="dxa"/>
            <w:vAlign w:val="center"/>
          </w:tcPr>
          <w:p w14:paraId="2C5E6965">
            <w:pPr>
              <w:spacing w:line="360" w:lineRule="auto"/>
              <w:jc w:val="center"/>
              <w:rPr>
                <w:color w:val="auto"/>
                <w:sz w:val="24"/>
                <w:szCs w:val="24"/>
                <w:highlight w:val="none"/>
              </w:rPr>
            </w:pPr>
            <w:r>
              <w:rPr>
                <w:color w:val="auto"/>
                <w:sz w:val="24"/>
                <w:szCs w:val="24"/>
                <w:highlight w:val="none"/>
              </w:rPr>
              <w:sym w:font="Wingdings" w:char="00A8"/>
            </w:r>
            <w:r>
              <w:rPr>
                <w:color w:val="auto"/>
                <w:sz w:val="24"/>
                <w:szCs w:val="24"/>
                <w:highlight w:val="none"/>
              </w:rPr>
              <w:t>使用</w:t>
            </w:r>
          </w:p>
        </w:tc>
        <w:tc>
          <w:tcPr>
            <w:tcW w:w="6054" w:type="dxa"/>
            <w:gridSpan w:val="5"/>
            <w:vAlign w:val="center"/>
          </w:tcPr>
          <w:p w14:paraId="349E09A9">
            <w:pPr>
              <w:spacing w:line="360" w:lineRule="auto"/>
              <w:jc w:val="center"/>
              <w:rPr>
                <w:color w:val="auto"/>
                <w:sz w:val="24"/>
                <w:szCs w:val="24"/>
                <w:highlight w:val="none"/>
              </w:rPr>
            </w:pPr>
            <w:r>
              <w:rPr>
                <w:color w:val="auto"/>
                <w:sz w:val="24"/>
                <w:szCs w:val="24"/>
                <w:highlight w:val="none"/>
              </w:rPr>
              <w:sym w:font="Wingdings" w:char="00A8"/>
            </w:r>
            <w:r>
              <w:rPr>
                <w:color w:val="auto"/>
                <w:sz w:val="24"/>
                <w:szCs w:val="24"/>
                <w:highlight w:val="none"/>
              </w:rPr>
              <w:t xml:space="preserve">Ⅰ类（医疗使用）  </w:t>
            </w:r>
            <w:r>
              <w:rPr>
                <w:color w:val="auto"/>
                <w:sz w:val="24"/>
                <w:szCs w:val="24"/>
                <w:highlight w:val="none"/>
              </w:rPr>
              <w:sym w:font="Wingdings" w:char="00A8"/>
            </w:r>
            <w:r>
              <w:rPr>
                <w:color w:val="auto"/>
                <w:sz w:val="24"/>
                <w:szCs w:val="24"/>
                <w:highlight w:val="none"/>
              </w:rPr>
              <w:t xml:space="preserve">Ⅱ类  </w:t>
            </w:r>
            <w:r>
              <w:rPr>
                <w:color w:val="auto"/>
                <w:sz w:val="24"/>
                <w:szCs w:val="24"/>
                <w:highlight w:val="none"/>
              </w:rPr>
              <w:sym w:font="Wingdings" w:char="00A8"/>
            </w:r>
            <w:r>
              <w:rPr>
                <w:color w:val="auto"/>
                <w:sz w:val="24"/>
                <w:szCs w:val="24"/>
                <w:highlight w:val="none"/>
              </w:rPr>
              <w:t xml:space="preserve">Ⅲ类  </w:t>
            </w:r>
            <w:r>
              <w:rPr>
                <w:color w:val="auto"/>
                <w:sz w:val="24"/>
                <w:szCs w:val="24"/>
                <w:highlight w:val="none"/>
              </w:rPr>
              <w:sym w:font="Wingdings" w:char="00A8"/>
            </w:r>
            <w:r>
              <w:rPr>
                <w:color w:val="auto"/>
                <w:sz w:val="24"/>
                <w:szCs w:val="24"/>
                <w:highlight w:val="none"/>
              </w:rPr>
              <w:t xml:space="preserve">Ⅳ类  </w:t>
            </w:r>
            <w:r>
              <w:rPr>
                <w:color w:val="auto"/>
                <w:sz w:val="24"/>
                <w:szCs w:val="24"/>
                <w:highlight w:val="none"/>
              </w:rPr>
              <w:sym w:font="Wingdings" w:char="00A8"/>
            </w:r>
            <w:r>
              <w:rPr>
                <w:color w:val="auto"/>
                <w:sz w:val="24"/>
                <w:szCs w:val="24"/>
                <w:highlight w:val="none"/>
              </w:rPr>
              <w:t>Ⅴ类</w:t>
            </w:r>
          </w:p>
        </w:tc>
      </w:tr>
      <w:tr w14:paraId="74321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Merge w:val="continue"/>
            <w:vAlign w:val="center"/>
          </w:tcPr>
          <w:p w14:paraId="0047645D">
            <w:pPr>
              <w:spacing w:line="360" w:lineRule="auto"/>
              <w:jc w:val="center"/>
              <w:rPr>
                <w:color w:val="auto"/>
                <w:sz w:val="24"/>
                <w:szCs w:val="24"/>
                <w:highlight w:val="none"/>
              </w:rPr>
            </w:pPr>
          </w:p>
        </w:tc>
        <w:tc>
          <w:tcPr>
            <w:tcW w:w="1122" w:type="dxa"/>
            <w:vMerge w:val="restart"/>
            <w:vAlign w:val="center"/>
          </w:tcPr>
          <w:p w14:paraId="6C927E7A">
            <w:pPr>
              <w:spacing w:line="240" w:lineRule="auto"/>
              <w:jc w:val="center"/>
              <w:rPr>
                <w:color w:val="auto"/>
                <w:sz w:val="24"/>
                <w:szCs w:val="24"/>
                <w:highlight w:val="none"/>
              </w:rPr>
            </w:pPr>
            <w:r>
              <w:rPr>
                <w:color w:val="auto"/>
                <w:sz w:val="24"/>
                <w:szCs w:val="24"/>
                <w:highlight w:val="none"/>
              </w:rPr>
              <w:t>非密封放射性物质</w:t>
            </w:r>
          </w:p>
        </w:tc>
        <w:tc>
          <w:tcPr>
            <w:tcW w:w="1198" w:type="dxa"/>
            <w:vAlign w:val="center"/>
          </w:tcPr>
          <w:p w14:paraId="764BC576">
            <w:pPr>
              <w:spacing w:line="360" w:lineRule="auto"/>
              <w:jc w:val="center"/>
              <w:rPr>
                <w:color w:val="auto"/>
                <w:sz w:val="24"/>
                <w:szCs w:val="24"/>
                <w:highlight w:val="none"/>
              </w:rPr>
            </w:pPr>
            <w:r>
              <w:rPr>
                <w:color w:val="auto"/>
                <w:sz w:val="24"/>
                <w:szCs w:val="24"/>
                <w:highlight w:val="none"/>
              </w:rPr>
              <w:sym w:font="Wingdings" w:char="00A8"/>
            </w:r>
            <w:r>
              <w:rPr>
                <w:color w:val="auto"/>
                <w:sz w:val="24"/>
                <w:szCs w:val="24"/>
                <w:highlight w:val="none"/>
              </w:rPr>
              <w:t>生产</w:t>
            </w:r>
          </w:p>
        </w:tc>
        <w:tc>
          <w:tcPr>
            <w:tcW w:w="6054" w:type="dxa"/>
            <w:gridSpan w:val="5"/>
            <w:vAlign w:val="center"/>
          </w:tcPr>
          <w:p w14:paraId="7C368F6D">
            <w:pPr>
              <w:spacing w:line="360" w:lineRule="auto"/>
              <w:jc w:val="center"/>
              <w:rPr>
                <w:color w:val="auto"/>
                <w:sz w:val="24"/>
                <w:szCs w:val="24"/>
                <w:highlight w:val="none"/>
              </w:rPr>
            </w:pPr>
            <w:r>
              <w:rPr>
                <w:color w:val="auto"/>
                <w:sz w:val="24"/>
                <w:szCs w:val="24"/>
                <w:highlight w:val="none"/>
              </w:rPr>
              <w:sym w:font="Wingdings" w:char="00A8"/>
            </w:r>
            <w:r>
              <w:rPr>
                <w:color w:val="auto"/>
                <w:sz w:val="24"/>
                <w:szCs w:val="24"/>
                <w:highlight w:val="none"/>
              </w:rPr>
              <w:t>制备PET用放射性</w:t>
            </w:r>
            <w:r>
              <w:rPr>
                <w:rFonts w:hint="eastAsia"/>
                <w:color w:val="auto"/>
                <w:sz w:val="24"/>
                <w:szCs w:val="24"/>
                <w:highlight w:val="none"/>
              </w:rPr>
              <w:t>药物</w:t>
            </w:r>
          </w:p>
        </w:tc>
      </w:tr>
      <w:tr w14:paraId="7B418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Merge w:val="continue"/>
            <w:vAlign w:val="center"/>
          </w:tcPr>
          <w:p w14:paraId="26C45B9C">
            <w:pPr>
              <w:spacing w:line="360" w:lineRule="auto"/>
              <w:jc w:val="center"/>
              <w:rPr>
                <w:color w:val="auto"/>
                <w:highlight w:val="none"/>
              </w:rPr>
            </w:pPr>
          </w:p>
        </w:tc>
        <w:tc>
          <w:tcPr>
            <w:tcW w:w="1122" w:type="dxa"/>
            <w:vMerge w:val="continue"/>
            <w:vAlign w:val="center"/>
          </w:tcPr>
          <w:p w14:paraId="227E232B">
            <w:pPr>
              <w:spacing w:line="240" w:lineRule="auto"/>
              <w:jc w:val="center"/>
              <w:rPr>
                <w:color w:val="auto"/>
                <w:sz w:val="24"/>
                <w:szCs w:val="24"/>
                <w:highlight w:val="none"/>
              </w:rPr>
            </w:pPr>
          </w:p>
        </w:tc>
        <w:tc>
          <w:tcPr>
            <w:tcW w:w="1198" w:type="dxa"/>
            <w:vAlign w:val="center"/>
          </w:tcPr>
          <w:p w14:paraId="79BB75F9">
            <w:pPr>
              <w:spacing w:line="360" w:lineRule="auto"/>
              <w:jc w:val="center"/>
              <w:rPr>
                <w:color w:val="auto"/>
                <w:sz w:val="24"/>
                <w:szCs w:val="24"/>
                <w:highlight w:val="none"/>
              </w:rPr>
            </w:pPr>
            <w:r>
              <w:rPr>
                <w:color w:val="auto"/>
                <w:sz w:val="24"/>
                <w:szCs w:val="24"/>
                <w:highlight w:val="none"/>
              </w:rPr>
              <w:sym w:font="Wingdings" w:char="00A8"/>
            </w:r>
            <w:r>
              <w:rPr>
                <w:color w:val="auto"/>
                <w:sz w:val="24"/>
                <w:szCs w:val="24"/>
                <w:highlight w:val="none"/>
              </w:rPr>
              <w:t>销售</w:t>
            </w:r>
          </w:p>
        </w:tc>
        <w:tc>
          <w:tcPr>
            <w:tcW w:w="6054" w:type="dxa"/>
            <w:gridSpan w:val="5"/>
            <w:vAlign w:val="center"/>
          </w:tcPr>
          <w:p w14:paraId="6AC6D7D4">
            <w:pPr>
              <w:spacing w:line="360" w:lineRule="auto"/>
              <w:jc w:val="center"/>
              <w:rPr>
                <w:color w:val="auto"/>
                <w:sz w:val="24"/>
                <w:szCs w:val="24"/>
                <w:highlight w:val="none"/>
              </w:rPr>
            </w:pPr>
            <w:r>
              <w:rPr>
                <w:color w:val="auto"/>
                <w:sz w:val="24"/>
                <w:szCs w:val="24"/>
                <w:highlight w:val="none"/>
              </w:rPr>
              <w:t>/</w:t>
            </w:r>
          </w:p>
        </w:tc>
      </w:tr>
      <w:tr w14:paraId="39B5A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Merge w:val="continue"/>
            <w:vAlign w:val="center"/>
          </w:tcPr>
          <w:p w14:paraId="352DCD6E">
            <w:pPr>
              <w:spacing w:line="360" w:lineRule="auto"/>
              <w:jc w:val="center"/>
              <w:rPr>
                <w:color w:val="auto"/>
                <w:sz w:val="24"/>
                <w:szCs w:val="24"/>
                <w:highlight w:val="none"/>
              </w:rPr>
            </w:pPr>
          </w:p>
        </w:tc>
        <w:tc>
          <w:tcPr>
            <w:tcW w:w="1122" w:type="dxa"/>
            <w:vMerge w:val="continue"/>
            <w:vAlign w:val="center"/>
          </w:tcPr>
          <w:p w14:paraId="5F52365F">
            <w:pPr>
              <w:spacing w:line="240" w:lineRule="auto"/>
              <w:jc w:val="center"/>
              <w:rPr>
                <w:color w:val="auto"/>
                <w:sz w:val="24"/>
                <w:szCs w:val="24"/>
                <w:highlight w:val="none"/>
              </w:rPr>
            </w:pPr>
          </w:p>
        </w:tc>
        <w:tc>
          <w:tcPr>
            <w:tcW w:w="1198" w:type="dxa"/>
            <w:vAlign w:val="center"/>
          </w:tcPr>
          <w:p w14:paraId="4D825786">
            <w:pPr>
              <w:spacing w:line="360" w:lineRule="auto"/>
              <w:jc w:val="center"/>
              <w:rPr>
                <w:color w:val="auto"/>
                <w:sz w:val="24"/>
                <w:szCs w:val="24"/>
                <w:highlight w:val="none"/>
              </w:rPr>
            </w:pPr>
            <w:r>
              <w:rPr>
                <w:color w:val="auto"/>
                <w:sz w:val="24"/>
                <w:szCs w:val="24"/>
                <w:highlight w:val="none"/>
              </w:rPr>
              <w:sym w:font="Wingdings" w:char="00A8"/>
            </w:r>
            <w:r>
              <w:rPr>
                <w:color w:val="auto"/>
                <w:sz w:val="24"/>
                <w:szCs w:val="24"/>
                <w:highlight w:val="none"/>
              </w:rPr>
              <w:t>使用</w:t>
            </w:r>
          </w:p>
        </w:tc>
        <w:tc>
          <w:tcPr>
            <w:tcW w:w="6054" w:type="dxa"/>
            <w:gridSpan w:val="5"/>
            <w:vAlign w:val="center"/>
          </w:tcPr>
          <w:p w14:paraId="3A89C1C6">
            <w:pPr>
              <w:spacing w:line="360" w:lineRule="auto"/>
              <w:jc w:val="center"/>
              <w:rPr>
                <w:color w:val="auto"/>
                <w:sz w:val="24"/>
                <w:szCs w:val="24"/>
                <w:highlight w:val="none"/>
              </w:rPr>
            </w:pPr>
            <w:r>
              <w:rPr>
                <w:color w:val="auto"/>
                <w:sz w:val="24"/>
                <w:szCs w:val="24"/>
                <w:highlight w:val="none"/>
              </w:rPr>
              <w:sym w:font="Wingdings" w:char="00A8"/>
            </w:r>
            <w:r>
              <w:rPr>
                <w:color w:val="auto"/>
                <w:sz w:val="24"/>
                <w:szCs w:val="24"/>
                <w:highlight w:val="none"/>
              </w:rPr>
              <w:t xml:space="preserve">乙  </w:t>
            </w:r>
            <w:r>
              <w:rPr>
                <w:color w:val="auto"/>
                <w:sz w:val="24"/>
                <w:szCs w:val="24"/>
                <w:highlight w:val="none"/>
              </w:rPr>
              <w:sym w:font="Wingdings" w:char="00A8"/>
            </w:r>
            <w:r>
              <w:rPr>
                <w:color w:val="auto"/>
                <w:sz w:val="24"/>
                <w:szCs w:val="24"/>
                <w:highlight w:val="none"/>
              </w:rPr>
              <w:t>丙</w:t>
            </w:r>
          </w:p>
        </w:tc>
      </w:tr>
      <w:tr w14:paraId="675CD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Merge w:val="continue"/>
            <w:vAlign w:val="center"/>
          </w:tcPr>
          <w:p w14:paraId="56C19B0F">
            <w:pPr>
              <w:spacing w:line="360" w:lineRule="auto"/>
              <w:jc w:val="center"/>
              <w:rPr>
                <w:color w:val="auto"/>
                <w:sz w:val="24"/>
                <w:szCs w:val="24"/>
                <w:highlight w:val="none"/>
              </w:rPr>
            </w:pPr>
          </w:p>
        </w:tc>
        <w:tc>
          <w:tcPr>
            <w:tcW w:w="1122" w:type="dxa"/>
            <w:vMerge w:val="restart"/>
            <w:vAlign w:val="center"/>
          </w:tcPr>
          <w:p w14:paraId="67E8ABB0">
            <w:pPr>
              <w:spacing w:line="240" w:lineRule="auto"/>
              <w:jc w:val="center"/>
              <w:rPr>
                <w:color w:val="auto"/>
                <w:sz w:val="24"/>
                <w:szCs w:val="24"/>
                <w:highlight w:val="none"/>
              </w:rPr>
            </w:pPr>
            <w:r>
              <w:rPr>
                <w:color w:val="auto"/>
                <w:sz w:val="24"/>
                <w:szCs w:val="24"/>
                <w:highlight w:val="none"/>
              </w:rPr>
              <w:t>射线</w:t>
            </w:r>
          </w:p>
          <w:p w14:paraId="516B0245">
            <w:pPr>
              <w:spacing w:line="240" w:lineRule="auto"/>
              <w:jc w:val="center"/>
              <w:rPr>
                <w:color w:val="auto"/>
                <w:sz w:val="24"/>
                <w:szCs w:val="24"/>
                <w:highlight w:val="none"/>
              </w:rPr>
            </w:pPr>
            <w:r>
              <w:rPr>
                <w:color w:val="auto"/>
                <w:sz w:val="24"/>
                <w:szCs w:val="24"/>
                <w:highlight w:val="none"/>
              </w:rPr>
              <w:t>装置</w:t>
            </w:r>
          </w:p>
        </w:tc>
        <w:tc>
          <w:tcPr>
            <w:tcW w:w="1198" w:type="dxa"/>
            <w:vAlign w:val="center"/>
          </w:tcPr>
          <w:p w14:paraId="1D659BDB">
            <w:pPr>
              <w:spacing w:line="360" w:lineRule="auto"/>
              <w:jc w:val="center"/>
              <w:rPr>
                <w:color w:val="auto"/>
                <w:sz w:val="24"/>
                <w:szCs w:val="24"/>
                <w:highlight w:val="none"/>
              </w:rPr>
            </w:pPr>
            <w:r>
              <w:rPr>
                <w:color w:val="auto"/>
                <w:sz w:val="24"/>
                <w:szCs w:val="24"/>
                <w:highlight w:val="none"/>
              </w:rPr>
              <w:sym w:font="Wingdings" w:char="00A8"/>
            </w:r>
            <w:r>
              <w:rPr>
                <w:color w:val="auto"/>
                <w:sz w:val="24"/>
                <w:szCs w:val="24"/>
                <w:highlight w:val="none"/>
              </w:rPr>
              <w:t>生产</w:t>
            </w:r>
          </w:p>
        </w:tc>
        <w:tc>
          <w:tcPr>
            <w:tcW w:w="6054" w:type="dxa"/>
            <w:gridSpan w:val="5"/>
            <w:vAlign w:val="center"/>
          </w:tcPr>
          <w:p w14:paraId="5C834FDD">
            <w:pPr>
              <w:spacing w:line="360" w:lineRule="auto"/>
              <w:jc w:val="center"/>
              <w:rPr>
                <w:color w:val="auto"/>
                <w:sz w:val="24"/>
                <w:szCs w:val="24"/>
                <w:highlight w:val="none"/>
              </w:rPr>
            </w:pPr>
            <w:r>
              <w:rPr>
                <w:color w:val="auto"/>
                <w:sz w:val="24"/>
                <w:szCs w:val="24"/>
                <w:highlight w:val="none"/>
              </w:rPr>
              <w:sym w:font="Wingdings" w:char="00A8"/>
            </w:r>
            <w:r>
              <w:rPr>
                <w:color w:val="auto"/>
                <w:sz w:val="24"/>
                <w:szCs w:val="24"/>
                <w:highlight w:val="none"/>
              </w:rPr>
              <w:t xml:space="preserve">Ⅱ类  </w:t>
            </w:r>
            <w:r>
              <w:rPr>
                <w:color w:val="auto"/>
                <w:sz w:val="24"/>
                <w:szCs w:val="24"/>
                <w:highlight w:val="none"/>
              </w:rPr>
              <w:sym w:font="Wingdings" w:char="00A8"/>
            </w:r>
            <w:r>
              <w:rPr>
                <w:color w:val="auto"/>
                <w:sz w:val="24"/>
                <w:szCs w:val="24"/>
                <w:highlight w:val="none"/>
              </w:rPr>
              <w:t>Ⅲ类</w:t>
            </w:r>
          </w:p>
        </w:tc>
      </w:tr>
      <w:tr w14:paraId="7503F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2" w:type="dxa"/>
            <w:vMerge w:val="continue"/>
            <w:vAlign w:val="center"/>
          </w:tcPr>
          <w:p w14:paraId="41E865DE">
            <w:pPr>
              <w:spacing w:line="360" w:lineRule="auto"/>
              <w:jc w:val="center"/>
              <w:rPr>
                <w:color w:val="auto"/>
                <w:sz w:val="24"/>
                <w:szCs w:val="24"/>
                <w:highlight w:val="none"/>
              </w:rPr>
            </w:pPr>
          </w:p>
        </w:tc>
        <w:tc>
          <w:tcPr>
            <w:tcW w:w="1122" w:type="dxa"/>
            <w:vMerge w:val="continue"/>
            <w:vAlign w:val="center"/>
          </w:tcPr>
          <w:p w14:paraId="7DFFBC6B">
            <w:pPr>
              <w:spacing w:line="240" w:lineRule="auto"/>
              <w:jc w:val="center"/>
              <w:rPr>
                <w:color w:val="auto"/>
                <w:sz w:val="24"/>
                <w:szCs w:val="24"/>
                <w:highlight w:val="none"/>
              </w:rPr>
            </w:pPr>
          </w:p>
        </w:tc>
        <w:tc>
          <w:tcPr>
            <w:tcW w:w="1198" w:type="dxa"/>
            <w:vAlign w:val="center"/>
          </w:tcPr>
          <w:p w14:paraId="5C73225C">
            <w:pPr>
              <w:spacing w:line="360" w:lineRule="auto"/>
              <w:jc w:val="center"/>
              <w:rPr>
                <w:color w:val="auto"/>
                <w:sz w:val="24"/>
                <w:szCs w:val="24"/>
                <w:highlight w:val="none"/>
              </w:rPr>
            </w:pPr>
            <w:r>
              <w:rPr>
                <w:color w:val="auto"/>
                <w:sz w:val="24"/>
                <w:szCs w:val="24"/>
                <w:highlight w:val="none"/>
              </w:rPr>
              <w:sym w:font="Wingdings" w:char="00A8"/>
            </w:r>
            <w:r>
              <w:rPr>
                <w:color w:val="auto"/>
                <w:sz w:val="24"/>
                <w:szCs w:val="24"/>
                <w:highlight w:val="none"/>
              </w:rPr>
              <w:t>销售</w:t>
            </w:r>
          </w:p>
        </w:tc>
        <w:tc>
          <w:tcPr>
            <w:tcW w:w="6054" w:type="dxa"/>
            <w:gridSpan w:val="5"/>
            <w:vAlign w:val="center"/>
          </w:tcPr>
          <w:p w14:paraId="302BF19B">
            <w:pPr>
              <w:spacing w:line="360" w:lineRule="auto"/>
              <w:jc w:val="center"/>
              <w:rPr>
                <w:color w:val="auto"/>
                <w:sz w:val="24"/>
                <w:szCs w:val="24"/>
                <w:highlight w:val="none"/>
              </w:rPr>
            </w:pPr>
            <w:r>
              <w:rPr>
                <w:color w:val="auto"/>
                <w:sz w:val="24"/>
                <w:szCs w:val="24"/>
                <w:highlight w:val="none"/>
              </w:rPr>
              <w:sym w:font="Wingdings" w:char="00A8"/>
            </w:r>
            <w:r>
              <w:rPr>
                <w:color w:val="auto"/>
                <w:sz w:val="24"/>
                <w:szCs w:val="24"/>
                <w:highlight w:val="none"/>
              </w:rPr>
              <w:t xml:space="preserve">Ⅱ类  </w:t>
            </w:r>
            <w:r>
              <w:rPr>
                <w:color w:val="auto"/>
                <w:sz w:val="24"/>
                <w:szCs w:val="24"/>
                <w:highlight w:val="none"/>
              </w:rPr>
              <w:sym w:font="Wingdings" w:char="00A8"/>
            </w:r>
            <w:r>
              <w:rPr>
                <w:color w:val="auto"/>
                <w:sz w:val="24"/>
                <w:szCs w:val="24"/>
                <w:highlight w:val="none"/>
              </w:rPr>
              <w:t>Ⅲ类</w:t>
            </w:r>
          </w:p>
        </w:tc>
      </w:tr>
      <w:tr w14:paraId="19B07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712" w:type="dxa"/>
            <w:vMerge w:val="continue"/>
            <w:vAlign w:val="center"/>
          </w:tcPr>
          <w:p w14:paraId="698ACD04">
            <w:pPr>
              <w:spacing w:line="360" w:lineRule="auto"/>
              <w:jc w:val="center"/>
              <w:rPr>
                <w:color w:val="auto"/>
                <w:sz w:val="24"/>
                <w:szCs w:val="24"/>
                <w:highlight w:val="none"/>
              </w:rPr>
            </w:pPr>
          </w:p>
        </w:tc>
        <w:tc>
          <w:tcPr>
            <w:tcW w:w="1122" w:type="dxa"/>
            <w:vMerge w:val="continue"/>
            <w:vAlign w:val="center"/>
          </w:tcPr>
          <w:p w14:paraId="7B01B645">
            <w:pPr>
              <w:spacing w:line="240" w:lineRule="auto"/>
              <w:jc w:val="center"/>
              <w:rPr>
                <w:color w:val="auto"/>
                <w:sz w:val="24"/>
                <w:szCs w:val="24"/>
                <w:highlight w:val="none"/>
              </w:rPr>
            </w:pPr>
          </w:p>
        </w:tc>
        <w:tc>
          <w:tcPr>
            <w:tcW w:w="1198" w:type="dxa"/>
            <w:vAlign w:val="center"/>
          </w:tcPr>
          <w:p w14:paraId="686DE169">
            <w:pPr>
              <w:spacing w:line="360" w:lineRule="auto"/>
              <w:jc w:val="center"/>
              <w:rPr>
                <w:color w:val="auto"/>
                <w:sz w:val="24"/>
                <w:szCs w:val="24"/>
                <w:highlight w:val="none"/>
              </w:rPr>
            </w:pPr>
            <w:r>
              <w:rPr>
                <w:color w:val="auto"/>
                <w:sz w:val="24"/>
                <w:szCs w:val="24"/>
                <w:highlight w:val="none"/>
              </w:rPr>
              <w:sym w:font="Wingdings" w:char="F0FE"/>
            </w:r>
            <w:r>
              <w:rPr>
                <w:color w:val="auto"/>
                <w:sz w:val="24"/>
                <w:szCs w:val="24"/>
                <w:highlight w:val="none"/>
              </w:rPr>
              <w:t>使用</w:t>
            </w:r>
          </w:p>
        </w:tc>
        <w:tc>
          <w:tcPr>
            <w:tcW w:w="6054" w:type="dxa"/>
            <w:gridSpan w:val="5"/>
            <w:vAlign w:val="center"/>
          </w:tcPr>
          <w:p w14:paraId="5DB0E71D">
            <w:pPr>
              <w:spacing w:line="360" w:lineRule="auto"/>
              <w:jc w:val="center"/>
              <w:rPr>
                <w:color w:val="auto"/>
                <w:sz w:val="24"/>
                <w:szCs w:val="24"/>
                <w:highlight w:val="none"/>
              </w:rPr>
            </w:pPr>
            <w:r>
              <w:rPr>
                <w:color w:val="auto"/>
                <w:sz w:val="24"/>
                <w:szCs w:val="24"/>
                <w:highlight w:val="none"/>
              </w:rPr>
              <w:sym w:font="Wingdings" w:char="F0FE"/>
            </w:r>
            <w:r>
              <w:rPr>
                <w:color w:val="auto"/>
                <w:sz w:val="24"/>
                <w:szCs w:val="24"/>
                <w:highlight w:val="none"/>
              </w:rPr>
              <w:t xml:space="preserve">Ⅱ类  </w:t>
            </w:r>
            <w:r>
              <w:rPr>
                <w:color w:val="auto"/>
                <w:sz w:val="24"/>
                <w:szCs w:val="24"/>
                <w:highlight w:val="none"/>
              </w:rPr>
              <w:sym w:font="Wingdings" w:char="00A8"/>
            </w:r>
            <w:r>
              <w:rPr>
                <w:color w:val="auto"/>
                <w:sz w:val="24"/>
                <w:szCs w:val="24"/>
                <w:highlight w:val="none"/>
              </w:rPr>
              <w:t>Ⅲ类</w:t>
            </w:r>
          </w:p>
        </w:tc>
      </w:tr>
      <w:tr w14:paraId="525AD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Merge w:val="continue"/>
            <w:vAlign w:val="center"/>
          </w:tcPr>
          <w:p w14:paraId="3C1F7CBB">
            <w:pPr>
              <w:spacing w:line="360" w:lineRule="auto"/>
              <w:jc w:val="center"/>
              <w:rPr>
                <w:color w:val="auto"/>
                <w:sz w:val="24"/>
                <w:szCs w:val="24"/>
                <w:highlight w:val="none"/>
              </w:rPr>
            </w:pPr>
          </w:p>
        </w:tc>
        <w:tc>
          <w:tcPr>
            <w:tcW w:w="1122" w:type="dxa"/>
            <w:vAlign w:val="center"/>
          </w:tcPr>
          <w:p w14:paraId="609BA423">
            <w:pPr>
              <w:spacing w:line="240" w:lineRule="auto"/>
              <w:jc w:val="center"/>
              <w:rPr>
                <w:color w:val="auto"/>
                <w:sz w:val="24"/>
                <w:szCs w:val="24"/>
                <w:highlight w:val="none"/>
              </w:rPr>
            </w:pPr>
            <w:r>
              <w:rPr>
                <w:color w:val="auto"/>
                <w:sz w:val="24"/>
                <w:szCs w:val="24"/>
                <w:highlight w:val="none"/>
              </w:rPr>
              <w:t>其他</w:t>
            </w:r>
          </w:p>
        </w:tc>
        <w:tc>
          <w:tcPr>
            <w:tcW w:w="7252" w:type="dxa"/>
            <w:gridSpan w:val="6"/>
            <w:vAlign w:val="center"/>
          </w:tcPr>
          <w:p w14:paraId="67EA4E8F">
            <w:pPr>
              <w:spacing w:line="360" w:lineRule="auto"/>
              <w:jc w:val="center"/>
              <w:rPr>
                <w:color w:val="auto"/>
                <w:sz w:val="24"/>
                <w:szCs w:val="24"/>
                <w:highlight w:val="none"/>
              </w:rPr>
            </w:pPr>
            <w:r>
              <w:rPr>
                <w:color w:val="auto"/>
                <w:sz w:val="24"/>
                <w:szCs w:val="24"/>
                <w:highlight w:val="none"/>
              </w:rPr>
              <w:t>/</w:t>
            </w:r>
          </w:p>
        </w:tc>
      </w:tr>
      <w:tr w14:paraId="6A818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86" w:type="dxa"/>
            <w:gridSpan w:val="8"/>
            <w:vAlign w:val="center"/>
          </w:tcPr>
          <w:p w14:paraId="2967146E">
            <w:pPr>
              <w:snapToGrid w:val="0"/>
              <w:spacing w:line="360" w:lineRule="auto"/>
              <w:rPr>
                <w:b/>
                <w:bCs/>
                <w:color w:val="auto"/>
                <w:sz w:val="28"/>
                <w:szCs w:val="28"/>
                <w:highlight w:val="none"/>
              </w:rPr>
            </w:pPr>
            <w:r>
              <w:rPr>
                <w:rFonts w:hint="eastAsia"/>
                <w:b/>
                <w:bCs/>
                <w:color w:val="auto"/>
                <w:sz w:val="28"/>
                <w:szCs w:val="28"/>
                <w:highlight w:val="none"/>
              </w:rPr>
              <w:t>项目概述</w:t>
            </w:r>
          </w:p>
          <w:p w14:paraId="17DB3AD0">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bookmarkStart w:id="3" w:name="_Toc1585"/>
            <w:bookmarkStart w:id="4" w:name="_Toc66001549"/>
            <w:bookmarkStart w:id="5" w:name="_Toc66009983"/>
            <w:bookmarkStart w:id="6" w:name="_Toc32048"/>
            <w:bookmarkStart w:id="7" w:name="_Toc28525603"/>
            <w:bookmarkStart w:id="8" w:name="_Toc13192"/>
            <w:bookmarkStart w:id="9" w:name="_Toc17214219"/>
            <w:bookmarkStart w:id="10" w:name="_Toc28511216"/>
            <w:bookmarkStart w:id="11" w:name="_Toc36829676"/>
            <w:r>
              <w:rPr>
                <w:rFonts w:hint="eastAsia"/>
                <w:b/>
                <w:bCs/>
                <w:color w:val="auto"/>
                <w:sz w:val="24"/>
                <w:szCs w:val="24"/>
                <w:highlight w:val="none"/>
              </w:rPr>
              <w:t>1、</w:t>
            </w:r>
            <w:r>
              <w:rPr>
                <w:b/>
                <w:bCs/>
                <w:color w:val="auto"/>
                <w:sz w:val="24"/>
                <w:szCs w:val="24"/>
                <w:highlight w:val="none"/>
              </w:rPr>
              <w:t>建设单位基本情况</w:t>
            </w:r>
            <w:bookmarkEnd w:id="3"/>
            <w:bookmarkEnd w:id="4"/>
            <w:bookmarkEnd w:id="5"/>
            <w:bookmarkEnd w:id="6"/>
            <w:bookmarkEnd w:id="7"/>
            <w:bookmarkEnd w:id="8"/>
            <w:bookmarkEnd w:id="9"/>
            <w:bookmarkEnd w:id="10"/>
            <w:bookmarkEnd w:id="11"/>
          </w:p>
          <w:p w14:paraId="26B73C80">
            <w:pPr>
              <w:keepNext w:val="0"/>
              <w:keepLines w:val="0"/>
              <w:pageBreakBefore w:val="0"/>
              <w:kinsoku/>
              <w:wordWrap/>
              <w:overflowPunct w:val="0"/>
              <w:topLinePunct w:val="0"/>
              <w:autoSpaceDE/>
              <w:autoSpaceDN/>
              <w:bidi w:val="0"/>
              <w:adjustRightInd/>
              <w:snapToGrid/>
              <w:spacing w:line="360" w:lineRule="auto"/>
              <w:ind w:firstLine="480" w:firstLineChars="200"/>
              <w:textAlignment w:val="auto"/>
              <w:rPr>
                <w:rFonts w:hint="eastAsia"/>
                <w:color w:val="auto"/>
                <w:sz w:val="24"/>
                <w:szCs w:val="24"/>
                <w:highlight w:val="none"/>
                <w:lang w:eastAsia="zh-CN"/>
              </w:rPr>
            </w:pPr>
            <w:r>
              <w:rPr>
                <w:rFonts w:hint="default" w:ascii="Times New Roman" w:hAnsi="Times New Roman" w:cs="Times New Roman"/>
                <w:color w:val="auto"/>
                <w:sz w:val="24"/>
                <w:szCs w:val="24"/>
                <w:highlight w:val="none"/>
                <w:lang w:eastAsia="zh-CN"/>
              </w:rPr>
              <w:t>安徽泓济环境科技有限公司</w:t>
            </w:r>
            <w:r>
              <w:rPr>
                <w:rFonts w:hint="eastAsia"/>
                <w:color w:val="auto"/>
                <w:sz w:val="24"/>
                <w:szCs w:val="24"/>
                <w:highlight w:val="none"/>
              </w:rPr>
              <w:t>成立于</w:t>
            </w:r>
            <w:r>
              <w:rPr>
                <w:rFonts w:hint="eastAsia"/>
                <w:color w:val="auto"/>
                <w:sz w:val="24"/>
                <w:szCs w:val="24"/>
                <w:highlight w:val="none"/>
                <w:lang w:val="en-US" w:eastAsia="zh-CN"/>
              </w:rPr>
              <w:t>2014</w:t>
            </w:r>
            <w:r>
              <w:rPr>
                <w:rFonts w:hint="eastAsia"/>
                <w:color w:val="auto"/>
                <w:sz w:val="24"/>
                <w:szCs w:val="24"/>
                <w:highlight w:val="none"/>
              </w:rPr>
              <w:t>年</w:t>
            </w:r>
            <w:r>
              <w:rPr>
                <w:rFonts w:hint="eastAsia"/>
                <w:color w:val="auto"/>
                <w:sz w:val="24"/>
                <w:szCs w:val="24"/>
                <w:highlight w:val="none"/>
                <w:lang w:val="en-US" w:eastAsia="zh-CN"/>
              </w:rPr>
              <w:t>9</w:t>
            </w:r>
            <w:r>
              <w:rPr>
                <w:rFonts w:hint="eastAsia"/>
                <w:color w:val="auto"/>
                <w:sz w:val="24"/>
                <w:szCs w:val="24"/>
                <w:highlight w:val="none"/>
              </w:rPr>
              <w:t>月</w:t>
            </w:r>
            <w:r>
              <w:rPr>
                <w:rFonts w:hint="eastAsia"/>
                <w:color w:val="auto"/>
                <w:sz w:val="24"/>
                <w:szCs w:val="24"/>
                <w:highlight w:val="none"/>
                <w:lang w:val="en-US" w:eastAsia="zh-CN"/>
              </w:rPr>
              <w:t>9日</w:t>
            </w:r>
            <w:r>
              <w:rPr>
                <w:rFonts w:hint="eastAsia"/>
                <w:color w:val="auto"/>
                <w:sz w:val="24"/>
                <w:szCs w:val="24"/>
                <w:highlight w:val="none"/>
              </w:rPr>
              <w:t>，位于</w:t>
            </w:r>
            <w:r>
              <w:rPr>
                <w:rFonts w:hint="default" w:ascii="Times New Roman" w:hAnsi="Times New Roman" w:eastAsia="宋体" w:cs="Times New Roman"/>
                <w:color w:val="auto"/>
                <w:kern w:val="2"/>
                <w:sz w:val="24"/>
                <w:szCs w:val="24"/>
                <w:highlight w:val="none"/>
                <w:lang w:val="en-US" w:eastAsia="zh-CN" w:bidi="ar-SA"/>
              </w:rPr>
              <w:t>安徽六安金安经济开发区长淮路666号</w:t>
            </w:r>
            <w:r>
              <w:rPr>
                <w:rFonts w:hint="eastAsia"/>
                <w:color w:val="auto"/>
                <w:sz w:val="24"/>
                <w:szCs w:val="24"/>
                <w:highlight w:val="none"/>
                <w:lang w:eastAsia="zh-CN"/>
              </w:rPr>
              <w:t>，</w:t>
            </w:r>
            <w:r>
              <w:rPr>
                <w:rFonts w:hint="eastAsia"/>
                <w:color w:val="auto"/>
                <w:sz w:val="24"/>
                <w:szCs w:val="24"/>
                <w:highlight w:val="none"/>
              </w:rPr>
              <w:t>主要经营环保装备和特种设备制造业务</w:t>
            </w:r>
            <w:r>
              <w:rPr>
                <w:rFonts w:hint="eastAsia"/>
                <w:color w:val="auto"/>
                <w:sz w:val="24"/>
                <w:szCs w:val="24"/>
                <w:highlight w:val="none"/>
                <w:lang w:eastAsia="zh-CN"/>
              </w:rPr>
              <w:t>。</w:t>
            </w:r>
          </w:p>
          <w:p w14:paraId="391597C2">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rFonts w:hint="default"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2、建设单位</w:t>
            </w:r>
            <w:r>
              <w:rPr>
                <w:rFonts w:hint="eastAsia"/>
                <w:b/>
                <w:bCs/>
                <w:color w:val="auto"/>
                <w:sz w:val="24"/>
                <w:szCs w:val="24"/>
                <w:highlight w:val="none"/>
                <w:lang w:val="en-US" w:eastAsia="zh-CN"/>
              </w:rPr>
              <w:t>环保</w:t>
            </w:r>
            <w:r>
              <w:rPr>
                <w:rFonts w:hint="eastAsia" w:ascii="Times New Roman" w:hAnsi="Times New Roman" w:cs="Times New Roman"/>
                <w:b/>
                <w:bCs/>
                <w:color w:val="auto"/>
                <w:sz w:val="24"/>
                <w:szCs w:val="24"/>
                <w:highlight w:val="none"/>
                <w:lang w:val="en-US" w:eastAsia="zh-CN"/>
              </w:rPr>
              <w:t>手续履行</w:t>
            </w:r>
            <w:r>
              <w:rPr>
                <w:rFonts w:hint="eastAsia"/>
                <w:b/>
                <w:bCs/>
                <w:color w:val="auto"/>
                <w:sz w:val="24"/>
                <w:szCs w:val="24"/>
                <w:highlight w:val="none"/>
                <w:lang w:val="en-US" w:eastAsia="zh-CN"/>
              </w:rPr>
              <w:t>情况</w:t>
            </w:r>
          </w:p>
          <w:p w14:paraId="49689621">
            <w:pPr>
              <w:pStyle w:val="118"/>
              <w:shd w:val="clear"/>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安徽泓济环境科技有限公司于2014年规划备案了</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六安新厂建设项目</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、2017年投资建设</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泓济环保研发试验中心测试平台</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。项目环保手续执行情况见下表。</w:t>
            </w:r>
          </w:p>
          <w:p w14:paraId="69473782">
            <w:pPr>
              <w:pStyle w:val="23"/>
              <w:spacing w:line="240" w:lineRule="auto"/>
              <w:ind w:left="0" w:leftChars="0" w:firstLine="0" w:firstLineChars="0"/>
              <w:jc w:val="center"/>
              <w:rPr>
                <w:rFonts w:hint="default" w:ascii="Times New Roman" w:hAnsi="Times New Roman" w:cs="Times New Roman"/>
                <w:b/>
                <w:color w:val="auto"/>
                <w:sz w:val="24"/>
                <w:szCs w:val="24"/>
                <w:highlight w:val="none"/>
                <w:shd w:val="clear" w:color="auto" w:fill="FFFFFF"/>
              </w:rPr>
            </w:pPr>
          </w:p>
          <w:p w14:paraId="22D95BEF">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color w:val="auto"/>
                <w:sz w:val="21"/>
                <w:szCs w:val="21"/>
                <w:highlight w:val="none"/>
                <w:shd w:val="clear" w:color="auto" w:fill="FFFFFF"/>
              </w:rPr>
            </w:pPr>
          </w:p>
          <w:p w14:paraId="176A8A43">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color w:val="auto"/>
                <w:sz w:val="21"/>
                <w:szCs w:val="21"/>
                <w:highlight w:val="none"/>
                <w:shd w:val="clear" w:color="auto" w:fill="FFFFFF"/>
              </w:rPr>
              <w:t>表</w:t>
            </w:r>
            <w:r>
              <w:rPr>
                <w:rFonts w:hint="default" w:ascii="Times New Roman" w:hAnsi="Times New Roman" w:cs="Times New Roman"/>
                <w:b/>
                <w:color w:val="auto"/>
                <w:sz w:val="21"/>
                <w:szCs w:val="21"/>
                <w:highlight w:val="none"/>
                <w:shd w:val="clear" w:color="auto" w:fill="FFFFFF"/>
                <w:lang w:val="en-US" w:eastAsia="zh-CN"/>
              </w:rPr>
              <w:t>1-1</w:t>
            </w:r>
            <w:r>
              <w:rPr>
                <w:rFonts w:hint="default" w:ascii="Times New Roman" w:hAnsi="Times New Roman" w:cs="Times New Roman"/>
                <w:b/>
                <w:color w:val="auto"/>
                <w:sz w:val="21"/>
                <w:szCs w:val="21"/>
                <w:highlight w:val="none"/>
                <w:shd w:val="clear" w:color="auto" w:fill="FFFFFF"/>
              </w:rPr>
              <w:t xml:space="preserve">  项目环保手续执行情况</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9"/>
              <w:gridCol w:w="2510"/>
              <w:gridCol w:w="3761"/>
            </w:tblGrid>
            <w:tr w14:paraId="574B2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8" w:type="dxa"/>
                  <w:noWrap w:val="0"/>
                  <w:vAlign w:val="center"/>
                </w:tcPr>
                <w:p w14:paraId="5B1BD1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项目名称</w:t>
                  </w:r>
                </w:p>
              </w:tc>
              <w:tc>
                <w:tcPr>
                  <w:tcW w:w="2427" w:type="dxa"/>
                  <w:noWrap w:val="0"/>
                  <w:vAlign w:val="center"/>
                </w:tcPr>
                <w:p w14:paraId="6E8292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六安新厂建设项目</w:t>
                  </w:r>
                </w:p>
              </w:tc>
              <w:tc>
                <w:tcPr>
                  <w:tcW w:w="3635" w:type="dxa"/>
                  <w:noWrap w:val="0"/>
                  <w:vAlign w:val="center"/>
                </w:tcPr>
                <w:p w14:paraId="2DA958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泓济环保研发试验中心测试平台</w:t>
                  </w:r>
                </w:p>
              </w:tc>
            </w:tr>
            <w:tr w14:paraId="47E22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8" w:type="dxa"/>
                  <w:noWrap w:val="0"/>
                  <w:vAlign w:val="center"/>
                </w:tcPr>
                <w:p w14:paraId="56F26E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环评类别</w:t>
                  </w:r>
                </w:p>
              </w:tc>
              <w:tc>
                <w:tcPr>
                  <w:tcW w:w="2427" w:type="dxa"/>
                  <w:noWrap w:val="0"/>
                  <w:vAlign w:val="center"/>
                </w:tcPr>
                <w:p w14:paraId="6C7114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highlight w:val="none"/>
                      <w:lang w:val="en-US"/>
                    </w:rPr>
                  </w:pPr>
                  <w:r>
                    <w:rPr>
                      <w:rFonts w:hint="default" w:ascii="Times New Roman" w:hAnsi="Times New Roman" w:eastAsia="宋体" w:cs="Times New Roman"/>
                      <w:b w:val="0"/>
                      <w:bCs/>
                      <w:color w:val="auto"/>
                      <w:kern w:val="2"/>
                      <w:sz w:val="21"/>
                      <w:szCs w:val="21"/>
                      <w:highlight w:val="none"/>
                      <w:lang w:val="en-US" w:eastAsia="zh-CN" w:bidi="ar-SA"/>
                    </w:rPr>
                    <w:t>报告书</w:t>
                  </w:r>
                </w:p>
              </w:tc>
              <w:tc>
                <w:tcPr>
                  <w:tcW w:w="3635" w:type="dxa"/>
                  <w:noWrap w:val="0"/>
                  <w:vAlign w:val="center"/>
                </w:tcPr>
                <w:p w14:paraId="1B66D5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报告表</w:t>
                  </w:r>
                </w:p>
              </w:tc>
            </w:tr>
            <w:tr w14:paraId="03185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8" w:type="dxa"/>
                  <w:noWrap w:val="0"/>
                  <w:vAlign w:val="center"/>
                </w:tcPr>
                <w:p w14:paraId="52AC7E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cs="Times New Roman"/>
                      <w:b/>
                      <w:color w:val="auto"/>
                      <w:kern w:val="2"/>
                      <w:sz w:val="21"/>
                      <w:szCs w:val="21"/>
                      <w:highlight w:val="none"/>
                      <w:lang w:val="en-US" w:eastAsia="zh-CN" w:bidi="ar-SA"/>
                    </w:rPr>
                    <w:t>环评报告委托编制时间</w:t>
                  </w:r>
                </w:p>
              </w:tc>
              <w:tc>
                <w:tcPr>
                  <w:tcW w:w="2427" w:type="dxa"/>
                  <w:noWrap w:val="0"/>
                  <w:vAlign w:val="center"/>
                </w:tcPr>
                <w:p w14:paraId="17D81E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kern w:val="2"/>
                      <w:sz w:val="21"/>
                      <w:szCs w:val="21"/>
                      <w:highlight w:val="none"/>
                      <w:lang w:val="en-US" w:eastAsia="zh-CN" w:bidi="ar-SA"/>
                    </w:rPr>
                    <w:t>2017年4月</w:t>
                  </w:r>
                </w:p>
              </w:tc>
              <w:tc>
                <w:tcPr>
                  <w:tcW w:w="3635" w:type="dxa"/>
                  <w:noWrap w:val="0"/>
                  <w:vAlign w:val="center"/>
                </w:tcPr>
                <w:p w14:paraId="459E6F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2017年8月</w:t>
                  </w:r>
                </w:p>
              </w:tc>
            </w:tr>
            <w:tr w14:paraId="2B027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8" w:type="dxa"/>
                  <w:noWrap w:val="0"/>
                  <w:vAlign w:val="center"/>
                </w:tcPr>
                <w:p w14:paraId="4DC44E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sz w:val="21"/>
                      <w:szCs w:val="21"/>
                      <w:highlight w:val="none"/>
                    </w:rPr>
                    <w:t>环评审批时间</w:t>
                  </w:r>
                </w:p>
              </w:tc>
              <w:tc>
                <w:tcPr>
                  <w:tcW w:w="2427" w:type="dxa"/>
                  <w:noWrap w:val="0"/>
                  <w:vAlign w:val="center"/>
                </w:tcPr>
                <w:p w14:paraId="3547D8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2017年6月30日</w:t>
                  </w:r>
                </w:p>
              </w:tc>
              <w:tc>
                <w:tcPr>
                  <w:tcW w:w="3635" w:type="dxa"/>
                  <w:noWrap w:val="0"/>
                  <w:vAlign w:val="center"/>
                </w:tcPr>
                <w:p w14:paraId="762619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2017年9月20日</w:t>
                  </w:r>
                </w:p>
              </w:tc>
            </w:tr>
            <w:tr w14:paraId="42025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8" w:type="dxa"/>
                  <w:noWrap w:val="0"/>
                  <w:vAlign w:val="center"/>
                </w:tcPr>
                <w:p w14:paraId="6CA0A3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sz w:val="21"/>
                      <w:szCs w:val="21"/>
                      <w:highlight w:val="none"/>
                    </w:rPr>
                    <w:t>环评审批部门</w:t>
                  </w:r>
                  <w:r>
                    <w:rPr>
                      <w:rFonts w:hint="default" w:ascii="Times New Roman" w:hAnsi="Times New Roman" w:cs="Times New Roman"/>
                      <w:b/>
                      <w:color w:val="auto"/>
                      <w:sz w:val="21"/>
                      <w:szCs w:val="21"/>
                      <w:highlight w:val="none"/>
                      <w:lang w:eastAsia="zh-CN"/>
                    </w:rPr>
                    <w:t>及批复文号</w:t>
                  </w:r>
                </w:p>
              </w:tc>
              <w:tc>
                <w:tcPr>
                  <w:tcW w:w="2427" w:type="dxa"/>
                  <w:noWrap w:val="0"/>
                  <w:vAlign w:val="center"/>
                </w:tcPr>
                <w:p w14:paraId="1C5533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原六安市环境保护局，</w:t>
                  </w:r>
                </w:p>
                <w:p w14:paraId="3534FC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六环评【2017】54号</w:t>
                  </w:r>
                </w:p>
              </w:tc>
              <w:tc>
                <w:tcPr>
                  <w:tcW w:w="3635" w:type="dxa"/>
                  <w:noWrap w:val="0"/>
                  <w:vAlign w:val="center"/>
                </w:tcPr>
                <w:p w14:paraId="27667A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原六安市金安区环保局，</w:t>
                  </w:r>
                </w:p>
                <w:p w14:paraId="63F7A2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eastAsia="zh-CN"/>
                    </w:rPr>
                    <w:t>金环管[2017]120号</w:t>
                  </w:r>
                </w:p>
              </w:tc>
            </w:tr>
            <w:tr w14:paraId="5CC4F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8" w:type="dxa"/>
                  <w:noWrap w:val="0"/>
                  <w:vAlign w:val="center"/>
                </w:tcPr>
                <w:p w14:paraId="1FF336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sz w:val="21"/>
                      <w:szCs w:val="21"/>
                      <w:highlight w:val="none"/>
                    </w:rPr>
                    <w:t>通过验收时间</w:t>
                  </w:r>
                </w:p>
              </w:tc>
              <w:tc>
                <w:tcPr>
                  <w:tcW w:w="6062" w:type="dxa"/>
                  <w:gridSpan w:val="2"/>
                  <w:noWrap w:val="0"/>
                  <w:vAlign w:val="center"/>
                </w:tcPr>
                <w:p w14:paraId="246980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2018年9月</w:t>
                  </w:r>
                </w:p>
              </w:tc>
            </w:tr>
            <w:tr w14:paraId="3EF88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8" w:type="dxa"/>
                  <w:noWrap w:val="0"/>
                  <w:vAlign w:val="center"/>
                </w:tcPr>
                <w:p w14:paraId="0D5D08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sz w:val="21"/>
                      <w:szCs w:val="21"/>
                      <w:highlight w:val="none"/>
                    </w:rPr>
                    <w:t>环保竣工验收部门</w:t>
                  </w:r>
                  <w:r>
                    <w:rPr>
                      <w:rFonts w:hint="default" w:ascii="Times New Roman" w:hAnsi="Times New Roman" w:cs="Times New Roman"/>
                      <w:b/>
                      <w:color w:val="auto"/>
                      <w:sz w:val="21"/>
                      <w:szCs w:val="21"/>
                      <w:highlight w:val="none"/>
                      <w:lang w:eastAsia="zh-CN"/>
                    </w:rPr>
                    <w:t>及验收意见的函</w:t>
                  </w:r>
                </w:p>
              </w:tc>
              <w:tc>
                <w:tcPr>
                  <w:tcW w:w="6062" w:type="dxa"/>
                  <w:gridSpan w:val="2"/>
                  <w:noWrap w:val="0"/>
                  <w:vAlign w:val="center"/>
                </w:tcPr>
                <w:p w14:paraId="53560C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原</w:t>
                  </w:r>
                  <w:r>
                    <w:rPr>
                      <w:rFonts w:hint="default" w:ascii="Times New Roman" w:hAnsi="Times New Roman" w:eastAsia="宋体" w:cs="Times New Roman"/>
                      <w:b w:val="0"/>
                      <w:bCs/>
                      <w:color w:val="auto"/>
                      <w:sz w:val="21"/>
                      <w:szCs w:val="21"/>
                      <w:highlight w:val="none"/>
                      <w:lang w:val="en-US" w:eastAsia="zh-CN"/>
                    </w:rPr>
                    <w:t>六安市</w:t>
                  </w:r>
                  <w:r>
                    <w:rPr>
                      <w:rFonts w:hint="default" w:ascii="Times New Roman" w:hAnsi="Times New Roman" w:cs="Times New Roman"/>
                      <w:b w:val="0"/>
                      <w:bCs/>
                      <w:color w:val="auto"/>
                      <w:sz w:val="21"/>
                      <w:szCs w:val="21"/>
                      <w:highlight w:val="none"/>
                      <w:lang w:val="en-US" w:eastAsia="zh-CN"/>
                    </w:rPr>
                    <w:t>环保</w:t>
                  </w:r>
                  <w:r>
                    <w:rPr>
                      <w:rFonts w:hint="default" w:ascii="Times New Roman" w:hAnsi="Times New Roman" w:eastAsia="宋体" w:cs="Times New Roman"/>
                      <w:b w:val="0"/>
                      <w:bCs/>
                      <w:color w:val="auto"/>
                      <w:sz w:val="21"/>
                      <w:szCs w:val="21"/>
                      <w:highlight w:val="none"/>
                      <w:lang w:val="en-US" w:eastAsia="zh-CN"/>
                    </w:rPr>
                    <w:t>局</w:t>
                  </w:r>
                  <w:r>
                    <w:rPr>
                      <w:rFonts w:hint="default" w:ascii="Times New Roman" w:hAnsi="Times New Roman" w:cs="Times New Roman"/>
                      <w:b w:val="0"/>
                      <w:bCs/>
                      <w:color w:val="auto"/>
                      <w:sz w:val="21"/>
                      <w:szCs w:val="21"/>
                      <w:highlight w:val="none"/>
                      <w:lang w:val="en-US" w:eastAsia="zh-CN"/>
                    </w:rPr>
                    <w:t>，六环验函〔2018〕17号</w:t>
                  </w:r>
                </w:p>
              </w:tc>
            </w:tr>
            <w:tr w14:paraId="27566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8" w:type="dxa"/>
                  <w:noWrap w:val="0"/>
                  <w:vAlign w:val="center"/>
                </w:tcPr>
                <w:p w14:paraId="3346AF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eastAsia="zh-CN"/>
                    </w:rPr>
                    <w:t>排污许可证审批</w:t>
                  </w:r>
                  <w:r>
                    <w:rPr>
                      <w:rFonts w:hint="default" w:ascii="Times New Roman" w:hAnsi="Times New Roman" w:eastAsia="宋体" w:cs="Times New Roman"/>
                      <w:b/>
                      <w:color w:val="auto"/>
                      <w:sz w:val="21"/>
                      <w:szCs w:val="21"/>
                    </w:rPr>
                    <w:t>部门</w:t>
                  </w:r>
                </w:p>
              </w:tc>
              <w:tc>
                <w:tcPr>
                  <w:tcW w:w="6062" w:type="dxa"/>
                  <w:gridSpan w:val="2"/>
                  <w:noWrap w:val="0"/>
                  <w:vAlign w:val="center"/>
                </w:tcPr>
                <w:p w14:paraId="0A503C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六安市生态环境局</w:t>
                  </w:r>
                </w:p>
              </w:tc>
            </w:tr>
            <w:tr w14:paraId="75CAD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8" w:type="dxa"/>
                  <w:noWrap w:val="0"/>
                  <w:vAlign w:val="center"/>
                </w:tcPr>
                <w:p w14:paraId="43F00E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lang w:eastAsia="zh-CN"/>
                    </w:rPr>
                    <w:t>发证日期及证书编号</w:t>
                  </w:r>
                </w:p>
              </w:tc>
              <w:tc>
                <w:tcPr>
                  <w:tcW w:w="6062" w:type="dxa"/>
                  <w:gridSpan w:val="2"/>
                  <w:noWrap w:val="0"/>
                  <w:vAlign w:val="center"/>
                </w:tcPr>
                <w:p w14:paraId="2DDB1F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2020年07月23日</w:t>
                  </w:r>
                  <w:r>
                    <w:rPr>
                      <w:rFonts w:hint="default" w:ascii="Times New Roman" w:hAnsi="Times New Roman" w:cs="Times New Roman"/>
                      <w:b w:val="0"/>
                      <w:bCs/>
                      <w:color w:val="auto"/>
                      <w:sz w:val="21"/>
                      <w:szCs w:val="21"/>
                      <w:lang w:val="en-US" w:eastAsia="zh-CN"/>
                    </w:rPr>
                    <w:t>，91341502395892508W001Q</w:t>
                  </w:r>
                </w:p>
              </w:tc>
            </w:tr>
          </w:tbl>
          <w:p w14:paraId="3E3E92A1">
            <w:pPr>
              <w:pStyle w:val="117"/>
              <w:spacing w:line="360" w:lineRule="auto"/>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2021年1</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月，安徽泓济环境科技有限公司</w:t>
            </w:r>
            <w:r>
              <w:rPr>
                <w:rFonts w:hint="eastAsia" w:cs="Times New Roman"/>
                <w:color w:val="auto"/>
                <w:highlight w:val="none"/>
                <w:lang w:val="en-US" w:eastAsia="zh-CN"/>
              </w:rPr>
              <w:t>进行了</w:t>
            </w:r>
            <w:r>
              <w:rPr>
                <w:rFonts w:hint="default" w:ascii="Times New Roman" w:hAnsi="Times New Roman" w:cs="Times New Roman"/>
                <w:color w:val="auto"/>
                <w:highlight w:val="none"/>
                <w:lang w:eastAsia="zh-CN"/>
              </w:rPr>
              <w:t>全厂竣工（酸洗钝化除外）</w:t>
            </w:r>
            <w:r>
              <w:rPr>
                <w:rFonts w:hint="eastAsia" w:cs="Times New Roman"/>
                <w:color w:val="auto"/>
                <w:highlight w:val="none"/>
                <w:lang w:val="en-US" w:eastAsia="zh-CN"/>
              </w:rPr>
              <w:t>验收</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通过了自主竣工环境保护验收，形成了专家验收意见</w:t>
            </w:r>
            <w:r>
              <w:rPr>
                <w:rFonts w:hint="default" w:ascii="Times New Roman" w:hAnsi="Times New Roman" w:eastAsia="宋体" w:cs="Times New Roman"/>
                <w:color w:val="auto"/>
                <w:highlight w:val="none"/>
              </w:rPr>
              <w:t>。</w:t>
            </w:r>
          </w:p>
          <w:p w14:paraId="044EE4C7">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bookmarkStart w:id="12" w:name="_Toc28511218"/>
            <w:bookmarkStart w:id="13" w:name="_Toc28525605"/>
            <w:bookmarkStart w:id="14" w:name="_Toc36829678"/>
            <w:bookmarkStart w:id="15" w:name="_Toc17214221"/>
            <w:bookmarkStart w:id="16" w:name="_Toc17214220"/>
            <w:r>
              <w:rPr>
                <w:rFonts w:hint="eastAsia"/>
                <w:b/>
                <w:bCs/>
                <w:color w:val="auto"/>
                <w:sz w:val="24"/>
                <w:szCs w:val="24"/>
                <w:highlight w:val="none"/>
                <w:lang w:val="en-US" w:eastAsia="zh-CN"/>
              </w:rPr>
              <w:t>3</w:t>
            </w:r>
            <w:r>
              <w:rPr>
                <w:rFonts w:hint="eastAsia"/>
                <w:b/>
                <w:bCs/>
                <w:color w:val="auto"/>
                <w:sz w:val="24"/>
                <w:szCs w:val="24"/>
                <w:highlight w:val="none"/>
              </w:rPr>
              <w:t>、</w:t>
            </w:r>
            <w:r>
              <w:rPr>
                <w:rFonts w:hint="eastAsia"/>
                <w:b/>
                <w:bCs/>
                <w:color w:val="auto"/>
                <w:sz w:val="24"/>
                <w:szCs w:val="24"/>
                <w:highlight w:val="none"/>
                <w:lang w:val="en-US" w:eastAsia="zh-CN"/>
              </w:rPr>
              <w:t>项目建设背景</w:t>
            </w:r>
            <w:r>
              <w:rPr>
                <w:rFonts w:hint="eastAsia"/>
                <w:b/>
                <w:bCs/>
                <w:color w:val="auto"/>
                <w:sz w:val="24"/>
                <w:szCs w:val="24"/>
                <w:highlight w:val="none"/>
              </w:rPr>
              <w:t>及</w:t>
            </w:r>
            <w:r>
              <w:rPr>
                <w:b/>
                <w:bCs/>
                <w:color w:val="auto"/>
                <w:sz w:val="24"/>
                <w:szCs w:val="24"/>
                <w:highlight w:val="none"/>
              </w:rPr>
              <w:t>任务由来</w:t>
            </w:r>
            <w:bookmarkEnd w:id="12"/>
            <w:bookmarkEnd w:id="13"/>
            <w:bookmarkEnd w:id="14"/>
            <w:bookmarkEnd w:id="15"/>
          </w:p>
          <w:p w14:paraId="1BC2741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为促进企业发展，满足生产需求，完善产品生产及检验检测体系，严格控制产品质量，</w:t>
            </w:r>
            <w:r>
              <w:rPr>
                <w:rFonts w:hint="default" w:ascii="Times New Roman" w:hAnsi="Times New Roman" w:eastAsia="宋体" w:cs="Times New Roman"/>
                <w:color w:val="auto"/>
                <w:kern w:val="0"/>
                <w:sz w:val="24"/>
                <w:szCs w:val="24"/>
                <w:highlight w:val="none"/>
                <w:lang w:val="en-US" w:eastAsia="zh-CN" w:bidi="ar-SA"/>
              </w:rPr>
              <w:t>安徽泓济环境科技有限公司</w:t>
            </w:r>
            <w:r>
              <w:rPr>
                <w:rFonts w:hint="eastAsia" w:ascii="Times New Roman" w:hAnsi="Times New Roman" w:eastAsia="宋体" w:cs="Times New Roman"/>
                <w:color w:val="auto"/>
                <w:kern w:val="0"/>
                <w:sz w:val="24"/>
                <w:szCs w:val="24"/>
                <w:highlight w:val="none"/>
                <w:lang w:val="en-US" w:eastAsia="zh-CN" w:bidi="ar-SA"/>
              </w:rPr>
              <w:t>于</w:t>
            </w:r>
            <w:r>
              <w:rPr>
                <w:rFonts w:hint="default" w:ascii="Times New Roman" w:hAnsi="Times New Roman" w:eastAsia="宋体" w:cs="Times New Roman"/>
                <w:color w:val="auto"/>
                <w:kern w:val="0"/>
                <w:sz w:val="24"/>
                <w:szCs w:val="24"/>
                <w:highlight w:val="none"/>
                <w:lang w:val="en-US" w:eastAsia="zh-CN" w:bidi="ar-SA"/>
              </w:rPr>
              <w:t>202</w:t>
            </w:r>
            <w:r>
              <w:rPr>
                <w:rFonts w:hint="eastAsia" w:ascii="Times New Roman" w:hAnsi="Times New Roman" w:cs="Times New Roman"/>
                <w:color w:val="auto"/>
                <w:kern w:val="0"/>
                <w:sz w:val="24"/>
                <w:szCs w:val="24"/>
                <w:highlight w:val="none"/>
                <w:lang w:val="en-US" w:eastAsia="zh-CN" w:bidi="ar-SA"/>
              </w:rPr>
              <w:t>4</w:t>
            </w:r>
            <w:r>
              <w:rPr>
                <w:rFonts w:hint="eastAsia" w:ascii="Times New Roman" w:hAnsi="Times New Roman" w:eastAsia="宋体" w:cs="Times New Roman"/>
                <w:color w:val="auto"/>
                <w:kern w:val="0"/>
                <w:sz w:val="24"/>
                <w:szCs w:val="24"/>
                <w:highlight w:val="none"/>
                <w:lang w:val="en-US" w:eastAsia="zh-CN" w:bidi="ar-SA"/>
              </w:rPr>
              <w:t>年</w:t>
            </w:r>
            <w:r>
              <w:rPr>
                <w:rFonts w:hint="eastAsia" w:ascii="Times New Roman" w:hAnsi="Times New Roman" w:cs="Times New Roman"/>
                <w:color w:val="auto"/>
                <w:kern w:val="0"/>
                <w:sz w:val="24"/>
                <w:szCs w:val="24"/>
                <w:highlight w:val="none"/>
                <w:lang w:val="en-US" w:eastAsia="zh-CN" w:bidi="ar-SA"/>
              </w:rPr>
              <w:t>4</w:t>
            </w:r>
            <w:r>
              <w:rPr>
                <w:rFonts w:hint="eastAsia" w:ascii="Times New Roman" w:hAnsi="Times New Roman" w:eastAsia="宋体" w:cs="Times New Roman"/>
                <w:color w:val="auto"/>
                <w:kern w:val="0"/>
                <w:sz w:val="24"/>
                <w:szCs w:val="24"/>
                <w:highlight w:val="none"/>
                <w:lang w:val="en-US" w:eastAsia="zh-CN" w:bidi="ar-SA"/>
              </w:rPr>
              <w:t>月</w:t>
            </w:r>
            <w:r>
              <w:rPr>
                <w:rFonts w:hint="eastAsia" w:ascii="Times New Roman" w:hAnsi="Times New Roman" w:cs="Times New Roman"/>
                <w:color w:val="auto"/>
                <w:kern w:val="0"/>
                <w:sz w:val="24"/>
                <w:szCs w:val="24"/>
                <w:highlight w:val="none"/>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日召开公司领导会议，会议筹划利用自有资金购置</w:t>
            </w:r>
            <w:r>
              <w:rPr>
                <w:rFonts w:hint="default" w:ascii="Times New Roman" w:hAnsi="Times New Roman" w:eastAsia="宋体" w:cs="Times New Roman"/>
                <w:color w:val="auto"/>
                <w:kern w:val="0"/>
                <w:sz w:val="24"/>
                <w:szCs w:val="24"/>
                <w:highlight w:val="none"/>
                <w:lang w:val="en-US" w:eastAsia="zh-CN" w:bidi="ar-SA"/>
              </w:rPr>
              <w:t>1</w:t>
            </w:r>
            <w:r>
              <w:rPr>
                <w:rFonts w:hint="eastAsia" w:ascii="Times New Roman" w:hAnsi="Times New Roman" w:eastAsia="宋体" w:cs="Times New Roman"/>
                <w:color w:val="auto"/>
                <w:kern w:val="0"/>
                <w:sz w:val="24"/>
                <w:szCs w:val="24"/>
                <w:highlight w:val="none"/>
                <w:lang w:val="en-US" w:eastAsia="zh-CN" w:bidi="ar-SA"/>
              </w:rPr>
              <w:t>台</w:t>
            </w:r>
            <w:r>
              <w:rPr>
                <w:rFonts w:hint="default" w:ascii="Times New Roman" w:hAnsi="Times New Roman" w:eastAsia="宋体" w:cs="Times New Roman"/>
                <w:color w:val="auto"/>
                <w:kern w:val="0"/>
                <w:sz w:val="24"/>
                <w:szCs w:val="24"/>
                <w:highlight w:val="none"/>
                <w:lang w:val="en-US" w:eastAsia="zh-CN" w:bidi="ar-SA"/>
              </w:rPr>
              <w:t>X</w:t>
            </w:r>
            <w:r>
              <w:rPr>
                <w:rFonts w:hint="eastAsia" w:ascii="Times New Roman" w:hAnsi="Times New Roman" w:eastAsia="宋体" w:cs="Times New Roman"/>
                <w:color w:val="auto"/>
                <w:kern w:val="0"/>
                <w:sz w:val="24"/>
                <w:szCs w:val="24"/>
                <w:highlight w:val="none"/>
                <w:lang w:val="en-US" w:eastAsia="zh-CN" w:bidi="ar-SA"/>
              </w:rPr>
              <w:t>射线探伤机</w:t>
            </w:r>
            <w:r>
              <w:rPr>
                <w:rFonts w:hint="eastAsia" w:cs="Times New Roman"/>
                <w:color w:val="auto"/>
                <w:kern w:val="0"/>
                <w:sz w:val="24"/>
                <w:szCs w:val="24"/>
                <w:highlight w:val="none"/>
                <w:lang w:val="en-US" w:eastAsia="zh-CN" w:bidi="ar-SA"/>
              </w:rPr>
              <w:t>（定向）</w:t>
            </w:r>
            <w:r>
              <w:rPr>
                <w:rFonts w:hint="eastAsia" w:ascii="Times New Roman" w:hAnsi="Times New Roman" w:eastAsia="宋体" w:cs="Times New Roman"/>
                <w:color w:val="auto"/>
                <w:kern w:val="0"/>
                <w:sz w:val="24"/>
                <w:szCs w:val="24"/>
                <w:highlight w:val="none"/>
                <w:lang w:val="en-US" w:eastAsia="zh-CN" w:bidi="ar-SA"/>
              </w:rPr>
              <w:t>，并配套建设探伤室，用于容器类设备的无损检测，</w:t>
            </w:r>
            <w:r>
              <w:rPr>
                <w:rFonts w:hint="eastAsia" w:cs="Times New Roman"/>
                <w:color w:val="auto"/>
                <w:kern w:val="0"/>
                <w:sz w:val="24"/>
                <w:szCs w:val="24"/>
                <w:highlight w:val="none"/>
                <w:lang w:val="en-US" w:eastAsia="zh-CN" w:bidi="ar-SA"/>
              </w:rPr>
              <w:t>探伤房位于</w:t>
            </w:r>
            <w:r>
              <w:rPr>
                <w:rFonts w:hint="eastAsia" w:ascii="Times New Roman" w:hAnsi="Times New Roman" w:eastAsia="宋体" w:cs="Times New Roman"/>
                <w:color w:val="auto"/>
                <w:kern w:val="0"/>
                <w:sz w:val="24"/>
                <w:szCs w:val="24"/>
                <w:highlight w:val="none"/>
                <w:lang w:val="en-US" w:eastAsia="zh-CN" w:bidi="ar-SA"/>
              </w:rPr>
              <w:t>已批复</w:t>
            </w:r>
            <w:r>
              <w:rPr>
                <w:rFonts w:hint="eastAsia" w:cs="Times New Roman"/>
                <w:color w:val="auto"/>
                <w:kern w:val="0"/>
                <w:sz w:val="24"/>
                <w:szCs w:val="24"/>
                <w:highlight w:val="none"/>
                <w:lang w:val="en-US" w:eastAsia="zh-CN" w:bidi="ar-SA"/>
              </w:rPr>
              <w:t>的4</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生产车间</w:t>
            </w:r>
            <w:r>
              <w:rPr>
                <w:rFonts w:hint="eastAsia" w:cs="Times New Roman"/>
                <w:color w:val="auto"/>
                <w:kern w:val="0"/>
                <w:sz w:val="24"/>
                <w:szCs w:val="24"/>
                <w:highlight w:val="none"/>
                <w:lang w:val="en-US" w:eastAsia="zh-CN" w:bidi="ar-SA"/>
              </w:rPr>
              <w:t>（现状2#车间）东北角</w:t>
            </w:r>
            <w:r>
              <w:rPr>
                <w:rFonts w:hint="eastAsia" w:ascii="Times New Roman" w:hAnsi="Times New Roman" w:eastAsia="宋体" w:cs="Times New Roman"/>
                <w:color w:val="auto"/>
                <w:kern w:val="0"/>
                <w:sz w:val="24"/>
                <w:szCs w:val="24"/>
                <w:highlight w:val="none"/>
                <w:lang w:val="en-US" w:eastAsia="zh-CN" w:bidi="ar-SA"/>
              </w:rPr>
              <w:t>。项目筹划会议纪要见附件</w:t>
            </w:r>
            <w:r>
              <w:rPr>
                <w:rFonts w:hint="default" w:ascii="Times New Roman" w:hAnsi="Times New Roman" w:eastAsia="宋体" w:cs="Times New Roman"/>
                <w:color w:val="auto"/>
                <w:kern w:val="0"/>
                <w:sz w:val="24"/>
                <w:szCs w:val="24"/>
                <w:highlight w:val="none"/>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 xml:space="preserve">。 </w:t>
            </w:r>
          </w:p>
          <w:p w14:paraId="43E6A9CD">
            <w:pPr>
              <w:pStyle w:val="5"/>
              <w:keepNext w:val="0"/>
              <w:keepLines w:val="0"/>
              <w:pageBreakBefore w:val="0"/>
              <w:kinsoku/>
              <w:wordWrap/>
              <w:overflowPunct/>
              <w:topLinePunct w:val="0"/>
              <w:autoSpaceDE/>
              <w:autoSpaceDN/>
              <w:bidi w:val="0"/>
              <w:adjustRightInd/>
              <w:snapToGrid/>
              <w:spacing w:line="360" w:lineRule="auto"/>
              <w:ind w:firstLine="480"/>
              <w:textAlignment w:val="auto"/>
              <w:rPr>
                <w:rFonts w:hint="default" w:eastAsia="宋体"/>
                <w:color w:val="auto"/>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SA"/>
              </w:rPr>
              <w:t>根据《</w:t>
            </w:r>
            <w:r>
              <w:rPr>
                <w:rFonts w:hint="default" w:ascii="Times New Roman" w:hAnsi="Times New Roman" w:eastAsia="宋体" w:cs="Times New Roman"/>
                <w:color w:val="auto"/>
                <w:sz w:val="24"/>
                <w:highlight w:val="none"/>
                <w:lang w:val="en-US" w:eastAsia="zh-CN"/>
              </w:rPr>
              <w:t>安徽泓济环境科技有限公司六安新厂建设项目</w:t>
            </w:r>
            <w:r>
              <w:rPr>
                <w:rFonts w:hint="eastAsia" w:ascii="Times New Roman" w:hAnsi="Times New Roman" w:eastAsia="宋体" w:cs="Times New Roman"/>
                <w:color w:val="auto"/>
                <w:sz w:val="24"/>
                <w:highlight w:val="none"/>
                <w:lang w:val="en-US" w:eastAsia="zh-CN"/>
              </w:rPr>
              <w:t>环境影响报告</w:t>
            </w:r>
            <w:r>
              <w:rPr>
                <w:rFonts w:hint="eastAsia" w:ascii="Times New Roman" w:hAnsi="Times New Roman" w:cs="Times New Roman"/>
                <w:color w:val="auto"/>
                <w:sz w:val="24"/>
                <w:highlight w:val="none"/>
                <w:lang w:val="en-US" w:eastAsia="zh-CN"/>
              </w:rPr>
              <w:t>书</w:t>
            </w:r>
            <w:r>
              <w:rPr>
                <w:rFonts w:hint="eastAsia" w:ascii="Times New Roman" w:hAnsi="Times New Roman" w:eastAsia="宋体" w:cs="Times New Roman"/>
                <w:color w:val="auto"/>
                <w:sz w:val="24"/>
                <w:highlight w:val="none"/>
                <w:lang w:val="en-US" w:eastAsia="zh-CN"/>
              </w:rPr>
              <w:t>》：项目主体生产</w:t>
            </w:r>
            <w:r>
              <w:rPr>
                <w:rFonts w:hint="eastAsia" w:ascii="Times New Roman" w:hAnsi="Times New Roman" w:eastAsia="宋体" w:cs="Times New Roman"/>
                <w:color w:val="auto"/>
                <w:kern w:val="0"/>
                <w:sz w:val="24"/>
                <w:szCs w:val="24"/>
                <w:highlight w:val="none"/>
                <w:lang w:val="en-US" w:eastAsia="zh-CN" w:bidi="ar-SA"/>
              </w:rPr>
              <w:t>工艺为机加工</w:t>
            </w:r>
            <w:r>
              <w:rPr>
                <w:rFonts w:hint="default"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焊接＋</w:t>
            </w:r>
            <w:r>
              <w:rPr>
                <w:rFonts w:hint="eastAsia" w:ascii="Times New Roman" w:hAnsi="Times New Roman" w:eastAsia="宋体" w:cs="Times New Roman"/>
                <w:color w:val="auto"/>
                <w:kern w:val="0"/>
                <w:sz w:val="24"/>
                <w:szCs w:val="24"/>
                <w:highlight w:val="none"/>
                <w:lang w:val="en-US" w:eastAsia="zh-CN" w:bidi="ar-SA"/>
              </w:rPr>
              <w:t>探伤</w:t>
            </w:r>
            <w:r>
              <w:rPr>
                <w:rFonts w:hint="default"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喷漆固化</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检验等，建设单位应按照国家及生态主管部门规定，</w:t>
            </w:r>
            <w:r>
              <w:rPr>
                <w:rFonts w:hint="eastAsia" w:cs="Times New Roman"/>
                <w:color w:val="auto"/>
                <w:kern w:val="0"/>
                <w:sz w:val="24"/>
                <w:szCs w:val="24"/>
                <w:highlight w:val="none"/>
                <w:lang w:val="en-US" w:eastAsia="zh-CN" w:bidi="ar-SA"/>
              </w:rPr>
              <w:t>针对探伤环节</w:t>
            </w:r>
            <w:r>
              <w:rPr>
                <w:rFonts w:hint="eastAsia" w:ascii="Times New Roman" w:hAnsi="Times New Roman" w:eastAsia="宋体" w:cs="Times New Roman"/>
                <w:color w:val="auto"/>
                <w:kern w:val="0"/>
                <w:sz w:val="24"/>
                <w:szCs w:val="24"/>
                <w:highlight w:val="none"/>
                <w:lang w:val="en-US" w:eastAsia="zh-CN" w:bidi="ar-SA"/>
              </w:rPr>
              <w:t>另行履行环境影响评价手续。</w:t>
            </w:r>
            <w:r>
              <w:rPr>
                <w:rFonts w:hint="eastAsia"/>
                <w:color w:val="auto"/>
                <w:sz w:val="24"/>
                <w:szCs w:val="24"/>
                <w:highlight w:val="none"/>
              </w:rPr>
              <w:t>因</w:t>
            </w:r>
            <w:r>
              <w:rPr>
                <w:rFonts w:hint="default" w:ascii="Times New Roman" w:hAnsi="Times New Roman" w:eastAsia="宋体" w:cs="Times New Roman"/>
                <w:color w:val="auto"/>
                <w:sz w:val="24"/>
                <w:highlight w:val="none"/>
                <w:lang w:val="en-US" w:eastAsia="zh-CN"/>
              </w:rPr>
              <w:t>安徽泓济环境科技有限公司</w:t>
            </w:r>
            <w:r>
              <w:rPr>
                <w:rFonts w:hint="eastAsia"/>
                <w:color w:val="auto"/>
                <w:sz w:val="24"/>
                <w:szCs w:val="24"/>
                <w:highlight w:val="none"/>
              </w:rPr>
              <w:t>生产工艺要求，建设单位拟生产的</w:t>
            </w:r>
            <w:r>
              <w:rPr>
                <w:rFonts w:hint="eastAsia"/>
                <w:color w:val="auto"/>
                <w:sz w:val="24"/>
                <w:szCs w:val="24"/>
                <w:highlight w:val="none"/>
                <w:lang w:val="en-US" w:eastAsia="zh-CN"/>
              </w:rPr>
              <w:t>压力容器</w:t>
            </w:r>
            <w:r>
              <w:rPr>
                <w:rFonts w:hint="eastAsia"/>
                <w:color w:val="auto"/>
                <w:sz w:val="24"/>
                <w:szCs w:val="24"/>
                <w:highlight w:val="none"/>
              </w:rPr>
              <w:t>质量需要采用X射线进行无损检测</w:t>
            </w:r>
            <w:r>
              <w:rPr>
                <w:rFonts w:hint="eastAsia"/>
                <w:color w:val="auto"/>
                <w:sz w:val="24"/>
                <w:szCs w:val="24"/>
                <w:highlight w:val="none"/>
                <w:lang w:eastAsia="zh-CN"/>
              </w:rPr>
              <w:t>，</w:t>
            </w:r>
            <w:r>
              <w:rPr>
                <w:rFonts w:hint="eastAsia"/>
                <w:color w:val="auto"/>
                <w:sz w:val="24"/>
                <w:szCs w:val="24"/>
                <w:highlight w:val="none"/>
                <w:lang w:val="en-US" w:eastAsia="zh-CN"/>
              </w:rPr>
              <w:t>前期主要生产常压容器，少部分压力容器的探伤工作均委托有资质单位进行处理，现公司由于业务拓展，从全局考虑新建1座固定式探伤房进行自主探伤作业。</w:t>
            </w:r>
            <w:r>
              <w:rPr>
                <w:rFonts w:hint="eastAsia"/>
                <w:color w:val="auto"/>
                <w:sz w:val="24"/>
                <w:szCs w:val="24"/>
                <w:highlight w:val="none"/>
              </w:rPr>
              <w:t>为此，建设单位拟在</w:t>
            </w:r>
            <w:r>
              <w:rPr>
                <w:rFonts w:hint="eastAsia"/>
                <w:color w:val="auto"/>
                <w:sz w:val="24"/>
                <w:szCs w:val="24"/>
                <w:highlight w:val="none"/>
                <w:lang w:val="en-US" w:eastAsia="zh-CN"/>
              </w:rPr>
              <w:t>公司厂内</w:t>
            </w:r>
            <w:r>
              <w:rPr>
                <w:rFonts w:hint="eastAsia"/>
                <w:color w:val="auto"/>
                <w:sz w:val="24"/>
                <w:szCs w:val="24"/>
                <w:highlight w:val="none"/>
              </w:rPr>
              <w:t>新建</w:t>
            </w:r>
            <w:r>
              <w:rPr>
                <w:rFonts w:hint="eastAsia"/>
                <w:color w:val="auto"/>
                <w:sz w:val="24"/>
                <w:szCs w:val="24"/>
                <w:highlight w:val="none"/>
                <w:lang w:val="en-US" w:eastAsia="zh-CN"/>
              </w:rPr>
              <w:t>一</w:t>
            </w:r>
            <w:r>
              <w:rPr>
                <w:rFonts w:hint="eastAsia"/>
                <w:color w:val="auto"/>
                <w:sz w:val="24"/>
                <w:szCs w:val="24"/>
                <w:highlight w:val="none"/>
              </w:rPr>
              <w:t>座</w:t>
            </w:r>
            <w:r>
              <w:rPr>
                <w:rFonts w:hint="eastAsia"/>
                <w:color w:val="auto"/>
                <w:sz w:val="24"/>
                <w:szCs w:val="24"/>
                <w:highlight w:val="none"/>
                <w:lang w:val="en-US" w:eastAsia="zh-CN"/>
              </w:rPr>
              <w:t>固定式</w:t>
            </w:r>
            <w:r>
              <w:rPr>
                <w:rFonts w:hint="eastAsia"/>
                <w:color w:val="auto"/>
                <w:sz w:val="24"/>
                <w:szCs w:val="24"/>
                <w:highlight w:val="none"/>
              </w:rPr>
              <w:t>X射线探伤房项目。</w:t>
            </w:r>
            <w:r>
              <w:rPr>
                <w:rFonts w:hint="eastAsia"/>
                <w:color w:val="auto"/>
                <w:sz w:val="24"/>
                <w:szCs w:val="24"/>
                <w:highlight w:val="none"/>
                <w:lang w:val="en-US" w:eastAsia="zh-CN"/>
              </w:rPr>
              <w:t>本项目探伤房建成后，主要服务于公司生产的压力容器的探伤工作</w:t>
            </w:r>
            <w:r>
              <w:rPr>
                <w:rFonts w:hint="eastAsia"/>
                <w:color w:val="auto"/>
                <w:sz w:val="24"/>
                <w:szCs w:val="24"/>
                <w:highlight w:val="none"/>
                <w:lang w:eastAsia="zh-CN"/>
              </w:rPr>
              <w:t>，</w:t>
            </w:r>
            <w:r>
              <w:rPr>
                <w:rFonts w:hint="eastAsia"/>
                <w:color w:val="auto"/>
                <w:sz w:val="24"/>
                <w:szCs w:val="24"/>
                <w:highlight w:val="none"/>
                <w:lang w:val="en-US" w:eastAsia="zh-CN"/>
              </w:rPr>
              <w:t>所接收的探伤工件均来自本公司。</w:t>
            </w:r>
          </w:p>
          <w:p w14:paraId="0BE62279">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s="Times New Roman"/>
                <w:color w:val="auto"/>
                <w:sz w:val="24"/>
                <w:szCs w:val="24"/>
                <w:highlight w:val="none"/>
                <w:lang w:val="en-US" w:eastAsia="zh-CN"/>
              </w:rPr>
            </w:pPr>
            <w:bookmarkStart w:id="17" w:name="_Toc8428"/>
            <w:bookmarkStart w:id="18" w:name="_Toc30429"/>
            <w:bookmarkStart w:id="19" w:name="_Toc24467"/>
            <w:bookmarkStart w:id="20" w:name="_Toc4332"/>
            <w:r>
              <w:rPr>
                <w:rFonts w:hint="eastAsia"/>
                <w:color w:val="auto"/>
                <w:sz w:val="24"/>
                <w:szCs w:val="24"/>
                <w:highlight w:val="none"/>
              </w:rPr>
              <w:t>根据《中华人民共和国环境影响评价法》《中华人民共和国放射性污染防治法》《建设项目环境保护管理条例》《放射性同位素与射线装置安全和防护条例》和《放射性同位素与射线装置安全许可管理办法》等法律法规的规定，本项目需履行环境影响评价手续。</w:t>
            </w:r>
            <w:bookmarkEnd w:id="17"/>
            <w:bookmarkEnd w:id="18"/>
            <w:bookmarkEnd w:id="19"/>
            <w:bookmarkEnd w:id="20"/>
            <w:r>
              <w:rPr>
                <w:rFonts w:hint="eastAsia"/>
                <w:color w:val="auto"/>
                <w:sz w:val="24"/>
                <w:szCs w:val="24"/>
                <w:highlight w:val="none"/>
              </w:rPr>
              <w:t>对照《建设项目环境影响评价分类管理名录》（2021年版），本项目属于“172、核技术利用项目”中使用</w:t>
            </w:r>
            <w:r>
              <w:rPr>
                <w:color w:val="auto"/>
                <w:sz w:val="24"/>
                <w:szCs w:val="24"/>
                <w:highlight w:val="none"/>
              </w:rPr>
              <w:t>Ⅱ</w:t>
            </w:r>
            <w:r>
              <w:rPr>
                <w:rFonts w:hint="eastAsia"/>
                <w:color w:val="auto"/>
                <w:sz w:val="24"/>
                <w:szCs w:val="24"/>
                <w:highlight w:val="none"/>
              </w:rPr>
              <w:t>类射线装置，需编制环境影响报告</w:t>
            </w:r>
            <w:r>
              <w:rPr>
                <w:rFonts w:hint="eastAsia" w:ascii="Times New Roman" w:hAnsi="Times New Roman" w:cs="Times New Roman"/>
                <w:color w:val="auto"/>
                <w:sz w:val="24"/>
                <w:szCs w:val="24"/>
                <w:highlight w:val="none"/>
              </w:rPr>
              <w:t>表。受</w:t>
            </w:r>
            <w:r>
              <w:rPr>
                <w:rFonts w:hint="default" w:ascii="Times New Roman" w:hAnsi="Times New Roman" w:cs="Times New Roman"/>
                <w:color w:val="auto"/>
                <w:sz w:val="24"/>
                <w:szCs w:val="24"/>
                <w:highlight w:val="none"/>
                <w:lang w:eastAsia="zh-CN"/>
              </w:rPr>
              <w:t>安徽泓济环境科技有限公司</w:t>
            </w:r>
            <w:r>
              <w:rPr>
                <w:rFonts w:hint="eastAsia" w:ascii="Times New Roman" w:hAnsi="Times New Roman" w:cs="Times New Roman"/>
                <w:color w:val="auto"/>
                <w:sz w:val="24"/>
                <w:szCs w:val="24"/>
                <w:highlight w:val="none"/>
              </w:rPr>
              <w:t>委托，</w:t>
            </w:r>
            <w:r>
              <w:rPr>
                <w:rFonts w:hint="eastAsia" w:ascii="Times New Roman" w:hAnsi="Times New Roman" w:cs="Times New Roman"/>
                <w:color w:val="auto"/>
                <w:sz w:val="24"/>
                <w:szCs w:val="24"/>
                <w:highlight w:val="none"/>
                <w:lang w:val="en-US" w:eastAsia="zh-CN"/>
              </w:rPr>
              <w:t>六安方青森太环保科技</w:t>
            </w:r>
            <w:r>
              <w:rPr>
                <w:rFonts w:hint="eastAsia" w:ascii="Times New Roman" w:hAnsi="Times New Roman" w:cs="Times New Roman"/>
                <w:color w:val="auto"/>
                <w:sz w:val="24"/>
                <w:szCs w:val="24"/>
                <w:highlight w:val="none"/>
              </w:rPr>
              <w:t>有限公司承担本项目的环境影响评</w:t>
            </w:r>
            <w:r>
              <w:rPr>
                <w:rFonts w:hint="eastAsia" w:ascii="Times New Roman" w:hAnsi="Times New Roman" w:cs="Times New Roman"/>
                <w:color w:val="auto"/>
                <w:sz w:val="24"/>
                <w:szCs w:val="24"/>
                <w:highlight w:val="none"/>
                <w:lang w:val="en-US" w:eastAsia="zh-CN"/>
              </w:rPr>
              <w:t>价工作。委托书见附件1。</w:t>
            </w:r>
          </w:p>
          <w:p w14:paraId="12ADE2A6">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sz w:val="24"/>
                <w:szCs w:val="24"/>
                <w:highlight w:val="none"/>
                <w:lang w:val="zh-CN"/>
              </w:rPr>
            </w:pPr>
            <w:r>
              <w:rPr>
                <w:rFonts w:hint="eastAsia" w:ascii="Times New Roman" w:hAnsi="Times New Roman" w:cs="Times New Roman"/>
                <w:color w:val="auto"/>
                <w:sz w:val="24"/>
                <w:szCs w:val="24"/>
                <w:highlight w:val="none"/>
                <w:lang w:val="en-US" w:eastAsia="zh-CN"/>
              </w:rPr>
              <w:t>评价单位经现场踏勘、资料收集、评价分析后，我公司在现场踏勘的基础上，依据《辐射环境保护管理导则核技术利用建设项目环境影响评价文件的内容和格式》（</w:t>
            </w:r>
            <w:r>
              <w:rPr>
                <w:rFonts w:hint="default" w:ascii="Times New Roman" w:hAnsi="Times New Roman" w:cs="Times New Roman"/>
                <w:color w:val="auto"/>
                <w:sz w:val="24"/>
                <w:szCs w:val="24"/>
                <w:highlight w:val="none"/>
                <w:lang w:val="en-US" w:eastAsia="zh-CN"/>
              </w:rPr>
              <w:t>HJ 10.1-2016</w:t>
            </w:r>
            <w:r>
              <w:rPr>
                <w:rFonts w:hint="eastAsia" w:ascii="Times New Roman" w:hAnsi="Times New Roman" w:cs="Times New Roman"/>
                <w:color w:val="auto"/>
                <w:sz w:val="24"/>
                <w:szCs w:val="24"/>
                <w:highlight w:val="none"/>
                <w:lang w:val="en-US" w:eastAsia="zh-CN"/>
              </w:rPr>
              <w:t>）的相关要求，编制完成了本项目的环境影响报告表，并报请审批，以期为本项目实施和</w:t>
            </w:r>
            <w:r>
              <w:rPr>
                <w:rFonts w:hint="eastAsia"/>
                <w:color w:val="auto"/>
                <w:sz w:val="24"/>
                <w:szCs w:val="24"/>
                <w:highlight w:val="none"/>
              </w:rPr>
              <w:t>管理提供参考。</w:t>
            </w:r>
          </w:p>
          <w:p w14:paraId="02E574CA">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rFonts w:hint="eastAsia"/>
                <w:b/>
                <w:bCs/>
                <w:color w:val="auto"/>
                <w:sz w:val="24"/>
                <w:szCs w:val="24"/>
                <w:highlight w:val="none"/>
                <w:lang w:val="en-US" w:eastAsia="zh-CN"/>
              </w:rPr>
            </w:pPr>
            <w:bookmarkStart w:id="21" w:name="_Toc16599"/>
            <w:bookmarkStart w:id="22" w:name="_Toc5512"/>
            <w:bookmarkStart w:id="23" w:name="_Toc28525604"/>
            <w:bookmarkStart w:id="24" w:name="_Toc66001550"/>
            <w:bookmarkStart w:id="25" w:name="_Toc28511217"/>
            <w:bookmarkStart w:id="26" w:name="_Toc27226"/>
            <w:bookmarkStart w:id="27" w:name="_Toc36829677"/>
            <w:bookmarkStart w:id="28" w:name="_Toc66009984"/>
            <w:r>
              <w:rPr>
                <w:rFonts w:hint="eastAsia"/>
                <w:b/>
                <w:bCs/>
                <w:color w:val="auto"/>
                <w:sz w:val="24"/>
                <w:szCs w:val="24"/>
                <w:highlight w:val="none"/>
                <w:lang w:val="en-US" w:eastAsia="zh-CN"/>
              </w:rPr>
              <w:t>4、建设内容和规模</w:t>
            </w:r>
            <w:bookmarkEnd w:id="16"/>
            <w:bookmarkEnd w:id="21"/>
            <w:bookmarkEnd w:id="22"/>
            <w:bookmarkEnd w:id="23"/>
            <w:bookmarkEnd w:id="24"/>
            <w:bookmarkEnd w:id="25"/>
            <w:bookmarkEnd w:id="26"/>
            <w:bookmarkEnd w:id="27"/>
            <w:bookmarkEnd w:id="28"/>
          </w:p>
          <w:p w14:paraId="1EB62607">
            <w:pPr>
              <w:spacing w:line="360" w:lineRule="auto"/>
              <w:ind w:firstLine="482"/>
              <w:rPr>
                <w:rFonts w:hint="eastAsia" w:eastAsia="宋体"/>
                <w:color w:val="auto"/>
                <w:sz w:val="24"/>
                <w:szCs w:val="24"/>
                <w:highlight w:val="none"/>
                <w:lang w:val="en-US" w:eastAsia="zh-CN"/>
              </w:rPr>
            </w:pPr>
            <w:r>
              <w:rPr>
                <w:rFonts w:hint="eastAsia"/>
                <w:color w:val="auto"/>
                <w:kern w:val="0"/>
                <w:sz w:val="24"/>
                <w:szCs w:val="24"/>
                <w:highlight w:val="none"/>
              </w:rPr>
              <w:t>本项目位于</w:t>
            </w:r>
            <w:r>
              <w:rPr>
                <w:rFonts w:hint="default" w:ascii="Times New Roman" w:hAnsi="Times New Roman" w:eastAsia="宋体" w:cs="Times New Roman"/>
                <w:color w:val="auto"/>
                <w:kern w:val="2"/>
                <w:sz w:val="24"/>
                <w:szCs w:val="24"/>
                <w:highlight w:val="none"/>
                <w:lang w:val="en-US" w:eastAsia="zh-CN" w:bidi="ar-SA"/>
              </w:rPr>
              <w:t>安徽六安金安经济开发区长淮路666号</w:t>
            </w:r>
            <w:r>
              <w:rPr>
                <w:rFonts w:hint="default" w:ascii="Times New Roman" w:hAnsi="Times New Roman" w:cs="Times New Roman"/>
                <w:color w:val="auto"/>
                <w:sz w:val="24"/>
                <w:szCs w:val="24"/>
                <w:highlight w:val="none"/>
                <w:lang w:eastAsia="zh-CN"/>
              </w:rPr>
              <w:t>安徽泓济环境科技有限公司</w:t>
            </w:r>
            <w:r>
              <w:rPr>
                <w:rFonts w:hint="eastAsia"/>
                <w:color w:val="auto"/>
                <w:sz w:val="24"/>
                <w:szCs w:val="24"/>
                <w:highlight w:val="none"/>
              </w:rPr>
              <w:t>厂区</w:t>
            </w:r>
            <w:r>
              <w:rPr>
                <w:rFonts w:hint="eastAsia"/>
                <w:color w:val="auto"/>
                <w:sz w:val="24"/>
                <w:szCs w:val="24"/>
                <w:highlight w:val="none"/>
                <w:lang w:val="en-US" w:eastAsia="zh-CN"/>
              </w:rPr>
              <w:t>2#生产车间内东北角</w:t>
            </w:r>
            <w:r>
              <w:rPr>
                <w:rFonts w:hint="eastAsia" w:cs="Times New Roman"/>
                <w:color w:val="auto"/>
                <w:kern w:val="2"/>
                <w:sz w:val="24"/>
                <w:szCs w:val="24"/>
                <w:highlight w:val="none"/>
                <w:lang w:val="en-US" w:eastAsia="zh-CN" w:bidi="ar-SA"/>
              </w:rPr>
              <w:t>，</w:t>
            </w:r>
            <w:r>
              <w:rPr>
                <w:rFonts w:hint="eastAsia"/>
                <w:color w:val="auto"/>
                <w:sz w:val="24"/>
                <w:szCs w:val="24"/>
                <w:highlight w:val="none"/>
                <w:lang w:val="en-US" w:eastAsia="zh-CN"/>
              </w:rPr>
              <w:t>厂区地理位置图详</w:t>
            </w:r>
            <w:r>
              <w:rPr>
                <w:rFonts w:hint="eastAsia"/>
                <w:color w:val="auto"/>
                <w:sz w:val="24"/>
                <w:szCs w:val="24"/>
                <w:highlight w:val="none"/>
              </w:rPr>
              <w:t>见</w:t>
            </w:r>
            <w:r>
              <w:rPr>
                <w:rFonts w:hint="eastAsia"/>
                <w:color w:val="auto"/>
                <w:sz w:val="24"/>
                <w:szCs w:val="24"/>
                <w:highlight w:val="none"/>
                <w:lang w:val="en-US" w:eastAsia="zh-CN"/>
              </w:rPr>
              <w:t>附图1。</w:t>
            </w:r>
            <w:r>
              <w:rPr>
                <w:rFonts w:hint="eastAsia" w:cs="Times New Roman"/>
                <w:color w:val="auto"/>
                <w:kern w:val="2"/>
                <w:sz w:val="24"/>
                <w:szCs w:val="24"/>
                <w:highlight w:val="none"/>
                <w:lang w:val="en-US" w:eastAsia="zh-CN" w:bidi="ar-SA"/>
              </w:rPr>
              <w:t>主要建设内容为</w:t>
            </w:r>
            <w:r>
              <w:rPr>
                <w:rFonts w:hint="eastAsia" w:ascii="Times New Roman" w:hAnsi="Times New Roman" w:eastAsia="宋体" w:cs="Times New Roman"/>
                <w:color w:val="auto"/>
                <w:kern w:val="2"/>
                <w:sz w:val="24"/>
                <w:szCs w:val="24"/>
                <w:highlight w:val="none"/>
                <w:lang w:val="en-US" w:eastAsia="zh-CN" w:bidi="ar-SA"/>
              </w:rPr>
              <w:t>新建</w:t>
            </w:r>
            <w:r>
              <w:rPr>
                <w:rFonts w:hint="eastAsia" w:cs="Times New Roman"/>
                <w:color w:val="auto"/>
                <w:kern w:val="2"/>
                <w:sz w:val="24"/>
                <w:szCs w:val="24"/>
                <w:highlight w:val="none"/>
                <w:lang w:val="en-US" w:eastAsia="zh-CN" w:bidi="ar-SA"/>
              </w:rPr>
              <w:t>一</w:t>
            </w:r>
            <w:r>
              <w:rPr>
                <w:rFonts w:hint="eastAsia" w:ascii="Times New Roman" w:hAnsi="Times New Roman" w:eastAsia="宋体" w:cs="Times New Roman"/>
                <w:color w:val="auto"/>
                <w:kern w:val="2"/>
                <w:sz w:val="24"/>
                <w:szCs w:val="24"/>
                <w:highlight w:val="none"/>
                <w:lang w:val="en-US" w:eastAsia="zh-CN" w:bidi="ar-SA"/>
              </w:rPr>
              <w:t>座</w:t>
            </w:r>
            <w:r>
              <w:rPr>
                <w:rFonts w:hint="eastAsia" w:cs="Times New Roman"/>
                <w:color w:val="auto"/>
                <w:kern w:val="2"/>
                <w:sz w:val="24"/>
                <w:szCs w:val="24"/>
                <w:highlight w:val="none"/>
                <w:lang w:val="en-US" w:eastAsia="zh-CN" w:bidi="ar-SA"/>
              </w:rPr>
              <w:t>固定式</w:t>
            </w:r>
            <w:r>
              <w:rPr>
                <w:rFonts w:hint="eastAsia" w:ascii="Times New Roman" w:hAnsi="Times New Roman" w:eastAsia="宋体" w:cs="Times New Roman"/>
                <w:color w:val="auto"/>
                <w:kern w:val="2"/>
                <w:sz w:val="24"/>
                <w:szCs w:val="24"/>
                <w:highlight w:val="none"/>
                <w:lang w:val="en-US" w:eastAsia="zh-CN" w:bidi="ar-SA"/>
              </w:rPr>
              <w:t>X射线探伤房及配套的操作间、洗片室和评片室，总建筑面积</w:t>
            </w:r>
            <w:r>
              <w:rPr>
                <w:rFonts w:hint="eastAsia" w:cs="Times New Roman"/>
                <w:color w:val="auto"/>
                <w:kern w:val="2"/>
                <w:sz w:val="24"/>
                <w:szCs w:val="24"/>
                <w:highlight w:val="none"/>
                <w:lang w:val="en-US" w:eastAsia="zh-CN" w:bidi="ar-SA"/>
              </w:rPr>
              <w:t>约24</w:t>
            </w:r>
            <w:r>
              <w:rPr>
                <w:rFonts w:hint="eastAsia" w:ascii="Times New Roman" w:hAnsi="Times New Roman" w:eastAsia="宋体" w:cs="Times New Roman"/>
                <w:color w:val="auto"/>
                <w:kern w:val="2"/>
                <w:sz w:val="24"/>
                <w:szCs w:val="24"/>
                <w:highlight w:val="none"/>
                <w:lang w:val="en-US" w:eastAsia="zh-CN" w:bidi="ar-SA"/>
              </w:rPr>
              <w:t>m</w:t>
            </w:r>
            <w:r>
              <w:rPr>
                <w:rFonts w:hint="eastAsia" w:ascii="Times New Roman" w:hAnsi="Times New Roman" w:eastAsia="宋体" w:cs="Times New Roman"/>
                <w:color w:val="auto"/>
                <w:kern w:val="2"/>
                <w:sz w:val="24"/>
                <w:szCs w:val="24"/>
                <w:highlight w:val="none"/>
                <w:vertAlign w:val="superscript"/>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，其中探伤</w:t>
            </w:r>
            <w:r>
              <w:rPr>
                <w:rFonts w:hint="eastAsia" w:cs="Times New Roman"/>
                <w:color w:val="auto"/>
                <w:kern w:val="2"/>
                <w:sz w:val="24"/>
                <w:szCs w:val="24"/>
                <w:highlight w:val="none"/>
                <w:lang w:val="en-US" w:eastAsia="zh-CN" w:bidi="ar-SA"/>
              </w:rPr>
              <w:t>房</w:t>
            </w:r>
            <w:r>
              <w:rPr>
                <w:rFonts w:hint="eastAsia" w:ascii="Times New Roman" w:hAnsi="Times New Roman" w:eastAsia="宋体" w:cs="Times New Roman"/>
                <w:color w:val="auto"/>
                <w:kern w:val="2"/>
                <w:sz w:val="24"/>
                <w:szCs w:val="24"/>
                <w:highlight w:val="none"/>
                <w:lang w:val="en-US" w:eastAsia="zh-CN" w:bidi="ar-SA"/>
              </w:rPr>
              <w:t>内部</w:t>
            </w:r>
            <w:r>
              <w:rPr>
                <w:rFonts w:hint="eastAsia" w:cs="Times New Roman"/>
                <w:color w:val="auto"/>
                <w:kern w:val="2"/>
                <w:sz w:val="24"/>
                <w:szCs w:val="24"/>
                <w:highlight w:val="none"/>
                <w:lang w:val="en-US" w:eastAsia="zh-CN" w:bidi="ar-SA"/>
              </w:rPr>
              <w:t>净</w:t>
            </w:r>
            <w:r>
              <w:rPr>
                <w:rFonts w:hint="eastAsia" w:ascii="Times New Roman" w:hAnsi="Times New Roman" w:eastAsia="宋体" w:cs="Times New Roman"/>
                <w:color w:val="auto"/>
                <w:kern w:val="2"/>
                <w:sz w:val="24"/>
                <w:szCs w:val="24"/>
                <w:highlight w:val="none"/>
                <w:lang w:val="en-US" w:eastAsia="zh-CN" w:bidi="ar-SA"/>
              </w:rPr>
              <w:t>尺寸为长</w:t>
            </w:r>
            <w:r>
              <w:rPr>
                <w:rFonts w:hint="eastAsia" w:cs="Times New Roman"/>
                <w:color w:val="auto"/>
                <w:kern w:val="2"/>
                <w:sz w:val="24"/>
                <w:szCs w:val="24"/>
                <w:highlight w:val="none"/>
                <w:lang w:val="en-US" w:eastAsia="zh-CN" w:bidi="ar-SA"/>
              </w:rPr>
              <w:t>4</w:t>
            </w:r>
            <w:r>
              <w:rPr>
                <w:rFonts w:hint="eastAsia" w:ascii="Times New Roman" w:hAnsi="Times New Roman" w:eastAsia="宋体" w:cs="Times New Roman"/>
                <w:color w:val="auto"/>
                <w:kern w:val="2"/>
                <w:sz w:val="24"/>
                <w:szCs w:val="24"/>
                <w:highlight w:val="none"/>
                <w:lang w:val="en-US" w:eastAsia="zh-CN" w:bidi="ar-SA"/>
              </w:rPr>
              <w:t>m×宽</w:t>
            </w:r>
            <w:r>
              <w:rPr>
                <w:rFonts w:hint="eastAsia" w:cs="Times New Roman"/>
                <w:color w:val="auto"/>
                <w:kern w:val="2"/>
                <w:sz w:val="24"/>
                <w:szCs w:val="24"/>
                <w:highlight w:val="none"/>
                <w:lang w:val="en-US" w:eastAsia="zh-CN" w:bidi="ar-SA"/>
              </w:rPr>
              <w:t>2.6</w:t>
            </w:r>
            <w:r>
              <w:rPr>
                <w:rFonts w:hint="eastAsia" w:ascii="Times New Roman" w:hAnsi="Times New Roman" w:eastAsia="宋体" w:cs="Times New Roman"/>
                <w:color w:val="auto"/>
                <w:kern w:val="2"/>
                <w:sz w:val="24"/>
                <w:szCs w:val="24"/>
                <w:highlight w:val="none"/>
                <w:lang w:val="en-US" w:eastAsia="zh-CN" w:bidi="ar-SA"/>
              </w:rPr>
              <w:t>m×高</w:t>
            </w:r>
            <w:r>
              <w:rPr>
                <w:rFonts w:hint="eastAsia" w:cs="Times New Roman"/>
                <w:color w:val="auto"/>
                <w:kern w:val="2"/>
                <w:sz w:val="24"/>
                <w:szCs w:val="24"/>
                <w:highlight w:val="none"/>
                <w:lang w:val="en-US" w:eastAsia="zh-CN" w:bidi="ar-SA"/>
              </w:rPr>
              <w:t>2.5</w:t>
            </w:r>
            <w:r>
              <w:rPr>
                <w:rFonts w:hint="eastAsia" w:ascii="Times New Roman" w:hAnsi="Times New Roman" w:eastAsia="宋体" w:cs="Times New Roman"/>
                <w:color w:val="auto"/>
                <w:kern w:val="2"/>
                <w:sz w:val="24"/>
                <w:szCs w:val="24"/>
                <w:highlight w:val="none"/>
                <w:lang w:val="en-US" w:eastAsia="zh-CN" w:bidi="ar-SA"/>
              </w:rPr>
              <w:t>m；购置并在探伤房内安装使用</w:t>
            </w:r>
            <w:r>
              <w:rPr>
                <w:rFonts w:hint="eastAsia" w:cs="Times New Roman"/>
                <w:color w:val="auto"/>
                <w:kern w:val="2"/>
                <w:sz w:val="24"/>
                <w:szCs w:val="24"/>
                <w:highlight w:val="none"/>
                <w:lang w:val="en-US" w:eastAsia="zh-CN" w:bidi="ar-SA"/>
              </w:rPr>
              <w:t>1</w:t>
            </w:r>
            <w:r>
              <w:rPr>
                <w:rFonts w:hint="eastAsia" w:ascii="Times New Roman" w:hAnsi="Times New Roman" w:eastAsia="宋体" w:cs="Times New Roman"/>
                <w:color w:val="auto"/>
                <w:kern w:val="2"/>
                <w:sz w:val="24"/>
                <w:szCs w:val="24"/>
                <w:highlight w:val="none"/>
                <w:lang w:val="en-US" w:eastAsia="zh-CN" w:bidi="ar-SA"/>
              </w:rPr>
              <w:t>台XXG-250</w:t>
            </w:r>
            <w:r>
              <w:rPr>
                <w:rFonts w:hint="eastAsia" w:cs="Times New Roman"/>
                <w:color w:val="auto"/>
                <w:kern w:val="2"/>
                <w:sz w:val="24"/>
                <w:szCs w:val="24"/>
                <w:highlight w:val="none"/>
                <w:lang w:val="en-US" w:eastAsia="zh-CN" w:bidi="ar-SA"/>
              </w:rPr>
              <w:t>5</w:t>
            </w:r>
            <w:r>
              <w:rPr>
                <w:rFonts w:hint="eastAsia" w:ascii="Times New Roman" w:hAnsi="Times New Roman" w:eastAsia="宋体" w:cs="Times New Roman"/>
                <w:color w:val="auto"/>
                <w:kern w:val="2"/>
                <w:sz w:val="24"/>
                <w:szCs w:val="24"/>
                <w:highlight w:val="none"/>
                <w:lang w:val="en-US" w:eastAsia="zh-CN" w:bidi="ar-SA"/>
              </w:rPr>
              <w:t>型号的X射线探伤机</w:t>
            </w:r>
            <w:r>
              <w:rPr>
                <w:rFonts w:hint="eastAsia"/>
                <w:color w:val="auto"/>
                <w:sz w:val="24"/>
                <w:szCs w:val="24"/>
                <w:highlight w:val="none"/>
              </w:rPr>
              <w:t>，</w:t>
            </w:r>
            <w:r>
              <w:rPr>
                <w:rFonts w:hint="eastAsia" w:ascii="Times New Roman" w:hAnsi="Times New Roman" w:eastAsia="宋体" w:cs="Times New Roman"/>
                <w:color w:val="auto"/>
                <w:kern w:val="2"/>
                <w:sz w:val="24"/>
                <w:szCs w:val="24"/>
                <w:highlight w:val="none"/>
                <w:lang w:val="en-US" w:eastAsia="zh-CN" w:bidi="ar-SA"/>
              </w:rPr>
              <w:t>用于公司生产</w:t>
            </w:r>
            <w:r>
              <w:rPr>
                <w:rFonts w:hint="eastAsia" w:cs="Times New Roman"/>
                <w:color w:val="auto"/>
                <w:kern w:val="2"/>
                <w:sz w:val="24"/>
                <w:szCs w:val="24"/>
                <w:highlight w:val="none"/>
                <w:lang w:val="en-US" w:eastAsia="zh-CN" w:bidi="ar-SA"/>
              </w:rPr>
              <w:t>的压力容器</w:t>
            </w:r>
            <w:r>
              <w:rPr>
                <w:rFonts w:hint="eastAsia" w:ascii="Times New Roman" w:hAnsi="Times New Roman" w:eastAsia="宋体" w:cs="Times New Roman"/>
                <w:color w:val="auto"/>
                <w:kern w:val="2"/>
                <w:sz w:val="24"/>
                <w:szCs w:val="24"/>
                <w:highlight w:val="none"/>
                <w:lang w:val="en-US" w:eastAsia="zh-CN" w:bidi="ar-SA"/>
              </w:rPr>
              <w:t>焊接焊缝的无损检测</w:t>
            </w:r>
            <w:r>
              <w:rPr>
                <w:rFonts w:hint="eastAsia" w:cs="Times New Roman"/>
                <w:color w:val="auto"/>
                <w:kern w:val="2"/>
                <w:sz w:val="24"/>
                <w:szCs w:val="24"/>
                <w:highlight w:val="none"/>
                <w:lang w:val="en-US" w:eastAsia="zh-CN" w:bidi="ar-SA"/>
              </w:rPr>
              <w:t>。本项目建设内容及规模一览表见下表1-2，</w:t>
            </w:r>
            <w:r>
              <w:rPr>
                <w:rFonts w:hint="eastAsia"/>
                <w:color w:val="auto"/>
                <w:sz w:val="24"/>
                <w:szCs w:val="24"/>
                <w:highlight w:val="none"/>
                <w:lang w:val="zh-CN"/>
              </w:rPr>
              <w:t>本次评价项目</w:t>
            </w:r>
            <w:r>
              <w:rPr>
                <w:rFonts w:hint="eastAsia"/>
                <w:color w:val="auto"/>
                <w:sz w:val="24"/>
                <w:szCs w:val="24"/>
                <w:highlight w:val="none"/>
              </w:rPr>
              <w:t>涉及的射线装置情况</w:t>
            </w:r>
            <w:r>
              <w:rPr>
                <w:rFonts w:hint="eastAsia"/>
                <w:color w:val="auto"/>
                <w:sz w:val="24"/>
                <w:szCs w:val="24"/>
                <w:highlight w:val="none"/>
                <w:lang w:val="zh-CN"/>
              </w:rPr>
              <w:t>见下表1-</w:t>
            </w:r>
            <w:r>
              <w:rPr>
                <w:rFonts w:hint="eastAsia"/>
                <w:color w:val="auto"/>
                <w:sz w:val="24"/>
                <w:szCs w:val="24"/>
                <w:highlight w:val="none"/>
                <w:lang w:val="en-US" w:eastAsia="zh-CN"/>
              </w:rPr>
              <w:t>3</w:t>
            </w:r>
            <w:r>
              <w:rPr>
                <w:rStyle w:val="44"/>
                <w:rFonts w:hint="eastAsia"/>
                <w:color w:val="auto"/>
                <w:highlight w:val="none"/>
                <w:lang w:eastAsia="zh-CN"/>
              </w:rPr>
              <w:t>。</w:t>
            </w:r>
          </w:p>
          <w:p w14:paraId="0435E53B">
            <w:pPr>
              <w:snapToGrid w:val="0"/>
              <w:spacing w:line="240" w:lineRule="auto"/>
              <w:jc w:val="center"/>
              <w:rPr>
                <w:rFonts w:hint="eastAsia"/>
                <w:b/>
                <w:color w:val="auto"/>
                <w:szCs w:val="21"/>
                <w:highlight w:val="none"/>
                <w:lang w:val="en-US" w:eastAsia="zh-CN"/>
              </w:rPr>
            </w:pPr>
            <w:bookmarkStart w:id="29" w:name="_Toc36829679"/>
            <w:bookmarkStart w:id="30" w:name="_Toc14231"/>
            <w:bookmarkStart w:id="31" w:name="_Toc66009986"/>
            <w:bookmarkStart w:id="32" w:name="_Toc32317"/>
            <w:bookmarkStart w:id="33" w:name="_Toc66001552"/>
            <w:bookmarkStart w:id="34" w:name="_Toc24472"/>
            <w:r>
              <w:rPr>
                <w:b/>
                <w:color w:val="auto"/>
                <w:szCs w:val="21"/>
                <w:highlight w:val="none"/>
              </w:rPr>
              <w:t>表1-</w:t>
            </w:r>
            <w:r>
              <w:rPr>
                <w:rFonts w:hint="eastAsia"/>
                <w:b/>
                <w:color w:val="auto"/>
                <w:szCs w:val="21"/>
                <w:highlight w:val="none"/>
                <w:lang w:val="en-US" w:eastAsia="zh-CN"/>
              </w:rPr>
              <w:t>2</w:t>
            </w:r>
            <w:r>
              <w:rPr>
                <w:b/>
                <w:color w:val="auto"/>
                <w:szCs w:val="21"/>
                <w:highlight w:val="none"/>
              </w:rPr>
              <w:t xml:space="preserve"> </w:t>
            </w:r>
            <w:r>
              <w:rPr>
                <w:rFonts w:hint="eastAsia"/>
                <w:b/>
                <w:color w:val="auto"/>
                <w:szCs w:val="21"/>
                <w:highlight w:val="none"/>
              </w:rPr>
              <w:t>本</w:t>
            </w:r>
            <w:r>
              <w:rPr>
                <w:rFonts w:hint="eastAsia"/>
                <w:b/>
                <w:color w:val="auto"/>
                <w:szCs w:val="21"/>
                <w:highlight w:val="none"/>
                <w:lang w:val="en-US" w:eastAsia="zh-CN"/>
              </w:rPr>
              <w:t>项目建设规模及内容一览表</w:t>
            </w:r>
          </w:p>
          <w:tbl>
            <w:tblPr>
              <w:tblStyle w:val="36"/>
              <w:tblW w:w="0" w:type="auto"/>
              <w:tblInd w:w="13"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129"/>
              <w:gridCol w:w="7884"/>
            </w:tblGrid>
            <w:tr w14:paraId="0150CDD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29" w:type="dxa"/>
                  <w:tcBorders>
                    <w:tl2br w:val="nil"/>
                    <w:tr2bl w:val="nil"/>
                  </w:tcBorders>
                  <w:vAlign w:val="center"/>
                </w:tcPr>
                <w:p w14:paraId="17A84F6F">
                  <w:pPr>
                    <w:overflowPunct w:val="0"/>
                    <w:snapToGrid w:val="0"/>
                    <w:jc w:val="center"/>
                    <w:rPr>
                      <w:b/>
                      <w:bCs/>
                      <w:color w:val="auto"/>
                      <w:szCs w:val="21"/>
                      <w:highlight w:val="none"/>
                      <w:lang w:val="en-GB"/>
                    </w:rPr>
                  </w:pPr>
                  <w:r>
                    <w:rPr>
                      <w:b/>
                      <w:bCs/>
                      <w:color w:val="auto"/>
                      <w:szCs w:val="21"/>
                      <w:highlight w:val="none"/>
                      <w:lang w:val="en-GB"/>
                    </w:rPr>
                    <w:t>项目组成</w:t>
                  </w:r>
                </w:p>
              </w:tc>
              <w:tc>
                <w:tcPr>
                  <w:tcW w:w="7884" w:type="dxa"/>
                  <w:tcBorders>
                    <w:tl2br w:val="nil"/>
                    <w:tr2bl w:val="nil"/>
                  </w:tcBorders>
                  <w:vAlign w:val="center"/>
                </w:tcPr>
                <w:p w14:paraId="431B6FE4">
                  <w:pPr>
                    <w:overflowPunct w:val="0"/>
                    <w:snapToGrid w:val="0"/>
                    <w:jc w:val="center"/>
                    <w:rPr>
                      <w:b/>
                      <w:bCs/>
                      <w:color w:val="auto"/>
                      <w:szCs w:val="21"/>
                      <w:highlight w:val="none"/>
                      <w:lang w:val="en-GB"/>
                    </w:rPr>
                  </w:pPr>
                  <w:r>
                    <w:rPr>
                      <w:b/>
                      <w:bCs/>
                      <w:color w:val="auto"/>
                      <w:szCs w:val="21"/>
                      <w:highlight w:val="none"/>
                      <w:lang w:val="en-GB"/>
                    </w:rPr>
                    <w:t>建设内容</w:t>
                  </w:r>
                </w:p>
              </w:tc>
            </w:tr>
            <w:tr w14:paraId="08B972E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29" w:type="dxa"/>
                  <w:tcBorders>
                    <w:tl2br w:val="nil"/>
                    <w:tr2bl w:val="nil"/>
                  </w:tcBorders>
                  <w:vAlign w:val="center"/>
                </w:tcPr>
                <w:p w14:paraId="21F0BA73">
                  <w:pPr>
                    <w:overflowPunct w:val="0"/>
                    <w:snapToGrid w:val="0"/>
                    <w:jc w:val="center"/>
                    <w:rPr>
                      <w:b w:val="0"/>
                      <w:bCs w:val="0"/>
                      <w:color w:val="auto"/>
                      <w:szCs w:val="21"/>
                      <w:highlight w:val="none"/>
                      <w:lang w:val="en-GB"/>
                    </w:rPr>
                  </w:pPr>
                  <w:r>
                    <w:rPr>
                      <w:b w:val="0"/>
                      <w:bCs w:val="0"/>
                      <w:color w:val="auto"/>
                      <w:szCs w:val="21"/>
                      <w:highlight w:val="none"/>
                      <w:lang w:val="en-GB"/>
                    </w:rPr>
                    <w:t>主体</w:t>
                  </w:r>
                </w:p>
                <w:p w14:paraId="14504E3C">
                  <w:pPr>
                    <w:overflowPunct w:val="0"/>
                    <w:snapToGrid w:val="0"/>
                    <w:jc w:val="center"/>
                    <w:rPr>
                      <w:b w:val="0"/>
                      <w:bCs w:val="0"/>
                      <w:color w:val="auto"/>
                      <w:szCs w:val="21"/>
                      <w:highlight w:val="none"/>
                      <w:lang w:val="en-GB"/>
                    </w:rPr>
                  </w:pPr>
                  <w:r>
                    <w:rPr>
                      <w:b w:val="0"/>
                      <w:bCs w:val="0"/>
                      <w:color w:val="auto"/>
                      <w:szCs w:val="21"/>
                      <w:highlight w:val="none"/>
                      <w:lang w:val="en-GB"/>
                    </w:rPr>
                    <w:t>工程</w:t>
                  </w:r>
                </w:p>
              </w:tc>
              <w:tc>
                <w:tcPr>
                  <w:tcW w:w="7884" w:type="dxa"/>
                  <w:tcBorders>
                    <w:tl2br w:val="nil"/>
                    <w:tr2bl w:val="nil"/>
                  </w:tcBorders>
                  <w:vAlign w:val="center"/>
                </w:tcPr>
                <w:p w14:paraId="0F8E6117">
                  <w:pPr>
                    <w:keepNext w:val="0"/>
                    <w:keepLines w:val="0"/>
                    <w:pageBreakBefore w:val="0"/>
                    <w:widowControl w:val="0"/>
                    <w:kinsoku/>
                    <w:wordWrap/>
                    <w:overflowPunct w:val="0"/>
                    <w:topLinePunct w:val="0"/>
                    <w:autoSpaceDE/>
                    <w:autoSpaceDN/>
                    <w:bidi w:val="0"/>
                    <w:adjustRightInd/>
                    <w:snapToGrid/>
                    <w:jc w:val="both"/>
                    <w:textAlignment w:val="auto"/>
                    <w:rPr>
                      <w:rFonts w:hint="eastAsia" w:eastAsia="宋体"/>
                      <w:b w:val="0"/>
                      <w:bCs w:val="0"/>
                      <w:color w:val="auto"/>
                      <w:szCs w:val="21"/>
                      <w:highlight w:val="none"/>
                      <w:lang w:val="en-GB" w:eastAsia="zh-CN"/>
                    </w:rPr>
                  </w:pPr>
                  <w:r>
                    <w:rPr>
                      <w:rFonts w:hint="default" w:ascii="Times New Roman" w:hAnsi="Times New Roman" w:cs="Times New Roman"/>
                      <w:color w:val="auto"/>
                      <w:kern w:val="0"/>
                      <w:sz w:val="21"/>
                      <w:szCs w:val="21"/>
                      <w:lang w:val="en-GB" w:eastAsia="zh-CN" w:bidi="ar"/>
                    </w:rPr>
                    <w:t>新建X射线探伤</w:t>
                  </w:r>
                  <w:r>
                    <w:rPr>
                      <w:rFonts w:hint="default" w:ascii="Times New Roman" w:hAnsi="Times New Roman" w:cs="Times New Roman"/>
                      <w:color w:val="auto"/>
                      <w:kern w:val="0"/>
                      <w:sz w:val="21"/>
                      <w:szCs w:val="21"/>
                      <w:lang w:val="en-US" w:eastAsia="zh-CN" w:bidi="ar"/>
                    </w:rPr>
                    <w:t>房</w:t>
                  </w:r>
                  <w:r>
                    <w:rPr>
                      <w:rFonts w:hint="default" w:ascii="Times New Roman" w:hAnsi="Times New Roman" w:cs="Times New Roman"/>
                      <w:color w:val="auto"/>
                      <w:kern w:val="0"/>
                      <w:sz w:val="21"/>
                      <w:szCs w:val="21"/>
                      <w:lang w:val="en-GB" w:eastAsia="zh-CN" w:bidi="ar"/>
                    </w:rPr>
                    <w:t>一间</w:t>
                  </w:r>
                  <w:r>
                    <w:rPr>
                      <w:rFonts w:hint="default" w:ascii="Times New Roman" w:hAnsi="Times New Roman" w:cs="Times New Roman"/>
                      <w:b w:val="0"/>
                      <w:bCs w:val="0"/>
                      <w:color w:val="auto"/>
                      <w:sz w:val="21"/>
                      <w:szCs w:val="21"/>
                      <w:highlight w:val="none"/>
                      <w:lang w:val="en-GB"/>
                    </w:rPr>
                    <w:t>，探伤</w:t>
                  </w:r>
                  <w:r>
                    <w:rPr>
                      <w:rFonts w:hint="default" w:ascii="Times New Roman" w:hAnsi="Times New Roman" w:cs="Times New Roman"/>
                      <w:b w:val="0"/>
                      <w:bCs w:val="0"/>
                      <w:color w:val="auto"/>
                      <w:sz w:val="21"/>
                      <w:szCs w:val="21"/>
                      <w:highlight w:val="none"/>
                      <w:lang w:val="en-US" w:eastAsia="zh-CN"/>
                    </w:rPr>
                    <w:t>房</w:t>
                  </w:r>
                  <w:r>
                    <w:rPr>
                      <w:rFonts w:hint="default" w:ascii="Times New Roman" w:hAnsi="Times New Roman" w:cs="Times New Roman"/>
                      <w:b w:val="0"/>
                      <w:bCs w:val="0"/>
                      <w:color w:val="auto"/>
                      <w:sz w:val="21"/>
                      <w:szCs w:val="21"/>
                      <w:highlight w:val="none"/>
                      <w:lang w:val="en-GB"/>
                    </w:rPr>
                    <w:t>内部尺寸为</w:t>
                  </w:r>
                  <w:r>
                    <w:rPr>
                      <w:rFonts w:hint="default" w:ascii="Times New Roman" w:hAnsi="Times New Roman" w:cs="Times New Roman"/>
                      <w:b w:val="0"/>
                      <w:bCs w:val="0"/>
                      <w:color w:val="auto"/>
                      <w:sz w:val="21"/>
                      <w:szCs w:val="21"/>
                      <w:highlight w:val="none"/>
                      <w:lang w:val="en-US" w:eastAsia="zh-CN"/>
                    </w:rPr>
                    <w:t>长4</w:t>
                  </w:r>
                  <w:r>
                    <w:rPr>
                      <w:rFonts w:hint="default" w:ascii="Times New Roman" w:hAnsi="Times New Roman" w:cs="Times New Roman"/>
                      <w:b w:val="0"/>
                      <w:bCs w:val="0"/>
                      <w:color w:val="auto"/>
                      <w:sz w:val="21"/>
                      <w:szCs w:val="21"/>
                      <w:highlight w:val="none"/>
                      <w:lang w:val="en-GB"/>
                    </w:rPr>
                    <w:t>m×</w:t>
                  </w:r>
                  <w:r>
                    <w:rPr>
                      <w:rFonts w:hint="default" w:ascii="Times New Roman" w:hAnsi="Times New Roman" w:cs="Times New Roman"/>
                      <w:b w:val="0"/>
                      <w:bCs w:val="0"/>
                      <w:color w:val="auto"/>
                      <w:sz w:val="21"/>
                      <w:szCs w:val="21"/>
                      <w:highlight w:val="none"/>
                      <w:lang w:val="en-US" w:eastAsia="zh-CN"/>
                    </w:rPr>
                    <w:t>宽2.6</w:t>
                  </w:r>
                  <w:r>
                    <w:rPr>
                      <w:rFonts w:hint="default" w:ascii="Times New Roman" w:hAnsi="Times New Roman" w:cs="Times New Roman"/>
                      <w:b w:val="0"/>
                      <w:bCs w:val="0"/>
                      <w:color w:val="auto"/>
                      <w:sz w:val="21"/>
                      <w:szCs w:val="21"/>
                      <w:highlight w:val="none"/>
                      <w:lang w:val="en-GB"/>
                    </w:rPr>
                    <w:t>m×</w:t>
                  </w:r>
                  <w:r>
                    <w:rPr>
                      <w:rFonts w:hint="default" w:ascii="Times New Roman" w:hAnsi="Times New Roman" w:cs="Times New Roman"/>
                      <w:b w:val="0"/>
                      <w:bCs w:val="0"/>
                      <w:color w:val="auto"/>
                      <w:sz w:val="21"/>
                      <w:szCs w:val="21"/>
                      <w:highlight w:val="none"/>
                      <w:lang w:val="en-US" w:eastAsia="zh-CN"/>
                    </w:rPr>
                    <w:t>高2.5</w:t>
                  </w:r>
                  <w:r>
                    <w:rPr>
                      <w:rFonts w:hint="default" w:ascii="Times New Roman" w:hAnsi="Times New Roman" w:cs="Times New Roman"/>
                      <w:b w:val="0"/>
                      <w:bCs w:val="0"/>
                      <w:color w:val="auto"/>
                      <w:sz w:val="21"/>
                      <w:szCs w:val="21"/>
                      <w:highlight w:val="none"/>
                      <w:lang w:val="en-GB"/>
                    </w:rPr>
                    <w:t>m；</w:t>
                  </w:r>
                  <w:r>
                    <w:rPr>
                      <w:rFonts w:hint="default" w:ascii="Times New Roman" w:hAnsi="Times New Roman" w:cs="Times New Roman"/>
                      <w:color w:val="auto"/>
                      <w:kern w:val="0"/>
                      <w:sz w:val="21"/>
                      <w:szCs w:val="21"/>
                      <w:lang w:val="en-GB" w:eastAsia="zh-CN" w:bidi="ar"/>
                    </w:rPr>
                    <w:t>探伤</w:t>
                  </w:r>
                  <w:r>
                    <w:rPr>
                      <w:rFonts w:hint="default" w:ascii="Times New Roman" w:hAnsi="Times New Roman" w:cs="Times New Roman"/>
                      <w:color w:val="auto"/>
                      <w:kern w:val="0"/>
                      <w:sz w:val="21"/>
                      <w:szCs w:val="21"/>
                      <w:lang w:val="en-US" w:eastAsia="zh-CN" w:bidi="ar"/>
                    </w:rPr>
                    <w:t>房</w:t>
                  </w:r>
                  <w:r>
                    <w:rPr>
                      <w:rFonts w:hint="default" w:ascii="Times New Roman" w:hAnsi="Times New Roman" w:cs="Times New Roman"/>
                      <w:color w:val="auto"/>
                      <w:kern w:val="0"/>
                      <w:sz w:val="21"/>
                      <w:szCs w:val="21"/>
                      <w:lang w:val="en-GB" w:eastAsia="zh-CN" w:bidi="ar"/>
                    </w:rPr>
                    <w:t>为一层建筑，底板以下为土壤层，顶棚以上为不上人的临空；探伤</w:t>
                  </w:r>
                  <w:r>
                    <w:rPr>
                      <w:rFonts w:hint="default" w:ascii="Times New Roman" w:hAnsi="Times New Roman" w:cs="Times New Roman"/>
                      <w:color w:val="auto"/>
                      <w:kern w:val="0"/>
                      <w:sz w:val="21"/>
                      <w:szCs w:val="21"/>
                      <w:lang w:val="en-US" w:eastAsia="zh-CN" w:bidi="ar"/>
                    </w:rPr>
                    <w:t>房南侧</w:t>
                  </w:r>
                  <w:r>
                    <w:rPr>
                      <w:rFonts w:hint="default" w:ascii="Times New Roman" w:hAnsi="Times New Roman" w:cs="Times New Roman"/>
                      <w:color w:val="auto"/>
                      <w:kern w:val="0"/>
                      <w:sz w:val="21"/>
                      <w:szCs w:val="21"/>
                      <w:lang w:val="en-GB" w:eastAsia="zh-CN" w:bidi="ar"/>
                    </w:rPr>
                    <w:t>设一个</w:t>
                  </w:r>
                  <w:r>
                    <w:rPr>
                      <w:rFonts w:hint="default" w:ascii="Times New Roman" w:hAnsi="Times New Roman" w:cs="Times New Roman"/>
                      <w:color w:val="auto"/>
                      <w:kern w:val="0"/>
                      <w:sz w:val="21"/>
                      <w:szCs w:val="21"/>
                      <w:lang w:val="en-US" w:eastAsia="zh-CN" w:bidi="ar"/>
                    </w:rPr>
                    <w:t>防护</w:t>
                  </w:r>
                  <w:r>
                    <w:rPr>
                      <w:rFonts w:hint="default" w:ascii="Times New Roman" w:hAnsi="Times New Roman" w:cs="Times New Roman"/>
                      <w:color w:val="auto"/>
                      <w:kern w:val="0"/>
                      <w:sz w:val="21"/>
                      <w:szCs w:val="21"/>
                      <w:lang w:val="en-GB" w:eastAsia="zh-CN" w:bidi="ar"/>
                    </w:rPr>
                    <w:t>门</w:t>
                  </w:r>
                  <w:r>
                    <w:rPr>
                      <w:rFonts w:hint="default" w:ascii="Times New Roman" w:hAnsi="Times New Roman" w:cs="Times New Roman"/>
                      <w:b w:val="0"/>
                      <w:bCs w:val="0"/>
                      <w:color w:val="auto"/>
                      <w:sz w:val="21"/>
                      <w:szCs w:val="21"/>
                      <w:highlight w:val="none"/>
                      <w:lang w:val="en-GB"/>
                    </w:rPr>
                    <w:t>。</w:t>
                  </w:r>
                  <w:r>
                    <w:rPr>
                      <w:rFonts w:hint="default" w:ascii="Times New Roman" w:hAnsi="Times New Roman" w:cs="Times New Roman"/>
                      <w:color w:val="auto"/>
                      <w:kern w:val="0"/>
                      <w:sz w:val="21"/>
                      <w:szCs w:val="21"/>
                      <w:lang w:val="en-US" w:eastAsia="zh-CN" w:bidi="ar"/>
                    </w:rPr>
                    <w:t>探伤</w:t>
                  </w:r>
                  <w:r>
                    <w:rPr>
                      <w:rFonts w:hint="default" w:ascii="Times New Roman" w:hAnsi="Times New Roman" w:eastAsia="宋体" w:cs="Times New Roman"/>
                      <w:color w:val="auto"/>
                      <w:kern w:val="0"/>
                      <w:sz w:val="21"/>
                      <w:szCs w:val="21"/>
                      <w:lang w:val="en-US" w:eastAsia="zh-CN" w:bidi="ar"/>
                    </w:rPr>
                    <w:t>房墙体是由内部承重骨架和内外表面装饰层构成的三明治结</w:t>
                  </w:r>
                  <w:r>
                    <w:rPr>
                      <w:rFonts w:hint="default" w:ascii="Times New Roman" w:hAnsi="Times New Roman" w:eastAsia="宋体" w:cs="Times New Roman"/>
                      <w:color w:val="auto"/>
                      <w:kern w:val="0"/>
                      <w:sz w:val="21"/>
                      <w:szCs w:val="21"/>
                      <w:highlight w:val="none"/>
                      <w:lang w:val="en-US" w:eastAsia="zh-CN" w:bidi="ar"/>
                    </w:rPr>
                    <w:t>构，墙体及顶部骨架均由多个模块组成；</w:t>
                  </w:r>
                </w:p>
              </w:tc>
            </w:tr>
            <w:tr w14:paraId="3F1A13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29" w:type="dxa"/>
                  <w:tcBorders>
                    <w:tl2br w:val="nil"/>
                    <w:tr2bl w:val="nil"/>
                  </w:tcBorders>
                  <w:vAlign w:val="center"/>
                </w:tcPr>
                <w:p w14:paraId="40387564">
                  <w:pPr>
                    <w:overflowPunct w:val="0"/>
                    <w:snapToGrid w:val="0"/>
                    <w:jc w:val="center"/>
                    <w:rPr>
                      <w:b w:val="0"/>
                      <w:bCs w:val="0"/>
                      <w:color w:val="auto"/>
                      <w:szCs w:val="21"/>
                      <w:highlight w:val="none"/>
                      <w:lang w:val="en-GB"/>
                    </w:rPr>
                  </w:pPr>
                  <w:r>
                    <w:rPr>
                      <w:b w:val="0"/>
                      <w:bCs w:val="0"/>
                      <w:color w:val="auto"/>
                      <w:szCs w:val="21"/>
                      <w:highlight w:val="none"/>
                      <w:lang w:val="en-GB"/>
                    </w:rPr>
                    <w:t>辅助工程</w:t>
                  </w:r>
                </w:p>
              </w:tc>
              <w:tc>
                <w:tcPr>
                  <w:tcW w:w="7884" w:type="dxa"/>
                  <w:tcBorders>
                    <w:tl2br w:val="nil"/>
                    <w:tr2bl w:val="nil"/>
                  </w:tcBorders>
                  <w:vAlign w:val="center"/>
                </w:tcPr>
                <w:p w14:paraId="0CE90856">
                  <w:pPr>
                    <w:keepNext w:val="0"/>
                    <w:keepLines w:val="0"/>
                    <w:pageBreakBefore w:val="0"/>
                    <w:widowControl w:val="0"/>
                    <w:kinsoku/>
                    <w:wordWrap/>
                    <w:overflowPunct w:val="0"/>
                    <w:topLinePunct w:val="0"/>
                    <w:autoSpaceDE/>
                    <w:autoSpaceDN/>
                    <w:bidi w:val="0"/>
                    <w:adjustRightInd/>
                    <w:snapToGrid/>
                    <w:jc w:val="both"/>
                    <w:textAlignment w:val="auto"/>
                    <w:rPr>
                      <w:rFonts w:hint="eastAsia" w:eastAsia="宋体"/>
                      <w:b w:val="0"/>
                      <w:bCs w:val="0"/>
                      <w:color w:val="auto"/>
                      <w:szCs w:val="21"/>
                      <w:highlight w:val="none"/>
                      <w:lang w:val="en-GB" w:eastAsia="zh-CN"/>
                    </w:rPr>
                  </w:pPr>
                  <w:r>
                    <w:rPr>
                      <w:b w:val="0"/>
                      <w:bCs w:val="0"/>
                      <w:color w:val="auto"/>
                      <w:szCs w:val="21"/>
                      <w:highlight w:val="none"/>
                      <w:lang w:val="en-GB"/>
                    </w:rPr>
                    <w:t>操作</w:t>
                  </w:r>
                  <w:r>
                    <w:rPr>
                      <w:rFonts w:hint="eastAsia"/>
                      <w:b w:val="0"/>
                      <w:bCs w:val="0"/>
                      <w:color w:val="auto"/>
                      <w:szCs w:val="21"/>
                      <w:highlight w:val="none"/>
                      <w:lang w:val="en-US" w:eastAsia="zh-CN"/>
                    </w:rPr>
                    <w:t>室</w:t>
                  </w:r>
                  <w:r>
                    <w:rPr>
                      <w:b w:val="0"/>
                      <w:bCs w:val="0"/>
                      <w:color w:val="auto"/>
                      <w:szCs w:val="21"/>
                      <w:highlight w:val="none"/>
                      <w:lang w:val="en-GB"/>
                    </w:rPr>
                    <w:t>、</w:t>
                  </w:r>
                  <w:r>
                    <w:rPr>
                      <w:rFonts w:hint="eastAsia"/>
                      <w:b w:val="0"/>
                      <w:bCs w:val="0"/>
                      <w:color w:val="auto"/>
                      <w:szCs w:val="21"/>
                      <w:highlight w:val="none"/>
                      <w:lang w:val="en-US" w:eastAsia="zh-CN"/>
                    </w:rPr>
                    <w:t>洗片室</w:t>
                  </w:r>
                  <w:r>
                    <w:rPr>
                      <w:b w:val="0"/>
                      <w:bCs w:val="0"/>
                      <w:color w:val="auto"/>
                      <w:szCs w:val="21"/>
                      <w:highlight w:val="none"/>
                      <w:lang w:val="en-GB"/>
                    </w:rPr>
                    <w:t>、</w:t>
                  </w:r>
                  <w:r>
                    <w:rPr>
                      <w:rFonts w:hint="eastAsia"/>
                      <w:b w:val="0"/>
                      <w:bCs w:val="0"/>
                      <w:color w:val="auto"/>
                      <w:szCs w:val="21"/>
                      <w:highlight w:val="none"/>
                      <w:lang w:val="en-US" w:eastAsia="zh-CN"/>
                    </w:rPr>
                    <w:t>评片</w:t>
                  </w:r>
                  <w:r>
                    <w:rPr>
                      <w:b w:val="0"/>
                      <w:bCs w:val="0"/>
                      <w:color w:val="auto"/>
                      <w:szCs w:val="21"/>
                      <w:highlight w:val="none"/>
                      <w:lang w:val="en-GB"/>
                    </w:rPr>
                    <w:t>室等</w:t>
                  </w:r>
                  <w:r>
                    <w:rPr>
                      <w:rFonts w:hint="eastAsia"/>
                      <w:b w:val="0"/>
                      <w:bCs w:val="0"/>
                      <w:color w:val="auto"/>
                      <w:szCs w:val="21"/>
                      <w:highlight w:val="none"/>
                      <w:lang w:val="en-GB" w:eastAsia="zh-CN"/>
                    </w:rPr>
                    <w:t>。</w:t>
                  </w:r>
                </w:p>
              </w:tc>
            </w:tr>
            <w:tr w14:paraId="4D001EF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29" w:type="dxa"/>
                  <w:vMerge w:val="restart"/>
                  <w:tcBorders>
                    <w:tl2br w:val="nil"/>
                    <w:tr2bl w:val="nil"/>
                  </w:tcBorders>
                  <w:vAlign w:val="center"/>
                </w:tcPr>
                <w:p w14:paraId="3FB55E23">
                  <w:pPr>
                    <w:overflowPunct w:val="0"/>
                    <w:snapToGrid w:val="0"/>
                    <w:jc w:val="center"/>
                    <w:rPr>
                      <w:b w:val="0"/>
                      <w:bCs w:val="0"/>
                      <w:color w:val="auto"/>
                      <w:szCs w:val="21"/>
                      <w:highlight w:val="none"/>
                      <w:lang w:val="en-GB"/>
                    </w:rPr>
                  </w:pPr>
                  <w:r>
                    <w:rPr>
                      <w:b w:val="0"/>
                      <w:bCs w:val="0"/>
                      <w:color w:val="auto"/>
                      <w:szCs w:val="21"/>
                      <w:highlight w:val="none"/>
                      <w:lang w:val="en-GB"/>
                    </w:rPr>
                    <w:t>环保</w:t>
                  </w:r>
                </w:p>
                <w:p w14:paraId="7033692A">
                  <w:pPr>
                    <w:overflowPunct w:val="0"/>
                    <w:snapToGrid w:val="0"/>
                    <w:jc w:val="center"/>
                    <w:rPr>
                      <w:b w:val="0"/>
                      <w:bCs w:val="0"/>
                      <w:color w:val="auto"/>
                      <w:szCs w:val="21"/>
                      <w:highlight w:val="none"/>
                      <w:lang w:val="en-GB"/>
                    </w:rPr>
                  </w:pPr>
                  <w:r>
                    <w:rPr>
                      <w:b w:val="0"/>
                      <w:bCs w:val="0"/>
                      <w:color w:val="auto"/>
                      <w:szCs w:val="21"/>
                      <w:highlight w:val="none"/>
                      <w:lang w:val="en-GB"/>
                    </w:rPr>
                    <w:t>工程</w:t>
                  </w:r>
                </w:p>
              </w:tc>
              <w:tc>
                <w:tcPr>
                  <w:tcW w:w="7884" w:type="dxa"/>
                  <w:tcBorders>
                    <w:tl2br w:val="nil"/>
                    <w:tr2bl w:val="nil"/>
                  </w:tcBorders>
                  <w:vAlign w:val="center"/>
                </w:tcPr>
                <w:p w14:paraId="3C301FFC">
                  <w:pPr>
                    <w:keepNext w:val="0"/>
                    <w:keepLines w:val="0"/>
                    <w:pageBreakBefore w:val="0"/>
                    <w:widowControl w:val="0"/>
                    <w:kinsoku/>
                    <w:wordWrap/>
                    <w:overflowPunct w:val="0"/>
                    <w:topLinePunct w:val="0"/>
                    <w:autoSpaceDE/>
                    <w:autoSpaceDN/>
                    <w:bidi w:val="0"/>
                    <w:adjustRightInd/>
                    <w:snapToGrid/>
                    <w:jc w:val="both"/>
                    <w:textAlignment w:val="auto"/>
                    <w:rPr>
                      <w:rFonts w:hint="eastAsia" w:eastAsia="宋体"/>
                      <w:b w:val="0"/>
                      <w:bCs w:val="0"/>
                      <w:color w:val="auto"/>
                      <w:szCs w:val="21"/>
                      <w:highlight w:val="none"/>
                      <w:lang w:val="en-GB" w:eastAsia="zh-CN"/>
                    </w:rPr>
                  </w:pPr>
                  <w:r>
                    <w:rPr>
                      <w:b w:val="0"/>
                      <w:bCs w:val="0"/>
                      <w:color w:val="auto"/>
                      <w:szCs w:val="21"/>
                      <w:highlight w:val="none"/>
                      <w:lang w:val="en-GB"/>
                    </w:rPr>
                    <w:t>辐射安全措施：门机连锁、电离辐射警告标识、工作状态指示灯、急停开关</w:t>
                  </w:r>
                  <w:r>
                    <w:rPr>
                      <w:rFonts w:hint="eastAsia"/>
                      <w:b w:val="0"/>
                      <w:bCs w:val="0"/>
                      <w:color w:val="auto"/>
                      <w:szCs w:val="21"/>
                      <w:highlight w:val="none"/>
                      <w:lang w:val="en-GB" w:eastAsia="zh-CN"/>
                    </w:rPr>
                    <w:t>、</w:t>
                  </w:r>
                  <w:r>
                    <w:rPr>
                      <w:rFonts w:hint="eastAsia"/>
                      <w:b w:val="0"/>
                      <w:bCs w:val="0"/>
                      <w:color w:val="auto"/>
                      <w:szCs w:val="21"/>
                      <w:highlight w:val="none"/>
                      <w:lang w:val="en-US" w:eastAsia="zh-CN"/>
                    </w:rPr>
                    <w:t>监视装置、固定式辐射探测报警装置</w:t>
                  </w:r>
                  <w:r>
                    <w:rPr>
                      <w:b w:val="0"/>
                      <w:bCs w:val="0"/>
                      <w:color w:val="auto"/>
                      <w:szCs w:val="21"/>
                      <w:highlight w:val="none"/>
                      <w:lang w:val="en-GB"/>
                    </w:rPr>
                    <w:t>等</w:t>
                  </w:r>
                  <w:r>
                    <w:rPr>
                      <w:rFonts w:hint="eastAsia"/>
                      <w:b w:val="0"/>
                      <w:bCs w:val="0"/>
                      <w:color w:val="auto"/>
                      <w:szCs w:val="21"/>
                      <w:highlight w:val="none"/>
                      <w:lang w:val="en-GB" w:eastAsia="zh-CN"/>
                    </w:rPr>
                    <w:t>。</w:t>
                  </w:r>
                </w:p>
              </w:tc>
            </w:tr>
            <w:tr w14:paraId="760612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1129" w:type="dxa"/>
                  <w:vMerge w:val="continue"/>
                  <w:tcBorders>
                    <w:tl2br w:val="nil"/>
                    <w:tr2bl w:val="nil"/>
                  </w:tcBorders>
                  <w:vAlign w:val="center"/>
                </w:tcPr>
                <w:p w14:paraId="68E2403E">
                  <w:pPr>
                    <w:overflowPunct w:val="0"/>
                    <w:snapToGrid w:val="0"/>
                    <w:jc w:val="center"/>
                    <w:rPr>
                      <w:b w:val="0"/>
                      <w:bCs w:val="0"/>
                      <w:color w:val="auto"/>
                      <w:szCs w:val="21"/>
                      <w:highlight w:val="none"/>
                      <w:lang w:val="en-GB"/>
                    </w:rPr>
                  </w:pPr>
                </w:p>
              </w:tc>
              <w:tc>
                <w:tcPr>
                  <w:tcW w:w="7884" w:type="dxa"/>
                  <w:tcBorders>
                    <w:tl2br w:val="nil"/>
                    <w:tr2bl w:val="nil"/>
                  </w:tcBorders>
                  <w:vAlign w:val="center"/>
                </w:tcPr>
                <w:p w14:paraId="5C12830C">
                  <w:pPr>
                    <w:keepNext w:val="0"/>
                    <w:keepLines w:val="0"/>
                    <w:pageBreakBefore w:val="0"/>
                    <w:widowControl w:val="0"/>
                    <w:kinsoku/>
                    <w:wordWrap/>
                    <w:overflowPunct w:val="0"/>
                    <w:topLinePunct w:val="0"/>
                    <w:autoSpaceDE/>
                    <w:autoSpaceDN/>
                    <w:bidi w:val="0"/>
                    <w:adjustRightInd/>
                    <w:snapToGrid/>
                    <w:jc w:val="both"/>
                    <w:textAlignment w:val="auto"/>
                    <w:rPr>
                      <w:b w:val="0"/>
                      <w:bCs w:val="0"/>
                      <w:color w:val="auto"/>
                      <w:szCs w:val="21"/>
                      <w:highlight w:val="none"/>
                      <w:lang w:val="en-GB"/>
                    </w:rPr>
                  </w:pPr>
                  <w:r>
                    <w:rPr>
                      <w:b w:val="0"/>
                      <w:bCs w:val="0"/>
                      <w:color w:val="auto"/>
                      <w:szCs w:val="21"/>
                      <w:highlight w:val="none"/>
                      <w:lang w:val="en-GB"/>
                    </w:rPr>
                    <w:t>废气治理：探伤</w:t>
                  </w:r>
                  <w:r>
                    <w:rPr>
                      <w:rFonts w:hint="eastAsia"/>
                      <w:b w:val="0"/>
                      <w:bCs w:val="0"/>
                      <w:color w:val="auto"/>
                      <w:szCs w:val="21"/>
                      <w:highlight w:val="none"/>
                      <w:lang w:val="en-US" w:eastAsia="zh-CN"/>
                    </w:rPr>
                    <w:t>房东北角</w:t>
                  </w:r>
                  <w:r>
                    <w:rPr>
                      <w:b w:val="0"/>
                      <w:bCs w:val="0"/>
                      <w:color w:val="auto"/>
                      <w:szCs w:val="21"/>
                      <w:highlight w:val="none"/>
                      <w:lang w:val="en-GB"/>
                    </w:rPr>
                    <w:t>设置机械排风装置，</w:t>
                  </w:r>
                  <w:r>
                    <w:rPr>
                      <w:rFonts w:hint="eastAsia"/>
                      <w:b w:val="0"/>
                      <w:bCs w:val="0"/>
                      <w:color w:val="auto"/>
                      <w:szCs w:val="21"/>
                      <w:highlight w:val="none"/>
                      <w:lang w:val="en-US" w:eastAsia="zh-CN"/>
                    </w:rPr>
                    <w:t>采用地下抽风方式，</w:t>
                  </w:r>
                  <w:r>
                    <w:rPr>
                      <w:b w:val="0"/>
                      <w:bCs w:val="0"/>
                      <w:color w:val="auto"/>
                      <w:szCs w:val="21"/>
                      <w:highlight w:val="none"/>
                      <w:lang w:val="en-GB"/>
                    </w:rPr>
                    <w:t>排风量</w:t>
                  </w:r>
                  <w:r>
                    <w:rPr>
                      <w:rFonts w:hint="eastAsia"/>
                      <w:b w:val="0"/>
                      <w:bCs w:val="0"/>
                      <w:color w:val="auto"/>
                      <w:szCs w:val="21"/>
                      <w:highlight w:val="none"/>
                      <w:lang w:val="en-US" w:eastAsia="zh-CN"/>
                    </w:rPr>
                    <w:t>400</w:t>
                  </w:r>
                  <w:r>
                    <w:rPr>
                      <w:b w:val="0"/>
                      <w:bCs w:val="0"/>
                      <w:color w:val="auto"/>
                      <w:szCs w:val="21"/>
                      <w:highlight w:val="none"/>
                      <w:lang w:val="en-GB"/>
                    </w:rPr>
                    <w:t>m</w:t>
                  </w:r>
                  <w:r>
                    <w:rPr>
                      <w:b w:val="0"/>
                      <w:bCs w:val="0"/>
                      <w:color w:val="auto"/>
                      <w:szCs w:val="21"/>
                      <w:highlight w:val="none"/>
                      <w:vertAlign w:val="superscript"/>
                      <w:lang w:val="en-GB"/>
                    </w:rPr>
                    <w:t>3</w:t>
                  </w:r>
                  <w:r>
                    <w:rPr>
                      <w:b w:val="0"/>
                      <w:bCs w:val="0"/>
                      <w:color w:val="auto"/>
                      <w:szCs w:val="21"/>
                      <w:highlight w:val="none"/>
                      <w:lang w:val="en-GB"/>
                    </w:rPr>
                    <w:t>/h，探伤机运行过程中产生的臭氧和氮氧化物通过排风装置</w:t>
                  </w:r>
                  <w:r>
                    <w:rPr>
                      <w:rFonts w:hint="eastAsia"/>
                      <w:b w:val="0"/>
                      <w:bCs w:val="0"/>
                      <w:color w:val="auto"/>
                      <w:szCs w:val="21"/>
                      <w:highlight w:val="none"/>
                      <w:lang w:val="en-US" w:eastAsia="zh-CN"/>
                    </w:rPr>
                    <w:t>从地面下穿后高于探伤房屋顶排放</w:t>
                  </w:r>
                  <w:r>
                    <w:rPr>
                      <w:b w:val="0"/>
                      <w:bCs w:val="0"/>
                      <w:color w:val="auto"/>
                      <w:szCs w:val="21"/>
                      <w:highlight w:val="none"/>
                      <w:lang w:val="en-GB"/>
                    </w:rPr>
                    <w:t>。</w:t>
                  </w:r>
                </w:p>
              </w:tc>
            </w:tr>
            <w:tr w14:paraId="247458A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29" w:type="dxa"/>
                  <w:vMerge w:val="continue"/>
                  <w:tcBorders>
                    <w:tl2br w:val="nil"/>
                    <w:tr2bl w:val="nil"/>
                  </w:tcBorders>
                  <w:vAlign w:val="center"/>
                </w:tcPr>
                <w:p w14:paraId="45ECEC79">
                  <w:pPr>
                    <w:overflowPunct w:val="0"/>
                    <w:snapToGrid w:val="0"/>
                    <w:jc w:val="center"/>
                    <w:rPr>
                      <w:b w:val="0"/>
                      <w:bCs w:val="0"/>
                      <w:color w:val="auto"/>
                      <w:szCs w:val="21"/>
                      <w:highlight w:val="none"/>
                      <w:lang w:val="en-GB"/>
                    </w:rPr>
                  </w:pPr>
                </w:p>
              </w:tc>
              <w:tc>
                <w:tcPr>
                  <w:tcW w:w="7884" w:type="dxa"/>
                  <w:tcBorders>
                    <w:tl2br w:val="nil"/>
                    <w:tr2bl w:val="nil"/>
                  </w:tcBorders>
                  <w:vAlign w:val="center"/>
                </w:tcPr>
                <w:p w14:paraId="4923AE69">
                  <w:pPr>
                    <w:keepNext w:val="0"/>
                    <w:keepLines w:val="0"/>
                    <w:pageBreakBefore w:val="0"/>
                    <w:widowControl w:val="0"/>
                    <w:kinsoku/>
                    <w:wordWrap/>
                    <w:overflowPunct w:val="0"/>
                    <w:topLinePunct w:val="0"/>
                    <w:autoSpaceDE/>
                    <w:autoSpaceDN/>
                    <w:bidi w:val="0"/>
                    <w:adjustRightInd/>
                    <w:snapToGrid/>
                    <w:jc w:val="both"/>
                    <w:textAlignment w:val="auto"/>
                    <w:rPr>
                      <w:rFonts w:hint="eastAsia" w:eastAsia="宋体"/>
                      <w:b w:val="0"/>
                      <w:bCs w:val="0"/>
                      <w:color w:val="auto"/>
                      <w:szCs w:val="21"/>
                      <w:highlight w:val="none"/>
                      <w:lang w:val="en-GB" w:eastAsia="zh-CN"/>
                    </w:rPr>
                  </w:pPr>
                  <w:r>
                    <w:rPr>
                      <w:b w:val="0"/>
                      <w:bCs w:val="0"/>
                      <w:color w:val="auto"/>
                      <w:szCs w:val="21"/>
                      <w:highlight w:val="none"/>
                      <w:lang w:val="en-GB"/>
                    </w:rPr>
                    <w:t>废水治理：</w:t>
                  </w:r>
                  <w:r>
                    <w:rPr>
                      <w:rFonts w:hint="eastAsia"/>
                      <w:b w:val="0"/>
                      <w:bCs w:val="0"/>
                      <w:color w:val="auto"/>
                      <w:szCs w:val="21"/>
                      <w:highlight w:val="none"/>
                      <w:lang w:val="en-US" w:eastAsia="zh-CN"/>
                    </w:rPr>
                    <w:t>拟定的3名辐射工作人员均为厂区内部人员调剂，不新增生活污水排放。</w:t>
                  </w:r>
                </w:p>
              </w:tc>
            </w:tr>
            <w:tr w14:paraId="092F3C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29" w:type="dxa"/>
                  <w:vMerge w:val="continue"/>
                  <w:tcBorders>
                    <w:tl2br w:val="nil"/>
                    <w:tr2bl w:val="nil"/>
                  </w:tcBorders>
                  <w:vAlign w:val="center"/>
                </w:tcPr>
                <w:p w14:paraId="3793EEB7">
                  <w:pPr>
                    <w:overflowPunct w:val="0"/>
                    <w:snapToGrid w:val="0"/>
                    <w:jc w:val="center"/>
                    <w:rPr>
                      <w:b w:val="0"/>
                      <w:bCs w:val="0"/>
                      <w:color w:val="auto"/>
                      <w:szCs w:val="21"/>
                      <w:highlight w:val="none"/>
                      <w:lang w:val="en-GB"/>
                    </w:rPr>
                  </w:pPr>
                </w:p>
              </w:tc>
              <w:tc>
                <w:tcPr>
                  <w:tcW w:w="7884" w:type="dxa"/>
                  <w:tcBorders>
                    <w:tl2br w:val="nil"/>
                    <w:tr2bl w:val="nil"/>
                  </w:tcBorders>
                  <w:vAlign w:val="center"/>
                </w:tcPr>
                <w:p w14:paraId="509F63C2">
                  <w:pPr>
                    <w:keepNext w:val="0"/>
                    <w:keepLines w:val="0"/>
                    <w:pageBreakBefore w:val="0"/>
                    <w:widowControl w:val="0"/>
                    <w:kinsoku/>
                    <w:wordWrap/>
                    <w:overflowPunct w:val="0"/>
                    <w:topLinePunct w:val="0"/>
                    <w:autoSpaceDE/>
                    <w:autoSpaceDN/>
                    <w:bidi w:val="0"/>
                    <w:adjustRightInd/>
                    <w:snapToGrid/>
                    <w:jc w:val="both"/>
                    <w:textAlignment w:val="auto"/>
                    <w:rPr>
                      <w:b w:val="0"/>
                      <w:bCs w:val="0"/>
                      <w:color w:val="auto"/>
                      <w:szCs w:val="21"/>
                      <w:highlight w:val="none"/>
                      <w:lang w:val="en-GB"/>
                    </w:rPr>
                  </w:pPr>
                  <w:r>
                    <w:rPr>
                      <w:b w:val="0"/>
                      <w:bCs w:val="0"/>
                      <w:color w:val="auto"/>
                      <w:szCs w:val="21"/>
                      <w:highlight w:val="none"/>
                      <w:lang w:val="en-GB"/>
                    </w:rPr>
                    <w:t>噪声治理：通过选用低噪声设备、采取</w:t>
                  </w:r>
                  <w:r>
                    <w:rPr>
                      <w:rFonts w:hint="eastAsia"/>
                      <w:b w:val="0"/>
                      <w:bCs w:val="0"/>
                      <w:color w:val="auto"/>
                      <w:szCs w:val="21"/>
                      <w:highlight w:val="none"/>
                      <w:lang w:val="en-US" w:eastAsia="zh-CN"/>
                    </w:rPr>
                    <w:t>厂房隔声</w:t>
                  </w:r>
                  <w:r>
                    <w:rPr>
                      <w:b w:val="0"/>
                      <w:bCs w:val="0"/>
                      <w:color w:val="auto"/>
                      <w:szCs w:val="21"/>
                      <w:highlight w:val="none"/>
                      <w:lang w:val="en-GB"/>
                    </w:rPr>
                    <w:t>、</w:t>
                  </w:r>
                  <w:r>
                    <w:rPr>
                      <w:rFonts w:hint="eastAsia"/>
                      <w:b w:val="0"/>
                      <w:bCs w:val="0"/>
                      <w:color w:val="auto"/>
                      <w:szCs w:val="21"/>
                      <w:highlight w:val="none"/>
                      <w:lang w:val="en-US" w:eastAsia="zh-CN"/>
                    </w:rPr>
                    <w:t>距离衰减</w:t>
                  </w:r>
                  <w:r>
                    <w:rPr>
                      <w:b w:val="0"/>
                      <w:bCs w:val="0"/>
                      <w:color w:val="auto"/>
                      <w:szCs w:val="21"/>
                      <w:highlight w:val="none"/>
                      <w:lang w:val="en-GB"/>
                    </w:rPr>
                    <w:t>等措施对噪声排放进行综合治理。</w:t>
                  </w:r>
                </w:p>
              </w:tc>
            </w:tr>
            <w:tr w14:paraId="028084F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29" w:type="dxa"/>
                  <w:vMerge w:val="continue"/>
                  <w:tcBorders>
                    <w:tl2br w:val="nil"/>
                    <w:tr2bl w:val="nil"/>
                  </w:tcBorders>
                  <w:vAlign w:val="center"/>
                </w:tcPr>
                <w:p w14:paraId="679188E1">
                  <w:pPr>
                    <w:overflowPunct w:val="0"/>
                    <w:snapToGrid w:val="0"/>
                    <w:jc w:val="center"/>
                    <w:rPr>
                      <w:b w:val="0"/>
                      <w:bCs w:val="0"/>
                      <w:color w:val="auto"/>
                      <w:szCs w:val="21"/>
                      <w:highlight w:val="none"/>
                      <w:lang w:val="en-GB"/>
                    </w:rPr>
                  </w:pPr>
                </w:p>
              </w:tc>
              <w:tc>
                <w:tcPr>
                  <w:tcW w:w="7884" w:type="dxa"/>
                  <w:tcBorders>
                    <w:tl2br w:val="nil"/>
                    <w:tr2bl w:val="nil"/>
                  </w:tcBorders>
                  <w:vAlign w:val="center"/>
                </w:tcPr>
                <w:p w14:paraId="1EEB1687">
                  <w:pPr>
                    <w:keepNext w:val="0"/>
                    <w:keepLines w:val="0"/>
                    <w:pageBreakBefore w:val="0"/>
                    <w:widowControl w:val="0"/>
                    <w:kinsoku/>
                    <w:wordWrap/>
                    <w:overflowPunct w:val="0"/>
                    <w:topLinePunct w:val="0"/>
                    <w:autoSpaceDE/>
                    <w:autoSpaceDN/>
                    <w:bidi w:val="0"/>
                    <w:adjustRightInd/>
                    <w:snapToGrid/>
                    <w:jc w:val="both"/>
                    <w:textAlignment w:val="auto"/>
                    <w:rPr>
                      <w:b w:val="0"/>
                      <w:bCs w:val="0"/>
                      <w:color w:val="auto"/>
                      <w:szCs w:val="21"/>
                      <w:highlight w:val="none"/>
                      <w:lang w:val="en-GB"/>
                    </w:rPr>
                  </w:pPr>
                  <w:r>
                    <w:rPr>
                      <w:b w:val="0"/>
                      <w:bCs w:val="0"/>
                      <w:color w:val="auto"/>
                      <w:szCs w:val="21"/>
                      <w:highlight w:val="none"/>
                      <w:lang w:val="en-GB"/>
                    </w:rPr>
                    <w:t>固废治理：</w:t>
                  </w:r>
                  <w:r>
                    <w:rPr>
                      <w:rFonts w:hint="eastAsia"/>
                      <w:b w:val="0"/>
                      <w:bCs w:val="0"/>
                      <w:color w:val="auto"/>
                      <w:szCs w:val="21"/>
                      <w:highlight w:val="none"/>
                      <w:lang w:val="en-US" w:eastAsia="zh-CN"/>
                    </w:rPr>
                    <w:t>废胶片、废显影液、废定影液和洗片废水由厂区危险废物储存间暂存</w:t>
                  </w:r>
                  <w:r>
                    <w:rPr>
                      <w:b w:val="0"/>
                      <w:bCs w:val="0"/>
                      <w:color w:val="auto"/>
                      <w:szCs w:val="21"/>
                      <w:highlight w:val="none"/>
                      <w:lang w:val="en-GB"/>
                    </w:rPr>
                    <w:t>后定期交由有资质的单位</w:t>
                  </w:r>
                  <w:r>
                    <w:rPr>
                      <w:rFonts w:hint="eastAsia"/>
                      <w:b w:val="0"/>
                      <w:bCs w:val="0"/>
                      <w:color w:val="auto"/>
                      <w:szCs w:val="21"/>
                      <w:highlight w:val="none"/>
                      <w:lang w:val="en-GB" w:eastAsia="zh-CN"/>
                    </w:rPr>
                    <w:t>处理</w:t>
                  </w:r>
                  <w:r>
                    <w:rPr>
                      <w:b w:val="0"/>
                      <w:bCs w:val="0"/>
                      <w:color w:val="auto"/>
                      <w:szCs w:val="21"/>
                      <w:highlight w:val="none"/>
                      <w:lang w:val="en-GB"/>
                    </w:rPr>
                    <w:t>。</w:t>
                  </w:r>
                </w:p>
              </w:tc>
            </w:tr>
          </w:tbl>
          <w:p w14:paraId="2415FCE1">
            <w:pPr>
              <w:snapToGrid w:val="0"/>
              <w:spacing w:line="240" w:lineRule="auto"/>
              <w:jc w:val="center"/>
              <w:rPr>
                <w:b/>
                <w:color w:val="auto"/>
                <w:szCs w:val="21"/>
                <w:highlight w:val="none"/>
              </w:rPr>
            </w:pPr>
          </w:p>
          <w:p w14:paraId="52A379E3">
            <w:pPr>
              <w:snapToGrid w:val="0"/>
              <w:spacing w:line="240" w:lineRule="auto"/>
              <w:jc w:val="center"/>
              <w:rPr>
                <w:b/>
                <w:color w:val="auto"/>
                <w:szCs w:val="21"/>
                <w:highlight w:val="none"/>
              </w:rPr>
            </w:pPr>
            <w:r>
              <w:rPr>
                <w:b/>
                <w:color w:val="auto"/>
                <w:szCs w:val="21"/>
                <w:highlight w:val="none"/>
              </w:rPr>
              <w:t>表1-</w:t>
            </w:r>
            <w:r>
              <w:rPr>
                <w:rFonts w:hint="eastAsia"/>
                <w:b/>
                <w:color w:val="auto"/>
                <w:szCs w:val="21"/>
                <w:highlight w:val="none"/>
                <w:lang w:val="en-US" w:eastAsia="zh-CN"/>
              </w:rPr>
              <w:t>3</w:t>
            </w:r>
            <w:r>
              <w:rPr>
                <w:b/>
                <w:color w:val="auto"/>
                <w:szCs w:val="21"/>
                <w:highlight w:val="none"/>
              </w:rPr>
              <w:t xml:space="preserve"> </w:t>
            </w:r>
            <w:r>
              <w:rPr>
                <w:rFonts w:hint="eastAsia"/>
                <w:b/>
                <w:color w:val="auto"/>
                <w:szCs w:val="21"/>
                <w:highlight w:val="none"/>
              </w:rPr>
              <w:t>本次评价项目射线装置情况一览表</w:t>
            </w:r>
          </w:p>
          <w:tbl>
            <w:tblPr>
              <w:tblStyle w:val="3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80"/>
              <w:gridCol w:w="1437"/>
              <w:gridCol w:w="431"/>
              <w:gridCol w:w="720"/>
              <w:gridCol w:w="720"/>
              <w:gridCol w:w="720"/>
              <w:gridCol w:w="1299"/>
              <w:gridCol w:w="578"/>
              <w:gridCol w:w="1155"/>
              <w:gridCol w:w="866"/>
              <w:gridCol w:w="807"/>
            </w:tblGrid>
            <w:tr w14:paraId="656D7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55" w:type="pct"/>
                  <w:vAlign w:val="center"/>
                </w:tcPr>
                <w:p w14:paraId="264655FA">
                  <w:pPr>
                    <w:overflowPunct w:val="0"/>
                    <w:snapToGrid w:val="0"/>
                    <w:jc w:val="center"/>
                    <w:rPr>
                      <w:b/>
                      <w:bCs/>
                      <w:color w:val="auto"/>
                      <w:szCs w:val="21"/>
                      <w:highlight w:val="none"/>
                      <w:lang w:val="en-GB"/>
                    </w:rPr>
                  </w:pPr>
                  <w:r>
                    <w:rPr>
                      <w:b/>
                      <w:bCs/>
                      <w:color w:val="auto"/>
                      <w:szCs w:val="21"/>
                      <w:highlight w:val="none"/>
                      <w:lang w:val="en-GB"/>
                    </w:rPr>
                    <w:t>序号</w:t>
                  </w:r>
                </w:p>
              </w:tc>
              <w:tc>
                <w:tcPr>
                  <w:tcW w:w="796" w:type="pct"/>
                  <w:vAlign w:val="center"/>
                </w:tcPr>
                <w:p w14:paraId="590805BD">
                  <w:pPr>
                    <w:widowControl/>
                    <w:overflowPunct w:val="0"/>
                    <w:snapToGrid w:val="0"/>
                    <w:jc w:val="center"/>
                    <w:rPr>
                      <w:b/>
                      <w:bCs/>
                      <w:color w:val="auto"/>
                      <w:kern w:val="0"/>
                      <w:szCs w:val="21"/>
                      <w:highlight w:val="none"/>
                    </w:rPr>
                  </w:pPr>
                  <w:r>
                    <w:rPr>
                      <w:b/>
                      <w:bCs/>
                      <w:color w:val="auto"/>
                      <w:kern w:val="0"/>
                      <w:szCs w:val="21"/>
                      <w:highlight w:val="none"/>
                    </w:rPr>
                    <w:t>射线装置名称</w:t>
                  </w:r>
                  <w:r>
                    <w:rPr>
                      <w:rFonts w:hint="eastAsia"/>
                      <w:b/>
                      <w:bCs/>
                      <w:color w:val="auto"/>
                      <w:kern w:val="0"/>
                      <w:szCs w:val="21"/>
                      <w:highlight w:val="none"/>
                    </w:rPr>
                    <w:t>及</w:t>
                  </w:r>
                  <w:r>
                    <w:rPr>
                      <w:b/>
                      <w:bCs/>
                      <w:color w:val="auto"/>
                      <w:kern w:val="0"/>
                      <w:szCs w:val="21"/>
                      <w:highlight w:val="none"/>
                    </w:rPr>
                    <w:t>型号</w:t>
                  </w:r>
                </w:p>
              </w:tc>
              <w:tc>
                <w:tcPr>
                  <w:tcW w:w="239" w:type="pct"/>
                  <w:vAlign w:val="center"/>
                </w:tcPr>
                <w:p w14:paraId="140EA10E">
                  <w:pPr>
                    <w:widowControl/>
                    <w:overflowPunct w:val="0"/>
                    <w:snapToGrid w:val="0"/>
                    <w:jc w:val="center"/>
                    <w:rPr>
                      <w:b/>
                      <w:bCs/>
                      <w:color w:val="auto"/>
                      <w:kern w:val="0"/>
                      <w:szCs w:val="21"/>
                      <w:highlight w:val="none"/>
                    </w:rPr>
                  </w:pPr>
                  <w:r>
                    <w:rPr>
                      <w:b/>
                      <w:bCs/>
                      <w:color w:val="auto"/>
                      <w:kern w:val="0"/>
                      <w:szCs w:val="21"/>
                      <w:highlight w:val="none"/>
                    </w:rPr>
                    <w:t>数量</w:t>
                  </w:r>
                </w:p>
              </w:tc>
              <w:tc>
                <w:tcPr>
                  <w:tcW w:w="399" w:type="pct"/>
                  <w:vAlign w:val="center"/>
                </w:tcPr>
                <w:p w14:paraId="5B4E1CF1">
                  <w:pPr>
                    <w:overflowPunct w:val="0"/>
                    <w:snapToGrid w:val="0"/>
                    <w:jc w:val="center"/>
                    <w:rPr>
                      <w:b/>
                      <w:bCs/>
                      <w:color w:val="auto"/>
                      <w:szCs w:val="21"/>
                      <w:highlight w:val="none"/>
                      <w:lang w:val="en-GB"/>
                    </w:rPr>
                  </w:pPr>
                  <w:r>
                    <w:rPr>
                      <w:rFonts w:hint="eastAsia"/>
                      <w:b/>
                      <w:bCs/>
                      <w:color w:val="auto"/>
                      <w:szCs w:val="21"/>
                      <w:highlight w:val="none"/>
                      <w:lang w:val="en-US" w:eastAsia="zh-CN"/>
                    </w:rPr>
                    <w:t>最大</w:t>
                  </w:r>
                  <w:r>
                    <w:rPr>
                      <w:b/>
                      <w:bCs/>
                      <w:color w:val="auto"/>
                      <w:szCs w:val="21"/>
                      <w:highlight w:val="none"/>
                      <w:lang w:val="en-GB"/>
                    </w:rPr>
                    <w:t>管电压kV</w:t>
                  </w:r>
                </w:p>
              </w:tc>
              <w:tc>
                <w:tcPr>
                  <w:tcW w:w="399" w:type="pct"/>
                  <w:vAlign w:val="center"/>
                </w:tcPr>
                <w:p w14:paraId="2DAFDC9A">
                  <w:pPr>
                    <w:overflowPunct w:val="0"/>
                    <w:snapToGrid w:val="0"/>
                    <w:jc w:val="center"/>
                    <w:rPr>
                      <w:b/>
                      <w:bCs/>
                      <w:color w:val="auto"/>
                      <w:szCs w:val="21"/>
                      <w:highlight w:val="none"/>
                      <w:lang w:val="en-GB"/>
                    </w:rPr>
                  </w:pPr>
                  <w:r>
                    <w:rPr>
                      <w:rFonts w:hint="eastAsia"/>
                      <w:b/>
                      <w:bCs/>
                      <w:color w:val="auto"/>
                      <w:szCs w:val="21"/>
                      <w:highlight w:val="none"/>
                      <w:lang w:val="en-US" w:eastAsia="zh-CN"/>
                    </w:rPr>
                    <w:t>最大</w:t>
                  </w:r>
                  <w:r>
                    <w:rPr>
                      <w:b/>
                      <w:bCs/>
                      <w:color w:val="auto"/>
                      <w:szCs w:val="21"/>
                      <w:highlight w:val="none"/>
                      <w:lang w:val="en-GB"/>
                    </w:rPr>
                    <w:t>管电流mA</w:t>
                  </w:r>
                </w:p>
              </w:tc>
              <w:tc>
                <w:tcPr>
                  <w:tcW w:w="399" w:type="pct"/>
                  <w:vAlign w:val="center"/>
                </w:tcPr>
                <w:p w14:paraId="05CB6768">
                  <w:pPr>
                    <w:overflowPunct w:val="0"/>
                    <w:snapToGrid w:val="0"/>
                    <w:jc w:val="center"/>
                    <w:rPr>
                      <w:b/>
                      <w:bCs/>
                      <w:color w:val="auto"/>
                      <w:szCs w:val="21"/>
                      <w:highlight w:val="none"/>
                      <w:lang w:val="en-GB"/>
                    </w:rPr>
                  </w:pPr>
                  <w:r>
                    <w:rPr>
                      <w:b/>
                      <w:bCs/>
                      <w:color w:val="auto"/>
                      <w:szCs w:val="21"/>
                      <w:highlight w:val="none"/>
                      <w:lang w:val="en-GB"/>
                    </w:rPr>
                    <w:t>射线装置类别</w:t>
                  </w:r>
                </w:p>
              </w:tc>
              <w:tc>
                <w:tcPr>
                  <w:tcW w:w="720" w:type="pct"/>
                  <w:vAlign w:val="center"/>
                </w:tcPr>
                <w:p w14:paraId="0266FE80">
                  <w:pPr>
                    <w:overflowPunct w:val="0"/>
                    <w:snapToGrid w:val="0"/>
                    <w:jc w:val="center"/>
                    <w:rPr>
                      <w:b/>
                      <w:bCs/>
                      <w:color w:val="auto"/>
                      <w:szCs w:val="21"/>
                      <w:highlight w:val="none"/>
                      <w:lang w:val="en-GB"/>
                    </w:rPr>
                  </w:pPr>
                  <w:r>
                    <w:rPr>
                      <w:b/>
                      <w:bCs/>
                      <w:color w:val="auto"/>
                      <w:szCs w:val="21"/>
                      <w:highlight w:val="none"/>
                      <w:lang w:val="en-GB"/>
                    </w:rPr>
                    <w:t>工作场所</w:t>
                  </w:r>
                </w:p>
                <w:p w14:paraId="4FE7F3F9">
                  <w:pPr>
                    <w:overflowPunct w:val="0"/>
                    <w:snapToGrid w:val="0"/>
                    <w:jc w:val="center"/>
                    <w:rPr>
                      <w:b/>
                      <w:bCs/>
                      <w:color w:val="auto"/>
                      <w:szCs w:val="21"/>
                      <w:highlight w:val="none"/>
                      <w:lang w:val="en-GB"/>
                    </w:rPr>
                  </w:pPr>
                  <w:r>
                    <w:rPr>
                      <w:b/>
                      <w:bCs/>
                      <w:color w:val="auto"/>
                      <w:szCs w:val="21"/>
                      <w:highlight w:val="none"/>
                      <w:lang w:val="en-GB"/>
                    </w:rPr>
                    <w:t>名称</w:t>
                  </w:r>
                </w:p>
              </w:tc>
              <w:tc>
                <w:tcPr>
                  <w:tcW w:w="320" w:type="pct"/>
                  <w:vAlign w:val="center"/>
                </w:tcPr>
                <w:p w14:paraId="5DD85DC5">
                  <w:pPr>
                    <w:widowControl/>
                    <w:overflowPunct w:val="0"/>
                    <w:snapToGrid w:val="0"/>
                    <w:jc w:val="center"/>
                    <w:rPr>
                      <w:b/>
                      <w:bCs/>
                      <w:color w:val="auto"/>
                      <w:szCs w:val="21"/>
                      <w:highlight w:val="none"/>
                      <w:lang w:val="en-GB"/>
                    </w:rPr>
                  </w:pPr>
                  <w:r>
                    <w:rPr>
                      <w:b/>
                      <w:bCs/>
                      <w:color w:val="auto"/>
                      <w:szCs w:val="21"/>
                      <w:highlight w:val="none"/>
                      <w:lang w:val="en-GB"/>
                    </w:rPr>
                    <w:t>使用情况</w:t>
                  </w:r>
                </w:p>
              </w:tc>
              <w:tc>
                <w:tcPr>
                  <w:tcW w:w="640" w:type="pct"/>
                  <w:vAlign w:val="center"/>
                </w:tcPr>
                <w:p w14:paraId="2E1CAD9E">
                  <w:pPr>
                    <w:widowControl/>
                    <w:overflowPunct w:val="0"/>
                    <w:snapToGrid w:val="0"/>
                    <w:jc w:val="center"/>
                    <w:rPr>
                      <w:b/>
                      <w:bCs/>
                      <w:color w:val="auto"/>
                      <w:szCs w:val="21"/>
                      <w:highlight w:val="none"/>
                      <w:lang w:val="en-GB"/>
                    </w:rPr>
                  </w:pPr>
                  <w:r>
                    <w:rPr>
                      <w:b/>
                      <w:bCs/>
                      <w:color w:val="auto"/>
                      <w:szCs w:val="21"/>
                      <w:highlight w:val="none"/>
                      <w:lang w:val="en-GB"/>
                    </w:rPr>
                    <w:t>环评情况及审批时间</w:t>
                  </w:r>
                </w:p>
              </w:tc>
              <w:tc>
                <w:tcPr>
                  <w:tcW w:w="480" w:type="pct"/>
                  <w:vAlign w:val="center"/>
                </w:tcPr>
                <w:p w14:paraId="1798AA89">
                  <w:pPr>
                    <w:widowControl/>
                    <w:overflowPunct w:val="0"/>
                    <w:snapToGrid w:val="0"/>
                    <w:jc w:val="center"/>
                    <w:rPr>
                      <w:b/>
                      <w:bCs/>
                      <w:color w:val="auto"/>
                      <w:spacing w:val="-4"/>
                      <w:szCs w:val="21"/>
                      <w:highlight w:val="none"/>
                      <w:lang w:val="en-GB"/>
                    </w:rPr>
                  </w:pPr>
                  <w:r>
                    <w:rPr>
                      <w:b/>
                      <w:bCs/>
                      <w:color w:val="auto"/>
                      <w:spacing w:val="-4"/>
                      <w:szCs w:val="21"/>
                      <w:highlight w:val="none"/>
                      <w:lang w:val="en-GB"/>
                    </w:rPr>
                    <w:t>许可情况</w:t>
                  </w:r>
                </w:p>
              </w:tc>
              <w:tc>
                <w:tcPr>
                  <w:tcW w:w="447" w:type="pct"/>
                  <w:vAlign w:val="center"/>
                </w:tcPr>
                <w:p w14:paraId="12515BDF">
                  <w:pPr>
                    <w:widowControl/>
                    <w:overflowPunct w:val="0"/>
                    <w:snapToGrid w:val="0"/>
                    <w:jc w:val="center"/>
                    <w:rPr>
                      <w:b/>
                      <w:bCs/>
                      <w:color w:val="auto"/>
                      <w:szCs w:val="21"/>
                      <w:highlight w:val="none"/>
                      <w:lang w:val="en-GB"/>
                    </w:rPr>
                  </w:pPr>
                  <w:r>
                    <w:rPr>
                      <w:b/>
                      <w:bCs/>
                      <w:color w:val="auto"/>
                      <w:szCs w:val="21"/>
                      <w:highlight w:val="none"/>
                      <w:lang w:val="en-GB"/>
                    </w:rPr>
                    <w:t>备注</w:t>
                  </w:r>
                </w:p>
              </w:tc>
            </w:tr>
            <w:tr w14:paraId="148BE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5" w:hRule="atLeast"/>
                <w:jc w:val="center"/>
              </w:trPr>
              <w:tc>
                <w:tcPr>
                  <w:tcW w:w="155" w:type="pct"/>
                  <w:vAlign w:val="center"/>
                </w:tcPr>
                <w:p w14:paraId="46AA962D">
                  <w:pPr>
                    <w:overflowPunct w:val="0"/>
                    <w:snapToGrid w:val="0"/>
                    <w:jc w:val="center"/>
                    <w:rPr>
                      <w:color w:val="auto"/>
                      <w:szCs w:val="21"/>
                      <w:highlight w:val="none"/>
                    </w:rPr>
                  </w:pPr>
                  <w:r>
                    <w:rPr>
                      <w:color w:val="auto"/>
                      <w:szCs w:val="21"/>
                      <w:highlight w:val="none"/>
                    </w:rPr>
                    <w:t>1</w:t>
                  </w:r>
                </w:p>
              </w:tc>
              <w:tc>
                <w:tcPr>
                  <w:tcW w:w="796" w:type="pct"/>
                  <w:vAlign w:val="center"/>
                </w:tcPr>
                <w:p w14:paraId="07E1E5E3">
                  <w:pPr>
                    <w:overflowPunct w:val="0"/>
                    <w:snapToGrid w:val="0"/>
                    <w:jc w:val="center"/>
                    <w:rPr>
                      <w:rFonts w:hint="eastAsia"/>
                      <w:color w:val="auto"/>
                      <w:szCs w:val="21"/>
                      <w:highlight w:val="none"/>
                    </w:rPr>
                  </w:pPr>
                  <w:r>
                    <w:rPr>
                      <w:rFonts w:hint="eastAsia"/>
                      <w:color w:val="auto"/>
                      <w:szCs w:val="21"/>
                      <w:highlight w:val="none"/>
                    </w:rPr>
                    <w:t>XXG-250</w:t>
                  </w:r>
                  <w:r>
                    <w:rPr>
                      <w:rFonts w:hint="eastAsia"/>
                      <w:color w:val="auto"/>
                      <w:szCs w:val="21"/>
                      <w:highlight w:val="none"/>
                      <w:lang w:val="en-US" w:eastAsia="zh-CN"/>
                    </w:rPr>
                    <w:t>5</w:t>
                  </w:r>
                  <w:r>
                    <w:rPr>
                      <w:rFonts w:hint="eastAsia"/>
                      <w:color w:val="auto"/>
                      <w:szCs w:val="21"/>
                      <w:highlight w:val="none"/>
                    </w:rPr>
                    <w:t>型</w:t>
                  </w:r>
                </w:p>
                <w:p w14:paraId="03279623">
                  <w:pPr>
                    <w:overflowPunct w:val="0"/>
                    <w:snapToGrid w:val="0"/>
                    <w:jc w:val="center"/>
                    <w:rPr>
                      <w:color w:val="auto"/>
                      <w:szCs w:val="21"/>
                      <w:highlight w:val="none"/>
                    </w:rPr>
                  </w:pPr>
                  <w:r>
                    <w:rPr>
                      <w:rFonts w:hint="eastAsia"/>
                      <w:color w:val="auto"/>
                      <w:szCs w:val="21"/>
                      <w:highlight w:val="none"/>
                    </w:rPr>
                    <w:t>X</w:t>
                  </w:r>
                  <w:r>
                    <w:rPr>
                      <w:color w:val="auto"/>
                      <w:szCs w:val="21"/>
                      <w:highlight w:val="none"/>
                    </w:rPr>
                    <w:t>射线</w:t>
                  </w:r>
                  <w:r>
                    <w:rPr>
                      <w:rFonts w:hint="eastAsia"/>
                      <w:color w:val="auto"/>
                      <w:szCs w:val="21"/>
                      <w:highlight w:val="none"/>
                    </w:rPr>
                    <w:t>探伤机</w:t>
                  </w:r>
                </w:p>
              </w:tc>
              <w:tc>
                <w:tcPr>
                  <w:tcW w:w="239" w:type="pct"/>
                  <w:vAlign w:val="center"/>
                </w:tcPr>
                <w:p w14:paraId="25BD6672">
                  <w:pPr>
                    <w:overflowPunct w:val="0"/>
                    <w:snapToGrid w:val="0"/>
                    <w:jc w:val="center"/>
                    <w:rPr>
                      <w:color w:val="auto"/>
                      <w:szCs w:val="21"/>
                      <w:highlight w:val="none"/>
                      <w:lang w:val="en-GB"/>
                    </w:rPr>
                  </w:pPr>
                  <w:r>
                    <w:rPr>
                      <w:rFonts w:hint="eastAsia"/>
                      <w:color w:val="auto"/>
                      <w:szCs w:val="21"/>
                      <w:highlight w:val="none"/>
                    </w:rPr>
                    <w:t>1</w:t>
                  </w:r>
                </w:p>
              </w:tc>
              <w:tc>
                <w:tcPr>
                  <w:tcW w:w="399" w:type="pct"/>
                  <w:vAlign w:val="center"/>
                </w:tcPr>
                <w:p w14:paraId="1CAAFCCB">
                  <w:pPr>
                    <w:overflowPunct w:val="0"/>
                    <w:snapToGrid w:val="0"/>
                    <w:jc w:val="center"/>
                    <w:rPr>
                      <w:color w:val="auto"/>
                      <w:szCs w:val="21"/>
                      <w:highlight w:val="none"/>
                    </w:rPr>
                  </w:pPr>
                  <w:r>
                    <w:rPr>
                      <w:rFonts w:hint="eastAsia"/>
                      <w:color w:val="auto"/>
                      <w:szCs w:val="21"/>
                      <w:highlight w:val="none"/>
                    </w:rPr>
                    <w:t>250</w:t>
                  </w:r>
                </w:p>
              </w:tc>
              <w:tc>
                <w:tcPr>
                  <w:tcW w:w="399" w:type="pct"/>
                  <w:vAlign w:val="center"/>
                </w:tcPr>
                <w:p w14:paraId="06BDAD1F">
                  <w:pPr>
                    <w:overflowPunct w:val="0"/>
                    <w:snapToGrid w:val="0"/>
                    <w:jc w:val="center"/>
                    <w:rPr>
                      <w:color w:val="auto"/>
                      <w:szCs w:val="21"/>
                      <w:highlight w:val="none"/>
                      <w:lang w:val="en-GB"/>
                    </w:rPr>
                  </w:pPr>
                  <w:r>
                    <w:rPr>
                      <w:rFonts w:hint="eastAsia"/>
                      <w:color w:val="auto"/>
                      <w:szCs w:val="21"/>
                      <w:highlight w:val="none"/>
                      <w:lang w:val="en-GB"/>
                    </w:rPr>
                    <w:t>5</w:t>
                  </w:r>
                </w:p>
              </w:tc>
              <w:tc>
                <w:tcPr>
                  <w:tcW w:w="399" w:type="pct"/>
                  <w:vAlign w:val="center"/>
                </w:tcPr>
                <w:p w14:paraId="1AE5860A">
                  <w:pPr>
                    <w:overflowPunct w:val="0"/>
                    <w:snapToGrid w:val="0"/>
                    <w:jc w:val="center"/>
                    <w:rPr>
                      <w:color w:val="auto"/>
                      <w:szCs w:val="21"/>
                      <w:highlight w:val="none"/>
                      <w:lang w:val="en-GB"/>
                    </w:rPr>
                  </w:pPr>
                  <w:r>
                    <w:rPr>
                      <w:color w:val="auto"/>
                      <w:szCs w:val="21"/>
                      <w:highlight w:val="none"/>
                      <w:lang w:val="en-GB"/>
                    </w:rPr>
                    <w:t>II</w:t>
                  </w:r>
                </w:p>
              </w:tc>
              <w:tc>
                <w:tcPr>
                  <w:tcW w:w="720" w:type="pct"/>
                  <w:vAlign w:val="center"/>
                </w:tcPr>
                <w:p w14:paraId="02A18824">
                  <w:pPr>
                    <w:overflowPunct w:val="0"/>
                    <w:snapToGrid w:val="0"/>
                    <w:jc w:val="center"/>
                    <w:rPr>
                      <w:color w:val="auto"/>
                      <w:szCs w:val="21"/>
                      <w:highlight w:val="none"/>
                      <w:lang w:val="en-GB"/>
                    </w:rPr>
                  </w:pPr>
                  <w:r>
                    <w:rPr>
                      <w:rFonts w:hint="eastAsia"/>
                      <w:color w:val="auto"/>
                      <w:szCs w:val="21"/>
                      <w:highlight w:val="none"/>
                    </w:rPr>
                    <w:t>探伤房</w:t>
                  </w:r>
                </w:p>
              </w:tc>
              <w:tc>
                <w:tcPr>
                  <w:tcW w:w="320" w:type="pct"/>
                  <w:vAlign w:val="center"/>
                </w:tcPr>
                <w:p w14:paraId="3EDCC11E">
                  <w:pPr>
                    <w:overflowPunct w:val="0"/>
                    <w:snapToGrid w:val="0"/>
                    <w:jc w:val="center"/>
                    <w:rPr>
                      <w:color w:val="auto"/>
                      <w:szCs w:val="21"/>
                      <w:highlight w:val="none"/>
                      <w:lang w:val="en-GB"/>
                    </w:rPr>
                  </w:pPr>
                  <w:r>
                    <w:rPr>
                      <w:rFonts w:hint="eastAsia"/>
                      <w:color w:val="auto"/>
                      <w:szCs w:val="21"/>
                      <w:highlight w:val="none"/>
                    </w:rPr>
                    <w:t>拟购</w:t>
                  </w:r>
                </w:p>
              </w:tc>
              <w:tc>
                <w:tcPr>
                  <w:tcW w:w="640" w:type="pct"/>
                  <w:vAlign w:val="center"/>
                </w:tcPr>
                <w:p w14:paraId="120E508B">
                  <w:pPr>
                    <w:overflowPunct w:val="0"/>
                    <w:snapToGrid w:val="0"/>
                    <w:jc w:val="center"/>
                    <w:rPr>
                      <w:color w:val="auto"/>
                      <w:szCs w:val="21"/>
                      <w:highlight w:val="none"/>
                      <w:lang w:val="en-GB"/>
                    </w:rPr>
                  </w:pPr>
                  <w:r>
                    <w:rPr>
                      <w:color w:val="auto"/>
                      <w:szCs w:val="21"/>
                      <w:highlight w:val="none"/>
                      <w:lang w:val="en-GB"/>
                    </w:rPr>
                    <w:t>本次环评</w:t>
                  </w:r>
                </w:p>
              </w:tc>
              <w:tc>
                <w:tcPr>
                  <w:tcW w:w="480" w:type="pct"/>
                  <w:vAlign w:val="center"/>
                </w:tcPr>
                <w:p w14:paraId="328708A4">
                  <w:pPr>
                    <w:overflowPunct w:val="0"/>
                    <w:snapToGrid w:val="0"/>
                    <w:jc w:val="center"/>
                    <w:rPr>
                      <w:color w:val="auto"/>
                      <w:szCs w:val="21"/>
                      <w:highlight w:val="none"/>
                      <w:lang w:val="en-GB"/>
                    </w:rPr>
                  </w:pPr>
                  <w:r>
                    <w:rPr>
                      <w:rFonts w:hint="eastAsia"/>
                      <w:color w:val="auto"/>
                      <w:szCs w:val="21"/>
                      <w:highlight w:val="none"/>
                      <w:lang w:val="en-GB"/>
                    </w:rPr>
                    <w:t>未</w:t>
                  </w:r>
                  <w:r>
                    <w:rPr>
                      <w:color w:val="auto"/>
                      <w:szCs w:val="21"/>
                      <w:highlight w:val="none"/>
                      <w:lang w:val="en-GB"/>
                    </w:rPr>
                    <w:t>许可</w:t>
                  </w:r>
                </w:p>
              </w:tc>
              <w:tc>
                <w:tcPr>
                  <w:tcW w:w="447" w:type="pct"/>
                  <w:vAlign w:val="center"/>
                </w:tcPr>
                <w:p w14:paraId="450B7730">
                  <w:pPr>
                    <w:overflowPunct w:val="0"/>
                    <w:snapToGrid w:val="0"/>
                    <w:jc w:val="center"/>
                    <w:rPr>
                      <w:color w:val="auto"/>
                      <w:szCs w:val="21"/>
                      <w:highlight w:val="none"/>
                    </w:rPr>
                  </w:pPr>
                  <w:r>
                    <w:rPr>
                      <w:rFonts w:hint="eastAsia"/>
                      <w:color w:val="auto"/>
                      <w:szCs w:val="21"/>
                      <w:highlight w:val="none"/>
                      <w:lang w:val="en-US" w:eastAsia="zh-CN"/>
                    </w:rPr>
                    <w:t>定</w:t>
                  </w:r>
                  <w:r>
                    <w:rPr>
                      <w:rFonts w:hint="eastAsia"/>
                      <w:color w:val="auto"/>
                      <w:szCs w:val="21"/>
                      <w:highlight w:val="none"/>
                    </w:rPr>
                    <w:t>向机</w:t>
                  </w:r>
                </w:p>
              </w:tc>
            </w:tr>
          </w:tbl>
          <w:p w14:paraId="55CA0A60">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rFonts w:hint="default"/>
                <w:b/>
                <w:bCs/>
                <w:color w:val="auto"/>
                <w:sz w:val="24"/>
                <w:szCs w:val="24"/>
                <w:highlight w:val="none"/>
                <w:lang w:val="en-US" w:eastAsia="zh-CN"/>
              </w:rPr>
            </w:pPr>
            <w:r>
              <w:rPr>
                <w:rFonts w:hint="eastAsia"/>
                <w:b/>
                <w:bCs/>
                <w:color w:val="auto"/>
                <w:sz w:val="24"/>
                <w:szCs w:val="24"/>
                <w:highlight w:val="none"/>
                <w:lang w:val="en-US" w:eastAsia="zh-CN"/>
              </w:rPr>
              <w:t>5、人员配置及运行工况</w:t>
            </w:r>
          </w:p>
          <w:p w14:paraId="18EC22E1">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 xml:space="preserve">（1）人员配置 </w:t>
            </w:r>
          </w:p>
          <w:p w14:paraId="77B5A4E4">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根据建设单位提供资料，项目</w:t>
            </w:r>
            <w:r>
              <w:rPr>
                <w:rFonts w:hint="eastAsia" w:cs="Times New Roman"/>
                <w:color w:val="auto"/>
                <w:kern w:val="2"/>
                <w:sz w:val="24"/>
                <w:szCs w:val="24"/>
                <w:highlight w:val="none"/>
                <w:lang w:val="en-US" w:eastAsia="zh-CN" w:bidi="ar-SA"/>
              </w:rPr>
              <w:t>拟定</w:t>
            </w:r>
            <w:r>
              <w:rPr>
                <w:rFonts w:hint="eastAsia" w:ascii="Times New Roman" w:hAnsi="Times New Roman" w:eastAsia="宋体" w:cs="Times New Roman"/>
                <w:color w:val="auto"/>
                <w:kern w:val="2"/>
                <w:sz w:val="24"/>
                <w:szCs w:val="24"/>
                <w:highlight w:val="none"/>
                <w:lang w:val="en-US" w:eastAsia="zh-CN" w:bidi="ar-SA"/>
              </w:rPr>
              <w:t>探伤操作人员劳动定员为</w:t>
            </w:r>
            <w:r>
              <w:rPr>
                <w:rFonts w:hint="default" w:ascii="Times New Roman" w:hAnsi="Times New Roman" w:eastAsia="宋体" w:cs="Times New Roman"/>
                <w:color w:val="auto"/>
                <w:kern w:val="2"/>
                <w:sz w:val="24"/>
                <w:szCs w:val="24"/>
                <w:highlight w:val="none"/>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人，均为厂区内部人员调剂</w:t>
            </w:r>
            <w:r>
              <w:rPr>
                <w:rFonts w:hint="eastAsia" w:cs="Times New Roman"/>
                <w:color w:val="auto"/>
                <w:kern w:val="2"/>
                <w:sz w:val="24"/>
                <w:szCs w:val="24"/>
                <w:highlight w:val="none"/>
                <w:lang w:val="en-US" w:eastAsia="zh-CN" w:bidi="ar-SA"/>
              </w:rPr>
              <w:t>，同时拟定</w:t>
            </w:r>
            <w:r>
              <w:rPr>
                <w:rFonts w:hint="eastAsia" w:ascii="Times New Roman" w:hAnsi="Times New Roman" w:eastAsia="宋体" w:cs="Times New Roman"/>
                <w:color w:val="auto"/>
                <w:kern w:val="2"/>
                <w:sz w:val="24"/>
                <w:szCs w:val="24"/>
                <w:highlight w:val="none"/>
                <w:lang w:val="en-US" w:eastAsia="zh-CN" w:bidi="ar-SA"/>
              </w:rPr>
              <w:t>1人</w:t>
            </w:r>
            <w:r>
              <w:rPr>
                <w:rFonts w:hint="eastAsia" w:cs="Times New Roman"/>
                <w:color w:val="auto"/>
                <w:kern w:val="2"/>
                <w:sz w:val="24"/>
                <w:szCs w:val="24"/>
                <w:highlight w:val="none"/>
                <w:lang w:val="en-US" w:eastAsia="zh-CN" w:bidi="ar-SA"/>
              </w:rPr>
              <w:t>（白英）</w:t>
            </w:r>
            <w:r>
              <w:rPr>
                <w:rFonts w:hint="eastAsia" w:ascii="Times New Roman" w:hAnsi="Times New Roman" w:eastAsia="宋体" w:cs="Times New Roman"/>
                <w:color w:val="auto"/>
                <w:kern w:val="2"/>
                <w:sz w:val="24"/>
                <w:szCs w:val="24"/>
                <w:highlight w:val="none"/>
                <w:lang w:val="en-US" w:eastAsia="zh-CN" w:bidi="ar-SA"/>
              </w:rPr>
              <w:t xml:space="preserve">为厂区辐射安全管理专职负责人。 </w:t>
            </w:r>
          </w:p>
          <w:p w14:paraId="6FB7C57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 xml:space="preserve">（2）探伤工件情况 </w:t>
            </w:r>
          </w:p>
          <w:p w14:paraId="1608311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经与建设单位核实，本次新建探伤室对公司生产的容器类设备进行无损检测</w:t>
            </w:r>
            <w:r>
              <w:rPr>
                <w:rFonts w:hint="eastAsia" w:cs="Times New Roman"/>
                <w:color w:val="auto"/>
                <w:kern w:val="2"/>
                <w:sz w:val="24"/>
                <w:szCs w:val="24"/>
                <w:highlight w:val="none"/>
                <w:lang w:val="en-US" w:eastAsia="zh-CN" w:bidi="ar-SA"/>
              </w:rPr>
              <w:t>，</w:t>
            </w:r>
            <w:r>
              <w:rPr>
                <w:rFonts w:hint="eastAsia"/>
                <w:color w:val="auto"/>
                <w:sz w:val="24"/>
                <w:szCs w:val="24"/>
                <w:highlight w:val="none"/>
                <w:lang w:val="en-US" w:eastAsia="zh-CN"/>
              </w:rPr>
              <w:t>压力容器</w:t>
            </w:r>
            <w:r>
              <w:rPr>
                <w:rFonts w:hint="eastAsia"/>
                <w:color w:val="auto"/>
                <w:sz w:val="24"/>
                <w:szCs w:val="24"/>
                <w:highlight w:val="none"/>
              </w:rPr>
              <w:t>年</w:t>
            </w:r>
            <w:r>
              <w:rPr>
                <w:rFonts w:hint="eastAsia"/>
                <w:color w:val="auto"/>
                <w:sz w:val="24"/>
                <w:szCs w:val="24"/>
                <w:highlight w:val="none"/>
                <w:lang w:val="en-US" w:eastAsia="zh-CN"/>
              </w:rPr>
              <w:t>产量为8</w:t>
            </w:r>
            <w:r>
              <w:rPr>
                <w:rFonts w:hint="eastAsia"/>
                <w:color w:val="auto"/>
                <w:sz w:val="24"/>
                <w:szCs w:val="24"/>
                <w:highlight w:val="none"/>
              </w:rPr>
              <w:t>0件</w:t>
            </w:r>
            <w:r>
              <w:rPr>
                <w:rFonts w:hint="eastAsia"/>
                <w:color w:val="auto"/>
                <w:sz w:val="24"/>
                <w:szCs w:val="24"/>
                <w:highlight w:val="none"/>
                <w:lang w:eastAsia="zh-CN"/>
              </w:rPr>
              <w:t>，</w:t>
            </w:r>
            <w:r>
              <w:rPr>
                <w:rFonts w:hint="eastAsia" w:cs="Times New Roman"/>
                <w:color w:val="auto"/>
                <w:kern w:val="2"/>
                <w:sz w:val="24"/>
                <w:szCs w:val="24"/>
                <w:highlight w:val="none"/>
                <w:lang w:val="en-US" w:eastAsia="zh-CN" w:bidi="ar-SA"/>
              </w:rPr>
              <w:t>检测率为100%</w:t>
            </w:r>
            <w:r>
              <w:rPr>
                <w:rFonts w:hint="eastAsia"/>
                <w:color w:val="auto"/>
                <w:sz w:val="24"/>
                <w:szCs w:val="24"/>
                <w:highlight w:val="none"/>
              </w:rPr>
              <w:t>，探伤检测工件主要为碳钢铸件和不锈钢铸件，工件最大厚度为26mm；本项目拟购置的</w:t>
            </w:r>
            <w:r>
              <w:rPr>
                <w:rFonts w:hint="eastAsia"/>
                <w:color w:val="auto"/>
                <w:sz w:val="24"/>
                <w:szCs w:val="24"/>
                <w:highlight w:val="none"/>
                <w:lang w:val="en-US" w:eastAsia="zh-CN"/>
              </w:rPr>
              <w:t>1</w:t>
            </w:r>
            <w:r>
              <w:rPr>
                <w:rFonts w:hint="eastAsia"/>
                <w:color w:val="auto"/>
                <w:sz w:val="24"/>
                <w:szCs w:val="24"/>
                <w:highlight w:val="none"/>
              </w:rPr>
              <w:t>台X射线探伤机</w:t>
            </w:r>
            <w:r>
              <w:rPr>
                <w:rFonts w:hint="eastAsia"/>
                <w:color w:val="auto"/>
                <w:kern w:val="0"/>
                <w:sz w:val="24"/>
                <w:szCs w:val="24"/>
                <w:highlight w:val="none"/>
              </w:rPr>
              <w:t>最大穿透工件厚度为34mm，可以满足探</w:t>
            </w:r>
            <w:r>
              <w:rPr>
                <w:rFonts w:hint="eastAsia"/>
                <w:color w:val="auto"/>
                <w:sz w:val="24"/>
                <w:szCs w:val="24"/>
                <w:highlight w:val="none"/>
              </w:rPr>
              <w:t>伤需求。</w:t>
            </w:r>
          </w:p>
          <w:p w14:paraId="79212C2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 xml:space="preserve">（3）运行工况 </w:t>
            </w:r>
          </w:p>
          <w:p w14:paraId="7AF7056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 xml:space="preserve">①工作人员工作时间 </w:t>
            </w:r>
          </w:p>
          <w:p w14:paraId="418662D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根据建设单位提供资料，项目运行班制为单班制，工作时间不固定，</w:t>
            </w:r>
            <w:r>
              <w:rPr>
                <w:rFonts w:hint="eastAsia" w:cs="Times New Roman"/>
                <w:color w:val="auto"/>
                <w:kern w:val="2"/>
                <w:sz w:val="24"/>
                <w:szCs w:val="24"/>
                <w:highlight w:val="none"/>
                <w:lang w:val="en-US" w:eastAsia="zh-CN" w:bidi="ar-SA"/>
              </w:rPr>
              <w:t>轮流值班（不同的值班），</w:t>
            </w:r>
            <w:r>
              <w:rPr>
                <w:rFonts w:hint="eastAsia" w:ascii="Times New Roman" w:hAnsi="Times New Roman" w:eastAsia="宋体" w:cs="Times New Roman"/>
                <w:color w:val="auto"/>
                <w:kern w:val="2"/>
                <w:sz w:val="24"/>
                <w:szCs w:val="24"/>
                <w:highlight w:val="none"/>
                <w:lang w:val="en-US" w:eastAsia="zh-CN" w:bidi="ar-SA"/>
              </w:rPr>
              <w:t>由企业根据探伤检测需求自行安排。项目探伤人员为</w:t>
            </w:r>
            <w:r>
              <w:rPr>
                <w:rFonts w:hint="default" w:ascii="Times New Roman" w:hAnsi="Times New Roman" w:eastAsia="宋体" w:cs="Times New Roman"/>
                <w:color w:val="auto"/>
                <w:kern w:val="2"/>
                <w:sz w:val="24"/>
                <w:szCs w:val="24"/>
                <w:highlight w:val="none"/>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名，</w:t>
            </w:r>
            <w:r>
              <w:rPr>
                <w:rFonts w:hint="eastAsia" w:cs="Times New Roman"/>
                <w:color w:val="auto"/>
                <w:kern w:val="2"/>
                <w:sz w:val="24"/>
                <w:szCs w:val="24"/>
                <w:highlight w:val="none"/>
                <w:lang w:val="en-US" w:eastAsia="zh-CN" w:bidi="ar-SA"/>
              </w:rPr>
              <w:t>由厂区内部人员进行调剂，</w:t>
            </w:r>
            <w:r>
              <w:rPr>
                <w:rFonts w:hint="eastAsia" w:ascii="Times New Roman" w:hAnsi="Times New Roman" w:eastAsia="宋体" w:cs="Times New Roman"/>
                <w:color w:val="auto"/>
                <w:kern w:val="2"/>
                <w:sz w:val="24"/>
                <w:szCs w:val="24"/>
                <w:highlight w:val="none"/>
                <w:lang w:val="en-US" w:eastAsia="zh-CN" w:bidi="ar-SA"/>
              </w:rPr>
              <w:t>合计单日工作时间要求不得超过</w:t>
            </w:r>
            <w:r>
              <w:rPr>
                <w:rFonts w:hint="default" w:ascii="Times New Roman" w:hAnsi="Times New Roman" w:eastAsia="宋体" w:cs="Times New Roman"/>
                <w:color w:val="auto"/>
                <w:kern w:val="2"/>
                <w:sz w:val="24"/>
                <w:szCs w:val="24"/>
                <w:highlight w:val="none"/>
                <w:lang w:val="en-US" w:eastAsia="zh-CN" w:bidi="ar-SA"/>
              </w:rPr>
              <w:t>8h</w:t>
            </w:r>
            <w:r>
              <w:rPr>
                <w:rFonts w:hint="eastAsia" w:ascii="Times New Roman" w:hAnsi="Times New Roman" w:eastAsia="宋体" w:cs="Times New Roman"/>
                <w:color w:val="auto"/>
                <w:kern w:val="2"/>
                <w:sz w:val="24"/>
                <w:szCs w:val="24"/>
                <w:highlight w:val="none"/>
                <w:lang w:val="en-US" w:eastAsia="zh-CN" w:bidi="ar-SA"/>
              </w:rPr>
              <w:t>，年工作时间</w:t>
            </w:r>
            <w:r>
              <w:rPr>
                <w:rFonts w:hint="default" w:ascii="Times New Roman" w:hAnsi="Times New Roman" w:eastAsia="宋体" w:cs="Times New Roman"/>
                <w:color w:val="auto"/>
                <w:kern w:val="2"/>
                <w:sz w:val="24"/>
                <w:szCs w:val="24"/>
                <w:highlight w:val="none"/>
                <w:lang w:val="en-US" w:eastAsia="zh-CN" w:bidi="ar-SA"/>
              </w:rPr>
              <w:t>250</w:t>
            </w:r>
            <w:r>
              <w:rPr>
                <w:rFonts w:hint="eastAsia" w:ascii="Times New Roman" w:hAnsi="Times New Roman" w:eastAsia="宋体" w:cs="Times New Roman"/>
                <w:color w:val="auto"/>
                <w:kern w:val="2"/>
                <w:sz w:val="24"/>
                <w:szCs w:val="24"/>
                <w:highlight w:val="none"/>
                <w:lang w:val="en-US" w:eastAsia="zh-CN" w:bidi="ar-SA"/>
              </w:rPr>
              <w:t>天，则辐射工作人员工作时间为</w:t>
            </w:r>
            <w:r>
              <w:rPr>
                <w:rFonts w:hint="default" w:ascii="Times New Roman" w:hAnsi="Times New Roman" w:eastAsia="宋体" w:cs="Times New Roman"/>
                <w:color w:val="auto"/>
                <w:kern w:val="2"/>
                <w:sz w:val="24"/>
                <w:szCs w:val="24"/>
                <w:highlight w:val="none"/>
                <w:lang w:val="en-US" w:eastAsia="zh-CN" w:bidi="ar-SA"/>
              </w:rPr>
              <w:t>2000h/</w:t>
            </w:r>
            <w:r>
              <w:rPr>
                <w:rFonts w:hint="eastAsia" w:ascii="Times New Roman" w:hAnsi="Times New Roman" w:eastAsia="宋体" w:cs="Times New Roman"/>
                <w:color w:val="auto"/>
                <w:kern w:val="2"/>
                <w:sz w:val="24"/>
                <w:szCs w:val="24"/>
                <w:highlight w:val="none"/>
                <w:lang w:val="en-US" w:eastAsia="zh-CN" w:bidi="ar-SA"/>
              </w:rPr>
              <w:t xml:space="preserve">年。 </w:t>
            </w:r>
          </w:p>
          <w:p w14:paraId="51A4BA9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 xml:space="preserve">②探伤工况及曝光时间 </w:t>
            </w:r>
          </w:p>
          <w:p w14:paraId="76A235F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 xml:space="preserve">根据建设单位提供资料，项目探伤机无损检测工件为容器类设备工件，探伤检测部 </w:t>
            </w:r>
          </w:p>
          <w:p w14:paraId="5E1AEC76">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位为焊接后压力容器主体受压焊缝</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单台容器类设备因规格差异原因存在数量不一的焊缝，每条焊缝需进行一次探伤检测</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故每台容器</w:t>
            </w:r>
            <w:r>
              <w:rPr>
                <w:rFonts w:hint="eastAsia" w:cs="Times New Roman"/>
                <w:color w:val="auto"/>
                <w:kern w:val="2"/>
                <w:sz w:val="24"/>
                <w:szCs w:val="24"/>
                <w:highlight w:val="none"/>
                <w:lang w:val="en-US" w:eastAsia="zh-CN" w:bidi="ar-SA"/>
              </w:rPr>
              <w:t>内</w:t>
            </w:r>
            <w:r>
              <w:rPr>
                <w:rFonts w:hint="eastAsia" w:ascii="Times New Roman" w:hAnsi="Times New Roman" w:eastAsia="宋体" w:cs="Times New Roman"/>
                <w:color w:val="auto"/>
                <w:kern w:val="2"/>
                <w:sz w:val="24"/>
                <w:szCs w:val="24"/>
                <w:highlight w:val="none"/>
                <w:lang w:val="en-US" w:eastAsia="zh-CN" w:bidi="ar-SA"/>
              </w:rPr>
              <w:t>设备需要进行不同次数的探伤检测。设计本项目探伤室探伤工件数量为</w:t>
            </w:r>
            <w:r>
              <w:rPr>
                <w:rFonts w:hint="eastAsia" w:cs="Times New Roman"/>
                <w:color w:val="auto"/>
                <w:kern w:val="2"/>
                <w:sz w:val="24"/>
                <w:szCs w:val="24"/>
                <w:highlight w:val="none"/>
                <w:lang w:val="en-US" w:eastAsia="zh-CN" w:bidi="ar-SA"/>
              </w:rPr>
              <w:t>80件</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年，年工作</w:t>
            </w:r>
            <w:r>
              <w:rPr>
                <w:rFonts w:hint="default" w:ascii="Times New Roman" w:hAnsi="Times New Roman" w:eastAsia="宋体" w:cs="Times New Roman"/>
                <w:color w:val="auto"/>
                <w:kern w:val="2"/>
                <w:sz w:val="24"/>
                <w:szCs w:val="24"/>
                <w:highlight w:val="none"/>
                <w:lang w:val="en-US" w:eastAsia="zh-CN" w:bidi="ar-SA"/>
              </w:rPr>
              <w:t>250</w:t>
            </w:r>
            <w:r>
              <w:rPr>
                <w:rFonts w:hint="eastAsia" w:ascii="Times New Roman" w:hAnsi="Times New Roman" w:eastAsia="宋体" w:cs="Times New Roman"/>
                <w:color w:val="auto"/>
                <w:kern w:val="2"/>
                <w:sz w:val="24"/>
                <w:szCs w:val="24"/>
                <w:highlight w:val="none"/>
                <w:lang w:val="en-US" w:eastAsia="zh-CN" w:bidi="ar-SA"/>
              </w:rPr>
              <w:t>天，平均探伤工件数量为</w:t>
            </w:r>
            <w:r>
              <w:rPr>
                <w:rFonts w:hint="eastAsia" w:cs="Times New Roman"/>
                <w:color w:val="auto"/>
                <w:kern w:val="2"/>
                <w:sz w:val="24"/>
                <w:szCs w:val="24"/>
                <w:highlight w:val="none"/>
                <w:lang w:val="en-US" w:eastAsia="zh-CN" w:bidi="ar-SA"/>
              </w:rPr>
              <w:t>0.32</w:t>
            </w:r>
            <w:r>
              <w:rPr>
                <w:rFonts w:hint="eastAsia" w:ascii="Times New Roman" w:hAnsi="Times New Roman" w:eastAsia="宋体" w:cs="Times New Roman"/>
                <w:color w:val="auto"/>
                <w:kern w:val="2"/>
                <w:sz w:val="24"/>
                <w:szCs w:val="24"/>
                <w:highlight w:val="none"/>
                <w:lang w:val="en-US" w:eastAsia="zh-CN" w:bidi="ar-SA"/>
              </w:rPr>
              <w:t>台</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天。设备单次曝光时间为</w:t>
            </w:r>
            <w:r>
              <w:rPr>
                <w:rFonts w:hint="default" w:ascii="Times New Roman" w:hAnsi="Times New Roman" w:eastAsia="宋体" w:cs="Times New Roman"/>
                <w:color w:val="auto"/>
                <w:kern w:val="2"/>
                <w:sz w:val="24"/>
                <w:szCs w:val="24"/>
                <w:highlight w:val="none"/>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分钟（</w:t>
            </w:r>
            <w:r>
              <w:rPr>
                <w:rFonts w:hint="default" w:ascii="Times New Roman" w:hAnsi="Times New Roman" w:eastAsia="宋体" w:cs="Times New Roman"/>
                <w:color w:val="auto"/>
                <w:kern w:val="2"/>
                <w:sz w:val="24"/>
                <w:szCs w:val="24"/>
                <w:highlight w:val="none"/>
                <w:lang w:val="en-US" w:eastAsia="zh-CN" w:bidi="ar-SA"/>
              </w:rPr>
              <w:t>0.05h</w:t>
            </w:r>
            <w:r>
              <w:rPr>
                <w:rFonts w:hint="eastAsia" w:ascii="Times New Roman" w:hAnsi="Times New Roman" w:eastAsia="宋体" w:cs="Times New Roman"/>
                <w:color w:val="auto"/>
                <w:kern w:val="2"/>
                <w:sz w:val="24"/>
                <w:szCs w:val="24"/>
                <w:highlight w:val="none"/>
                <w:lang w:val="en-US" w:eastAsia="zh-CN" w:bidi="ar-SA"/>
              </w:rPr>
              <w:t>），各工件曝光次数不同，日最大曝光预估约</w:t>
            </w:r>
            <w:r>
              <w:rPr>
                <w:rFonts w:hint="eastAsia" w:cs="Times New Roman"/>
                <w:color w:val="auto"/>
                <w:kern w:val="2"/>
                <w:sz w:val="24"/>
                <w:szCs w:val="24"/>
                <w:highlight w:val="none"/>
                <w:lang w:val="en-US" w:eastAsia="zh-CN" w:bidi="ar-SA"/>
              </w:rPr>
              <w:t>0.2</w:t>
            </w:r>
            <w:r>
              <w:rPr>
                <w:rFonts w:hint="default" w:ascii="Times New Roman" w:hAnsi="Times New Roman" w:eastAsia="宋体" w:cs="Times New Roman"/>
                <w:color w:val="auto"/>
                <w:kern w:val="2"/>
                <w:sz w:val="24"/>
                <w:szCs w:val="24"/>
                <w:highlight w:val="none"/>
                <w:lang w:val="en-US" w:eastAsia="zh-CN" w:bidi="ar-SA"/>
              </w:rPr>
              <w:t>h</w:t>
            </w:r>
            <w:r>
              <w:rPr>
                <w:rFonts w:hint="eastAsia" w:ascii="Times New Roman" w:hAnsi="Times New Roman" w:eastAsia="宋体" w:cs="Times New Roman"/>
                <w:color w:val="auto"/>
                <w:kern w:val="2"/>
                <w:sz w:val="24"/>
                <w:szCs w:val="24"/>
                <w:highlight w:val="none"/>
                <w:lang w:val="en-US" w:eastAsia="zh-CN" w:bidi="ar-SA"/>
              </w:rPr>
              <w:t>，周最大曝光时间为</w:t>
            </w:r>
            <w:r>
              <w:rPr>
                <w:rFonts w:hint="eastAsia" w:cs="Times New Roman"/>
                <w:color w:val="auto"/>
                <w:kern w:val="2"/>
                <w:sz w:val="24"/>
                <w:szCs w:val="24"/>
                <w:highlight w:val="none"/>
                <w:lang w:val="en-US" w:eastAsia="zh-CN" w:bidi="ar-SA"/>
              </w:rPr>
              <w:t>0.6</w:t>
            </w:r>
            <w:r>
              <w:rPr>
                <w:rFonts w:hint="default" w:ascii="Times New Roman" w:hAnsi="Times New Roman" w:eastAsia="宋体" w:cs="Times New Roman"/>
                <w:color w:val="auto"/>
                <w:kern w:val="2"/>
                <w:sz w:val="24"/>
                <w:szCs w:val="24"/>
                <w:highlight w:val="none"/>
                <w:lang w:val="en-US" w:eastAsia="zh-CN" w:bidi="ar-SA"/>
              </w:rPr>
              <w:t>h</w:t>
            </w:r>
            <w:r>
              <w:rPr>
                <w:rFonts w:hint="eastAsia" w:ascii="Times New Roman" w:hAnsi="Times New Roman" w:eastAsia="宋体" w:cs="Times New Roman"/>
                <w:color w:val="auto"/>
                <w:kern w:val="2"/>
                <w:sz w:val="24"/>
                <w:szCs w:val="24"/>
                <w:highlight w:val="none"/>
                <w:lang w:val="en-US" w:eastAsia="zh-CN" w:bidi="ar-SA"/>
              </w:rPr>
              <w:t>，年最大曝光时间为</w:t>
            </w:r>
            <w:r>
              <w:rPr>
                <w:rFonts w:hint="eastAsia" w:cs="Times New Roman"/>
                <w:color w:val="auto"/>
                <w:kern w:val="2"/>
                <w:sz w:val="24"/>
                <w:szCs w:val="24"/>
                <w:highlight w:val="none"/>
                <w:lang w:val="en-US" w:eastAsia="zh-CN" w:bidi="ar-SA"/>
              </w:rPr>
              <w:t>17.5</w:t>
            </w:r>
            <w:r>
              <w:rPr>
                <w:rFonts w:hint="default" w:ascii="Times New Roman" w:hAnsi="Times New Roman" w:eastAsia="宋体" w:cs="Times New Roman"/>
                <w:color w:val="auto"/>
                <w:kern w:val="2"/>
                <w:sz w:val="24"/>
                <w:szCs w:val="24"/>
                <w:highlight w:val="none"/>
                <w:lang w:val="en-US" w:eastAsia="zh-CN" w:bidi="ar-SA"/>
              </w:rPr>
              <w:t>h</w:t>
            </w:r>
            <w:r>
              <w:rPr>
                <w:rFonts w:hint="eastAsia" w:ascii="Times New Roman" w:hAnsi="Times New Roman" w:eastAsia="宋体" w:cs="Times New Roman"/>
                <w:color w:val="auto"/>
                <w:kern w:val="2"/>
                <w:sz w:val="24"/>
                <w:szCs w:val="24"/>
                <w:highlight w:val="none"/>
                <w:lang w:val="en-US" w:eastAsia="zh-CN" w:bidi="ar-SA"/>
              </w:rPr>
              <w:t>。</w:t>
            </w:r>
          </w:p>
          <w:p w14:paraId="146336D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r>
              <w:rPr>
                <w:rFonts w:hint="eastAsia"/>
                <w:b/>
                <w:bCs/>
                <w:color w:val="auto"/>
                <w:sz w:val="24"/>
                <w:szCs w:val="24"/>
                <w:highlight w:val="none"/>
                <w:lang w:val="en-US" w:eastAsia="zh-CN"/>
              </w:rPr>
              <w:t>6</w:t>
            </w:r>
            <w:r>
              <w:rPr>
                <w:rFonts w:hint="eastAsia"/>
                <w:b/>
                <w:bCs/>
                <w:color w:val="auto"/>
                <w:sz w:val="24"/>
                <w:szCs w:val="24"/>
                <w:highlight w:val="none"/>
              </w:rPr>
              <w:t>、项目选址</w:t>
            </w:r>
            <w:bookmarkEnd w:id="29"/>
            <w:bookmarkEnd w:id="30"/>
            <w:bookmarkEnd w:id="31"/>
            <w:bookmarkEnd w:id="32"/>
            <w:bookmarkEnd w:id="33"/>
            <w:bookmarkEnd w:id="34"/>
            <w:r>
              <w:rPr>
                <w:rFonts w:hint="eastAsia"/>
                <w:b/>
                <w:bCs/>
                <w:color w:val="auto"/>
                <w:sz w:val="24"/>
                <w:szCs w:val="24"/>
                <w:highlight w:val="none"/>
                <w:lang w:val="en-US" w:eastAsia="zh-CN"/>
              </w:rPr>
              <w:t>合理性</w:t>
            </w:r>
            <w:r>
              <w:rPr>
                <w:rFonts w:hint="eastAsia"/>
                <w:b/>
                <w:bCs/>
                <w:color w:val="auto"/>
                <w:sz w:val="24"/>
                <w:szCs w:val="24"/>
                <w:highlight w:val="none"/>
              </w:rPr>
              <w:t>及周边环境保护目标</w:t>
            </w:r>
          </w:p>
          <w:p w14:paraId="058225F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olor w:val="auto"/>
                <w:sz w:val="24"/>
                <w:szCs w:val="24"/>
                <w:highlight w:val="none"/>
                <w:lang w:val="en-US" w:eastAsia="zh-CN"/>
              </w:rPr>
            </w:pPr>
            <w:r>
              <w:rPr>
                <w:rFonts w:hint="eastAsia" w:ascii="Times New Roman" w:hAnsi="Times New Roman" w:cs="Times New Roman"/>
                <w:color w:val="auto"/>
                <w:sz w:val="24"/>
                <w:highlight w:val="none"/>
                <w:lang w:val="en-US" w:eastAsia="zh-CN"/>
              </w:rPr>
              <w:t>公司</w:t>
            </w:r>
            <w:r>
              <w:rPr>
                <w:rFonts w:hint="default" w:ascii="Times New Roman" w:hAnsi="Times New Roman" w:eastAsia="宋体" w:cs="Times New Roman"/>
                <w:color w:val="auto"/>
                <w:sz w:val="24"/>
                <w:highlight w:val="none"/>
                <w:lang w:eastAsia="zh-CN"/>
              </w:rPr>
              <w:t>位于安徽六安金安经济开发区长淮路666号，厂区北侧为安徽人和智能制造有限公司；西侧紧邻一元大道，隔路为安徽新中天光学材料科技有限公司、安徽捷成包装制品有限公司；南侧紧邻长淮路，隔路为空地；东侧</w:t>
            </w:r>
            <w:r>
              <w:rPr>
                <w:rFonts w:hint="default" w:ascii="Times New Roman" w:hAnsi="Times New Roman" w:eastAsia="宋体" w:cs="Times New Roman"/>
                <w:color w:val="auto"/>
                <w:sz w:val="24"/>
                <w:highlight w:val="none"/>
                <w:lang w:val="en-US" w:eastAsia="zh-CN"/>
              </w:rPr>
              <w:t>现状为</w:t>
            </w:r>
            <w:r>
              <w:rPr>
                <w:rFonts w:hint="default" w:ascii="Times New Roman" w:hAnsi="Times New Roman" w:eastAsia="宋体" w:cs="Times New Roman"/>
                <w:color w:val="auto"/>
                <w:sz w:val="24"/>
                <w:highlight w:val="none"/>
                <w:lang w:eastAsia="zh-CN"/>
              </w:rPr>
              <w:t>空地。</w:t>
            </w:r>
            <w:r>
              <w:rPr>
                <w:rFonts w:hint="eastAsia"/>
                <w:color w:val="auto"/>
                <w:sz w:val="24"/>
                <w:szCs w:val="24"/>
                <w:highlight w:val="none"/>
                <w:lang w:val="en-US" w:eastAsia="zh-CN"/>
              </w:rPr>
              <w:t>公司外环境关系</w:t>
            </w:r>
            <w:r>
              <w:rPr>
                <w:rFonts w:hint="eastAsia"/>
                <w:color w:val="auto"/>
                <w:sz w:val="24"/>
                <w:szCs w:val="24"/>
                <w:highlight w:val="none"/>
              </w:rPr>
              <w:t>图见</w:t>
            </w:r>
            <w:r>
              <w:rPr>
                <w:rFonts w:hint="eastAsia"/>
                <w:color w:val="auto"/>
                <w:sz w:val="24"/>
                <w:szCs w:val="24"/>
                <w:highlight w:val="none"/>
                <w:lang w:val="en-US" w:eastAsia="zh-CN"/>
              </w:rPr>
              <w:t>图1-1。</w:t>
            </w:r>
          </w:p>
          <w:p w14:paraId="665E2C6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center"/>
              <w:textAlignment w:val="auto"/>
              <w:rPr>
                <w:rFonts w:hint="eastAsia"/>
                <w:color w:val="auto"/>
                <w:sz w:val="24"/>
                <w:szCs w:val="24"/>
                <w:highlight w:val="none"/>
                <w:lang w:val="en-US" w:eastAsia="zh-CN"/>
              </w:rPr>
            </w:pPr>
          </w:p>
          <w:p w14:paraId="33F202BD">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cs="Times New Roman"/>
                <w:color w:val="auto"/>
                <w:sz w:val="24"/>
                <w:highlight w:val="none"/>
                <w:lang w:val="en-US" w:eastAsia="zh-CN"/>
              </w:rPr>
            </w:pPr>
          </w:p>
          <w:p w14:paraId="14B1789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bCs/>
                <w:color w:val="auto"/>
                <w:sz w:val="21"/>
                <w:szCs w:val="21"/>
                <w:highlight w:val="none"/>
              </w:rPr>
            </w:pPr>
            <w:r>
              <w:rPr>
                <w:b/>
                <w:bCs/>
                <w:color w:val="auto"/>
                <w:sz w:val="18"/>
                <w:szCs w:val="16"/>
              </w:rPr>
              <mc:AlternateContent>
                <mc:Choice Requires="wps">
                  <w:drawing>
                    <wp:anchor distT="0" distB="0" distL="114300" distR="114300" simplePos="0" relativeHeight="251765760" behindDoc="0" locked="0" layoutInCell="1" allowOverlap="1">
                      <wp:simplePos x="0" y="0"/>
                      <wp:positionH relativeFrom="column">
                        <wp:posOffset>4978400</wp:posOffset>
                      </wp:positionH>
                      <wp:positionV relativeFrom="paragraph">
                        <wp:posOffset>817880</wp:posOffset>
                      </wp:positionV>
                      <wp:extent cx="593725" cy="297180"/>
                      <wp:effectExtent l="0" t="0" r="0" b="0"/>
                      <wp:wrapNone/>
                      <wp:docPr id="51" name="矩形 51"/>
                      <wp:cNvGraphicFramePr/>
                      <a:graphic xmlns:a="http://schemas.openxmlformats.org/drawingml/2006/main">
                        <a:graphicData uri="http://schemas.microsoft.com/office/word/2010/wordprocessingShape">
                          <wps:wsp>
                            <wps:cNvSpPr/>
                            <wps:spPr>
                              <a:xfrm>
                                <a:off x="0" y="0"/>
                                <a:ext cx="593725" cy="2971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C279CE9">
                                  <w:pPr>
                                    <w:jc w:val="center"/>
                                    <w:rPr>
                                      <w:rFonts w:hint="default" w:eastAsia="宋体"/>
                                      <w:b/>
                                      <w:bCs/>
                                      <w:color w:val="FFFF00"/>
                                      <w:sz w:val="18"/>
                                      <w:szCs w:val="16"/>
                                      <w:lang w:val="en-US" w:eastAsia="zh-CN"/>
                                    </w:rPr>
                                  </w:pPr>
                                  <w:r>
                                    <w:rPr>
                                      <w:rFonts w:hint="eastAsia"/>
                                      <w:b/>
                                      <w:bCs/>
                                      <w:color w:val="FFFF00"/>
                                      <w:sz w:val="18"/>
                                      <w:szCs w:val="16"/>
                                      <w:lang w:val="en-US" w:eastAsia="zh-CN"/>
                                    </w:rPr>
                                    <w:t>100m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2pt;margin-top:64.4pt;height:23.4pt;width:46.75pt;z-index:251765760;v-text-anchor:middle;mso-width-relative:page;mso-height-relative:page;" filled="f" stroked="f" coordsize="21600,21600" o:gfxdata="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85br92AAAAAsBAAAPAAAAAAAAAAEAIAAAACIAAABkcnMvZG93bnJldi54bWxQSwECFAAUAAAA&#10;CACHTuJAe/ChJWACAACuBAAADgAAAAAAAAABACAAAAAnAQAAZHJzL2Uyb0RvYy54bWxQSwUGAAAA&#10;AAYABgBZAQAA+QUAAAAA&#10;">
                      <v:fill on="f" focussize="0,0"/>
                      <v:stroke on="f" weight="1pt" miterlimit="8" joinstyle="miter"/>
                      <v:imagedata o:title=""/>
                      <o:lock v:ext="edit" aspectratio="f"/>
                      <v:textbox>
                        <w:txbxContent>
                          <w:p w14:paraId="5C279CE9">
                            <w:pPr>
                              <w:jc w:val="center"/>
                              <w:rPr>
                                <w:rFonts w:hint="default" w:eastAsia="宋体"/>
                                <w:b/>
                                <w:bCs/>
                                <w:color w:val="FFFF00"/>
                                <w:sz w:val="18"/>
                                <w:szCs w:val="16"/>
                                <w:lang w:val="en-US" w:eastAsia="zh-CN"/>
                              </w:rPr>
                            </w:pPr>
                            <w:r>
                              <w:rPr>
                                <w:rFonts w:hint="eastAsia"/>
                                <w:b/>
                                <w:bCs/>
                                <w:color w:val="FFFF00"/>
                                <w:sz w:val="18"/>
                                <w:szCs w:val="16"/>
                                <w:lang w:val="en-US" w:eastAsia="zh-CN"/>
                              </w:rPr>
                              <w:t>100m</w:t>
                            </w:r>
                          </w:p>
                        </w:txbxContent>
                      </v:textbox>
                    </v:rect>
                  </w:pict>
                </mc:Fallback>
              </mc:AlternateContent>
            </w:r>
            <w:r>
              <w:rPr>
                <w:b/>
                <w:bCs/>
                <w:color w:val="auto"/>
                <w:sz w:val="18"/>
                <w:szCs w:val="16"/>
              </w:rPr>
              <w:drawing>
                <wp:anchor distT="0" distB="0" distL="114300" distR="114300" simplePos="0" relativeHeight="251761664" behindDoc="0" locked="0" layoutInCell="1" allowOverlap="1">
                  <wp:simplePos x="0" y="0"/>
                  <wp:positionH relativeFrom="column">
                    <wp:posOffset>4938395</wp:posOffset>
                  </wp:positionH>
                  <wp:positionV relativeFrom="paragraph">
                    <wp:posOffset>31750</wp:posOffset>
                  </wp:positionV>
                  <wp:extent cx="673735" cy="655320"/>
                  <wp:effectExtent l="0" t="0" r="12065" b="11430"/>
                  <wp:wrapNone/>
                  <wp:docPr id="44" name="图片 44" descr="7cb1dc3bc0824f6b768fb174a86d5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7cb1dc3bc0824f6b768fb174a86d5b3"/>
                          <pic:cNvPicPr>
                            <a:picLocks noChangeAspect="1"/>
                          </pic:cNvPicPr>
                        </pic:nvPicPr>
                        <pic:blipFill>
                          <a:blip r:embed="rId27"/>
                          <a:stretch>
                            <a:fillRect/>
                          </a:stretch>
                        </pic:blipFill>
                        <pic:spPr>
                          <a:xfrm>
                            <a:off x="0" y="0"/>
                            <a:ext cx="673735" cy="655320"/>
                          </a:xfrm>
                          <a:prstGeom prst="rect">
                            <a:avLst/>
                          </a:prstGeom>
                        </pic:spPr>
                      </pic:pic>
                    </a:graphicData>
                  </a:graphic>
                </wp:anchor>
              </w:drawing>
            </w:r>
            <w:r>
              <w:rPr>
                <w:color w:val="auto"/>
                <w:sz w:val="18"/>
                <w:szCs w:val="16"/>
              </w:rPr>
              <mc:AlternateContent>
                <mc:Choice Requires="wps">
                  <w:drawing>
                    <wp:anchor distT="0" distB="0" distL="114300" distR="114300" simplePos="0" relativeHeight="251764736" behindDoc="0" locked="0" layoutInCell="1" allowOverlap="1">
                      <wp:simplePos x="0" y="0"/>
                      <wp:positionH relativeFrom="column">
                        <wp:posOffset>5537200</wp:posOffset>
                      </wp:positionH>
                      <wp:positionV relativeFrom="paragraph">
                        <wp:posOffset>775970</wp:posOffset>
                      </wp:positionV>
                      <wp:extent cx="6350" cy="78105"/>
                      <wp:effectExtent l="6350" t="635" r="6350" b="16510"/>
                      <wp:wrapNone/>
                      <wp:docPr id="50" name="直接连接符 50"/>
                      <wp:cNvGraphicFramePr/>
                      <a:graphic xmlns:a="http://schemas.openxmlformats.org/drawingml/2006/main">
                        <a:graphicData uri="http://schemas.microsoft.com/office/word/2010/wordprocessingShape">
                          <wps:wsp>
                            <wps:cNvCnPr/>
                            <wps:spPr>
                              <a:xfrm>
                                <a:off x="0" y="0"/>
                                <a:ext cx="6350" cy="7810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36pt;margin-top:61.1pt;height:6.15pt;width:0.5pt;z-index:251764736;mso-width-relative:page;mso-height-relative:page;" filled="f" stroked="t" coordsize="21600,21600" o:gfxdata="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Ys8MY&#10;2QAAAAsBAAAPAAAAAAAAAAEAIAAAACIAAABkcnMvZG93bnJldi54bWxQSwECFAAUAAAACACHTuJA&#10;h98vDOcBAAC1AwAADgAAAAAAAAABACAAAAAoAQAAZHJzL2Uyb0RvYy54bWxQSwUGAAAAAAYABgBZ&#10;AQAAgQUAAAAA&#10;">
                      <v:fill on="f" focussize="0,0"/>
                      <v:stroke weight="1pt" color="#FFFF00 [3204]" miterlimit="8" joinstyle="miter"/>
                      <v:imagedata o:title=""/>
                      <o:lock v:ext="edit" aspectratio="f"/>
                    </v:line>
                  </w:pict>
                </mc:Fallback>
              </mc:AlternateContent>
            </w:r>
            <w:r>
              <w:rPr>
                <w:color w:val="auto"/>
                <w:sz w:val="18"/>
                <w:szCs w:val="16"/>
              </w:rPr>
              <mc:AlternateContent>
                <mc:Choice Requires="wps">
                  <w:drawing>
                    <wp:anchor distT="0" distB="0" distL="114300" distR="114300" simplePos="0" relativeHeight="251763712" behindDoc="0" locked="0" layoutInCell="1" allowOverlap="1">
                      <wp:simplePos x="0" y="0"/>
                      <wp:positionH relativeFrom="column">
                        <wp:posOffset>4988560</wp:posOffset>
                      </wp:positionH>
                      <wp:positionV relativeFrom="paragraph">
                        <wp:posOffset>775970</wp:posOffset>
                      </wp:positionV>
                      <wp:extent cx="6350" cy="78105"/>
                      <wp:effectExtent l="6350" t="635" r="6350" b="16510"/>
                      <wp:wrapNone/>
                      <wp:docPr id="49" name="直接连接符 49"/>
                      <wp:cNvGraphicFramePr/>
                      <a:graphic xmlns:a="http://schemas.openxmlformats.org/drawingml/2006/main">
                        <a:graphicData uri="http://schemas.microsoft.com/office/word/2010/wordprocessingShape">
                          <wps:wsp>
                            <wps:cNvCnPr/>
                            <wps:spPr>
                              <a:xfrm>
                                <a:off x="0" y="0"/>
                                <a:ext cx="6350" cy="7810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92.8pt;margin-top:61.1pt;height:6.15pt;width:0.5pt;z-index:251763712;mso-width-relative:page;mso-height-relative:page;" filled="f" stroked="t" coordsize="21600,21600" o:gfxdata="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k&#10;TnbY2QAAAAsBAAAPAAAAAAAAAAEAIAAAACIAAABkcnMvZG93bnJldi54bWxQSwECFAAUAAAACACH&#10;TuJAlEOVguoBAAC1AwAADgAAAAAAAAABACAAAAAoAQAAZHJzL2Uyb0RvYy54bWxQSwUGAAAAAAYA&#10;BgBZAQAAhAUAAAAA&#10;">
                      <v:fill on="f" focussize="0,0"/>
                      <v:stroke weight="1pt" color="#FFFF00 [3204]" miterlimit="8" joinstyle="miter"/>
                      <v:imagedata o:title=""/>
                      <o:lock v:ext="edit" aspectratio="f"/>
                    </v:line>
                  </w:pict>
                </mc:Fallback>
              </mc:AlternateContent>
            </w:r>
            <w:r>
              <w:rPr>
                <w:b/>
                <w:bCs/>
                <w:color w:val="auto"/>
                <w:sz w:val="18"/>
                <w:szCs w:val="16"/>
              </w:rPr>
              <mc:AlternateContent>
                <mc:Choice Requires="wps">
                  <w:drawing>
                    <wp:anchor distT="0" distB="0" distL="114300" distR="114300" simplePos="0" relativeHeight="251663360" behindDoc="0" locked="0" layoutInCell="1" allowOverlap="1">
                      <wp:simplePos x="0" y="0"/>
                      <wp:positionH relativeFrom="column">
                        <wp:posOffset>4434205</wp:posOffset>
                      </wp:positionH>
                      <wp:positionV relativeFrom="paragraph">
                        <wp:posOffset>1010920</wp:posOffset>
                      </wp:positionV>
                      <wp:extent cx="546100" cy="1029970"/>
                      <wp:effectExtent l="0" t="0" r="0" b="0"/>
                      <wp:wrapNone/>
                      <wp:docPr id="79" name="矩形 79"/>
                      <wp:cNvGraphicFramePr/>
                      <a:graphic xmlns:a="http://schemas.openxmlformats.org/drawingml/2006/main">
                        <a:graphicData uri="http://schemas.microsoft.com/office/word/2010/wordprocessingShape">
                          <wps:wsp>
                            <wps:cNvSpPr/>
                            <wps:spPr>
                              <a:xfrm rot="21360000">
                                <a:off x="0" y="0"/>
                                <a:ext cx="546100" cy="102997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C87F5D3">
                                  <w:pPr>
                                    <w:jc w:val="center"/>
                                    <w:rPr>
                                      <w:rFonts w:hint="default" w:eastAsia="宋体"/>
                                      <w:b/>
                                      <w:bCs/>
                                      <w:color w:val="FFFF00"/>
                                      <w:sz w:val="28"/>
                                      <w:szCs w:val="24"/>
                                      <w:lang w:val="en-US" w:eastAsia="zh-CN"/>
                                    </w:rPr>
                                  </w:pPr>
                                  <w:r>
                                    <w:rPr>
                                      <w:rFonts w:hint="eastAsia"/>
                                      <w:b/>
                                      <w:bCs/>
                                      <w:color w:val="FFFF00"/>
                                      <w:sz w:val="28"/>
                                      <w:szCs w:val="24"/>
                                      <w:lang w:val="en-US" w:eastAsia="zh-CN"/>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9.15pt;margin-top:79.6pt;height:81.1pt;width:43pt;rotation:-262144f;z-index:251663360;v-text-anchor:middle;mso-width-relative:page;mso-height-relative:page;" filled="f" stroked="f" coordsize="21600,21600" o:gfxdata="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cZTuLNoAAAALAQAADwAAAAAAAAABACAAAAAiAAAAZHJzL2Rvd25yZXYueG1s&#10;UEsBAhQAFAAAAAgAh07iQCtpC85oAgAAvgQAAA4AAAAAAAAAAQAgAAAAKQEAAGRycy9lMm9Eb2Mu&#10;eG1sUEsFBgAAAAAGAAYAWQEAAAMGAAAAAA==&#10;">
                      <v:fill on="f" focussize="0,0"/>
                      <v:stroke on="f" weight="1pt" miterlimit="8" joinstyle="miter"/>
                      <v:imagedata o:title=""/>
                      <o:lock v:ext="edit" aspectratio="f"/>
                      <v:textbox>
                        <w:txbxContent>
                          <w:p w14:paraId="1C87F5D3">
                            <w:pPr>
                              <w:jc w:val="center"/>
                              <w:rPr>
                                <w:rFonts w:hint="default" w:eastAsia="宋体"/>
                                <w:b/>
                                <w:bCs/>
                                <w:color w:val="FFFF00"/>
                                <w:sz w:val="28"/>
                                <w:szCs w:val="24"/>
                                <w:lang w:val="en-US" w:eastAsia="zh-CN"/>
                              </w:rPr>
                            </w:pPr>
                            <w:r>
                              <w:rPr>
                                <w:rFonts w:hint="eastAsia"/>
                                <w:b/>
                                <w:bCs/>
                                <w:color w:val="FFFF00"/>
                                <w:sz w:val="28"/>
                                <w:szCs w:val="24"/>
                                <w:lang w:val="en-US" w:eastAsia="zh-CN"/>
                              </w:rPr>
                              <w:t>空地</w:t>
                            </w:r>
                          </w:p>
                        </w:txbxContent>
                      </v:textbox>
                    </v:rect>
                  </w:pict>
                </mc:Fallback>
              </mc:AlternateContent>
            </w:r>
            <w:r>
              <w:rPr>
                <w:color w:val="auto"/>
                <w:sz w:val="18"/>
                <w:szCs w:val="16"/>
              </w:rPr>
              <mc:AlternateContent>
                <mc:Choice Requires="wps">
                  <w:drawing>
                    <wp:anchor distT="0" distB="0" distL="114300" distR="114300" simplePos="0" relativeHeight="251762688" behindDoc="0" locked="0" layoutInCell="1" allowOverlap="1">
                      <wp:simplePos x="0" y="0"/>
                      <wp:positionH relativeFrom="column">
                        <wp:posOffset>4984115</wp:posOffset>
                      </wp:positionH>
                      <wp:positionV relativeFrom="paragraph">
                        <wp:posOffset>843280</wp:posOffset>
                      </wp:positionV>
                      <wp:extent cx="555625" cy="0"/>
                      <wp:effectExtent l="0" t="6350" r="0" b="6350"/>
                      <wp:wrapNone/>
                      <wp:docPr id="47" name="直接连接符 47"/>
                      <wp:cNvGraphicFramePr/>
                      <a:graphic xmlns:a="http://schemas.openxmlformats.org/drawingml/2006/main">
                        <a:graphicData uri="http://schemas.microsoft.com/office/word/2010/wordprocessingShape">
                          <wps:wsp>
                            <wps:cNvCnPr/>
                            <wps:spPr>
                              <a:xfrm>
                                <a:off x="5897245" y="1755140"/>
                                <a:ext cx="555625" cy="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92.45pt;margin-top:66.4pt;height:0pt;width:43.75pt;z-index:251762688;mso-width-relative:page;mso-height-relative:page;" filled="f" stroked="t" coordsize="21600,21600" o:gfxdata="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whwyDYAAAACwEAAA8AAAAAAAAAAQAgAAAAIgAAAGRycy9kb3ducmV2LnhtbFBLAQIU&#10;ABQAAAAIAIdO4kDaGHuq8wEAAL8DAAAOAAAAAAAAAAEAIAAAACcBAABkcnMvZTJvRG9jLnhtbFBL&#10;BQYAAAAABgAGAFkBAACMBQAAAAA=&#10;">
                      <v:fill on="f" focussize="0,0"/>
                      <v:stroke weight="1pt" color="#FFFF00 [3204]" miterlimit="8" joinstyle="miter"/>
                      <v:imagedata o:title=""/>
                      <o:lock v:ext="edit" aspectratio="f"/>
                    </v:line>
                  </w:pict>
                </mc:Fallback>
              </mc:AlternateContent>
            </w:r>
            <w:r>
              <w:rPr>
                <w:b/>
                <w:bCs/>
                <w:color w:val="auto"/>
                <w:sz w:val="18"/>
                <w:szCs w:val="16"/>
              </w:rPr>
              <mc:AlternateContent>
                <mc:Choice Requires="wps">
                  <w:drawing>
                    <wp:anchor distT="0" distB="0" distL="114300" distR="114300" simplePos="0" relativeHeight="251671552" behindDoc="0" locked="0" layoutInCell="1" allowOverlap="1">
                      <wp:simplePos x="0" y="0"/>
                      <wp:positionH relativeFrom="column">
                        <wp:posOffset>4675505</wp:posOffset>
                      </wp:positionH>
                      <wp:positionV relativeFrom="paragraph">
                        <wp:posOffset>2329815</wp:posOffset>
                      </wp:positionV>
                      <wp:extent cx="755015" cy="1257300"/>
                      <wp:effectExtent l="0" t="0" r="0" b="0"/>
                      <wp:wrapNone/>
                      <wp:docPr id="87" name="矩形 87"/>
                      <wp:cNvGraphicFramePr/>
                      <a:graphic xmlns:a="http://schemas.openxmlformats.org/drawingml/2006/main">
                        <a:graphicData uri="http://schemas.microsoft.com/office/word/2010/wordprocessingShape">
                          <wps:wsp>
                            <wps:cNvSpPr/>
                            <wps:spPr>
                              <a:xfrm rot="21120000">
                                <a:off x="0" y="0"/>
                                <a:ext cx="755015" cy="12573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42F72AD">
                                  <w:pPr>
                                    <w:jc w:val="center"/>
                                    <w:rPr>
                                      <w:rFonts w:hint="default" w:eastAsia="宋体"/>
                                      <w:b/>
                                      <w:bCs/>
                                      <w:color w:val="FFFF00"/>
                                      <w:sz w:val="20"/>
                                      <w:szCs w:val="18"/>
                                      <w:lang w:val="en-US" w:eastAsia="zh-CN"/>
                                    </w:rPr>
                                  </w:pPr>
                                  <w:r>
                                    <w:rPr>
                                      <w:rFonts w:hint="eastAsia"/>
                                      <w:b/>
                                      <w:bCs/>
                                      <w:color w:val="FFFF00"/>
                                      <w:sz w:val="20"/>
                                      <w:szCs w:val="18"/>
                                      <w:lang w:val="en-US" w:eastAsia="zh-CN"/>
                                    </w:rPr>
                                    <w:t>安徽合力（六安）铸造有限公司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8.15pt;margin-top:183.45pt;height:99pt;width:59.45pt;rotation:-524288f;z-index:251671552;v-text-anchor:middle;mso-width-relative:page;mso-height-relative:page;" filled="f" stroked="f" coordsize="21600,21600" o:gfxdata="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HXp5sXaAAAACwEAAA8AAAAAAAAAAQAgAAAAIgAAAGRycy9kb3ducmV2LnhtbFBL&#10;AQIUABQAAAAIAIdO4kA4tfHOZgIAAL4EAAAOAAAAAAAAAAEAIAAAACkBAABkcnMvZTJvRG9jLnht&#10;bFBLBQYAAAAABgAGAFkBAAABBgAAAAA=&#10;">
                      <v:fill on="f" focussize="0,0"/>
                      <v:stroke on="f" weight="1pt" miterlimit="8" joinstyle="miter"/>
                      <v:imagedata o:title=""/>
                      <o:lock v:ext="edit" aspectratio="f"/>
                      <v:textbox>
                        <w:txbxContent>
                          <w:p w14:paraId="642F72AD">
                            <w:pPr>
                              <w:jc w:val="center"/>
                              <w:rPr>
                                <w:rFonts w:hint="default" w:eastAsia="宋体"/>
                                <w:b/>
                                <w:bCs/>
                                <w:color w:val="FFFF00"/>
                                <w:sz w:val="20"/>
                                <w:szCs w:val="18"/>
                                <w:lang w:val="en-US" w:eastAsia="zh-CN"/>
                              </w:rPr>
                            </w:pPr>
                            <w:r>
                              <w:rPr>
                                <w:rFonts w:hint="eastAsia"/>
                                <w:b/>
                                <w:bCs/>
                                <w:color w:val="FFFF00"/>
                                <w:sz w:val="20"/>
                                <w:szCs w:val="18"/>
                                <w:lang w:val="en-US" w:eastAsia="zh-CN"/>
                              </w:rPr>
                              <w:t>安徽合力（六安）铸造有限公司</w:t>
                            </w:r>
                          </w:p>
                        </w:txbxContent>
                      </v:textbox>
                    </v:rect>
                  </w:pict>
                </mc:Fallback>
              </mc:AlternateContent>
            </w:r>
            <w:r>
              <w:rPr>
                <w:b/>
                <w:bCs/>
                <w:color w:val="auto"/>
                <w:sz w:val="18"/>
                <w:szCs w:val="16"/>
              </w:rPr>
              <mc:AlternateContent>
                <mc:Choice Requires="wps">
                  <w:drawing>
                    <wp:anchor distT="0" distB="0" distL="114300" distR="114300" simplePos="0" relativeHeight="251670528" behindDoc="0" locked="0" layoutInCell="1" allowOverlap="1">
                      <wp:simplePos x="0" y="0"/>
                      <wp:positionH relativeFrom="column">
                        <wp:posOffset>248285</wp:posOffset>
                      </wp:positionH>
                      <wp:positionV relativeFrom="paragraph">
                        <wp:posOffset>2608580</wp:posOffset>
                      </wp:positionV>
                      <wp:extent cx="1278890" cy="769620"/>
                      <wp:effectExtent l="0" t="0" r="0" b="0"/>
                      <wp:wrapNone/>
                      <wp:docPr id="86" name="矩形 86"/>
                      <wp:cNvGraphicFramePr/>
                      <a:graphic xmlns:a="http://schemas.openxmlformats.org/drawingml/2006/main">
                        <a:graphicData uri="http://schemas.microsoft.com/office/word/2010/wordprocessingShape">
                          <wps:wsp>
                            <wps:cNvSpPr/>
                            <wps:spPr>
                              <a:xfrm rot="21360000">
                                <a:off x="0" y="0"/>
                                <a:ext cx="1278890" cy="7696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E572081">
                                  <w:pPr>
                                    <w:rPr>
                                      <w:rFonts w:hint="default"/>
                                      <w:b/>
                                      <w:bCs/>
                                      <w:color w:val="FFC000" w:themeColor="accent4"/>
                                      <w:sz w:val="18"/>
                                      <w:szCs w:val="16"/>
                                      <w:lang w:val="en-US" w:eastAsia="zh-CN"/>
                                      <w14:textFill>
                                        <w14:solidFill>
                                          <w14:schemeClr w14:val="accent4"/>
                                        </w14:solidFill>
                                      </w14:textFill>
                                    </w:rPr>
                                  </w:pPr>
                                  <w:r>
                                    <w:rPr>
                                      <w:rFonts w:hint="eastAsia" w:ascii="Times New Roman" w:hAnsi="Times New Roman" w:cs="Times New Roman"/>
                                      <w:b/>
                                      <w:bCs/>
                                      <w:color w:val="FFC000" w:themeColor="accent4"/>
                                      <w:sz w:val="21"/>
                                      <w:szCs w:val="16"/>
                                      <w:highlight w:val="none"/>
                                      <w:lang w:val="en-US" w:eastAsia="zh-CN"/>
                                      <w14:textFill>
                                        <w14:solidFill>
                                          <w14:schemeClr w14:val="accent4"/>
                                        </w14:solidFill>
                                      </w14:textFill>
                                    </w:rPr>
                                    <w:t>邮政速递转运中心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5pt;margin-top:205.4pt;height:60.6pt;width:100.7pt;rotation:-262144f;z-index:251670528;v-text-anchor:middle;mso-width-relative:page;mso-height-relative:page;" filled="f" stroked="f" coordsize="21600,21600" o:gfxdata="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HRGXJtkAAAAKAQAADwAAAAAAAAABACAAAAAiAAAAZHJzL2Rvd25yZXYueG1sUEsB&#10;AhQAFAAAAAgAh07iQIcIv0xmAgAAvgQAAA4AAAAAAAAAAQAgAAAAKAEAAGRycy9lMm9Eb2MueG1s&#10;UEsFBgAAAAAGAAYAWQEAAAAGAAAAAA==&#10;">
                      <v:fill on="f" focussize="0,0"/>
                      <v:stroke on="f" weight="1pt" miterlimit="8" joinstyle="miter"/>
                      <v:imagedata o:title=""/>
                      <o:lock v:ext="edit" aspectratio="f"/>
                      <v:textbox>
                        <w:txbxContent>
                          <w:p w14:paraId="2E572081">
                            <w:pPr>
                              <w:rPr>
                                <w:rFonts w:hint="default"/>
                                <w:b/>
                                <w:bCs/>
                                <w:color w:val="FFC000" w:themeColor="accent4"/>
                                <w:sz w:val="18"/>
                                <w:szCs w:val="16"/>
                                <w:lang w:val="en-US" w:eastAsia="zh-CN"/>
                                <w14:textFill>
                                  <w14:solidFill>
                                    <w14:schemeClr w14:val="accent4"/>
                                  </w14:solidFill>
                                </w14:textFill>
                              </w:rPr>
                            </w:pPr>
                            <w:r>
                              <w:rPr>
                                <w:rFonts w:hint="eastAsia" w:ascii="Times New Roman" w:hAnsi="Times New Roman" w:cs="Times New Roman"/>
                                <w:b/>
                                <w:bCs/>
                                <w:color w:val="FFC000" w:themeColor="accent4"/>
                                <w:sz w:val="21"/>
                                <w:szCs w:val="16"/>
                                <w:highlight w:val="none"/>
                                <w:lang w:val="en-US" w:eastAsia="zh-CN"/>
                                <w14:textFill>
                                  <w14:solidFill>
                                    <w14:schemeClr w14:val="accent4"/>
                                  </w14:solidFill>
                                </w14:textFill>
                              </w:rPr>
                              <w:t>邮政速递转运中心</w:t>
                            </w:r>
                          </w:p>
                        </w:txbxContent>
                      </v:textbox>
                    </v:rect>
                  </w:pict>
                </mc:Fallback>
              </mc:AlternateContent>
            </w:r>
            <w:r>
              <w:rPr>
                <w:b/>
                <w:bCs/>
                <w:color w:val="auto"/>
                <w:sz w:val="18"/>
                <w:szCs w:val="16"/>
              </w:rPr>
              <mc:AlternateContent>
                <mc:Choice Requires="wps">
                  <w:drawing>
                    <wp:anchor distT="0" distB="0" distL="114300" distR="114300" simplePos="0" relativeHeight="251669504" behindDoc="0" locked="0" layoutInCell="1" allowOverlap="1">
                      <wp:simplePos x="0" y="0"/>
                      <wp:positionH relativeFrom="column">
                        <wp:posOffset>2336165</wp:posOffset>
                      </wp:positionH>
                      <wp:positionV relativeFrom="paragraph">
                        <wp:posOffset>1678940</wp:posOffset>
                      </wp:positionV>
                      <wp:extent cx="1845945" cy="508635"/>
                      <wp:effectExtent l="0" t="0" r="0" b="0"/>
                      <wp:wrapNone/>
                      <wp:docPr id="85" name="矩形 85"/>
                      <wp:cNvGraphicFramePr/>
                      <a:graphic xmlns:a="http://schemas.openxmlformats.org/drawingml/2006/main">
                        <a:graphicData uri="http://schemas.microsoft.com/office/word/2010/wordprocessingShape">
                          <wps:wsp>
                            <wps:cNvSpPr/>
                            <wps:spPr>
                              <a:xfrm rot="21360000">
                                <a:off x="0" y="0"/>
                                <a:ext cx="1845945" cy="50863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8A5DC9A">
                                  <w:pPr>
                                    <w:rPr>
                                      <w:rFonts w:hint="default"/>
                                      <w:b/>
                                      <w:bCs/>
                                      <w:color w:val="FF0000"/>
                                      <w:sz w:val="16"/>
                                      <w:szCs w:val="15"/>
                                      <w:lang w:val="en-US" w:eastAsia="zh-CN"/>
                                    </w:rPr>
                                  </w:pPr>
                                  <w:r>
                                    <w:rPr>
                                      <w:rFonts w:hint="default" w:ascii="Times New Roman" w:hAnsi="Times New Roman" w:cs="Times New Roman"/>
                                      <w:b/>
                                      <w:bCs/>
                                      <w:color w:val="FF0000"/>
                                      <w:sz w:val="20"/>
                                      <w:szCs w:val="20"/>
                                      <w:highlight w:val="none"/>
                                      <w:lang w:eastAsia="zh-CN"/>
                                    </w:rPr>
                                    <w:t>安徽泓济环境科技有限公司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3.95pt;margin-top:132.2pt;height:40.05pt;width:145.35pt;rotation:-262144f;z-index:251669504;v-text-anchor:middle;mso-width-relative:page;mso-height-relative:page;" filled="f" stroked="f" coordsize="21600,21600" o:gfxdata="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bJ+zZ2gAAAAsBAAAPAAAAAAAAAAEAIAAAACIAAABkcnMvZG93bnJldi54&#10;bWxQSwECFAAUAAAACACHTuJA3WJnQ2oCAAC+BAAADgAAAAAAAAABACAAAAApAQAAZHJzL2Uyb0Rv&#10;Yy54bWxQSwUGAAAAAAYABgBZAQAABQYAAAAA&#10;">
                      <v:fill on="f" focussize="0,0"/>
                      <v:stroke on="f" weight="1pt" miterlimit="8" joinstyle="miter"/>
                      <v:imagedata o:title=""/>
                      <o:lock v:ext="edit" aspectratio="f"/>
                      <v:textbox>
                        <w:txbxContent>
                          <w:p w14:paraId="68A5DC9A">
                            <w:pPr>
                              <w:rPr>
                                <w:rFonts w:hint="default"/>
                                <w:b/>
                                <w:bCs/>
                                <w:color w:val="FF0000"/>
                                <w:sz w:val="16"/>
                                <w:szCs w:val="15"/>
                                <w:lang w:val="en-US" w:eastAsia="zh-CN"/>
                              </w:rPr>
                            </w:pPr>
                            <w:r>
                              <w:rPr>
                                <w:rFonts w:hint="default" w:ascii="Times New Roman" w:hAnsi="Times New Roman" w:cs="Times New Roman"/>
                                <w:b/>
                                <w:bCs/>
                                <w:color w:val="FF0000"/>
                                <w:sz w:val="20"/>
                                <w:szCs w:val="20"/>
                                <w:highlight w:val="none"/>
                                <w:lang w:eastAsia="zh-CN"/>
                              </w:rPr>
                              <w:t>安徽泓济环境科技有限公司</w:t>
                            </w:r>
                          </w:p>
                        </w:txbxContent>
                      </v:textbox>
                    </v:rect>
                  </w:pict>
                </mc:Fallback>
              </mc:AlternateContent>
            </w:r>
            <w:r>
              <w:rPr>
                <w:b/>
                <w:bCs/>
                <w:color w:val="auto"/>
                <w:sz w:val="18"/>
                <w:szCs w:val="16"/>
              </w:rPr>
              <mc:AlternateContent>
                <mc:Choice Requires="wps">
                  <w:drawing>
                    <wp:anchor distT="0" distB="0" distL="114300" distR="114300" simplePos="0" relativeHeight="251668480" behindDoc="0" locked="0" layoutInCell="1" allowOverlap="1">
                      <wp:simplePos x="0" y="0"/>
                      <wp:positionH relativeFrom="column">
                        <wp:posOffset>2611755</wp:posOffset>
                      </wp:positionH>
                      <wp:positionV relativeFrom="paragraph">
                        <wp:posOffset>2145030</wp:posOffset>
                      </wp:positionV>
                      <wp:extent cx="961390" cy="508635"/>
                      <wp:effectExtent l="0" t="0" r="0" b="0"/>
                      <wp:wrapNone/>
                      <wp:docPr id="84" name="矩形 84"/>
                      <wp:cNvGraphicFramePr/>
                      <a:graphic xmlns:a="http://schemas.openxmlformats.org/drawingml/2006/main">
                        <a:graphicData uri="http://schemas.microsoft.com/office/word/2010/wordprocessingShape">
                          <wps:wsp>
                            <wps:cNvSpPr/>
                            <wps:spPr>
                              <a:xfrm rot="21360000">
                                <a:off x="0" y="0"/>
                                <a:ext cx="961390" cy="50863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F476D03">
                                  <w:pPr>
                                    <w:jc w:val="center"/>
                                    <w:rPr>
                                      <w:rFonts w:hint="default" w:eastAsia="宋体"/>
                                      <w:b/>
                                      <w:bCs/>
                                      <w:color w:val="FF0000"/>
                                      <w:sz w:val="21"/>
                                      <w:szCs w:val="20"/>
                                      <w:lang w:val="en-US" w:eastAsia="zh-CN"/>
                                    </w:rPr>
                                  </w:pPr>
                                  <w:r>
                                    <w:rPr>
                                      <w:rFonts w:hint="eastAsia"/>
                                      <w:b/>
                                      <w:bCs/>
                                      <w:color w:val="FF0000"/>
                                      <w:sz w:val="21"/>
                                      <w:szCs w:val="20"/>
                                      <w:lang w:val="en-US" w:eastAsia="zh-CN"/>
                                    </w:rPr>
                                    <w:t>长淮路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65pt;margin-top:168.9pt;height:40.05pt;width:75.7pt;rotation:-262144f;z-index:251668480;v-text-anchor:middle;mso-width-relative:page;mso-height-relative:page;" filled="f" stroked="f" coordsize="21600,21600" o:gfxdata="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boI5DtoAAAALAQAADwAAAAAAAAABACAAAAAiAAAAZHJzL2Rvd25yZXYueG1s&#10;UEsBAhQAFAAAAAgAh07iQHgPwU9oAgAAvQQAAA4AAAAAAAAAAQAgAAAAKQEAAGRycy9lMm9Eb2Mu&#10;eG1sUEsFBgAAAAAGAAYAWQEAAAMGAAAAAA==&#10;">
                      <v:fill on="f" focussize="0,0"/>
                      <v:stroke on="f" weight="1pt" miterlimit="8" joinstyle="miter"/>
                      <v:imagedata o:title=""/>
                      <o:lock v:ext="edit" aspectratio="f"/>
                      <v:textbox>
                        <w:txbxContent>
                          <w:p w14:paraId="1F476D03">
                            <w:pPr>
                              <w:jc w:val="center"/>
                              <w:rPr>
                                <w:rFonts w:hint="default" w:eastAsia="宋体"/>
                                <w:b/>
                                <w:bCs/>
                                <w:color w:val="FF0000"/>
                                <w:sz w:val="21"/>
                                <w:szCs w:val="20"/>
                                <w:lang w:val="en-US" w:eastAsia="zh-CN"/>
                              </w:rPr>
                            </w:pPr>
                            <w:r>
                              <w:rPr>
                                <w:rFonts w:hint="eastAsia"/>
                                <w:b/>
                                <w:bCs/>
                                <w:color w:val="FF0000"/>
                                <w:sz w:val="21"/>
                                <w:szCs w:val="20"/>
                                <w:lang w:val="en-US" w:eastAsia="zh-CN"/>
                              </w:rPr>
                              <w:t>长淮路</w:t>
                            </w:r>
                          </w:p>
                        </w:txbxContent>
                      </v:textbox>
                    </v:rect>
                  </w:pict>
                </mc:Fallback>
              </mc:AlternateContent>
            </w:r>
            <w:r>
              <w:rPr>
                <w:b/>
                <w:bCs/>
                <w:color w:val="auto"/>
                <w:sz w:val="18"/>
                <w:szCs w:val="16"/>
              </w:rPr>
              <mc:AlternateContent>
                <mc:Choice Requires="wps">
                  <w:drawing>
                    <wp:anchor distT="0" distB="0" distL="114300" distR="114300" simplePos="0" relativeHeight="251667456" behindDoc="0" locked="0" layoutInCell="1" allowOverlap="1">
                      <wp:simplePos x="0" y="0"/>
                      <wp:positionH relativeFrom="column">
                        <wp:posOffset>1329690</wp:posOffset>
                      </wp:positionH>
                      <wp:positionV relativeFrom="paragraph">
                        <wp:posOffset>462915</wp:posOffset>
                      </wp:positionV>
                      <wp:extent cx="373380" cy="1720215"/>
                      <wp:effectExtent l="0" t="0" r="0" b="0"/>
                      <wp:wrapNone/>
                      <wp:docPr id="83" name="矩形 83"/>
                      <wp:cNvGraphicFramePr/>
                      <a:graphic xmlns:a="http://schemas.openxmlformats.org/drawingml/2006/main">
                        <a:graphicData uri="http://schemas.microsoft.com/office/word/2010/wordprocessingShape">
                          <wps:wsp>
                            <wps:cNvSpPr/>
                            <wps:spPr>
                              <a:xfrm rot="21360000">
                                <a:off x="0" y="0"/>
                                <a:ext cx="373380" cy="172021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84DBBD7">
                                  <w:pPr>
                                    <w:jc w:val="center"/>
                                    <w:rPr>
                                      <w:rFonts w:hint="default" w:eastAsia="宋体"/>
                                      <w:b/>
                                      <w:bCs/>
                                      <w:color w:val="FF0000"/>
                                      <w:sz w:val="21"/>
                                      <w:szCs w:val="20"/>
                                      <w:lang w:val="en-US" w:eastAsia="zh-CN"/>
                                    </w:rPr>
                                  </w:pPr>
                                  <w:r>
                                    <w:rPr>
                                      <w:rFonts w:hint="eastAsia"/>
                                      <w:b/>
                                      <w:bCs/>
                                      <w:color w:val="FF0000"/>
                                      <w:sz w:val="21"/>
                                      <w:szCs w:val="20"/>
                                      <w:lang w:val="en-US" w:eastAsia="zh-CN"/>
                                    </w:rPr>
                                    <w:t>一元大道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4.7pt;margin-top:36.45pt;height:135.45pt;width:29.4pt;rotation:-262144f;z-index:251667456;v-text-anchor:middle;mso-width-relative:page;mso-height-relative:page;" filled="f" stroked="f" coordsize="21600,21600" o:gfxdata="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zviiPaAAAACgEAAA8AAAAAAAAAAQAgAAAAIgAAAGRycy9kb3ducmV2Lnht&#10;bFBLAQIUABQAAAAIAIdO4kCH6fsFaQIAAL4EAAAOAAAAAAAAAAEAIAAAACkBAABkcnMvZTJvRG9j&#10;LnhtbFBLBQYAAAAABgAGAFkBAAAEBgAAAAA=&#10;">
                      <v:fill on="f" focussize="0,0"/>
                      <v:stroke on="f" weight="1pt" miterlimit="8" joinstyle="miter"/>
                      <v:imagedata o:title=""/>
                      <o:lock v:ext="edit" aspectratio="f"/>
                      <v:textbox>
                        <w:txbxContent>
                          <w:p w14:paraId="584DBBD7">
                            <w:pPr>
                              <w:jc w:val="center"/>
                              <w:rPr>
                                <w:rFonts w:hint="default" w:eastAsia="宋体"/>
                                <w:b/>
                                <w:bCs/>
                                <w:color w:val="FF0000"/>
                                <w:sz w:val="21"/>
                                <w:szCs w:val="20"/>
                                <w:lang w:val="en-US" w:eastAsia="zh-CN"/>
                              </w:rPr>
                            </w:pPr>
                            <w:r>
                              <w:rPr>
                                <w:rFonts w:hint="eastAsia"/>
                                <w:b/>
                                <w:bCs/>
                                <w:color w:val="FF0000"/>
                                <w:sz w:val="21"/>
                                <w:szCs w:val="20"/>
                                <w:lang w:val="en-US" w:eastAsia="zh-CN"/>
                              </w:rPr>
                              <w:t>一元大道</w:t>
                            </w:r>
                          </w:p>
                        </w:txbxContent>
                      </v:textbox>
                    </v:rect>
                  </w:pict>
                </mc:Fallback>
              </mc:AlternateContent>
            </w:r>
            <w:r>
              <w:rPr>
                <w:b/>
                <w:bCs/>
                <w:color w:val="auto"/>
                <w:sz w:val="18"/>
                <w:szCs w:val="16"/>
              </w:rPr>
              <mc:AlternateContent>
                <mc:Choice Requires="wps">
                  <w:drawing>
                    <wp:anchor distT="0" distB="0" distL="114300" distR="114300" simplePos="0" relativeHeight="251661312" behindDoc="0" locked="0" layoutInCell="1" allowOverlap="1">
                      <wp:simplePos x="0" y="0"/>
                      <wp:positionH relativeFrom="column">
                        <wp:posOffset>1745615</wp:posOffset>
                      </wp:positionH>
                      <wp:positionV relativeFrom="paragraph">
                        <wp:posOffset>1606550</wp:posOffset>
                      </wp:positionV>
                      <wp:extent cx="2469515" cy="767080"/>
                      <wp:effectExtent l="6985" t="6985" r="19050" b="6985"/>
                      <wp:wrapNone/>
                      <wp:docPr id="76" name="任意多边形 76"/>
                      <wp:cNvGraphicFramePr/>
                      <a:graphic xmlns:a="http://schemas.openxmlformats.org/drawingml/2006/main">
                        <a:graphicData uri="http://schemas.microsoft.com/office/word/2010/wordprocessingShape">
                          <wps:wsp>
                            <wps:cNvSpPr/>
                            <wps:spPr>
                              <a:xfrm>
                                <a:off x="2709545" y="5306060"/>
                                <a:ext cx="2469515" cy="767080"/>
                              </a:xfrm>
                              <a:custGeom>
                                <a:avLst/>
                                <a:gdLst>
                                  <a:gd name="connisteX0" fmla="*/ 0 w 2469515"/>
                                  <a:gd name="connsiteY0" fmla="*/ 149860 h 755650"/>
                                  <a:gd name="connisteX1" fmla="*/ 47625 w 2469515"/>
                                  <a:gd name="connsiteY1" fmla="*/ 708025 h 755650"/>
                                  <a:gd name="connisteX2" fmla="*/ 109220 w 2469515"/>
                                  <a:gd name="connsiteY2" fmla="*/ 755650 h 755650"/>
                                  <a:gd name="connisteX3" fmla="*/ 2367915 w 2469515"/>
                                  <a:gd name="connsiteY3" fmla="*/ 633095 h 755650"/>
                                  <a:gd name="connisteX4" fmla="*/ 2469515 w 2469515"/>
                                  <a:gd name="connsiteY4" fmla="*/ 558165 h 755650"/>
                                  <a:gd name="connisteX5" fmla="*/ 2421890 w 2469515"/>
                                  <a:gd name="connsiteY5" fmla="*/ 0 h 755650"/>
                                  <a:gd name="connisteX6" fmla="*/ 0 w 2469515"/>
                                  <a:gd name="connsiteY6" fmla="*/ 149860 h 7556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469515" h="755650">
                                    <a:moveTo>
                                      <a:pt x="0" y="149860"/>
                                    </a:moveTo>
                                    <a:lnTo>
                                      <a:pt x="47625" y="708025"/>
                                    </a:lnTo>
                                    <a:lnTo>
                                      <a:pt x="109220" y="755650"/>
                                    </a:lnTo>
                                    <a:lnTo>
                                      <a:pt x="2367915" y="633095"/>
                                    </a:lnTo>
                                    <a:lnTo>
                                      <a:pt x="2469515" y="558165"/>
                                    </a:lnTo>
                                    <a:lnTo>
                                      <a:pt x="2421890" y="0"/>
                                    </a:lnTo>
                                    <a:lnTo>
                                      <a:pt x="0" y="14986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37.45pt;margin-top:126.5pt;height:60.4pt;width:194.45pt;z-index:251661312;mso-width-relative:page;mso-height-relative:page;" filled="f" stroked="t" coordsize="2469515,755650" o:gfxdata="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" path="m0,149860l47625,708025,109220,755650,2367915,633095,2469515,558165,2421890,0,0,149860xe">
                      <v:path o:connectlocs="0,152126;47625,718734;109220,767080;2367915,642671;2469515,566607;2421890,0;0,152126" o:connectangles="0,0,0,0,0,0,0"/>
                      <v:fill on="f" focussize="0,0"/>
                      <v:stroke weight="1pt" color="#FF0000 [2404]" miterlimit="8" joinstyle="miter"/>
                      <v:imagedata o:title=""/>
                      <o:lock v:ext="edit" aspectratio="f"/>
                    </v:shape>
                  </w:pict>
                </mc:Fallback>
              </mc:AlternateContent>
            </w:r>
            <w:r>
              <w:rPr>
                <w:b/>
                <w:bCs/>
                <w:color w:val="auto"/>
                <w:sz w:val="18"/>
                <w:szCs w:val="16"/>
              </w:rPr>
              <mc:AlternateContent>
                <mc:Choice Requires="wps">
                  <w:drawing>
                    <wp:anchor distT="0" distB="0" distL="114300" distR="114300" simplePos="0" relativeHeight="251665408" behindDoc="0" locked="0" layoutInCell="1" allowOverlap="1">
                      <wp:simplePos x="0" y="0"/>
                      <wp:positionH relativeFrom="column">
                        <wp:posOffset>334645</wp:posOffset>
                      </wp:positionH>
                      <wp:positionV relativeFrom="paragraph">
                        <wp:posOffset>1808480</wp:posOffset>
                      </wp:positionV>
                      <wp:extent cx="1028065" cy="769620"/>
                      <wp:effectExtent l="0" t="0" r="0" b="0"/>
                      <wp:wrapNone/>
                      <wp:docPr id="81" name="矩形 81"/>
                      <wp:cNvGraphicFramePr/>
                      <a:graphic xmlns:a="http://schemas.openxmlformats.org/drawingml/2006/main">
                        <a:graphicData uri="http://schemas.microsoft.com/office/word/2010/wordprocessingShape">
                          <wps:wsp>
                            <wps:cNvSpPr/>
                            <wps:spPr>
                              <a:xfrm rot="21360000">
                                <a:off x="0" y="0"/>
                                <a:ext cx="1028065" cy="7696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AFF7A3E">
                                  <w:pPr>
                                    <w:rPr>
                                      <w:rFonts w:hint="default"/>
                                      <w:b/>
                                      <w:bCs/>
                                      <w:color w:val="FFC000" w:themeColor="accent4"/>
                                      <w:sz w:val="13"/>
                                      <w:szCs w:val="11"/>
                                      <w:lang w:val="en-US" w:eastAsia="zh-CN"/>
                                      <w14:textFill>
                                        <w14:solidFill>
                                          <w14:schemeClr w14:val="accent4"/>
                                        </w14:solidFill>
                                      </w14:textFill>
                                    </w:rPr>
                                  </w:pPr>
                                  <w:r>
                                    <w:rPr>
                                      <w:rFonts w:hint="default" w:ascii="Times New Roman" w:hAnsi="Times New Roman" w:eastAsia="宋体" w:cs="Times New Roman"/>
                                      <w:b/>
                                      <w:bCs/>
                                      <w:color w:val="FFC000" w:themeColor="accent4"/>
                                      <w:sz w:val="16"/>
                                      <w:szCs w:val="11"/>
                                      <w:highlight w:val="none"/>
                                      <w:lang w:eastAsia="zh-CN"/>
                                      <w14:textFill>
                                        <w14:solidFill>
                                          <w14:schemeClr w14:val="accent4"/>
                                        </w14:solidFill>
                                      </w14:textFill>
                                    </w:rPr>
                                    <w:t>安徽新中天光学材料科技有限公司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5pt;margin-top:142.4pt;height:60.6pt;width:80.95pt;rotation:-262144f;z-index:251665408;v-text-anchor:middle;mso-width-relative:page;mso-height-relative:page;" filled="f" stroked="f" coordsize="21600,21600" o:gfxdata="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JqlF1dkAAAAKAQAADwAAAAAAAAABACAAAAAiAAAAZHJzL2Rvd25yZXYueG1s&#10;UEsBAhQAFAAAAAgAh07iQPELdudpAgAAvgQAAA4AAAAAAAAAAQAgAAAAKAEAAGRycy9lMm9Eb2Mu&#10;eG1sUEsFBgAAAAAGAAYAWQEAAAMGAAAAAA==&#10;">
                      <v:fill on="f" focussize="0,0"/>
                      <v:stroke on="f" weight="1pt" miterlimit="8" joinstyle="miter"/>
                      <v:imagedata o:title=""/>
                      <o:lock v:ext="edit" aspectratio="f"/>
                      <v:textbox>
                        <w:txbxContent>
                          <w:p w14:paraId="1AFF7A3E">
                            <w:pPr>
                              <w:rPr>
                                <w:rFonts w:hint="default"/>
                                <w:b/>
                                <w:bCs/>
                                <w:color w:val="FFC000" w:themeColor="accent4"/>
                                <w:sz w:val="13"/>
                                <w:szCs w:val="11"/>
                                <w:lang w:val="en-US" w:eastAsia="zh-CN"/>
                                <w14:textFill>
                                  <w14:solidFill>
                                    <w14:schemeClr w14:val="accent4"/>
                                  </w14:solidFill>
                                </w14:textFill>
                              </w:rPr>
                            </w:pPr>
                            <w:r>
                              <w:rPr>
                                <w:rFonts w:hint="default" w:ascii="Times New Roman" w:hAnsi="Times New Roman" w:eastAsia="宋体" w:cs="Times New Roman"/>
                                <w:b/>
                                <w:bCs/>
                                <w:color w:val="FFC000" w:themeColor="accent4"/>
                                <w:sz w:val="16"/>
                                <w:szCs w:val="11"/>
                                <w:highlight w:val="none"/>
                                <w:lang w:eastAsia="zh-CN"/>
                                <w14:textFill>
                                  <w14:solidFill>
                                    <w14:schemeClr w14:val="accent4"/>
                                  </w14:solidFill>
                                </w14:textFill>
                              </w:rPr>
                              <w:t>安徽新中天光学材料科技有限公司</w:t>
                            </w:r>
                          </w:p>
                        </w:txbxContent>
                      </v:textbox>
                    </v:rect>
                  </w:pict>
                </mc:Fallback>
              </mc:AlternateContent>
            </w:r>
            <w:r>
              <w:rPr>
                <w:b/>
                <w:bCs/>
                <w:color w:val="auto"/>
                <w:sz w:val="18"/>
                <w:szCs w:val="16"/>
              </w:rPr>
              <mc:AlternateContent>
                <mc:Choice Requires="wps">
                  <w:drawing>
                    <wp:anchor distT="0" distB="0" distL="114300" distR="114300" simplePos="0" relativeHeight="251666432" behindDoc="0" locked="0" layoutInCell="1" allowOverlap="1">
                      <wp:simplePos x="0" y="0"/>
                      <wp:positionH relativeFrom="column">
                        <wp:posOffset>334645</wp:posOffset>
                      </wp:positionH>
                      <wp:positionV relativeFrom="paragraph">
                        <wp:posOffset>1355090</wp:posOffset>
                      </wp:positionV>
                      <wp:extent cx="987425" cy="549275"/>
                      <wp:effectExtent l="0" t="0" r="0" b="0"/>
                      <wp:wrapNone/>
                      <wp:docPr id="82" name="矩形 82"/>
                      <wp:cNvGraphicFramePr/>
                      <a:graphic xmlns:a="http://schemas.openxmlformats.org/drawingml/2006/main">
                        <a:graphicData uri="http://schemas.microsoft.com/office/word/2010/wordprocessingShape">
                          <wps:wsp>
                            <wps:cNvSpPr/>
                            <wps:spPr>
                              <a:xfrm rot="21360000">
                                <a:off x="0" y="0"/>
                                <a:ext cx="987425" cy="5492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03EA834">
                                  <w:pPr>
                                    <w:rPr>
                                      <w:rFonts w:hint="default"/>
                                      <w:b/>
                                      <w:bCs/>
                                      <w:color w:val="FFC000" w:themeColor="accent4"/>
                                      <w:sz w:val="13"/>
                                      <w:szCs w:val="11"/>
                                      <w:lang w:val="en-US" w:eastAsia="zh-CN"/>
                                      <w14:textFill>
                                        <w14:solidFill>
                                          <w14:schemeClr w14:val="accent4"/>
                                        </w14:solidFill>
                                      </w14:textFill>
                                    </w:rPr>
                                  </w:pPr>
                                  <w:r>
                                    <w:rPr>
                                      <w:rFonts w:hint="default" w:ascii="Times New Roman" w:hAnsi="Times New Roman" w:eastAsia="宋体" w:cs="Times New Roman"/>
                                      <w:b/>
                                      <w:bCs/>
                                      <w:color w:val="FFC000" w:themeColor="accent4"/>
                                      <w:sz w:val="16"/>
                                      <w:szCs w:val="11"/>
                                      <w:highlight w:val="none"/>
                                      <w:lang w:eastAsia="zh-CN"/>
                                      <w14:textFill>
                                        <w14:solidFill>
                                          <w14:schemeClr w14:val="accent4"/>
                                        </w14:solidFill>
                                      </w14:textFill>
                                    </w:rPr>
                                    <w:t>安徽捷成包装制品有限公司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5pt;margin-top:106.7pt;height:43.25pt;width:77.75pt;rotation:-262144f;z-index:251666432;v-text-anchor:middle;mso-width-relative:page;mso-height-relative:page;" filled="f" stroked="f" coordsize="21600,21600" o:gfxdata="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J+uo/aAAAACgEAAA8AAAAAAAAAAQAgAAAAIgAAAGRycy9kb3ducmV2Lnht&#10;bFBLAQIUABQAAAAIAIdO4kAImK9zaQIAAL0EAAAOAAAAAAAAAAEAIAAAACkBAABkcnMvZTJvRG9j&#10;LnhtbFBLBQYAAAAABgAGAFkBAAAEBgAAAAA=&#10;">
                      <v:fill on="f" focussize="0,0"/>
                      <v:stroke on="f" weight="1pt" miterlimit="8" joinstyle="miter"/>
                      <v:imagedata o:title=""/>
                      <o:lock v:ext="edit" aspectratio="f"/>
                      <v:textbox>
                        <w:txbxContent>
                          <w:p w14:paraId="003EA834">
                            <w:pPr>
                              <w:rPr>
                                <w:rFonts w:hint="default"/>
                                <w:b/>
                                <w:bCs/>
                                <w:color w:val="FFC000" w:themeColor="accent4"/>
                                <w:sz w:val="13"/>
                                <w:szCs w:val="11"/>
                                <w:lang w:val="en-US" w:eastAsia="zh-CN"/>
                                <w14:textFill>
                                  <w14:solidFill>
                                    <w14:schemeClr w14:val="accent4"/>
                                  </w14:solidFill>
                                </w14:textFill>
                              </w:rPr>
                            </w:pPr>
                            <w:r>
                              <w:rPr>
                                <w:rFonts w:hint="default" w:ascii="Times New Roman" w:hAnsi="Times New Roman" w:eastAsia="宋体" w:cs="Times New Roman"/>
                                <w:b/>
                                <w:bCs/>
                                <w:color w:val="FFC000" w:themeColor="accent4"/>
                                <w:sz w:val="16"/>
                                <w:szCs w:val="11"/>
                                <w:highlight w:val="none"/>
                                <w:lang w:eastAsia="zh-CN"/>
                                <w14:textFill>
                                  <w14:solidFill>
                                    <w14:schemeClr w14:val="accent4"/>
                                  </w14:solidFill>
                                </w14:textFill>
                              </w:rPr>
                              <w:t>安徽捷成包装制品有限公司</w:t>
                            </w:r>
                          </w:p>
                        </w:txbxContent>
                      </v:textbox>
                    </v:rect>
                  </w:pict>
                </mc:Fallback>
              </mc:AlternateContent>
            </w:r>
            <w:r>
              <w:rPr>
                <w:b/>
                <w:bCs/>
                <w:color w:val="auto"/>
                <w:sz w:val="18"/>
                <w:szCs w:val="16"/>
              </w:rPr>
              <mc:AlternateContent>
                <mc:Choice Requires="wps">
                  <w:drawing>
                    <wp:anchor distT="0" distB="0" distL="114300" distR="114300" simplePos="0" relativeHeight="251664384" behindDoc="0" locked="0" layoutInCell="1" allowOverlap="1">
                      <wp:simplePos x="0" y="0"/>
                      <wp:positionH relativeFrom="column">
                        <wp:posOffset>2815590</wp:posOffset>
                      </wp:positionH>
                      <wp:positionV relativeFrom="paragraph">
                        <wp:posOffset>2442845</wp:posOffset>
                      </wp:positionV>
                      <wp:extent cx="593725" cy="722630"/>
                      <wp:effectExtent l="0" t="0" r="0" b="0"/>
                      <wp:wrapNone/>
                      <wp:docPr id="80" name="矩形 80"/>
                      <wp:cNvGraphicFramePr/>
                      <a:graphic xmlns:a="http://schemas.openxmlformats.org/drawingml/2006/main">
                        <a:graphicData uri="http://schemas.microsoft.com/office/word/2010/wordprocessingShape">
                          <wps:wsp>
                            <wps:cNvSpPr/>
                            <wps:spPr>
                              <a:xfrm rot="21360000">
                                <a:off x="0" y="0"/>
                                <a:ext cx="593725" cy="72263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0887304">
                                  <w:pPr>
                                    <w:jc w:val="center"/>
                                    <w:rPr>
                                      <w:rFonts w:hint="default" w:eastAsia="宋体"/>
                                      <w:b/>
                                      <w:bCs/>
                                      <w:color w:val="FFFF00"/>
                                      <w:sz w:val="28"/>
                                      <w:szCs w:val="24"/>
                                      <w:lang w:val="en-US" w:eastAsia="zh-CN"/>
                                    </w:rPr>
                                  </w:pPr>
                                  <w:r>
                                    <w:rPr>
                                      <w:rFonts w:hint="eastAsia"/>
                                      <w:b/>
                                      <w:bCs/>
                                      <w:color w:val="FFFF00"/>
                                      <w:sz w:val="28"/>
                                      <w:szCs w:val="24"/>
                                      <w:lang w:val="en-US" w:eastAsia="zh-CN"/>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7pt;margin-top:192.35pt;height:56.9pt;width:46.75pt;rotation:-262144f;z-index:251664384;v-text-anchor:middle;mso-width-relative:page;mso-height-relative:page;" filled="f" stroked="f" coordsize="21600,21600" o:gfxdata="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aQK299oAAAALAQAADwAAAAAAAAABACAAAAAiAAAAZHJzL2Rvd25yZXYueG1s&#10;UEsBAhQAFAAAAAgAh07iQHBFMcpoAgAAvQQAAA4AAAAAAAAAAQAgAAAAKQEAAGRycy9lMm9Eb2Mu&#10;eG1sUEsFBgAAAAAGAAYAWQEAAAMGAAAAAA==&#10;">
                      <v:fill on="f" focussize="0,0"/>
                      <v:stroke on="f" weight="1pt" miterlimit="8" joinstyle="miter"/>
                      <v:imagedata o:title=""/>
                      <o:lock v:ext="edit" aspectratio="f"/>
                      <v:textbox>
                        <w:txbxContent>
                          <w:p w14:paraId="20887304">
                            <w:pPr>
                              <w:jc w:val="center"/>
                              <w:rPr>
                                <w:rFonts w:hint="default" w:eastAsia="宋体"/>
                                <w:b/>
                                <w:bCs/>
                                <w:color w:val="FFFF00"/>
                                <w:sz w:val="28"/>
                                <w:szCs w:val="24"/>
                                <w:lang w:val="en-US" w:eastAsia="zh-CN"/>
                              </w:rPr>
                            </w:pPr>
                            <w:r>
                              <w:rPr>
                                <w:rFonts w:hint="eastAsia"/>
                                <w:b/>
                                <w:bCs/>
                                <w:color w:val="FFFF00"/>
                                <w:sz w:val="28"/>
                                <w:szCs w:val="24"/>
                                <w:lang w:val="en-US" w:eastAsia="zh-CN"/>
                              </w:rPr>
                              <w:t>空地</w:t>
                            </w:r>
                          </w:p>
                        </w:txbxContent>
                      </v:textbox>
                    </v:rect>
                  </w:pict>
                </mc:Fallback>
              </mc:AlternateContent>
            </w:r>
            <w:r>
              <w:rPr>
                <w:b/>
                <w:bCs/>
                <w:color w:val="auto"/>
                <w:sz w:val="18"/>
                <w:szCs w:val="16"/>
              </w:rPr>
              <mc:AlternateContent>
                <mc:Choice Requires="wps">
                  <w:drawing>
                    <wp:anchor distT="0" distB="0" distL="114300" distR="114300" simplePos="0" relativeHeight="251662336" behindDoc="0" locked="0" layoutInCell="1" allowOverlap="1">
                      <wp:simplePos x="0" y="0"/>
                      <wp:positionH relativeFrom="column">
                        <wp:posOffset>2317750</wp:posOffset>
                      </wp:positionH>
                      <wp:positionV relativeFrom="paragraph">
                        <wp:posOffset>417830</wp:posOffset>
                      </wp:positionV>
                      <wp:extent cx="593725" cy="1257300"/>
                      <wp:effectExtent l="0" t="0" r="0" b="0"/>
                      <wp:wrapNone/>
                      <wp:docPr id="77" name="矩形 77"/>
                      <wp:cNvGraphicFramePr/>
                      <a:graphic xmlns:a="http://schemas.openxmlformats.org/drawingml/2006/main">
                        <a:graphicData uri="http://schemas.microsoft.com/office/word/2010/wordprocessingShape">
                          <wps:wsp>
                            <wps:cNvSpPr/>
                            <wps:spPr>
                              <a:xfrm rot="21360000">
                                <a:off x="4305300" y="4145915"/>
                                <a:ext cx="593725" cy="12573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5263F7A">
                                  <w:pPr>
                                    <w:jc w:val="center"/>
                                    <w:rPr>
                                      <w:rFonts w:hint="default" w:eastAsia="宋体"/>
                                      <w:b/>
                                      <w:bCs/>
                                      <w:color w:val="FFFF00"/>
                                      <w:sz w:val="20"/>
                                      <w:szCs w:val="18"/>
                                      <w:lang w:val="en-US" w:eastAsia="zh-CN"/>
                                    </w:rPr>
                                  </w:pPr>
                                  <w:r>
                                    <w:rPr>
                                      <w:rFonts w:hint="eastAsia"/>
                                      <w:b/>
                                      <w:bCs/>
                                      <w:color w:val="FFFF00"/>
                                      <w:sz w:val="20"/>
                                      <w:szCs w:val="18"/>
                                      <w:lang w:val="en-US" w:eastAsia="zh-CN"/>
                                    </w:rPr>
                                    <w:t>安徽人和智能制造有限公司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2.5pt;margin-top:32.9pt;height:99pt;width:46.75pt;rotation:-262144f;z-index:251662336;v-text-anchor:middle;mso-width-relative:page;mso-height-relative:page;" filled="f" stroked="f" coordsize="21600,21600" o:gfxdata="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PENW3DZAAAACgEAAA8AAAAAAAAAAQAgAAAAIgAAAGRycy9k&#10;b3ducmV2LnhtbFBLAQIUABQAAAAIAIdO4kDkp+uHcwIAAMoEAAAOAAAAAAAAAAEAIAAAACgBAABk&#10;cnMvZTJvRG9jLnhtbFBLBQYAAAAABgAGAFkBAAANBgAAAAA=&#10;">
                      <v:fill on="f" focussize="0,0"/>
                      <v:stroke on="f" weight="1pt" miterlimit="8" joinstyle="miter"/>
                      <v:imagedata o:title=""/>
                      <o:lock v:ext="edit" aspectratio="f"/>
                      <v:textbox>
                        <w:txbxContent>
                          <w:p w14:paraId="25263F7A">
                            <w:pPr>
                              <w:jc w:val="center"/>
                              <w:rPr>
                                <w:rFonts w:hint="default" w:eastAsia="宋体"/>
                                <w:b/>
                                <w:bCs/>
                                <w:color w:val="FFFF00"/>
                                <w:sz w:val="20"/>
                                <w:szCs w:val="18"/>
                                <w:lang w:val="en-US" w:eastAsia="zh-CN"/>
                              </w:rPr>
                            </w:pPr>
                            <w:r>
                              <w:rPr>
                                <w:rFonts w:hint="eastAsia"/>
                                <w:b/>
                                <w:bCs/>
                                <w:color w:val="FFFF00"/>
                                <w:sz w:val="20"/>
                                <w:szCs w:val="18"/>
                                <w:lang w:val="en-US" w:eastAsia="zh-CN"/>
                              </w:rPr>
                              <w:t>安徽人和智能制造有限公司</w:t>
                            </w:r>
                          </w:p>
                        </w:txbxContent>
                      </v:textbox>
                    </v:rect>
                  </w:pict>
                </mc:Fallback>
              </mc:AlternateContent>
            </w:r>
            <w:r>
              <w:rPr>
                <w:b/>
                <w:bCs/>
                <w:color w:val="auto"/>
                <w:sz w:val="18"/>
                <w:szCs w:val="16"/>
              </w:rPr>
              <w:drawing>
                <wp:anchor distT="0" distB="0" distL="114300" distR="114300" simplePos="0" relativeHeight="251660288" behindDoc="0" locked="0" layoutInCell="1" allowOverlap="1">
                  <wp:simplePos x="0" y="0"/>
                  <wp:positionH relativeFrom="column">
                    <wp:posOffset>7620</wp:posOffset>
                  </wp:positionH>
                  <wp:positionV relativeFrom="paragraph">
                    <wp:posOffset>24130</wp:posOffset>
                  </wp:positionV>
                  <wp:extent cx="5615940" cy="3467100"/>
                  <wp:effectExtent l="12700" t="12700" r="29210" b="25400"/>
                  <wp:wrapSquare wrapText="bothSides"/>
                  <wp:docPr id="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8"/>
                          <pic:cNvPicPr>
                            <a:picLocks noChangeAspect="1"/>
                          </pic:cNvPicPr>
                        </pic:nvPicPr>
                        <pic:blipFill>
                          <a:blip r:embed="rId28"/>
                          <a:stretch>
                            <a:fillRect/>
                          </a:stretch>
                        </pic:blipFill>
                        <pic:spPr>
                          <a:xfrm>
                            <a:off x="0" y="0"/>
                            <a:ext cx="5615940" cy="3467100"/>
                          </a:xfrm>
                          <a:prstGeom prst="rect">
                            <a:avLst/>
                          </a:prstGeom>
                          <a:noFill/>
                          <a:ln w="12700" cmpd="sng">
                            <a:solidFill>
                              <a:schemeClr val="tx1"/>
                            </a:solidFill>
                            <a:prstDash val="solid"/>
                          </a:ln>
                        </pic:spPr>
                      </pic:pic>
                    </a:graphicData>
                  </a:graphic>
                </wp:anchor>
              </w:drawing>
            </w:r>
            <w:r>
              <w:rPr>
                <w:rFonts w:hint="eastAsia"/>
                <w:b/>
                <w:bCs/>
                <w:color w:val="auto"/>
                <w:sz w:val="21"/>
                <w:szCs w:val="21"/>
                <w:highlight w:val="none"/>
                <w:lang w:val="en-US" w:eastAsia="zh-CN"/>
              </w:rPr>
              <w:t>图1-1 公司外环境关系图</w:t>
            </w:r>
          </w:p>
          <w:p w14:paraId="79400BE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本项目探伤</w:t>
            </w:r>
            <w:r>
              <w:rPr>
                <w:rFonts w:hint="eastAsia"/>
                <w:color w:val="auto"/>
                <w:sz w:val="24"/>
                <w:szCs w:val="24"/>
                <w:highlight w:val="none"/>
                <w:lang w:val="en-US" w:eastAsia="zh-CN"/>
              </w:rPr>
              <w:t>房</w:t>
            </w:r>
            <w:r>
              <w:rPr>
                <w:rFonts w:hint="eastAsia"/>
                <w:color w:val="auto"/>
                <w:sz w:val="24"/>
                <w:szCs w:val="24"/>
                <w:highlight w:val="none"/>
              </w:rPr>
              <w:t>建设地点位于公司</w:t>
            </w:r>
            <w:r>
              <w:rPr>
                <w:rFonts w:hint="eastAsia"/>
                <w:color w:val="auto"/>
                <w:sz w:val="24"/>
                <w:szCs w:val="24"/>
                <w:highlight w:val="none"/>
                <w:lang w:val="en-US" w:eastAsia="zh-CN"/>
              </w:rPr>
              <w:t>现状2#生产车间内东北角</w:t>
            </w:r>
            <w:r>
              <w:rPr>
                <w:rFonts w:hint="eastAsia"/>
                <w:color w:val="auto"/>
                <w:sz w:val="24"/>
                <w:szCs w:val="24"/>
                <w:highlight w:val="none"/>
              </w:rPr>
              <w:t>。</w:t>
            </w:r>
            <w:r>
              <w:rPr>
                <w:rFonts w:hint="eastAsia"/>
                <w:color w:val="auto"/>
                <w:sz w:val="24"/>
                <w:szCs w:val="24"/>
                <w:highlight w:val="none"/>
                <w:lang w:val="en-US" w:eastAsia="zh-CN"/>
              </w:rPr>
              <w:t>本项目</w:t>
            </w:r>
            <w:r>
              <w:rPr>
                <w:rFonts w:hint="eastAsia"/>
                <w:color w:val="auto"/>
                <w:sz w:val="24"/>
                <w:szCs w:val="24"/>
                <w:highlight w:val="none"/>
              </w:rPr>
              <w:t>整体由</w:t>
            </w:r>
            <w:r>
              <w:rPr>
                <w:rFonts w:hint="eastAsia"/>
                <w:color w:val="auto"/>
                <w:sz w:val="24"/>
                <w:szCs w:val="24"/>
                <w:highlight w:val="none"/>
                <w:lang w:val="en-US" w:eastAsia="zh-CN"/>
              </w:rPr>
              <w:t>探伤房</w:t>
            </w:r>
            <w:r>
              <w:rPr>
                <w:rFonts w:hint="eastAsia"/>
                <w:color w:val="auto"/>
                <w:sz w:val="24"/>
                <w:szCs w:val="24"/>
                <w:highlight w:val="none"/>
              </w:rPr>
              <w:t>、操作</w:t>
            </w:r>
            <w:r>
              <w:rPr>
                <w:rFonts w:hint="eastAsia"/>
                <w:color w:val="auto"/>
                <w:sz w:val="24"/>
                <w:szCs w:val="24"/>
                <w:highlight w:val="none"/>
                <w:lang w:val="en-US" w:eastAsia="zh-CN"/>
              </w:rPr>
              <w:t>间</w:t>
            </w:r>
            <w:r>
              <w:rPr>
                <w:rFonts w:hint="eastAsia"/>
                <w:color w:val="auto"/>
                <w:sz w:val="24"/>
                <w:szCs w:val="24"/>
                <w:highlight w:val="none"/>
              </w:rPr>
              <w:t>、评片室和</w:t>
            </w:r>
            <w:r>
              <w:rPr>
                <w:rFonts w:hint="eastAsia"/>
                <w:color w:val="auto"/>
                <w:sz w:val="24"/>
                <w:szCs w:val="24"/>
                <w:highlight w:val="none"/>
                <w:lang w:val="en-US" w:eastAsia="zh-CN"/>
              </w:rPr>
              <w:t>洗片室</w:t>
            </w:r>
            <w:r>
              <w:rPr>
                <w:rFonts w:hint="eastAsia"/>
                <w:color w:val="auto"/>
                <w:sz w:val="24"/>
                <w:szCs w:val="24"/>
                <w:highlight w:val="none"/>
              </w:rPr>
              <w:t>组成。探伤机布置于</w:t>
            </w:r>
            <w:r>
              <w:rPr>
                <w:rFonts w:hint="eastAsia"/>
                <w:color w:val="auto"/>
                <w:sz w:val="24"/>
                <w:szCs w:val="24"/>
                <w:highlight w:val="none"/>
                <w:lang w:val="en-US" w:eastAsia="zh-CN"/>
              </w:rPr>
              <w:t>探伤房</w:t>
            </w:r>
            <w:r>
              <w:rPr>
                <w:rFonts w:hint="eastAsia"/>
                <w:color w:val="auto"/>
                <w:sz w:val="24"/>
                <w:szCs w:val="24"/>
                <w:highlight w:val="none"/>
              </w:rPr>
              <w:t>内，</w:t>
            </w:r>
            <w:r>
              <w:rPr>
                <w:rFonts w:hint="eastAsia"/>
                <w:color w:val="auto"/>
                <w:sz w:val="24"/>
                <w:szCs w:val="24"/>
                <w:highlight w:val="none"/>
                <w:lang w:val="en-US" w:eastAsia="zh-CN"/>
              </w:rPr>
              <w:t>探伤房</w:t>
            </w:r>
            <w:r>
              <w:rPr>
                <w:rFonts w:hint="eastAsia"/>
                <w:color w:val="auto"/>
                <w:sz w:val="24"/>
                <w:szCs w:val="24"/>
                <w:highlight w:val="none"/>
              </w:rPr>
              <w:t>北侧</w:t>
            </w:r>
            <w:r>
              <w:rPr>
                <w:rFonts w:hint="eastAsia"/>
                <w:color w:val="auto"/>
                <w:sz w:val="24"/>
                <w:szCs w:val="24"/>
                <w:highlight w:val="none"/>
                <w:lang w:eastAsia="zh-CN"/>
              </w:rPr>
              <w:t>为</w:t>
            </w:r>
            <w:r>
              <w:rPr>
                <w:rFonts w:hint="eastAsia"/>
                <w:color w:val="auto"/>
                <w:sz w:val="24"/>
                <w:szCs w:val="24"/>
                <w:highlight w:val="none"/>
                <w:lang w:val="en-US" w:eastAsia="zh-CN"/>
              </w:rPr>
              <w:t>车间外围道路</w:t>
            </w:r>
            <w:r>
              <w:rPr>
                <w:rFonts w:hint="eastAsia"/>
                <w:color w:val="auto"/>
                <w:sz w:val="24"/>
                <w:szCs w:val="24"/>
                <w:highlight w:val="none"/>
              </w:rPr>
              <w:t>；</w:t>
            </w:r>
            <w:r>
              <w:rPr>
                <w:rFonts w:hint="eastAsia"/>
                <w:color w:val="auto"/>
                <w:sz w:val="24"/>
                <w:szCs w:val="24"/>
                <w:highlight w:val="none"/>
                <w:lang w:val="en-US" w:eastAsia="zh-CN"/>
              </w:rPr>
              <w:t>探伤房</w:t>
            </w:r>
            <w:r>
              <w:rPr>
                <w:rFonts w:hint="eastAsia"/>
                <w:color w:val="auto"/>
                <w:sz w:val="24"/>
                <w:szCs w:val="24"/>
                <w:highlight w:val="none"/>
              </w:rPr>
              <w:t>东侧为操作</w:t>
            </w:r>
            <w:r>
              <w:rPr>
                <w:rFonts w:hint="eastAsia"/>
                <w:color w:val="auto"/>
                <w:sz w:val="24"/>
                <w:szCs w:val="24"/>
                <w:highlight w:val="none"/>
                <w:lang w:val="en-US" w:eastAsia="zh-CN"/>
              </w:rPr>
              <w:t>间</w:t>
            </w:r>
            <w:r>
              <w:rPr>
                <w:rFonts w:hint="eastAsia"/>
                <w:color w:val="auto"/>
                <w:sz w:val="24"/>
                <w:szCs w:val="24"/>
                <w:highlight w:val="none"/>
              </w:rPr>
              <w:t>、评片室和</w:t>
            </w:r>
            <w:r>
              <w:rPr>
                <w:rFonts w:hint="eastAsia"/>
                <w:color w:val="auto"/>
                <w:sz w:val="24"/>
                <w:szCs w:val="24"/>
                <w:highlight w:val="none"/>
                <w:lang w:val="en-US" w:eastAsia="zh-CN"/>
              </w:rPr>
              <w:t>洗片室，以及厂区外空旷道路</w:t>
            </w:r>
            <w:r>
              <w:rPr>
                <w:rFonts w:hint="eastAsia"/>
                <w:color w:val="auto"/>
                <w:sz w:val="24"/>
                <w:szCs w:val="24"/>
                <w:highlight w:val="none"/>
                <w:lang w:eastAsia="zh-CN"/>
              </w:rPr>
              <w:t>，</w:t>
            </w:r>
            <w:r>
              <w:rPr>
                <w:rFonts w:hint="eastAsia"/>
                <w:color w:val="auto"/>
                <w:sz w:val="24"/>
                <w:szCs w:val="24"/>
                <w:highlight w:val="none"/>
              </w:rPr>
              <w:t>再往东为</w:t>
            </w:r>
            <w:r>
              <w:rPr>
                <w:rFonts w:hint="eastAsia"/>
                <w:color w:val="auto"/>
                <w:sz w:val="24"/>
                <w:szCs w:val="24"/>
                <w:highlight w:val="none"/>
                <w:lang w:val="en-US" w:eastAsia="zh-CN"/>
              </w:rPr>
              <w:t>油漆库、危废库和一般固废间</w:t>
            </w:r>
            <w:r>
              <w:rPr>
                <w:rFonts w:hint="eastAsia"/>
                <w:color w:val="auto"/>
                <w:sz w:val="24"/>
                <w:szCs w:val="24"/>
                <w:highlight w:val="none"/>
              </w:rPr>
              <w:t>；</w:t>
            </w:r>
            <w:r>
              <w:rPr>
                <w:rFonts w:hint="eastAsia"/>
                <w:color w:val="auto"/>
                <w:sz w:val="24"/>
                <w:szCs w:val="24"/>
                <w:highlight w:val="none"/>
                <w:lang w:val="en-US" w:eastAsia="zh-CN"/>
              </w:rPr>
              <w:t>探伤房</w:t>
            </w:r>
            <w:r>
              <w:rPr>
                <w:rFonts w:hint="eastAsia"/>
                <w:color w:val="auto"/>
                <w:sz w:val="24"/>
                <w:szCs w:val="24"/>
                <w:highlight w:val="none"/>
              </w:rPr>
              <w:t>南侧</w:t>
            </w:r>
            <w:r>
              <w:rPr>
                <w:rFonts w:hint="eastAsia"/>
                <w:color w:val="auto"/>
                <w:sz w:val="24"/>
                <w:szCs w:val="24"/>
                <w:highlight w:val="none"/>
                <w:lang w:val="en-US" w:eastAsia="zh-CN"/>
              </w:rPr>
              <w:t>防护门外紧邻车间内走道，再往南侧为2#生产车间机加工操作工位</w:t>
            </w:r>
            <w:r>
              <w:rPr>
                <w:rFonts w:hint="eastAsia"/>
                <w:color w:val="auto"/>
                <w:sz w:val="24"/>
                <w:szCs w:val="24"/>
                <w:highlight w:val="none"/>
              </w:rPr>
              <w:t>，再往南</w:t>
            </w:r>
            <w:r>
              <w:rPr>
                <w:rFonts w:hint="eastAsia"/>
                <w:color w:val="auto"/>
                <w:sz w:val="24"/>
                <w:szCs w:val="24"/>
                <w:highlight w:val="none"/>
                <w:lang w:val="en-US" w:eastAsia="zh-CN"/>
              </w:rPr>
              <w:t>隔厂区道路为3#生产车间</w:t>
            </w:r>
            <w:r>
              <w:rPr>
                <w:rFonts w:hint="eastAsia"/>
                <w:color w:val="auto"/>
                <w:sz w:val="24"/>
                <w:szCs w:val="24"/>
                <w:highlight w:val="none"/>
              </w:rPr>
              <w:t>；</w:t>
            </w:r>
            <w:r>
              <w:rPr>
                <w:rFonts w:hint="eastAsia"/>
                <w:color w:val="auto"/>
                <w:sz w:val="24"/>
                <w:szCs w:val="24"/>
                <w:highlight w:val="none"/>
                <w:lang w:val="en-US" w:eastAsia="zh-CN"/>
              </w:rPr>
              <w:t>探伤房</w:t>
            </w:r>
            <w:r>
              <w:rPr>
                <w:rFonts w:hint="eastAsia"/>
                <w:color w:val="auto"/>
                <w:sz w:val="24"/>
                <w:szCs w:val="24"/>
                <w:highlight w:val="none"/>
              </w:rPr>
              <w:t>西侧为</w:t>
            </w:r>
            <w:r>
              <w:rPr>
                <w:rFonts w:hint="eastAsia"/>
                <w:color w:val="auto"/>
                <w:sz w:val="24"/>
                <w:szCs w:val="24"/>
                <w:highlight w:val="none"/>
                <w:lang w:val="en-US" w:eastAsia="zh-CN"/>
              </w:rPr>
              <w:t>2#生产车间机加工操作工位；探伤房</w:t>
            </w:r>
            <w:r>
              <w:rPr>
                <w:rFonts w:hint="eastAsia"/>
                <w:color w:val="auto"/>
                <w:sz w:val="24"/>
                <w:szCs w:val="24"/>
                <w:highlight w:val="none"/>
                <w:lang w:val="en-GB" w:eastAsia="zh-CN"/>
              </w:rPr>
              <w:t>底板以下为土壤层，顶棚以上为不上人的临空；</w:t>
            </w:r>
            <w:r>
              <w:rPr>
                <w:rFonts w:hint="eastAsia"/>
                <w:color w:val="auto"/>
                <w:sz w:val="24"/>
                <w:szCs w:val="24"/>
                <w:highlight w:val="none"/>
                <w:lang w:val="en-US" w:eastAsia="zh-CN"/>
              </w:rPr>
              <w:t>厂区</w:t>
            </w:r>
            <w:r>
              <w:rPr>
                <w:rFonts w:hint="eastAsia"/>
                <w:color w:val="auto"/>
                <w:sz w:val="24"/>
                <w:szCs w:val="24"/>
                <w:highlight w:val="none"/>
              </w:rPr>
              <w:t>平面布置图见</w:t>
            </w:r>
            <w:r>
              <w:rPr>
                <w:rFonts w:hint="eastAsia"/>
                <w:color w:val="auto"/>
                <w:sz w:val="24"/>
                <w:szCs w:val="24"/>
                <w:highlight w:val="none"/>
                <w:lang w:val="en-US" w:eastAsia="zh-CN"/>
              </w:rPr>
              <w:t>附图2</w:t>
            </w:r>
            <w:r>
              <w:rPr>
                <w:rFonts w:hint="eastAsia"/>
                <w:color w:val="auto"/>
                <w:sz w:val="24"/>
                <w:szCs w:val="24"/>
                <w:highlight w:val="none"/>
                <w:lang w:eastAsia="zh-CN"/>
              </w:rPr>
              <w:t>，</w:t>
            </w:r>
            <w:r>
              <w:rPr>
                <w:rFonts w:hint="eastAsia"/>
                <w:color w:val="auto"/>
                <w:sz w:val="24"/>
                <w:szCs w:val="24"/>
                <w:highlight w:val="none"/>
                <w:lang w:val="en-US" w:eastAsia="zh-CN"/>
              </w:rPr>
              <w:t>探伤房平面布局图见附图3，探伤房防护设施设计图见附图4</w:t>
            </w:r>
            <w:r>
              <w:rPr>
                <w:rFonts w:hint="eastAsia"/>
                <w:color w:val="auto"/>
                <w:sz w:val="24"/>
                <w:szCs w:val="24"/>
                <w:highlight w:val="none"/>
              </w:rPr>
              <w:t>。</w:t>
            </w:r>
          </w:p>
          <w:p w14:paraId="3469933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szCs w:val="24"/>
                <w:highlight w:val="none"/>
              </w:rPr>
            </w:pPr>
            <w:r>
              <w:rPr>
                <w:rFonts w:hint="eastAsia"/>
                <w:color w:val="auto"/>
                <w:sz w:val="24"/>
                <w:szCs w:val="24"/>
                <w:highlight w:val="none"/>
              </w:rPr>
              <w:t>本项目</w:t>
            </w:r>
            <w:r>
              <w:rPr>
                <w:rFonts w:hint="eastAsia"/>
                <w:color w:val="auto"/>
                <w:sz w:val="24"/>
                <w:szCs w:val="24"/>
                <w:highlight w:val="none"/>
                <w:lang w:val="en-US" w:eastAsia="zh-CN"/>
              </w:rPr>
              <w:t>新建的</w:t>
            </w:r>
            <w:r>
              <w:rPr>
                <w:rFonts w:hint="eastAsia"/>
                <w:color w:val="auto"/>
                <w:sz w:val="24"/>
                <w:szCs w:val="24"/>
                <w:highlight w:val="none"/>
              </w:rPr>
              <w:t>X射线探伤房拟建址周围50m范围内辐射环境保护目标主要为建设单位厂区内辐射工作人员</w:t>
            </w:r>
            <w:r>
              <w:rPr>
                <w:rFonts w:hint="eastAsia"/>
                <w:color w:val="auto"/>
                <w:sz w:val="24"/>
                <w:szCs w:val="24"/>
                <w:highlight w:val="none"/>
                <w:lang w:val="en-US" w:eastAsia="zh-CN"/>
              </w:rPr>
              <w:t>及公众</w:t>
            </w:r>
            <w:r>
              <w:rPr>
                <w:rFonts w:hint="eastAsia"/>
                <w:color w:val="auto"/>
                <w:sz w:val="24"/>
                <w:szCs w:val="24"/>
                <w:highlight w:val="none"/>
              </w:rPr>
              <w:t>。</w:t>
            </w:r>
            <w:r>
              <w:rPr>
                <w:rFonts w:hint="eastAsia"/>
                <w:color w:val="auto"/>
                <w:sz w:val="24"/>
                <w:szCs w:val="24"/>
                <w:highlight w:val="none"/>
                <w:lang w:val="en-US" w:eastAsia="zh-CN"/>
              </w:rPr>
              <w:t>评价范围内无《建设项目环境影响评价分类管理名录》中“（三）以居住、医疗卫生、文化教育、科研、行政办公等为主要功能的区域”，因此周围环境保护目标主要为从事探伤操作的辐射工作人员及评价范围内其他公众。</w:t>
            </w:r>
          </w:p>
          <w:p w14:paraId="30AAD02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bookmarkStart w:id="35" w:name="_Toc5533"/>
            <w:bookmarkStart w:id="36" w:name="_Toc17271"/>
            <w:bookmarkStart w:id="37" w:name="_Toc12946"/>
            <w:r>
              <w:rPr>
                <w:rFonts w:hint="default" w:ascii="Times New Roman" w:hAnsi="Times New Roman" w:eastAsia="宋体" w:cs="Times New Roman"/>
                <w:color w:val="auto"/>
                <w:kern w:val="0"/>
                <w:sz w:val="24"/>
                <w:szCs w:val="24"/>
                <w:lang w:val="en-US" w:eastAsia="zh-CN" w:bidi="ar"/>
              </w:rPr>
              <w:t>按照《电离辐射防护与辐射源安全基本标准》（GB18871-2002）关于“源的选址与定位”规定，国家只对“具有大量放射性物质和可能造成这些放射性物质大量释放的源”应考虑场址特征的规定，</w:t>
            </w:r>
            <w:r>
              <w:rPr>
                <w:rFonts w:hint="eastAsia" w:cs="Times New Roman"/>
                <w:color w:val="auto"/>
                <w:kern w:val="0"/>
                <w:sz w:val="24"/>
                <w:szCs w:val="24"/>
                <w:lang w:val="en-US" w:eastAsia="zh-CN" w:bidi="ar"/>
              </w:rPr>
              <w:t>对其他</w:t>
            </w:r>
            <w:r>
              <w:rPr>
                <w:rFonts w:hint="default" w:ascii="Times New Roman" w:hAnsi="Times New Roman" w:eastAsia="宋体" w:cs="Times New Roman"/>
                <w:color w:val="auto"/>
                <w:kern w:val="0"/>
                <w:sz w:val="24"/>
                <w:szCs w:val="24"/>
                <w:lang w:val="en-US" w:eastAsia="zh-CN" w:bidi="ar"/>
              </w:rPr>
              <w:t>源的选址未作明文规定。本项目设备属于Ⅱ类射线装置在工业上的应用，对这类使用Ⅱ类射线装置的核技术应用项目的选址，《电离辐射防护与辐射源安全基本标准》（GB18871-2002）中未作明文规定。</w:t>
            </w:r>
          </w:p>
          <w:p w14:paraId="76C2262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本项目拟购置探伤检测设备布置于</w:t>
            </w:r>
            <w:r>
              <w:rPr>
                <w:rFonts w:hint="eastAsia" w:ascii="Times New Roman" w:hAnsi="Times New Roman" w:cs="Times New Roman"/>
                <w:color w:val="auto"/>
                <w:kern w:val="0"/>
                <w:sz w:val="24"/>
                <w:szCs w:val="24"/>
                <w:lang w:val="en-US" w:eastAsia="zh-CN" w:bidi="ar"/>
              </w:rPr>
              <w:t>现场厂区2#</w:t>
            </w:r>
            <w:r>
              <w:rPr>
                <w:rFonts w:hint="default" w:ascii="Times New Roman" w:hAnsi="Times New Roman" w:eastAsia="宋体" w:cs="Times New Roman"/>
                <w:color w:val="auto"/>
                <w:kern w:val="0"/>
                <w:sz w:val="24"/>
                <w:szCs w:val="24"/>
                <w:lang w:val="en-US" w:eastAsia="zh-CN" w:bidi="ar"/>
              </w:rPr>
              <w:t>车间</w:t>
            </w:r>
            <w:r>
              <w:rPr>
                <w:rFonts w:hint="eastAsia" w:ascii="Times New Roman" w:hAnsi="Times New Roman" w:cs="Times New Roman"/>
                <w:color w:val="auto"/>
                <w:kern w:val="0"/>
                <w:sz w:val="24"/>
                <w:szCs w:val="24"/>
                <w:lang w:val="en-US" w:eastAsia="zh-CN" w:bidi="ar"/>
              </w:rPr>
              <w:t>内东北角</w:t>
            </w:r>
            <w:r>
              <w:rPr>
                <w:rFonts w:hint="default" w:ascii="Times New Roman" w:hAnsi="Times New Roman" w:eastAsia="宋体" w:cs="Times New Roman"/>
                <w:color w:val="auto"/>
                <w:kern w:val="0"/>
                <w:sz w:val="24"/>
                <w:szCs w:val="24"/>
                <w:lang w:val="en-US" w:eastAsia="zh-CN" w:bidi="ar"/>
              </w:rPr>
              <w:t>，探伤检测设备由X射线管、探测器、控制单元、屏蔽墙体等部分组成，各组成部分固定安装于探伤室内部，屏蔽墙体可以对探伤检测设备运行时产生的辐射进行有效屏蔽。结合探伤检测设备技术方案及检测室平面布置可知，探伤检测设备内的X射线管工作时朝</w:t>
            </w:r>
            <w:r>
              <w:rPr>
                <w:rFonts w:hint="eastAsia" w:ascii="Times New Roman" w:hAnsi="Times New Roman" w:cs="Times New Roman"/>
                <w:color w:val="auto"/>
                <w:kern w:val="0"/>
                <w:sz w:val="24"/>
                <w:szCs w:val="24"/>
                <w:lang w:val="en-US" w:eastAsia="zh-CN" w:bidi="ar"/>
              </w:rPr>
              <w:t>西侧</w:t>
            </w:r>
            <w:r>
              <w:rPr>
                <w:rFonts w:hint="default" w:ascii="Times New Roman" w:hAnsi="Times New Roman" w:eastAsia="宋体" w:cs="Times New Roman"/>
                <w:color w:val="auto"/>
                <w:kern w:val="0"/>
                <w:sz w:val="24"/>
                <w:szCs w:val="24"/>
                <w:lang w:val="en-US" w:eastAsia="zh-CN" w:bidi="ar"/>
              </w:rPr>
              <w:t>方向定向出束，X射线管的主照射方向为</w:t>
            </w:r>
            <w:r>
              <w:rPr>
                <w:rFonts w:hint="eastAsia" w:ascii="Times New Roman" w:hAnsi="Times New Roman" w:cs="Times New Roman"/>
                <w:color w:val="auto"/>
                <w:kern w:val="0"/>
                <w:sz w:val="24"/>
                <w:szCs w:val="24"/>
                <w:lang w:val="en-US" w:eastAsia="zh-CN" w:bidi="ar"/>
              </w:rPr>
              <w:t>西侧</w:t>
            </w:r>
            <w:r>
              <w:rPr>
                <w:rFonts w:hint="default" w:ascii="Times New Roman" w:hAnsi="Times New Roman" w:eastAsia="宋体" w:cs="Times New Roman"/>
                <w:color w:val="auto"/>
                <w:kern w:val="0"/>
                <w:sz w:val="24"/>
                <w:szCs w:val="24"/>
                <w:lang w:val="en-US" w:eastAsia="zh-CN" w:bidi="ar"/>
              </w:rPr>
              <w:t>，操作</w:t>
            </w:r>
            <w:r>
              <w:rPr>
                <w:rFonts w:hint="eastAsia" w:ascii="Times New Roman" w:hAnsi="Times New Roman" w:cs="Times New Roman"/>
                <w:color w:val="auto"/>
                <w:kern w:val="0"/>
                <w:sz w:val="24"/>
                <w:szCs w:val="24"/>
                <w:lang w:val="en-US" w:eastAsia="zh-CN" w:bidi="ar"/>
              </w:rPr>
              <w:t>室</w:t>
            </w:r>
            <w:r>
              <w:rPr>
                <w:rFonts w:hint="default" w:ascii="Times New Roman" w:hAnsi="Times New Roman" w:eastAsia="宋体" w:cs="Times New Roman"/>
                <w:color w:val="auto"/>
                <w:kern w:val="0"/>
                <w:sz w:val="24"/>
                <w:szCs w:val="24"/>
                <w:lang w:val="en-US" w:eastAsia="zh-CN" w:bidi="ar"/>
              </w:rPr>
              <w:t>布置于探伤检测设备东侧，与探伤检测设备分开布置并避开了有用线束照射的方向，上述布置符合《工业探伤放射防护标准》（GBZ117-2022）中对工业X射线探伤工作场所平面布局的要求。</w:t>
            </w:r>
          </w:p>
          <w:p w14:paraId="6282B7C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为保护本项目辐射工作人员和周边公众，公司对探伤检测设备加强了防护，屏蔽防护措施满足《工业探伤放射防护标准》（GBZ 117-2022）中对工业探伤设备辐射防护的要求。</w:t>
            </w:r>
          </w:p>
          <w:p w14:paraId="050EC46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从本次评价的预测结果可知，屏蔽墙体外辐射剂量率能满足《工业探伤放射防护标准》（GBZ117-2022）的要求。在设备的最大工作负</w:t>
            </w:r>
            <w:r>
              <w:rPr>
                <w:rFonts w:hint="eastAsia" w:cs="Times New Roman"/>
                <w:color w:val="auto"/>
                <w:kern w:val="0"/>
                <w:sz w:val="24"/>
                <w:szCs w:val="24"/>
                <w:lang w:val="en-US" w:eastAsia="zh-CN" w:bidi="ar"/>
              </w:rPr>
              <w:t>荷</w:t>
            </w:r>
            <w:r>
              <w:rPr>
                <w:rFonts w:hint="default" w:ascii="Times New Roman" w:hAnsi="Times New Roman" w:eastAsia="宋体" w:cs="Times New Roman"/>
                <w:color w:val="auto"/>
                <w:kern w:val="0"/>
                <w:sz w:val="24"/>
                <w:szCs w:val="24"/>
                <w:lang w:val="en-US" w:eastAsia="zh-CN" w:bidi="ar"/>
              </w:rPr>
              <w:t>正常工作状态下，项目运行对辐射工作人员和公众的年有效剂量均低于项目管理目标（职业人员年有效剂量不超过5mSv，公众年有效剂量不超过0.25mSv），符合《电离辐射防护与辐射源安全基本标准》（GB18871-2002）中关于“剂量限值”的要求。项目运营期产生的“三废”及噪声均采取了相应的治理措施，符合相关标准要求。</w:t>
            </w:r>
          </w:p>
          <w:p w14:paraId="1F3D2BD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b/>
                <w:bCs/>
                <w:color w:val="auto"/>
                <w:sz w:val="24"/>
                <w:szCs w:val="24"/>
                <w:highlight w:val="none"/>
                <w:lang w:val="en-US" w:eastAsia="zh-CN"/>
              </w:rPr>
            </w:pPr>
            <w:r>
              <w:rPr>
                <w:rFonts w:hint="eastAsia" w:ascii="宋体" w:hAnsi="宋体" w:eastAsia="宋体" w:cs="宋体"/>
                <w:color w:val="auto"/>
                <w:kern w:val="0"/>
                <w:sz w:val="24"/>
                <w:szCs w:val="24"/>
                <w:lang w:val="en-US" w:eastAsia="zh-CN" w:bidi="ar"/>
              </w:rPr>
              <w:t>综上所述，本项目与周边环境相容，探伤房、洗片室和</w:t>
            </w:r>
            <w:r>
              <w:rPr>
                <w:rFonts w:hint="eastAsia" w:ascii="宋体" w:hAnsi="宋体" w:cs="宋体"/>
                <w:color w:val="auto"/>
                <w:kern w:val="0"/>
                <w:sz w:val="24"/>
                <w:szCs w:val="24"/>
                <w:lang w:val="en-US" w:eastAsia="zh-CN" w:bidi="ar"/>
              </w:rPr>
              <w:t>操作室</w:t>
            </w:r>
            <w:r>
              <w:rPr>
                <w:rFonts w:hint="eastAsia" w:ascii="宋体" w:hAnsi="宋体" w:eastAsia="宋体" w:cs="宋体"/>
                <w:color w:val="auto"/>
                <w:kern w:val="0"/>
                <w:sz w:val="24"/>
                <w:szCs w:val="24"/>
                <w:lang w:val="en-US" w:eastAsia="zh-CN" w:bidi="ar"/>
              </w:rPr>
              <w:t>等布局合理，满足安全防护要求，便于分区管理和防护；辐射工作场所充分考虑了周围场所的安全与防护，对公众影响较小，综合分析认为本项目选址合理、平面布置合理。</w:t>
            </w:r>
          </w:p>
          <w:p w14:paraId="558DE5AE">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rFonts w:hint="default" w:ascii="Times New Roman" w:hAnsi="Times New Roman"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7、产业政策符合性分析</w:t>
            </w:r>
          </w:p>
          <w:p w14:paraId="62C7C18F">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cs="Times New Roman"/>
                <w:b/>
                <w:bCs/>
                <w:color w:val="auto"/>
                <w:sz w:val="24"/>
                <w:szCs w:val="24"/>
                <w:highlight w:val="none"/>
                <w:lang w:val="en-US" w:eastAsia="zh-CN"/>
              </w:rPr>
            </w:pPr>
            <w:r>
              <w:rPr>
                <w:color w:val="auto"/>
                <w:kern w:val="0"/>
                <w:sz w:val="24"/>
                <w:highlight w:val="none"/>
              </w:rPr>
              <w:t>本项目</w:t>
            </w:r>
            <w:r>
              <w:rPr>
                <w:rFonts w:hint="eastAsia"/>
                <w:color w:val="auto"/>
                <w:kern w:val="0"/>
                <w:sz w:val="24"/>
                <w:highlight w:val="none"/>
              </w:rPr>
              <w:t>属于</w:t>
            </w:r>
            <w:r>
              <w:rPr>
                <w:color w:val="auto"/>
                <w:kern w:val="0"/>
                <w:sz w:val="24"/>
                <w:highlight w:val="none"/>
              </w:rPr>
              <w:t>《产业结构调整指导目录（20</w:t>
            </w:r>
            <w:r>
              <w:rPr>
                <w:rFonts w:hint="eastAsia"/>
                <w:color w:val="auto"/>
                <w:kern w:val="0"/>
                <w:sz w:val="24"/>
                <w:highlight w:val="none"/>
                <w:lang w:val="en-US" w:eastAsia="zh-CN"/>
              </w:rPr>
              <w:t>24</w:t>
            </w:r>
            <w:r>
              <w:rPr>
                <w:color w:val="auto"/>
                <w:kern w:val="0"/>
                <w:sz w:val="24"/>
                <w:highlight w:val="none"/>
              </w:rPr>
              <w:t>年本）》</w:t>
            </w:r>
            <w:r>
              <w:rPr>
                <w:rFonts w:hint="eastAsia"/>
                <w:color w:val="auto"/>
                <w:kern w:val="0"/>
                <w:sz w:val="24"/>
                <w:highlight w:val="none"/>
              </w:rPr>
              <w:t>中</w:t>
            </w:r>
            <w:r>
              <w:rPr>
                <w:color w:val="auto"/>
                <w:kern w:val="0"/>
                <w:sz w:val="24"/>
                <w:highlight w:val="none"/>
              </w:rPr>
              <w:t>第一类鼓励类中第三十一款科技服务业第1条</w:t>
            </w:r>
            <w:r>
              <w:rPr>
                <w:rFonts w:hint="eastAsia"/>
                <w:color w:val="auto"/>
                <w:kern w:val="0"/>
                <w:sz w:val="24"/>
                <w:highlight w:val="none"/>
              </w:rPr>
              <w:t>“</w:t>
            </w:r>
            <w:r>
              <w:rPr>
                <w:color w:val="auto"/>
                <w:kern w:val="0"/>
                <w:sz w:val="24"/>
                <w:highlight w:val="none"/>
              </w:rPr>
              <w:t>工业设计、气象、生物、新材料、新能源、节能、环保、测绘、海洋等专业科技服务，标准化服务、计量测试、质量认证和检验检测服务、科技普及</w:t>
            </w:r>
            <w:r>
              <w:rPr>
                <w:rFonts w:hint="eastAsia"/>
                <w:color w:val="auto"/>
                <w:kern w:val="0"/>
                <w:sz w:val="24"/>
                <w:highlight w:val="none"/>
              </w:rPr>
              <w:t>”</w:t>
            </w:r>
            <w:r>
              <w:rPr>
                <w:color w:val="auto"/>
                <w:kern w:val="0"/>
                <w:sz w:val="24"/>
                <w:highlight w:val="none"/>
              </w:rPr>
              <w:t>关于质量检验检测内容</w:t>
            </w:r>
            <w:r>
              <w:rPr>
                <w:rFonts w:hint="eastAsia"/>
                <w:color w:val="auto"/>
                <w:kern w:val="0"/>
                <w:sz w:val="24"/>
                <w:highlight w:val="none"/>
              </w:rPr>
              <w:t>，符合国家产业政策。</w:t>
            </w:r>
          </w:p>
          <w:p w14:paraId="7C8A20CD">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rFonts w:hint="default" w:ascii="Times New Roman" w:hAnsi="Times New Roman"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8</w:t>
            </w:r>
            <w:r>
              <w:rPr>
                <w:rFonts w:hint="eastAsia" w:ascii="Times New Roman" w:hAnsi="Times New Roman" w:cs="Times New Roman"/>
                <w:b/>
                <w:bCs/>
                <w:color w:val="auto"/>
                <w:sz w:val="24"/>
                <w:szCs w:val="24"/>
                <w:highlight w:val="none"/>
                <w:lang w:val="en-US" w:eastAsia="zh-CN"/>
              </w:rPr>
              <w:t xml:space="preserve">、实践正当性分析 </w:t>
            </w:r>
          </w:p>
          <w:p w14:paraId="4CC951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val="en-US" w:eastAsia="zh-CN"/>
              </w:rPr>
              <w:t>项目新增</w:t>
            </w:r>
            <w:r>
              <w:rPr>
                <w:rFonts w:hint="default"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台</w:t>
            </w:r>
            <w:r>
              <w:rPr>
                <w:rFonts w:hint="default" w:ascii="Times New Roman" w:hAnsi="Times New Roman" w:eastAsia="宋体" w:cs="Times New Roman"/>
                <w:color w:val="auto"/>
                <w:sz w:val="24"/>
                <w:highlight w:val="none"/>
                <w:lang w:val="en-US" w:eastAsia="zh-CN"/>
              </w:rPr>
              <w:t>X</w:t>
            </w:r>
            <w:r>
              <w:rPr>
                <w:rFonts w:hint="eastAsia" w:ascii="Times New Roman" w:hAnsi="Times New Roman" w:eastAsia="宋体" w:cs="Times New Roman"/>
                <w:color w:val="auto"/>
                <w:sz w:val="24"/>
                <w:highlight w:val="none"/>
                <w:lang w:val="en-US" w:eastAsia="zh-CN"/>
              </w:rPr>
              <w:t>射</w:t>
            </w:r>
            <w:r>
              <w:rPr>
                <w:rFonts w:hint="eastAsia" w:cs="Times New Roman"/>
                <w:color w:val="auto"/>
                <w:sz w:val="24"/>
                <w:highlight w:val="none"/>
                <w:lang w:val="en-US" w:eastAsia="zh-CN"/>
              </w:rPr>
              <w:t>线</w:t>
            </w:r>
            <w:r>
              <w:rPr>
                <w:rFonts w:hint="eastAsia" w:ascii="Times New Roman" w:hAnsi="Times New Roman" w:eastAsia="宋体" w:cs="Times New Roman"/>
                <w:color w:val="auto"/>
                <w:sz w:val="24"/>
                <w:highlight w:val="none"/>
                <w:lang w:val="en-US" w:eastAsia="zh-CN"/>
              </w:rPr>
              <w:t>探伤机用于对</w:t>
            </w:r>
            <w:r>
              <w:rPr>
                <w:rFonts w:hint="eastAsia" w:ascii="Times New Roman" w:hAnsi="Times New Roman" w:cs="Times New Roman"/>
                <w:color w:val="auto"/>
                <w:sz w:val="24"/>
                <w:highlight w:val="none"/>
                <w:lang w:val="en-US" w:eastAsia="zh-CN"/>
              </w:rPr>
              <w:t>泓济</w:t>
            </w:r>
            <w:r>
              <w:rPr>
                <w:rFonts w:hint="eastAsia" w:ascii="Times New Roman" w:hAnsi="Times New Roman" w:eastAsia="宋体" w:cs="Times New Roman"/>
                <w:color w:val="auto"/>
                <w:sz w:val="24"/>
                <w:highlight w:val="none"/>
                <w:lang w:val="en-US" w:eastAsia="zh-CN"/>
              </w:rPr>
              <w:t xml:space="preserve">公司生产的容器类设备进行无损检测。本项目的建设和运行不仅满足了企业的发展需求，还提高了产品的质量。根据辐射环境影响预测内容，本项目运营后对辐射工作人员和公众外照射引起的年附加剂量低于要求的管理目标值，本项目带来的利益远大于可能引起的辐射危害。 </w:t>
            </w:r>
          </w:p>
          <w:p w14:paraId="72B7AF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val="en-US" w:eastAsia="zh-CN"/>
              </w:rPr>
              <w:t>综上所述 ，该项目符合《电离辐射防护与辐射源安全基本标准》（</w:t>
            </w:r>
            <w:r>
              <w:rPr>
                <w:rFonts w:hint="default" w:ascii="Times New Roman" w:hAnsi="Times New Roman" w:eastAsia="宋体" w:cs="Times New Roman"/>
                <w:color w:val="auto"/>
                <w:sz w:val="24"/>
                <w:highlight w:val="none"/>
                <w:lang w:val="en-US" w:eastAsia="zh-CN"/>
              </w:rPr>
              <w:t>GB18871-2002</w:t>
            </w:r>
            <w:r>
              <w:rPr>
                <w:rFonts w:hint="eastAsia" w:ascii="Times New Roman" w:hAnsi="Times New Roman" w:eastAsia="宋体" w:cs="Times New Roman"/>
                <w:color w:val="auto"/>
                <w:sz w:val="24"/>
                <w:highlight w:val="none"/>
                <w:lang w:val="en-US" w:eastAsia="zh-CN"/>
              </w:rPr>
              <w:t>）中</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实践的正当性</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的原则</w:t>
            </w:r>
            <w:r>
              <w:rPr>
                <w:rFonts w:hint="eastAsia" w:ascii="Times New Roman" w:hAnsi="Times New Roman" w:cs="Times New Roman"/>
                <w:color w:val="auto"/>
                <w:sz w:val="24"/>
                <w:highlight w:val="none"/>
                <w:lang w:val="en-US" w:eastAsia="zh-CN"/>
              </w:rPr>
              <w:t>。</w:t>
            </w:r>
          </w:p>
          <w:p w14:paraId="6D765F7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color w:val="auto"/>
              </w:rPr>
            </w:pPr>
            <w:r>
              <w:rPr>
                <w:rFonts w:hint="eastAsia" w:cs="Times New Roman"/>
                <w:b/>
                <w:bCs/>
                <w:color w:val="auto"/>
                <w:kern w:val="0"/>
                <w:sz w:val="24"/>
                <w:szCs w:val="24"/>
                <w:lang w:val="en-US" w:eastAsia="zh-CN" w:bidi="ar"/>
              </w:rPr>
              <w:t>9</w:t>
            </w:r>
            <w:r>
              <w:rPr>
                <w:rFonts w:hint="eastAsia" w:ascii="宋体" w:hAnsi="宋体" w:eastAsia="宋体" w:cs="宋体"/>
                <w:b/>
                <w:bCs/>
                <w:color w:val="auto"/>
                <w:kern w:val="0"/>
                <w:sz w:val="24"/>
                <w:szCs w:val="24"/>
                <w:lang w:val="en-US" w:eastAsia="zh-CN" w:bidi="ar"/>
              </w:rPr>
              <w:t>、代价</w:t>
            </w:r>
            <w:r>
              <w:rPr>
                <w:rFonts w:hint="eastAsia" w:ascii="Times New Roman" w:hAnsi="Times New Roman" w:cs="Times New Roman"/>
                <w:b/>
                <w:bCs/>
                <w:color w:val="auto"/>
                <w:sz w:val="24"/>
                <w:szCs w:val="24"/>
                <w:highlight w:val="none"/>
                <w:lang w:val="en-US" w:eastAsia="zh-CN"/>
              </w:rPr>
              <w:t>利益</w:t>
            </w:r>
            <w:r>
              <w:rPr>
                <w:rFonts w:hint="eastAsia" w:ascii="宋体" w:hAnsi="宋体" w:eastAsia="宋体" w:cs="宋体"/>
                <w:b/>
                <w:bCs/>
                <w:color w:val="auto"/>
                <w:kern w:val="0"/>
                <w:sz w:val="24"/>
                <w:szCs w:val="24"/>
                <w:lang w:val="en-US" w:eastAsia="zh-CN" w:bidi="ar"/>
              </w:rPr>
              <w:t xml:space="preserve">分析 </w:t>
            </w:r>
          </w:p>
          <w:p w14:paraId="2B30B96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符合公司生产工艺的需要，能有效提高公司生产效率，核技术在工业探伤上的应用有利于提高产品焊缝的质量，能有效减少因焊缝质量不过关而导致的安全事故数量，该项目在保障产品质量的同时也为公司和社会创造了更大的经济效益。为保护该项目周边辐射工作人员和公众，探伤室加强了防护，从剂量预测结果可知，该项目辐射工作人员年所受附加剂量满足项目管理限值</w:t>
            </w:r>
            <w:r>
              <w:rPr>
                <w:rFonts w:hint="default" w:ascii="Times New Roman" w:hAnsi="Times New Roman" w:eastAsia="宋体" w:cs="Times New Roman"/>
                <w:color w:val="auto"/>
                <w:sz w:val="24"/>
                <w:highlight w:val="none"/>
                <w:lang w:val="en-US" w:eastAsia="zh-CN"/>
              </w:rPr>
              <w:t>5mSv</w:t>
            </w:r>
            <w:r>
              <w:rPr>
                <w:rFonts w:hint="eastAsia" w:ascii="Times New Roman" w:hAnsi="Times New Roman" w:eastAsia="宋体" w:cs="Times New Roman"/>
                <w:color w:val="auto"/>
                <w:sz w:val="24"/>
                <w:highlight w:val="none"/>
                <w:lang w:val="en-US" w:eastAsia="zh-CN"/>
              </w:rPr>
              <w:t>的要求，周围公众年所受附加剂量满足项目管理限值</w:t>
            </w:r>
            <w:r>
              <w:rPr>
                <w:rFonts w:hint="default" w:ascii="Times New Roman" w:hAnsi="Times New Roman" w:eastAsia="宋体" w:cs="Times New Roman"/>
                <w:color w:val="auto"/>
                <w:sz w:val="24"/>
                <w:highlight w:val="none"/>
                <w:lang w:val="en-US" w:eastAsia="zh-CN"/>
              </w:rPr>
              <w:t>0.25mSv</w:t>
            </w:r>
            <w:r>
              <w:rPr>
                <w:rFonts w:hint="eastAsia" w:ascii="Times New Roman" w:hAnsi="Times New Roman" w:eastAsia="宋体" w:cs="Times New Roman"/>
                <w:color w:val="auto"/>
                <w:sz w:val="24"/>
                <w:highlight w:val="none"/>
                <w:lang w:val="en-US" w:eastAsia="zh-CN"/>
              </w:rPr>
              <w:t>的要求，符合《电离辐射防护与辐射源安全基本标准》（</w:t>
            </w:r>
            <w:r>
              <w:rPr>
                <w:rFonts w:hint="default" w:ascii="Times New Roman" w:hAnsi="Times New Roman" w:eastAsia="宋体" w:cs="Times New Roman"/>
                <w:color w:val="auto"/>
                <w:sz w:val="24"/>
                <w:highlight w:val="none"/>
                <w:lang w:val="en-US" w:eastAsia="zh-CN"/>
              </w:rPr>
              <w:t>GB18871-2002</w:t>
            </w:r>
            <w:r>
              <w:rPr>
                <w:rFonts w:hint="eastAsia" w:ascii="Times New Roman" w:hAnsi="Times New Roman" w:eastAsia="宋体" w:cs="Times New Roman"/>
                <w:color w:val="auto"/>
                <w:sz w:val="24"/>
                <w:highlight w:val="none"/>
                <w:lang w:val="en-US" w:eastAsia="zh-CN"/>
              </w:rPr>
              <w:t>）中关于“剂量限值”的要求。</w:t>
            </w:r>
          </w:p>
          <w:p w14:paraId="20849F8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b/>
                <w:bCs/>
                <w:color w:val="auto"/>
                <w:sz w:val="24"/>
                <w:szCs w:val="24"/>
                <w:highlight w:val="none"/>
                <w:lang w:val="en-US" w:eastAsia="zh-CN"/>
              </w:rPr>
            </w:pPr>
            <w:r>
              <w:rPr>
                <w:rFonts w:hint="eastAsia" w:ascii="Times New Roman" w:hAnsi="Times New Roman" w:eastAsia="宋体" w:cs="Times New Roman"/>
                <w:color w:val="auto"/>
                <w:sz w:val="24"/>
                <w:highlight w:val="none"/>
                <w:lang w:val="en-US" w:eastAsia="zh-CN"/>
              </w:rPr>
              <w:t>因此，从代价利益分析看，该项目建设是正当可行的。</w:t>
            </w:r>
          </w:p>
          <w:p w14:paraId="79B72B2A">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r>
              <w:rPr>
                <w:rFonts w:hint="eastAsia"/>
                <w:b/>
                <w:bCs/>
                <w:color w:val="auto"/>
                <w:sz w:val="24"/>
                <w:szCs w:val="24"/>
                <w:highlight w:val="none"/>
                <w:lang w:val="en-US" w:eastAsia="zh-CN"/>
              </w:rPr>
              <w:t>10</w:t>
            </w:r>
            <w:r>
              <w:rPr>
                <w:rFonts w:hint="eastAsia"/>
                <w:b/>
                <w:bCs/>
                <w:color w:val="auto"/>
                <w:sz w:val="24"/>
                <w:szCs w:val="24"/>
                <w:highlight w:val="none"/>
              </w:rPr>
              <w:t>、</w:t>
            </w:r>
            <w:r>
              <w:rPr>
                <w:b/>
                <w:bCs/>
                <w:color w:val="auto"/>
                <w:sz w:val="24"/>
                <w:szCs w:val="24"/>
                <w:highlight w:val="none"/>
              </w:rPr>
              <w:t>项目“三线一单”相符性分析</w:t>
            </w:r>
            <w:bookmarkEnd w:id="35"/>
            <w:bookmarkEnd w:id="36"/>
            <w:bookmarkEnd w:id="37"/>
          </w:p>
          <w:p w14:paraId="291750F4">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lang w:val="zh-CN"/>
              </w:rPr>
            </w:pPr>
            <w:r>
              <w:rPr>
                <w:rFonts w:hint="eastAsia"/>
                <w:color w:val="auto"/>
                <w:sz w:val="24"/>
                <w:szCs w:val="24"/>
                <w:highlight w:val="none"/>
                <w:lang w:eastAsia="zh-CN"/>
              </w:rPr>
              <w:t>根据</w:t>
            </w:r>
            <w:r>
              <w:rPr>
                <w:rFonts w:hint="eastAsia"/>
                <w:color w:val="auto"/>
                <w:sz w:val="24"/>
                <w:szCs w:val="24"/>
                <w:highlight w:val="none"/>
              </w:rPr>
              <w:t>《关于以改善环境质量为核心加强环境影响评价管理的通知》，要求强化“三线一单”约束作用，即落实“生态保护红线、环境质量底线、资源利用上线和环境准入清单”约束。</w:t>
            </w:r>
          </w:p>
          <w:p w14:paraId="4DAF6D7A">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bookmarkStart w:id="38" w:name="_Toc30254"/>
            <w:r>
              <w:rPr>
                <w:rFonts w:hint="eastAsia"/>
                <w:b/>
                <w:bCs/>
                <w:color w:val="auto"/>
                <w:sz w:val="24"/>
                <w:szCs w:val="24"/>
                <w:highlight w:val="none"/>
                <w:lang w:val="en-US" w:eastAsia="zh-CN"/>
              </w:rPr>
              <w:t>10</w:t>
            </w:r>
            <w:r>
              <w:rPr>
                <w:rFonts w:hint="eastAsia"/>
                <w:b/>
                <w:bCs/>
                <w:color w:val="auto"/>
                <w:sz w:val="24"/>
                <w:szCs w:val="24"/>
                <w:highlight w:val="none"/>
              </w:rPr>
              <w:t>.1</w:t>
            </w:r>
            <w:r>
              <w:rPr>
                <w:rFonts w:hint="eastAsia"/>
                <w:b/>
                <w:bCs/>
                <w:color w:val="auto"/>
                <w:sz w:val="24"/>
                <w:szCs w:val="24"/>
                <w:highlight w:val="none"/>
                <w:lang w:eastAsia="zh-CN"/>
              </w:rPr>
              <w:t>、</w:t>
            </w:r>
            <w:r>
              <w:rPr>
                <w:b/>
                <w:bCs/>
                <w:color w:val="auto"/>
                <w:sz w:val="24"/>
                <w:szCs w:val="24"/>
                <w:highlight w:val="none"/>
              </w:rPr>
              <w:t>生态保护红线</w:t>
            </w:r>
            <w:bookmarkEnd w:id="38"/>
          </w:p>
          <w:p w14:paraId="224C439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highlight w:val="none"/>
              </w:rPr>
            </w:pPr>
            <w:r>
              <w:rPr>
                <w:rFonts w:hint="eastAsia"/>
                <w:b w:val="0"/>
                <w:bCs w:val="0"/>
                <w:color w:val="auto"/>
                <w:sz w:val="24"/>
                <w:szCs w:val="24"/>
                <w:highlight w:val="none"/>
              </w:rPr>
              <w:t>本项目位于</w:t>
            </w:r>
            <w:r>
              <w:rPr>
                <w:rFonts w:hint="default"/>
                <w:b w:val="0"/>
                <w:bCs w:val="0"/>
                <w:color w:val="auto"/>
                <w:sz w:val="24"/>
                <w:szCs w:val="24"/>
                <w:highlight w:val="none"/>
                <w:lang w:val="en-US" w:eastAsia="zh-CN"/>
              </w:rPr>
              <w:t>安徽六安金安经济开发区长淮路666号</w:t>
            </w:r>
            <w:r>
              <w:rPr>
                <w:rFonts w:hint="default"/>
                <w:b w:val="0"/>
                <w:bCs w:val="0"/>
                <w:color w:val="auto"/>
                <w:sz w:val="24"/>
                <w:szCs w:val="24"/>
                <w:highlight w:val="none"/>
                <w:lang w:eastAsia="zh-CN"/>
              </w:rPr>
              <w:t>安徽泓济环境科技有限公司</w:t>
            </w:r>
            <w:r>
              <w:rPr>
                <w:rFonts w:hint="eastAsia"/>
                <w:b w:val="0"/>
                <w:bCs w:val="0"/>
                <w:color w:val="auto"/>
                <w:sz w:val="24"/>
                <w:szCs w:val="24"/>
                <w:highlight w:val="none"/>
              </w:rPr>
              <w:t>厂区</w:t>
            </w:r>
            <w:r>
              <w:rPr>
                <w:rFonts w:hint="eastAsia"/>
                <w:b w:val="0"/>
                <w:bCs w:val="0"/>
                <w:color w:val="auto"/>
                <w:sz w:val="24"/>
                <w:szCs w:val="24"/>
                <w:highlight w:val="none"/>
                <w:lang w:val="en-US" w:eastAsia="zh-CN"/>
              </w:rPr>
              <w:t>现有2#生产车间内东北角</w:t>
            </w:r>
            <w:r>
              <w:rPr>
                <w:rFonts w:hint="eastAsia"/>
                <w:b w:val="0"/>
                <w:bCs w:val="0"/>
                <w:color w:val="auto"/>
                <w:sz w:val="24"/>
                <w:szCs w:val="24"/>
                <w:highlight w:val="none"/>
              </w:rPr>
              <w:t>（E116</w:t>
            </w:r>
            <w:r>
              <w:rPr>
                <w:rFonts w:hint="eastAsia"/>
                <w:b w:val="0"/>
                <w:bCs w:val="0"/>
                <w:color w:val="auto"/>
                <w:sz w:val="24"/>
                <w:szCs w:val="24"/>
                <w:highlight w:val="none"/>
                <w:lang w:val="en-US" w:eastAsia="zh-CN"/>
              </w:rPr>
              <w:t>.395530</w:t>
            </w:r>
            <w:r>
              <w:rPr>
                <w:rFonts w:hint="eastAsia"/>
                <w:b w:val="0"/>
                <w:bCs w:val="0"/>
                <w:color w:val="auto"/>
                <w:sz w:val="24"/>
                <w:szCs w:val="24"/>
                <w:highlight w:val="none"/>
              </w:rPr>
              <w:t>，N3</w:t>
            </w:r>
            <w:r>
              <w:rPr>
                <w:rFonts w:hint="eastAsia"/>
                <w:b w:val="0"/>
                <w:bCs w:val="0"/>
                <w:color w:val="auto"/>
                <w:sz w:val="24"/>
                <w:szCs w:val="24"/>
                <w:highlight w:val="none"/>
                <w:lang w:val="en-US" w:eastAsia="zh-CN"/>
              </w:rPr>
              <w:t>1.455245</w:t>
            </w:r>
            <w:r>
              <w:rPr>
                <w:rFonts w:hint="eastAsia"/>
                <w:b w:val="0"/>
                <w:bCs w:val="0"/>
                <w:color w:val="auto"/>
                <w:sz w:val="24"/>
                <w:szCs w:val="24"/>
                <w:highlight w:val="none"/>
              </w:rPr>
              <w:t>）。</w:t>
            </w:r>
            <w:r>
              <w:rPr>
                <w:rFonts w:hint="eastAsia"/>
                <w:b w:val="0"/>
                <w:bCs w:val="0"/>
                <w:color w:val="auto"/>
                <w:sz w:val="24"/>
                <w:szCs w:val="24"/>
                <w:highlight w:val="none"/>
                <w:lang w:eastAsia="zh-CN"/>
              </w:rPr>
              <w:t>根据</w:t>
            </w:r>
            <w:r>
              <w:rPr>
                <w:rFonts w:hint="eastAsia"/>
                <w:b w:val="0"/>
                <w:bCs w:val="0"/>
                <w:color w:val="auto"/>
                <w:sz w:val="24"/>
                <w:szCs w:val="24"/>
                <w:highlight w:val="none"/>
                <w:lang w:val="en-US" w:eastAsia="zh-CN"/>
              </w:rPr>
              <w:t>《六安市生态保护红线分布图》</w:t>
            </w:r>
            <w:r>
              <w:rPr>
                <w:rFonts w:hint="eastAsia"/>
                <w:b w:val="0"/>
                <w:bCs w:val="0"/>
                <w:color w:val="auto"/>
                <w:sz w:val="24"/>
                <w:szCs w:val="24"/>
                <w:highlight w:val="none"/>
              </w:rPr>
              <w:t>，本项目不占用生态保护红线区域</w:t>
            </w:r>
            <w:r>
              <w:rPr>
                <w:rFonts w:hint="eastAsia"/>
                <w:color w:val="auto"/>
                <w:sz w:val="24"/>
                <w:szCs w:val="24"/>
                <w:highlight w:val="none"/>
                <w:lang w:val="en-US" w:eastAsia="zh-CN"/>
              </w:rPr>
              <w:t>，项目距离最近的生态红线区域（淠河总干渠）约3.4</w:t>
            </w:r>
            <w:r>
              <w:rPr>
                <w:rFonts w:hint="default"/>
                <w:color w:val="auto"/>
                <w:sz w:val="24"/>
                <w:szCs w:val="24"/>
                <w:highlight w:val="none"/>
                <w:lang w:val="en-US" w:eastAsia="zh-CN"/>
              </w:rPr>
              <w:t>km</w:t>
            </w:r>
            <w:r>
              <w:rPr>
                <w:rFonts w:hint="eastAsia"/>
                <w:color w:val="auto"/>
                <w:sz w:val="24"/>
                <w:szCs w:val="24"/>
                <w:highlight w:val="none"/>
                <w:lang w:val="en-US" w:eastAsia="zh-CN"/>
              </w:rPr>
              <w:t>。项目与生态红线的位置关系详见附图5。因此，项目建设符合生态红线控制要求。</w:t>
            </w:r>
          </w:p>
          <w:p w14:paraId="0B16148C">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color w:val="auto"/>
                <w:sz w:val="24"/>
                <w:szCs w:val="24"/>
                <w:highlight w:val="none"/>
              </w:rPr>
            </w:pPr>
            <w:r>
              <w:rPr>
                <w:rFonts w:hint="eastAsia"/>
                <w:b/>
                <w:bCs/>
                <w:color w:val="auto"/>
                <w:sz w:val="24"/>
                <w:szCs w:val="24"/>
                <w:highlight w:val="none"/>
                <w:lang w:val="en-US" w:eastAsia="zh-CN"/>
              </w:rPr>
              <w:t>10</w:t>
            </w:r>
            <w:r>
              <w:rPr>
                <w:rFonts w:hint="eastAsia"/>
                <w:b/>
                <w:bCs/>
                <w:color w:val="auto"/>
                <w:sz w:val="24"/>
                <w:szCs w:val="24"/>
                <w:highlight w:val="none"/>
              </w:rPr>
              <w:t>.</w:t>
            </w:r>
            <w:r>
              <w:rPr>
                <w:rFonts w:hint="eastAsia"/>
                <w:b/>
                <w:bCs/>
                <w:color w:val="auto"/>
                <w:sz w:val="24"/>
                <w:szCs w:val="24"/>
                <w:highlight w:val="none"/>
                <w:lang w:val="en-US" w:eastAsia="zh-CN"/>
              </w:rPr>
              <w:t>2、管控单元</w:t>
            </w:r>
          </w:p>
          <w:p w14:paraId="31C223A7">
            <w:pPr>
              <w:snapToGrid w:val="0"/>
              <w:spacing w:line="360" w:lineRule="auto"/>
              <w:ind w:firstLine="480" w:firstLineChars="200"/>
              <w:rPr>
                <w:bCs/>
                <w:color w:val="auto"/>
                <w:sz w:val="24"/>
                <w:szCs w:val="24"/>
                <w:highlight w:val="none"/>
              </w:rPr>
            </w:pPr>
            <w:r>
              <w:rPr>
                <w:bCs/>
                <w:color w:val="auto"/>
                <w:sz w:val="24"/>
                <w:szCs w:val="24"/>
                <w:highlight w:val="none"/>
              </w:rPr>
              <w:t>根据《</w:t>
            </w:r>
            <w:r>
              <w:rPr>
                <w:rFonts w:hint="eastAsia"/>
                <w:bCs/>
                <w:color w:val="auto"/>
                <w:sz w:val="24"/>
                <w:szCs w:val="24"/>
                <w:highlight w:val="none"/>
                <w:lang w:val="en-US" w:eastAsia="zh-CN"/>
              </w:rPr>
              <w:t>六安</w:t>
            </w:r>
            <w:r>
              <w:rPr>
                <w:rFonts w:hint="eastAsia"/>
                <w:bCs/>
                <w:color w:val="auto"/>
                <w:sz w:val="24"/>
                <w:szCs w:val="24"/>
                <w:highlight w:val="none"/>
              </w:rPr>
              <w:t>市</w:t>
            </w:r>
            <w:r>
              <w:rPr>
                <w:bCs/>
                <w:color w:val="auto"/>
                <w:sz w:val="24"/>
                <w:szCs w:val="24"/>
                <w:highlight w:val="none"/>
              </w:rPr>
              <w:t>“三线一单图集”》，本项目所在区域环境属于重点管控单元，大气环境</w:t>
            </w:r>
            <w:r>
              <w:rPr>
                <w:rFonts w:hint="eastAsia"/>
                <w:bCs/>
                <w:color w:val="auto"/>
                <w:sz w:val="24"/>
                <w:szCs w:val="24"/>
                <w:highlight w:val="none"/>
              </w:rPr>
              <w:t>属于</w:t>
            </w:r>
            <w:r>
              <w:rPr>
                <w:bCs/>
                <w:color w:val="auto"/>
                <w:sz w:val="24"/>
                <w:szCs w:val="24"/>
                <w:highlight w:val="none"/>
              </w:rPr>
              <w:t>高排放重点管控</w:t>
            </w:r>
            <w:r>
              <w:rPr>
                <w:rFonts w:hint="eastAsia"/>
                <w:bCs/>
                <w:color w:val="auto"/>
                <w:sz w:val="24"/>
                <w:szCs w:val="24"/>
                <w:highlight w:val="none"/>
              </w:rPr>
              <w:t>区</w:t>
            </w:r>
            <w:r>
              <w:rPr>
                <w:bCs/>
                <w:color w:val="auto"/>
                <w:sz w:val="24"/>
                <w:szCs w:val="24"/>
                <w:highlight w:val="none"/>
              </w:rPr>
              <w:t>，水环境属于</w:t>
            </w:r>
            <w:r>
              <w:rPr>
                <w:rFonts w:hint="eastAsia"/>
                <w:bCs/>
                <w:color w:val="auto"/>
                <w:sz w:val="24"/>
                <w:szCs w:val="24"/>
                <w:highlight w:val="none"/>
              </w:rPr>
              <w:t>工业污染重点管控区、</w:t>
            </w:r>
            <w:r>
              <w:rPr>
                <w:bCs/>
                <w:color w:val="auto"/>
                <w:sz w:val="24"/>
                <w:szCs w:val="24"/>
                <w:highlight w:val="none"/>
              </w:rPr>
              <w:t>土壤环境属于</w:t>
            </w:r>
            <w:r>
              <w:rPr>
                <w:rFonts w:hint="eastAsia"/>
                <w:bCs/>
                <w:color w:val="auto"/>
                <w:sz w:val="24"/>
                <w:szCs w:val="24"/>
                <w:highlight w:val="none"/>
              </w:rPr>
              <w:t>一般管控</w:t>
            </w:r>
            <w:r>
              <w:rPr>
                <w:bCs/>
                <w:color w:val="auto"/>
                <w:sz w:val="24"/>
                <w:szCs w:val="24"/>
                <w:highlight w:val="none"/>
              </w:rPr>
              <w:t>区。</w:t>
            </w:r>
          </w:p>
          <w:p w14:paraId="4FEFD7F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bCs/>
                <w:color w:val="auto"/>
                <w:sz w:val="24"/>
                <w:szCs w:val="24"/>
                <w:highlight w:val="none"/>
                <w:lang w:val="en-US" w:eastAsia="zh-CN"/>
              </w:rPr>
            </w:pPr>
            <w:r>
              <w:rPr>
                <w:rFonts w:hint="eastAsia"/>
                <w:bCs/>
                <w:color w:val="auto"/>
                <w:sz w:val="24"/>
                <w:szCs w:val="24"/>
                <w:highlight w:val="none"/>
                <w:lang w:val="en-US" w:eastAsia="zh-CN"/>
              </w:rPr>
              <w:t xml:space="preserve">项目所在水环境管控单元为工业污染重点管控区，要求依据《中华人民共和国水污染防治法》《水污染防治行动计划》《安徽省水污染防治工作方案》及六安市水污染防治工作方案对重点管控区实施管控；依据《安徽省淮河流域水污染防治条例》对淮河流域实施管控；依据开发区规划、规划环评及审查意见相关要求对开发区实施管控。大气环境管控单元为高排放重点管控区，要求落实《安徽省大气污染防治条例》《“十四五”生态环境保护规划》《安徽省“十四五”生态环境保护规划》《打赢蓝天保卫战三年行动计划》《安徽省打赢蓝天保卫战三年行动计划实施方案》《重点行业挥发性有机物综合治理方案》《六安市“十四五”生态环境保护规划》等要求，严格目标实施计划，加强环境监管，促进生态环境质量好转。 </w:t>
            </w:r>
          </w:p>
          <w:p w14:paraId="2B322CE4">
            <w:pPr>
              <w:snapToGrid w:val="0"/>
              <w:spacing w:line="360" w:lineRule="auto"/>
              <w:ind w:firstLine="480" w:firstLineChars="200"/>
              <w:rPr>
                <w:rFonts w:hint="eastAsia"/>
                <w:bCs/>
                <w:color w:val="auto"/>
                <w:sz w:val="24"/>
                <w:szCs w:val="24"/>
                <w:highlight w:val="none"/>
                <w:lang w:val="en-US" w:eastAsia="zh-CN"/>
              </w:rPr>
            </w:pPr>
            <w:r>
              <w:rPr>
                <w:bCs/>
                <w:color w:val="auto"/>
                <w:sz w:val="24"/>
                <w:szCs w:val="24"/>
                <w:highlight w:val="none"/>
              </w:rPr>
              <w:t>本项目所在区域土壤环境属于</w:t>
            </w:r>
            <w:r>
              <w:rPr>
                <w:rFonts w:hint="eastAsia"/>
                <w:bCs/>
                <w:color w:val="auto"/>
                <w:sz w:val="24"/>
                <w:szCs w:val="24"/>
                <w:highlight w:val="none"/>
              </w:rPr>
              <w:t>一般管控区，依据《中华人民共和国土壤污染防治法》《土壤污染防治行动计划》《安徽省土壤污染防治工作方案》《安徽省“十</w:t>
            </w:r>
            <w:r>
              <w:rPr>
                <w:rFonts w:hint="eastAsia"/>
                <w:bCs/>
                <w:color w:val="auto"/>
                <w:sz w:val="24"/>
                <w:szCs w:val="24"/>
                <w:highlight w:val="none"/>
                <w:lang w:val="en-US" w:eastAsia="zh-CN"/>
              </w:rPr>
              <w:t>四</w:t>
            </w:r>
            <w:r>
              <w:rPr>
                <w:rFonts w:hint="eastAsia"/>
                <w:bCs/>
                <w:color w:val="auto"/>
                <w:sz w:val="24"/>
                <w:szCs w:val="24"/>
                <w:highlight w:val="none"/>
              </w:rPr>
              <w:t>五”环境保护规划》等要求及各市土壤污染防治工作方案对一般管控区实施管控。</w:t>
            </w:r>
            <w:r>
              <w:rPr>
                <w:rFonts w:hint="eastAsia"/>
                <w:bCs/>
                <w:color w:val="auto"/>
                <w:sz w:val="24"/>
                <w:szCs w:val="24"/>
                <w:highlight w:val="none"/>
                <w:lang w:val="en-US" w:eastAsia="zh-CN"/>
              </w:rPr>
              <w:t>本项目产生的危险废物暂存于危废暂存间，定期委托有资质的单位处理。</w:t>
            </w:r>
          </w:p>
          <w:p w14:paraId="284E113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4"/>
                <w:szCs w:val="24"/>
                <w:highlight w:val="none"/>
                <w:lang w:val="en-US" w:eastAsia="zh-CN"/>
              </w:rPr>
            </w:pPr>
            <w:bookmarkStart w:id="39" w:name="_Toc12017"/>
            <w:r>
              <w:rPr>
                <w:color w:val="auto"/>
                <w:sz w:val="21"/>
              </w:rPr>
              <mc:AlternateContent>
                <mc:Choice Requires="wps">
                  <w:drawing>
                    <wp:anchor distT="0" distB="0" distL="114300" distR="114300" simplePos="0" relativeHeight="251756544" behindDoc="0" locked="0" layoutInCell="1" allowOverlap="1">
                      <wp:simplePos x="0" y="0"/>
                      <wp:positionH relativeFrom="column">
                        <wp:posOffset>3338830</wp:posOffset>
                      </wp:positionH>
                      <wp:positionV relativeFrom="paragraph">
                        <wp:posOffset>2343785</wp:posOffset>
                      </wp:positionV>
                      <wp:extent cx="579120" cy="255270"/>
                      <wp:effectExtent l="220345" t="57150" r="19685" b="11430"/>
                      <wp:wrapNone/>
                      <wp:docPr id="40" name="矩形标注 40"/>
                      <wp:cNvGraphicFramePr/>
                      <a:graphic xmlns:a="http://schemas.openxmlformats.org/drawingml/2006/main">
                        <a:graphicData uri="http://schemas.microsoft.com/office/word/2010/wordprocessingShape">
                          <wps:wsp>
                            <wps:cNvSpPr/>
                            <wps:spPr>
                              <a:xfrm>
                                <a:off x="1750060" y="2383790"/>
                                <a:ext cx="579120" cy="255270"/>
                              </a:xfrm>
                              <a:prstGeom prst="wedgeRectCallout">
                                <a:avLst>
                                  <a:gd name="adj1" fmla="val -80798"/>
                                  <a:gd name="adj2" fmla="val -62793"/>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22248D8A">
                                  <w:pPr>
                                    <w:jc w:val="both"/>
                                    <w:rPr>
                                      <w:rFonts w:hint="eastAsia" w:eastAsia="宋体"/>
                                      <w:b/>
                                      <w:bCs/>
                                      <w:color w:val="FF0000"/>
                                      <w:sz w:val="20"/>
                                      <w:szCs w:val="18"/>
                                      <w:lang w:val="en-US" w:eastAsia="zh-CN"/>
                                    </w:rPr>
                                  </w:pPr>
                                  <w:r>
                                    <w:rPr>
                                      <w:rFonts w:hint="eastAsia"/>
                                      <w:b/>
                                      <w:bCs/>
                                      <w:color w:val="FF0000"/>
                                      <w:sz w:val="20"/>
                                      <w:szCs w:val="18"/>
                                      <w:lang w:val="en-US" w:eastAsia="zh-CN"/>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2.9pt;margin-top:184.55pt;height:20.1pt;width:45.6pt;z-index:251756544;v-text-anchor:middle;mso-width-relative:page;mso-height-relative:page;" filled="f" stroked="t" coordsize="21600,21600" o:gfxdata="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tDoEGNcAAAALAQAADwAA&#10;AAAAAAABACAAAAAiAAAAZHJzL2Rvd25yZXYueG1sUEsBAhQAFAAAAAgAh07iQMCSMw3CAgAAagUA&#10;AA4AAAAAAAAAAQAgAAAAJgEAAGRycy9lMm9Eb2MueG1sUEsFBgAAAAAGAAYAWQEAAFoGAAAAAA==&#10;" adj="-6652,-2763">
                      <v:fill on="f" focussize="0,0"/>
                      <v:stroke weight="1pt" color="#2E75B6 [2404]" miterlimit="8" joinstyle="miter"/>
                      <v:imagedata o:title=""/>
                      <o:lock v:ext="edit" aspectratio="f"/>
                      <v:textbox>
                        <w:txbxContent>
                          <w:p w14:paraId="22248D8A">
                            <w:pPr>
                              <w:jc w:val="both"/>
                              <w:rPr>
                                <w:rFonts w:hint="eastAsia" w:eastAsia="宋体"/>
                                <w:b/>
                                <w:bCs/>
                                <w:color w:val="FF0000"/>
                                <w:sz w:val="20"/>
                                <w:szCs w:val="18"/>
                                <w:lang w:val="en-US" w:eastAsia="zh-CN"/>
                              </w:rPr>
                            </w:pPr>
                            <w:r>
                              <w:rPr>
                                <w:rFonts w:hint="eastAsia"/>
                                <w:b/>
                                <w:bCs/>
                                <w:color w:val="FF0000"/>
                                <w:sz w:val="20"/>
                                <w:szCs w:val="18"/>
                                <w:lang w:val="en-US" w:eastAsia="zh-CN"/>
                              </w:rPr>
                              <w:t>项目区</w:t>
                            </w:r>
                          </w:p>
                        </w:txbxContent>
                      </v:textbox>
                    </v:shape>
                  </w:pict>
                </mc:Fallback>
              </mc:AlternateContent>
            </w:r>
            <w:r>
              <w:rPr>
                <w:color w:val="auto"/>
              </w:rPr>
              <w:drawing>
                <wp:inline distT="0" distB="0" distL="114300" distR="114300">
                  <wp:extent cx="5694045" cy="3961765"/>
                  <wp:effectExtent l="12700" t="12700" r="27305" b="26035"/>
                  <wp:docPr id="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7"/>
                          <pic:cNvPicPr>
                            <a:picLocks noChangeAspect="1"/>
                          </pic:cNvPicPr>
                        </pic:nvPicPr>
                        <pic:blipFill>
                          <a:blip r:embed="rId29"/>
                          <a:stretch>
                            <a:fillRect/>
                          </a:stretch>
                        </pic:blipFill>
                        <pic:spPr>
                          <a:xfrm>
                            <a:off x="0" y="0"/>
                            <a:ext cx="5694045" cy="3961765"/>
                          </a:xfrm>
                          <a:prstGeom prst="rect">
                            <a:avLst/>
                          </a:prstGeom>
                          <a:noFill/>
                          <a:ln w="12700" cmpd="sng">
                            <a:solidFill>
                              <a:schemeClr val="tx1"/>
                            </a:solidFill>
                            <a:prstDash val="solid"/>
                          </a:ln>
                        </pic:spPr>
                      </pic:pic>
                    </a:graphicData>
                  </a:graphic>
                </wp:inline>
              </w:drawing>
            </w:r>
            <w:r>
              <w:rPr>
                <w:color w:val="auto"/>
                <w:sz w:val="21"/>
              </w:rPr>
              <mc:AlternateContent>
                <mc:Choice Requires="wps">
                  <w:drawing>
                    <wp:anchor distT="0" distB="0" distL="114300" distR="114300" simplePos="0" relativeHeight="251755520" behindDoc="0" locked="0" layoutInCell="1" allowOverlap="1">
                      <wp:simplePos x="0" y="0"/>
                      <wp:positionH relativeFrom="column">
                        <wp:posOffset>3068955</wp:posOffset>
                      </wp:positionH>
                      <wp:positionV relativeFrom="paragraph">
                        <wp:posOffset>2221230</wp:posOffset>
                      </wp:positionV>
                      <wp:extent cx="76200" cy="76200"/>
                      <wp:effectExtent l="19050" t="21590" r="19050" b="35560"/>
                      <wp:wrapNone/>
                      <wp:docPr id="36" name="五角星 36"/>
                      <wp:cNvGraphicFramePr/>
                      <a:graphic xmlns:a="http://schemas.openxmlformats.org/drawingml/2006/main">
                        <a:graphicData uri="http://schemas.microsoft.com/office/word/2010/wordprocessingShape">
                          <wps:wsp>
                            <wps:cNvSpPr/>
                            <wps:spPr>
                              <a:xfrm>
                                <a:off x="2147570" y="2669540"/>
                                <a:ext cx="76200" cy="7620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1.65pt;margin-top:174.9pt;height:6pt;width:6pt;z-index:251755520;v-text-anchor:middle;mso-width-relative:page;mso-height-relative:page;" fillcolor="#FF0000" filled="t" stroked="t" coordsize="76200,76200" o:gfxdata="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ph5pZ2QAAAAsBAAAPAAAAAAAAAAEAIAAAACIA&#10;AABkcnMvZG93bnJldi54bWxQSwECFAAUAAAACACHTuJAf136t3oCAAADBQAADgAAAAAAAAABACAA&#10;AAAoAQAAZHJzL2Uyb0RvYy54bWxQSwUGAAAAAAYABgBZAQAAFAYAAAAA&#10;" path="m0,29105l29105,29105,38100,0,47094,29105,76199,29105,52652,47093,61647,76199,38100,58211,14552,76199,23547,47093xe">
                      <v:path o:connectlocs="38100,0;0,29105;14552,76199;61647,76199;76199,29105" o:connectangles="247,164,82,82,0"/>
                      <v:fill on="t" focussize="0,0"/>
                      <v:stroke weight="1pt" color="#FF0000 [2404]" miterlimit="8" joinstyle="miter"/>
                      <v:imagedata o:title=""/>
                      <o:lock v:ext="edit" aspectratio="f"/>
                    </v:shape>
                  </w:pict>
                </mc:Fallback>
              </mc:AlternateContent>
            </w:r>
          </w:p>
          <w:p w14:paraId="5611180F">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1"/>
                <w:szCs w:val="21"/>
                <w:highlight w:val="none"/>
                <w:lang w:val="en-US" w:eastAsia="zh-CN"/>
              </w:rPr>
            </w:pPr>
            <w:r>
              <w:rPr>
                <w:rFonts w:hint="eastAsia"/>
                <w:b/>
                <w:bCs/>
                <w:color w:val="auto"/>
                <w:sz w:val="21"/>
                <w:szCs w:val="21"/>
                <w:highlight w:val="none"/>
                <w:lang w:val="en-US" w:eastAsia="zh-CN"/>
              </w:rPr>
              <w:t>图1-2 大气环境管控单元划分</w:t>
            </w:r>
          </w:p>
          <w:p w14:paraId="294747C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4"/>
                <w:szCs w:val="24"/>
                <w:highlight w:val="none"/>
                <w:lang w:val="en-US" w:eastAsia="zh-CN"/>
              </w:rPr>
            </w:pPr>
          </w:p>
          <w:p w14:paraId="00E09348">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4"/>
                <w:szCs w:val="24"/>
                <w:highlight w:val="none"/>
                <w:lang w:val="en-US" w:eastAsia="zh-CN"/>
              </w:rPr>
            </w:pPr>
          </w:p>
          <w:p w14:paraId="4F48160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4"/>
                <w:szCs w:val="24"/>
                <w:highlight w:val="none"/>
                <w:lang w:val="en-US" w:eastAsia="zh-CN"/>
              </w:rPr>
            </w:pPr>
          </w:p>
          <w:p w14:paraId="3209455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4"/>
                <w:szCs w:val="24"/>
                <w:highlight w:val="none"/>
                <w:lang w:val="en-US" w:eastAsia="zh-CN"/>
              </w:rPr>
            </w:pPr>
          </w:p>
          <w:p w14:paraId="75E9B0A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4"/>
                <w:szCs w:val="24"/>
                <w:highlight w:val="none"/>
                <w:lang w:val="en-US" w:eastAsia="zh-CN"/>
              </w:rPr>
            </w:pPr>
          </w:p>
          <w:p w14:paraId="4E656CBF">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4"/>
                <w:szCs w:val="24"/>
                <w:highlight w:val="none"/>
                <w:lang w:val="en-US" w:eastAsia="zh-CN"/>
              </w:rPr>
            </w:pPr>
          </w:p>
          <w:p w14:paraId="3E1DF6C4">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4"/>
                <w:szCs w:val="24"/>
                <w:highlight w:val="none"/>
                <w:lang w:val="en-US" w:eastAsia="zh-CN"/>
              </w:rPr>
            </w:pPr>
          </w:p>
          <w:p w14:paraId="35778F06">
            <w:pPr>
              <w:keepNext w:val="0"/>
              <w:keepLines w:val="0"/>
              <w:pageBreakBefore w:val="0"/>
              <w:widowControl w:val="0"/>
              <w:kinsoku/>
              <w:wordWrap/>
              <w:overflowPunct/>
              <w:topLinePunct w:val="0"/>
              <w:autoSpaceDE/>
              <w:autoSpaceDN/>
              <w:bidi w:val="0"/>
              <w:adjustRightInd/>
              <w:snapToGrid/>
              <w:spacing w:line="240" w:lineRule="atLeast"/>
              <w:jc w:val="both"/>
              <w:textAlignment w:val="auto"/>
              <w:rPr>
                <w:rFonts w:hint="eastAsia"/>
                <w:b/>
                <w:bCs/>
                <w:color w:val="auto"/>
                <w:sz w:val="24"/>
                <w:szCs w:val="24"/>
                <w:highlight w:val="none"/>
                <w:lang w:val="en-US" w:eastAsia="zh-CN"/>
              </w:rPr>
            </w:pPr>
          </w:p>
          <w:p w14:paraId="2E3A67F8">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4"/>
                <w:szCs w:val="24"/>
                <w:highlight w:val="none"/>
                <w:lang w:val="en-US" w:eastAsia="zh-CN"/>
              </w:rPr>
            </w:pPr>
          </w:p>
          <w:p w14:paraId="3F0D4B4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4"/>
                <w:szCs w:val="24"/>
                <w:highlight w:val="none"/>
                <w:lang w:val="en-US" w:eastAsia="zh-CN"/>
              </w:rPr>
            </w:pPr>
            <w:r>
              <w:rPr>
                <w:color w:val="auto"/>
                <w:sz w:val="21"/>
              </w:rPr>
              <mc:AlternateContent>
                <mc:Choice Requires="wps">
                  <w:drawing>
                    <wp:anchor distT="0" distB="0" distL="114300" distR="114300" simplePos="0" relativeHeight="251758592" behindDoc="0" locked="0" layoutInCell="1" allowOverlap="1">
                      <wp:simplePos x="0" y="0"/>
                      <wp:positionH relativeFrom="column">
                        <wp:posOffset>3338830</wp:posOffset>
                      </wp:positionH>
                      <wp:positionV relativeFrom="paragraph">
                        <wp:posOffset>2450465</wp:posOffset>
                      </wp:positionV>
                      <wp:extent cx="579120" cy="273685"/>
                      <wp:effectExtent l="217805" t="59690" r="22225" b="9525"/>
                      <wp:wrapNone/>
                      <wp:docPr id="43" name="矩形标注 43"/>
                      <wp:cNvGraphicFramePr/>
                      <a:graphic xmlns:a="http://schemas.openxmlformats.org/drawingml/2006/main">
                        <a:graphicData uri="http://schemas.microsoft.com/office/word/2010/wordprocessingShape">
                          <wps:wsp>
                            <wps:cNvSpPr/>
                            <wps:spPr>
                              <a:xfrm>
                                <a:off x="0" y="0"/>
                                <a:ext cx="579120" cy="273685"/>
                              </a:xfrm>
                              <a:prstGeom prst="wedgeRectCallout">
                                <a:avLst>
                                  <a:gd name="adj1" fmla="val -80798"/>
                                  <a:gd name="adj2" fmla="val -62793"/>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25A1ECB9">
                                  <w:pPr>
                                    <w:jc w:val="both"/>
                                    <w:rPr>
                                      <w:rFonts w:hint="eastAsia" w:eastAsia="宋体"/>
                                      <w:b/>
                                      <w:bCs/>
                                      <w:color w:val="FF0000"/>
                                      <w:sz w:val="20"/>
                                      <w:szCs w:val="18"/>
                                      <w:lang w:val="en-US" w:eastAsia="zh-CN"/>
                                    </w:rPr>
                                  </w:pPr>
                                  <w:r>
                                    <w:rPr>
                                      <w:rFonts w:hint="eastAsia"/>
                                      <w:b/>
                                      <w:bCs/>
                                      <w:color w:val="FF0000"/>
                                      <w:sz w:val="20"/>
                                      <w:szCs w:val="18"/>
                                      <w:lang w:val="en-US" w:eastAsia="zh-CN"/>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2.9pt;margin-top:192.95pt;height:21.55pt;width:45.6pt;z-index:251758592;v-text-anchor:middle;mso-width-relative:page;mso-height-relative:page;" filled="f" stroked="t" coordsize="21600,21600" o:gfxdata="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399CtcAAAALAQAADwAAAAAAAAAB&#10;ACAAAAAiAAAAZHJzL2Rvd25yZXYueG1sUEsBAhQAFAAAAAgAh07iQFTglsC8AgAAXgUAAA4AAAAA&#10;AAAAAQAgAAAAJgEAAGRycy9lMm9Eb2MueG1sUEsFBgAAAAAGAAYAWQEAAFQGAAAAAA==&#10;" adj="-6652,-2763">
                      <v:fill on="f" focussize="0,0"/>
                      <v:stroke weight="1pt" color="#2E75B6 [2404]" miterlimit="8" joinstyle="miter"/>
                      <v:imagedata o:title=""/>
                      <o:lock v:ext="edit" aspectratio="f"/>
                      <v:textbox>
                        <w:txbxContent>
                          <w:p w14:paraId="25A1ECB9">
                            <w:pPr>
                              <w:jc w:val="both"/>
                              <w:rPr>
                                <w:rFonts w:hint="eastAsia" w:eastAsia="宋体"/>
                                <w:b/>
                                <w:bCs/>
                                <w:color w:val="FF0000"/>
                                <w:sz w:val="20"/>
                                <w:szCs w:val="18"/>
                                <w:lang w:val="en-US" w:eastAsia="zh-CN"/>
                              </w:rPr>
                            </w:pPr>
                            <w:r>
                              <w:rPr>
                                <w:rFonts w:hint="eastAsia"/>
                                <w:b/>
                                <w:bCs/>
                                <w:color w:val="FF0000"/>
                                <w:sz w:val="20"/>
                                <w:szCs w:val="18"/>
                                <w:lang w:val="en-US" w:eastAsia="zh-CN"/>
                              </w:rPr>
                              <w:t>项目区</w:t>
                            </w:r>
                          </w:p>
                        </w:txbxContent>
                      </v:textbox>
                    </v:shape>
                  </w:pict>
                </mc:Fallback>
              </mc:AlternateContent>
            </w:r>
            <w:r>
              <w:rPr>
                <w:color w:val="auto"/>
                <w:sz w:val="21"/>
              </w:rPr>
              <mc:AlternateContent>
                <mc:Choice Requires="wps">
                  <w:drawing>
                    <wp:anchor distT="0" distB="0" distL="114300" distR="114300" simplePos="0" relativeHeight="251757568" behindDoc="0" locked="0" layoutInCell="1" allowOverlap="1">
                      <wp:simplePos x="0" y="0"/>
                      <wp:positionH relativeFrom="column">
                        <wp:posOffset>3062605</wp:posOffset>
                      </wp:positionH>
                      <wp:positionV relativeFrom="paragraph">
                        <wp:posOffset>2321560</wp:posOffset>
                      </wp:positionV>
                      <wp:extent cx="76200" cy="76200"/>
                      <wp:effectExtent l="19050" t="21590" r="19050" b="35560"/>
                      <wp:wrapNone/>
                      <wp:docPr id="42" name="五角星 42"/>
                      <wp:cNvGraphicFramePr/>
                      <a:graphic xmlns:a="http://schemas.openxmlformats.org/drawingml/2006/main">
                        <a:graphicData uri="http://schemas.microsoft.com/office/word/2010/wordprocessingShape">
                          <wps:wsp>
                            <wps:cNvSpPr/>
                            <wps:spPr>
                              <a:xfrm>
                                <a:off x="0" y="0"/>
                                <a:ext cx="76200" cy="7620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1.15pt;margin-top:182.8pt;height:6pt;width:6pt;z-index:251757568;v-text-anchor:middle;mso-width-relative:page;mso-height-relative:page;" fillcolor="#FF0000" filled="t" stroked="t" coordsize="76200,76200" o:gfxdata="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hJ7HxdoAAAALAQAADwAAAAAAAAABACAAAAAiAAAAZHJzL2Rvd25y&#10;ZXYueG1sUEsBAhQAFAAAAAgAh07iQFEUWoRuAgAA9wQAAA4AAAAAAAAAAQAgAAAAKQEAAGRycy9l&#10;Mm9Eb2MueG1sUEsFBgAAAAAGAAYAWQEAAAkGAAAAAA==&#10;" path="m0,29105l29105,29105,38100,0,47094,29105,76199,29105,52652,47093,61647,76199,38100,58211,14552,76199,23547,47093xe">
                      <v:path o:connectlocs="38100,0;0,29105;14552,76199;61647,76199;76199,29105" o:connectangles="247,164,82,82,0"/>
                      <v:fill on="t" focussize="0,0"/>
                      <v:stroke weight="1pt" color="#FF0000 [2404]" miterlimit="8" joinstyle="miter"/>
                      <v:imagedata o:title=""/>
                      <o:lock v:ext="edit" aspectratio="f"/>
                    </v:shape>
                  </w:pict>
                </mc:Fallback>
              </mc:AlternateContent>
            </w:r>
            <w:r>
              <w:rPr>
                <w:color w:val="auto"/>
              </w:rPr>
              <w:drawing>
                <wp:inline distT="0" distB="0" distL="114300" distR="114300">
                  <wp:extent cx="5718175" cy="3987165"/>
                  <wp:effectExtent l="0" t="0" r="15875" b="13335"/>
                  <wp:docPr id="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pic:cNvPicPr>
                            <a:picLocks noChangeAspect="1"/>
                          </pic:cNvPicPr>
                        </pic:nvPicPr>
                        <pic:blipFill>
                          <a:blip r:embed="rId30"/>
                          <a:stretch>
                            <a:fillRect/>
                          </a:stretch>
                        </pic:blipFill>
                        <pic:spPr>
                          <a:xfrm>
                            <a:off x="0" y="0"/>
                            <a:ext cx="5718175" cy="3987165"/>
                          </a:xfrm>
                          <a:prstGeom prst="rect">
                            <a:avLst/>
                          </a:prstGeom>
                          <a:noFill/>
                          <a:ln>
                            <a:noFill/>
                          </a:ln>
                        </pic:spPr>
                      </pic:pic>
                    </a:graphicData>
                  </a:graphic>
                </wp:inline>
              </w:drawing>
            </w:r>
          </w:p>
          <w:p w14:paraId="77211A83">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1"/>
                <w:szCs w:val="21"/>
                <w:highlight w:val="none"/>
                <w:lang w:val="en-US" w:eastAsia="zh-CN"/>
              </w:rPr>
            </w:pPr>
            <w:r>
              <w:rPr>
                <w:rFonts w:hint="eastAsia"/>
                <w:b/>
                <w:bCs/>
                <w:color w:val="auto"/>
                <w:sz w:val="21"/>
                <w:szCs w:val="21"/>
                <w:highlight w:val="none"/>
                <w:lang w:val="en-US" w:eastAsia="zh-CN"/>
              </w:rPr>
              <w:t>图1-3 土壤环境管控单元划分</w:t>
            </w:r>
          </w:p>
          <w:p w14:paraId="0CB68DB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4"/>
                <w:szCs w:val="24"/>
                <w:highlight w:val="none"/>
                <w:lang w:val="en-US" w:eastAsia="zh-CN"/>
              </w:rPr>
            </w:pPr>
            <w:r>
              <w:rPr>
                <w:color w:val="auto"/>
                <w:sz w:val="21"/>
              </w:rPr>
              <mc:AlternateContent>
                <mc:Choice Requires="wps">
                  <w:drawing>
                    <wp:anchor distT="0" distB="0" distL="114300" distR="114300" simplePos="0" relativeHeight="251760640" behindDoc="0" locked="0" layoutInCell="1" allowOverlap="1">
                      <wp:simplePos x="0" y="0"/>
                      <wp:positionH relativeFrom="column">
                        <wp:posOffset>3326130</wp:posOffset>
                      </wp:positionH>
                      <wp:positionV relativeFrom="paragraph">
                        <wp:posOffset>2456180</wp:posOffset>
                      </wp:positionV>
                      <wp:extent cx="579120" cy="286385"/>
                      <wp:effectExtent l="217170" t="61595" r="22860" b="13970"/>
                      <wp:wrapNone/>
                      <wp:docPr id="46" name="矩形标注 46"/>
                      <wp:cNvGraphicFramePr/>
                      <a:graphic xmlns:a="http://schemas.openxmlformats.org/drawingml/2006/main">
                        <a:graphicData uri="http://schemas.microsoft.com/office/word/2010/wordprocessingShape">
                          <wps:wsp>
                            <wps:cNvSpPr/>
                            <wps:spPr>
                              <a:xfrm>
                                <a:off x="0" y="0"/>
                                <a:ext cx="579120" cy="286385"/>
                              </a:xfrm>
                              <a:prstGeom prst="wedgeRectCallout">
                                <a:avLst>
                                  <a:gd name="adj1" fmla="val -80798"/>
                                  <a:gd name="adj2" fmla="val -62793"/>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19DE79AD">
                                  <w:pPr>
                                    <w:jc w:val="both"/>
                                    <w:rPr>
                                      <w:rFonts w:hint="eastAsia" w:eastAsia="宋体"/>
                                      <w:b/>
                                      <w:bCs/>
                                      <w:color w:val="FF0000"/>
                                      <w:sz w:val="20"/>
                                      <w:szCs w:val="18"/>
                                      <w:lang w:val="en-US" w:eastAsia="zh-CN"/>
                                    </w:rPr>
                                  </w:pPr>
                                  <w:r>
                                    <w:rPr>
                                      <w:rFonts w:hint="eastAsia"/>
                                      <w:b/>
                                      <w:bCs/>
                                      <w:color w:val="FF0000"/>
                                      <w:sz w:val="20"/>
                                      <w:szCs w:val="18"/>
                                      <w:lang w:val="en-US" w:eastAsia="zh-CN"/>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1.9pt;margin-top:193.4pt;height:22.55pt;width:45.6pt;z-index:251760640;v-text-anchor:middle;mso-width-relative:page;mso-height-relative:page;" filled="f" stroked="t" coordsize="21600,21600" o:gfxdata="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IS9PcdcAAAALAQAADwAAAAAAAAAB&#10;ACAAAAAiAAAAZHJzL2Rvd25yZXYueG1sUEsBAhQAFAAAAAgAh07iQAZlrxe8AgAAXgUAAA4AAAAA&#10;AAAAAQAgAAAAJgEAAGRycy9lMm9Eb2MueG1sUEsFBgAAAAAGAAYAWQEAAFQGAAAAAA==&#10;" adj="-6652,-2763">
                      <v:fill on="f" focussize="0,0"/>
                      <v:stroke weight="1pt" color="#2E75B6 [2404]" miterlimit="8" joinstyle="miter"/>
                      <v:imagedata o:title=""/>
                      <o:lock v:ext="edit" aspectratio="f"/>
                      <v:textbox>
                        <w:txbxContent>
                          <w:p w14:paraId="19DE79AD">
                            <w:pPr>
                              <w:jc w:val="both"/>
                              <w:rPr>
                                <w:rFonts w:hint="eastAsia" w:eastAsia="宋体"/>
                                <w:b/>
                                <w:bCs/>
                                <w:color w:val="FF0000"/>
                                <w:sz w:val="20"/>
                                <w:szCs w:val="18"/>
                                <w:lang w:val="en-US" w:eastAsia="zh-CN"/>
                              </w:rPr>
                            </w:pPr>
                            <w:r>
                              <w:rPr>
                                <w:rFonts w:hint="eastAsia"/>
                                <w:b/>
                                <w:bCs/>
                                <w:color w:val="FF0000"/>
                                <w:sz w:val="20"/>
                                <w:szCs w:val="18"/>
                                <w:lang w:val="en-US" w:eastAsia="zh-CN"/>
                              </w:rPr>
                              <w:t>项目区</w:t>
                            </w:r>
                          </w:p>
                        </w:txbxContent>
                      </v:textbox>
                    </v:shape>
                  </w:pict>
                </mc:Fallback>
              </mc:AlternateContent>
            </w:r>
            <w:r>
              <w:rPr>
                <w:color w:val="auto"/>
                <w:sz w:val="21"/>
              </w:rPr>
              <mc:AlternateContent>
                <mc:Choice Requires="wps">
                  <w:drawing>
                    <wp:anchor distT="0" distB="0" distL="114300" distR="114300" simplePos="0" relativeHeight="251759616" behindDoc="0" locked="0" layoutInCell="1" allowOverlap="1">
                      <wp:simplePos x="0" y="0"/>
                      <wp:positionH relativeFrom="column">
                        <wp:posOffset>3043555</wp:posOffset>
                      </wp:positionH>
                      <wp:positionV relativeFrom="paragraph">
                        <wp:posOffset>2327275</wp:posOffset>
                      </wp:positionV>
                      <wp:extent cx="76200" cy="76200"/>
                      <wp:effectExtent l="19050" t="21590" r="19050" b="35560"/>
                      <wp:wrapNone/>
                      <wp:docPr id="45" name="五角星 45"/>
                      <wp:cNvGraphicFramePr/>
                      <a:graphic xmlns:a="http://schemas.openxmlformats.org/drawingml/2006/main">
                        <a:graphicData uri="http://schemas.microsoft.com/office/word/2010/wordprocessingShape">
                          <wps:wsp>
                            <wps:cNvSpPr/>
                            <wps:spPr>
                              <a:xfrm>
                                <a:off x="0" y="0"/>
                                <a:ext cx="76200" cy="7620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9.65pt;margin-top:183.25pt;height:6pt;width:6pt;z-index:251759616;v-text-anchor:middle;mso-width-relative:page;mso-height-relative:page;" fillcolor="#FF0000" filled="t" stroked="t" coordsize="76200,76200" o:gfxdata="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E5ApPnbAAAACwEAAA8AAAAAAAAAAQAgAAAAIgAAAGRycy9kb3du&#10;cmV2LnhtbFBLAQIUABQAAAAIAIdO4kBC+dAabgIAAPcEAAAOAAAAAAAAAAEAIAAAACoBAABkcnMv&#10;ZTJvRG9jLnhtbFBLBQYAAAAABgAGAFkBAAAKBgAAAAA=&#10;" path="m0,29105l29105,29105,38100,0,47094,29105,76199,29105,52652,47093,61647,76199,38100,58211,14552,76199,23547,47093xe">
                      <v:path o:connectlocs="38100,0;0,29105;14552,76199;61647,76199;76199,29105" o:connectangles="247,164,82,82,0"/>
                      <v:fill on="t" focussize="0,0"/>
                      <v:stroke weight="1pt" color="#FF0000 [2404]" miterlimit="8" joinstyle="miter"/>
                      <v:imagedata o:title=""/>
                      <o:lock v:ext="edit" aspectratio="f"/>
                    </v:shape>
                  </w:pict>
                </mc:Fallback>
              </mc:AlternateContent>
            </w:r>
            <w:r>
              <w:rPr>
                <w:color w:val="auto"/>
              </w:rPr>
              <w:drawing>
                <wp:inline distT="0" distB="0" distL="114300" distR="114300">
                  <wp:extent cx="5714365" cy="4043680"/>
                  <wp:effectExtent l="0" t="0" r="635" b="13970"/>
                  <wp:docPr id="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9"/>
                          <pic:cNvPicPr>
                            <a:picLocks noChangeAspect="1"/>
                          </pic:cNvPicPr>
                        </pic:nvPicPr>
                        <pic:blipFill>
                          <a:blip r:embed="rId31"/>
                          <a:stretch>
                            <a:fillRect/>
                          </a:stretch>
                        </pic:blipFill>
                        <pic:spPr>
                          <a:xfrm>
                            <a:off x="0" y="0"/>
                            <a:ext cx="5714365" cy="4043680"/>
                          </a:xfrm>
                          <a:prstGeom prst="rect">
                            <a:avLst/>
                          </a:prstGeom>
                          <a:noFill/>
                          <a:ln>
                            <a:noFill/>
                          </a:ln>
                        </pic:spPr>
                      </pic:pic>
                    </a:graphicData>
                  </a:graphic>
                </wp:inline>
              </w:drawing>
            </w:r>
          </w:p>
          <w:p w14:paraId="09B73B3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
                <w:bCs/>
                <w:color w:val="auto"/>
                <w:sz w:val="21"/>
                <w:szCs w:val="21"/>
                <w:highlight w:val="none"/>
                <w:lang w:val="en-US" w:eastAsia="zh-CN"/>
              </w:rPr>
            </w:pPr>
            <w:r>
              <w:rPr>
                <w:rFonts w:hint="eastAsia"/>
                <w:b/>
                <w:bCs/>
                <w:color w:val="auto"/>
                <w:sz w:val="21"/>
                <w:szCs w:val="21"/>
                <w:highlight w:val="none"/>
                <w:lang w:val="en-US" w:eastAsia="zh-CN"/>
              </w:rPr>
              <w:t>图1-4 水环境管控单元划分</w:t>
            </w:r>
          </w:p>
          <w:p w14:paraId="28DC167D">
            <w:pPr>
              <w:snapToGrid w:val="0"/>
              <w:spacing w:line="360" w:lineRule="auto"/>
              <w:rPr>
                <w:rFonts w:hint="eastAsia"/>
                <w:b/>
                <w:bCs/>
                <w:color w:val="auto"/>
                <w:sz w:val="24"/>
                <w:szCs w:val="24"/>
                <w:highlight w:val="none"/>
                <w:lang w:val="en-US" w:eastAsia="zh-CN"/>
              </w:rPr>
            </w:pPr>
          </w:p>
          <w:p w14:paraId="2F2B85FB">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ind w:firstLine="482" w:firstLineChars="200"/>
              <w:textAlignment w:val="auto"/>
              <w:rPr>
                <w:b/>
                <w:bCs/>
                <w:color w:val="auto"/>
                <w:sz w:val="24"/>
                <w:szCs w:val="24"/>
                <w:highlight w:val="none"/>
              </w:rPr>
            </w:pPr>
            <w:r>
              <w:rPr>
                <w:rFonts w:hint="eastAsia"/>
                <w:b/>
                <w:bCs/>
                <w:color w:val="auto"/>
                <w:sz w:val="24"/>
                <w:szCs w:val="24"/>
                <w:highlight w:val="none"/>
                <w:lang w:val="en-US" w:eastAsia="zh-CN"/>
              </w:rPr>
              <w:t>10</w:t>
            </w:r>
            <w:r>
              <w:rPr>
                <w:rFonts w:hint="eastAsia"/>
                <w:b/>
                <w:bCs/>
                <w:color w:val="auto"/>
                <w:sz w:val="24"/>
                <w:szCs w:val="24"/>
                <w:highlight w:val="none"/>
              </w:rPr>
              <w:t>.</w:t>
            </w:r>
            <w:r>
              <w:rPr>
                <w:rFonts w:hint="eastAsia"/>
                <w:b/>
                <w:bCs/>
                <w:color w:val="auto"/>
                <w:sz w:val="24"/>
                <w:szCs w:val="24"/>
                <w:highlight w:val="none"/>
                <w:lang w:val="en-US" w:eastAsia="zh-CN"/>
              </w:rPr>
              <w:t>3、</w:t>
            </w:r>
            <w:r>
              <w:rPr>
                <w:rFonts w:hint="eastAsia"/>
                <w:b/>
                <w:bCs/>
                <w:color w:val="auto"/>
                <w:sz w:val="24"/>
                <w:szCs w:val="24"/>
                <w:highlight w:val="none"/>
              </w:rPr>
              <w:t>环</w:t>
            </w:r>
            <w:r>
              <w:rPr>
                <w:b/>
                <w:bCs/>
                <w:color w:val="auto"/>
                <w:sz w:val="24"/>
                <w:szCs w:val="24"/>
                <w:highlight w:val="none"/>
              </w:rPr>
              <w:t>境质量底线</w:t>
            </w:r>
            <w:bookmarkEnd w:id="39"/>
          </w:p>
          <w:p w14:paraId="3ADC1CC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bCs/>
                <w:color w:val="auto"/>
                <w:sz w:val="24"/>
                <w:szCs w:val="24"/>
                <w:highlight w:val="none"/>
              </w:rPr>
            </w:pPr>
            <w:r>
              <w:rPr>
                <w:rFonts w:hint="eastAsia"/>
                <w:bCs/>
                <w:color w:val="auto"/>
                <w:sz w:val="24"/>
                <w:szCs w:val="24"/>
                <w:highlight w:val="none"/>
                <w:lang w:val="en-US" w:eastAsia="zh-CN"/>
              </w:rPr>
              <w:t>依据《</w:t>
            </w:r>
            <w:r>
              <w:rPr>
                <w:rFonts w:hint="default"/>
                <w:bCs/>
                <w:color w:val="auto"/>
                <w:sz w:val="24"/>
                <w:szCs w:val="24"/>
                <w:highlight w:val="none"/>
                <w:lang w:val="en-US" w:eastAsia="zh-CN"/>
              </w:rPr>
              <w:t>202</w:t>
            </w:r>
            <w:r>
              <w:rPr>
                <w:rFonts w:hint="eastAsia"/>
                <w:bCs/>
                <w:color w:val="auto"/>
                <w:sz w:val="24"/>
                <w:szCs w:val="24"/>
                <w:highlight w:val="none"/>
                <w:lang w:val="en-US" w:eastAsia="zh-CN"/>
              </w:rPr>
              <w:t>3年六安市环境质量公报》，</w:t>
            </w:r>
            <w:r>
              <w:rPr>
                <w:rFonts w:hint="default"/>
                <w:bCs/>
                <w:color w:val="auto"/>
                <w:sz w:val="24"/>
                <w:szCs w:val="24"/>
                <w:highlight w:val="none"/>
                <w:lang w:val="en-US" w:eastAsia="zh-CN"/>
              </w:rPr>
              <w:t>202</w:t>
            </w:r>
            <w:r>
              <w:rPr>
                <w:rFonts w:hint="eastAsia"/>
                <w:bCs/>
                <w:color w:val="auto"/>
                <w:sz w:val="24"/>
                <w:szCs w:val="24"/>
                <w:highlight w:val="none"/>
                <w:lang w:val="en-US" w:eastAsia="zh-CN"/>
              </w:rPr>
              <w:t>3年六安市城区环境空气质量达标，项目所在区域大气环境为达标区。根据声环境质量监测结果可知，项目区域昼、夜间声环境质量满足《声环境质量标准》（</w:t>
            </w:r>
            <w:r>
              <w:rPr>
                <w:rFonts w:hint="default"/>
                <w:bCs/>
                <w:color w:val="auto"/>
                <w:sz w:val="24"/>
                <w:szCs w:val="24"/>
                <w:highlight w:val="none"/>
                <w:lang w:val="en-US" w:eastAsia="zh-CN"/>
              </w:rPr>
              <w:t>GB3096-2008</w:t>
            </w:r>
            <w:r>
              <w:rPr>
                <w:rFonts w:hint="eastAsia"/>
                <w:bCs/>
                <w:color w:val="auto"/>
                <w:sz w:val="24"/>
                <w:szCs w:val="24"/>
                <w:highlight w:val="none"/>
                <w:lang w:val="en-US" w:eastAsia="zh-CN"/>
              </w:rPr>
              <w:t>）中</w:t>
            </w:r>
            <w:r>
              <w:rPr>
                <w:rFonts w:hint="default"/>
                <w:bCs/>
                <w:color w:val="auto"/>
                <w:sz w:val="24"/>
                <w:szCs w:val="24"/>
                <w:highlight w:val="none"/>
                <w:lang w:val="en-US" w:eastAsia="zh-CN"/>
              </w:rPr>
              <w:t>3</w:t>
            </w:r>
            <w:r>
              <w:rPr>
                <w:rFonts w:hint="eastAsia"/>
                <w:bCs/>
                <w:color w:val="auto"/>
                <w:sz w:val="24"/>
                <w:szCs w:val="24"/>
                <w:highlight w:val="none"/>
                <w:lang w:val="en-US" w:eastAsia="zh-CN"/>
              </w:rPr>
              <w:t>类要求</w:t>
            </w:r>
            <w:r>
              <w:rPr>
                <w:rFonts w:hint="eastAsia" w:ascii="Times New Roman" w:hAnsi="Times New Roman" w:eastAsia="宋体" w:cs="Times New Roman"/>
                <w:bCs/>
                <w:color w:val="auto"/>
                <w:sz w:val="24"/>
                <w:szCs w:val="24"/>
                <w:highlight w:val="none"/>
                <w:lang w:val="en-US" w:eastAsia="zh-CN"/>
              </w:rPr>
              <w:t>；根据噪声预测结果，厂界噪声满足</w:t>
            </w:r>
            <w:r>
              <w:rPr>
                <w:rFonts w:hint="default" w:ascii="Times New Roman" w:hAnsi="Times New Roman" w:eastAsia="宋体" w:cs="Times New Roman"/>
                <w:bCs/>
                <w:color w:val="auto"/>
                <w:sz w:val="24"/>
                <w:szCs w:val="24"/>
                <w:highlight w:val="none"/>
                <w:lang w:val="en-US" w:eastAsia="zh-CN"/>
              </w:rPr>
              <w:t>《工业企业厂界环境噪声排放标准》（GB12348-2008）中的3类标准要求</w:t>
            </w:r>
            <w:r>
              <w:rPr>
                <w:rFonts w:hint="eastAsia" w:ascii="Times New Roman" w:hAnsi="Times New Roman" w:eastAsia="宋体" w:cs="Times New Roman"/>
                <w:bCs/>
                <w:color w:val="auto"/>
                <w:sz w:val="24"/>
                <w:szCs w:val="24"/>
                <w:highlight w:val="none"/>
                <w:lang w:val="en-US" w:eastAsia="zh-CN"/>
              </w:rPr>
              <w:t>。地</w:t>
            </w:r>
            <w:r>
              <w:rPr>
                <w:rFonts w:hint="eastAsia"/>
                <w:bCs/>
                <w:color w:val="auto"/>
                <w:sz w:val="24"/>
                <w:szCs w:val="24"/>
                <w:highlight w:val="none"/>
                <w:lang w:val="en-US" w:eastAsia="zh-CN"/>
              </w:rPr>
              <w:t>表水淠河水质能满足《地表水环境质量标准》（</w:t>
            </w:r>
            <w:r>
              <w:rPr>
                <w:rFonts w:hint="default"/>
                <w:bCs/>
                <w:color w:val="auto"/>
                <w:sz w:val="24"/>
                <w:szCs w:val="24"/>
                <w:highlight w:val="none"/>
                <w:lang w:val="en-US" w:eastAsia="zh-CN"/>
              </w:rPr>
              <w:t>GB3838-2002</w:t>
            </w:r>
            <w:r>
              <w:rPr>
                <w:rFonts w:hint="eastAsia"/>
                <w:bCs/>
                <w:color w:val="auto"/>
                <w:sz w:val="24"/>
                <w:szCs w:val="24"/>
                <w:highlight w:val="none"/>
                <w:lang w:val="en-US" w:eastAsia="zh-CN"/>
              </w:rPr>
              <w:t>）</w:t>
            </w:r>
            <w:r>
              <w:rPr>
                <w:rFonts w:hint="default"/>
                <w:bCs/>
                <w:color w:val="auto"/>
                <w:sz w:val="24"/>
                <w:szCs w:val="24"/>
                <w:highlight w:val="none"/>
                <w:lang w:val="en-US" w:eastAsia="zh-CN"/>
              </w:rPr>
              <w:t>Ⅲ</w:t>
            </w:r>
            <w:r>
              <w:rPr>
                <w:rFonts w:hint="eastAsia"/>
                <w:bCs/>
                <w:color w:val="auto"/>
                <w:sz w:val="24"/>
                <w:szCs w:val="24"/>
                <w:highlight w:val="none"/>
                <w:lang w:val="en-US" w:eastAsia="zh-CN"/>
              </w:rPr>
              <w:t>类标准要求。本项目主要环境影响为运行期产生的辐射环境影响，</w:t>
            </w:r>
            <w:r>
              <w:rPr>
                <w:rFonts w:hint="eastAsia"/>
                <w:color w:val="auto"/>
                <w:kern w:val="0"/>
                <w:sz w:val="24"/>
                <w:szCs w:val="24"/>
                <w:highlight w:val="none"/>
              </w:rPr>
              <w:t>根据</w:t>
            </w:r>
            <w:r>
              <w:rPr>
                <w:rFonts w:hint="eastAsia"/>
                <w:color w:val="auto"/>
                <w:sz w:val="24"/>
                <w:szCs w:val="24"/>
                <w:highlight w:val="none"/>
              </w:rPr>
              <w:t>检测机构</w:t>
            </w:r>
            <w:r>
              <w:rPr>
                <w:rFonts w:hint="eastAsia"/>
                <w:color w:val="auto"/>
                <w:kern w:val="0"/>
                <w:sz w:val="24"/>
                <w:szCs w:val="24"/>
                <w:highlight w:val="none"/>
              </w:rPr>
              <w:t>对项目地天然本底辐射水平现状监测报告，</w:t>
            </w:r>
            <w:r>
              <w:rPr>
                <w:bCs/>
                <w:color w:val="auto"/>
                <w:sz w:val="24"/>
                <w:szCs w:val="24"/>
                <w:highlight w:val="none"/>
              </w:rPr>
              <w:t>本项目应用场所及周边环境辐射环境现状本底在</w:t>
            </w:r>
            <w:r>
              <w:rPr>
                <w:rFonts w:hint="eastAsia"/>
                <w:bCs/>
                <w:color w:val="auto"/>
                <w:sz w:val="24"/>
                <w:szCs w:val="24"/>
                <w:highlight w:val="none"/>
                <w:lang w:val="en-US" w:eastAsia="zh-CN"/>
              </w:rPr>
              <w:t>40</w:t>
            </w:r>
            <w:r>
              <w:rPr>
                <w:bCs/>
                <w:color w:val="auto"/>
                <w:sz w:val="24"/>
                <w:szCs w:val="24"/>
                <w:highlight w:val="none"/>
              </w:rPr>
              <w:t>~</w:t>
            </w:r>
            <w:r>
              <w:rPr>
                <w:rFonts w:hint="eastAsia"/>
                <w:bCs/>
                <w:color w:val="auto"/>
                <w:sz w:val="24"/>
                <w:szCs w:val="24"/>
                <w:highlight w:val="none"/>
                <w:lang w:val="en-US" w:eastAsia="zh-CN"/>
              </w:rPr>
              <w:t>100n</w:t>
            </w:r>
            <w:r>
              <w:rPr>
                <w:bCs/>
                <w:color w:val="auto"/>
                <w:sz w:val="24"/>
                <w:szCs w:val="24"/>
                <w:highlight w:val="none"/>
              </w:rPr>
              <w:t>Gy/h范围内，与</w:t>
            </w:r>
            <w:r>
              <w:rPr>
                <w:rFonts w:hint="eastAsia"/>
                <w:bCs/>
                <w:color w:val="auto"/>
                <w:sz w:val="24"/>
                <w:szCs w:val="24"/>
                <w:highlight w:val="none"/>
                <w:lang w:val="en-US" w:eastAsia="zh-CN"/>
              </w:rPr>
              <w:t>六安市2023年</w:t>
            </w:r>
            <w:r>
              <w:rPr>
                <w:bCs/>
                <w:color w:val="auto"/>
                <w:sz w:val="24"/>
                <w:szCs w:val="24"/>
                <w:highlight w:val="none"/>
              </w:rPr>
              <w:t>辐射环境现状水平（</w:t>
            </w:r>
            <w:r>
              <w:rPr>
                <w:rFonts w:hint="eastAsia"/>
                <w:bCs/>
                <w:color w:val="auto"/>
                <w:sz w:val="24"/>
                <w:szCs w:val="24"/>
                <w:highlight w:val="none"/>
                <w:lang w:val="en-US" w:eastAsia="zh-CN"/>
              </w:rPr>
              <w:t>83</w:t>
            </w:r>
            <w:r>
              <w:rPr>
                <w:bCs/>
                <w:color w:val="auto"/>
                <w:sz w:val="24"/>
                <w:szCs w:val="24"/>
                <w:highlight w:val="none"/>
              </w:rPr>
              <w:t>～1</w:t>
            </w:r>
            <w:r>
              <w:rPr>
                <w:rFonts w:hint="eastAsia"/>
                <w:bCs/>
                <w:color w:val="auto"/>
                <w:sz w:val="24"/>
                <w:szCs w:val="24"/>
                <w:highlight w:val="none"/>
              </w:rPr>
              <w:t>1</w:t>
            </w:r>
            <w:r>
              <w:rPr>
                <w:rFonts w:hint="eastAsia"/>
                <w:bCs/>
                <w:color w:val="auto"/>
                <w:sz w:val="24"/>
                <w:szCs w:val="24"/>
                <w:highlight w:val="none"/>
                <w:lang w:val="en-US" w:eastAsia="zh-CN"/>
              </w:rPr>
              <w:t>9</w:t>
            </w:r>
            <w:r>
              <w:rPr>
                <w:bCs/>
                <w:color w:val="auto"/>
                <w:sz w:val="24"/>
                <w:szCs w:val="24"/>
                <w:highlight w:val="none"/>
              </w:rPr>
              <w:t>nGy/h）基本保持一致，辐射水平未见明显异常。</w:t>
            </w:r>
          </w:p>
          <w:p w14:paraId="13CAC1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auto"/>
                <w:sz w:val="24"/>
                <w:szCs w:val="24"/>
                <w:highlight w:val="none"/>
              </w:rPr>
            </w:pPr>
            <w:r>
              <w:rPr>
                <w:rFonts w:hint="eastAsia"/>
                <w:color w:val="auto"/>
                <w:kern w:val="0"/>
                <w:sz w:val="24"/>
                <w:szCs w:val="24"/>
                <w:highlight w:val="none"/>
              </w:rPr>
              <w:t>本项目采取的辐射防护措施符合相关标准要求，预测结果表明本项目探伤机出束时辐射工作场所周围剂量当量率满足《工业探伤</w:t>
            </w:r>
            <w:r>
              <w:rPr>
                <w:rFonts w:hint="eastAsia"/>
                <w:color w:val="auto"/>
                <w:kern w:val="0"/>
                <w:sz w:val="24"/>
                <w:szCs w:val="24"/>
                <w:highlight w:val="none"/>
                <w:lang w:val="en-US" w:eastAsia="zh-CN"/>
              </w:rPr>
              <w:t>放射防护标准</w:t>
            </w:r>
            <w:r>
              <w:rPr>
                <w:rFonts w:hint="eastAsia"/>
                <w:color w:val="auto"/>
                <w:kern w:val="0"/>
                <w:sz w:val="24"/>
                <w:szCs w:val="24"/>
                <w:highlight w:val="none"/>
              </w:rPr>
              <w:t>》（GBZ117</w:t>
            </w:r>
            <w:r>
              <w:rPr>
                <w:rFonts w:hint="eastAsia"/>
                <w:color w:val="auto"/>
                <w:kern w:val="0"/>
                <w:sz w:val="24"/>
                <w:szCs w:val="24"/>
                <w:highlight w:val="none"/>
                <w:lang w:val="en-US" w:eastAsia="zh-CN"/>
              </w:rPr>
              <w:t>-2022</w:t>
            </w:r>
            <w:r>
              <w:rPr>
                <w:rFonts w:hint="eastAsia"/>
                <w:color w:val="auto"/>
                <w:kern w:val="0"/>
                <w:sz w:val="24"/>
                <w:szCs w:val="24"/>
                <w:highlight w:val="none"/>
              </w:rPr>
              <w:t>）要求，探伤机不出束时不产生X射线，对区域辐射环境影响很小。因此本项目运营过程中，不会突破辐射</w:t>
            </w:r>
            <w:r>
              <w:rPr>
                <w:color w:val="auto"/>
                <w:kern w:val="0"/>
                <w:sz w:val="24"/>
                <w:szCs w:val="24"/>
                <w:highlight w:val="none"/>
              </w:rPr>
              <w:t>环境质量底线</w:t>
            </w:r>
            <w:r>
              <w:rPr>
                <w:rFonts w:hint="eastAsia"/>
                <w:color w:val="auto"/>
                <w:kern w:val="0"/>
                <w:sz w:val="24"/>
                <w:szCs w:val="24"/>
                <w:highlight w:val="none"/>
              </w:rPr>
              <w:t>。</w:t>
            </w:r>
          </w:p>
          <w:p w14:paraId="77FC8E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auto"/>
                <w:sz w:val="24"/>
                <w:highlight w:val="none"/>
              </w:rPr>
            </w:pPr>
            <w:r>
              <w:rPr>
                <w:rFonts w:hint="eastAsia"/>
                <w:color w:val="auto"/>
                <w:kern w:val="0"/>
                <w:sz w:val="24"/>
                <w:szCs w:val="24"/>
                <w:highlight w:val="none"/>
              </w:rPr>
              <w:t>综上所述，在采取本评价提出的各项污染防治措施后，</w:t>
            </w:r>
            <w:r>
              <w:rPr>
                <w:color w:val="auto"/>
                <w:kern w:val="0"/>
                <w:sz w:val="24"/>
                <w:szCs w:val="24"/>
                <w:highlight w:val="none"/>
              </w:rPr>
              <w:t>项目</w:t>
            </w:r>
            <w:r>
              <w:rPr>
                <w:rFonts w:hint="eastAsia"/>
                <w:color w:val="auto"/>
                <w:kern w:val="0"/>
                <w:sz w:val="24"/>
                <w:szCs w:val="24"/>
                <w:highlight w:val="none"/>
              </w:rPr>
              <w:t>运营过程中产生的</w:t>
            </w:r>
            <w:r>
              <w:rPr>
                <w:color w:val="auto"/>
                <w:kern w:val="0"/>
                <w:sz w:val="24"/>
                <w:szCs w:val="24"/>
                <w:highlight w:val="none"/>
              </w:rPr>
              <w:t>各</w:t>
            </w:r>
            <w:r>
              <w:rPr>
                <w:rFonts w:hint="eastAsia"/>
                <w:color w:val="auto"/>
                <w:kern w:val="0"/>
                <w:sz w:val="24"/>
                <w:szCs w:val="24"/>
                <w:highlight w:val="none"/>
              </w:rPr>
              <w:t>项</w:t>
            </w:r>
            <w:r>
              <w:rPr>
                <w:color w:val="auto"/>
                <w:kern w:val="0"/>
                <w:sz w:val="24"/>
                <w:szCs w:val="24"/>
                <w:highlight w:val="none"/>
              </w:rPr>
              <w:t>污染物</w:t>
            </w:r>
            <w:r>
              <w:rPr>
                <w:rFonts w:hint="eastAsia"/>
                <w:color w:val="auto"/>
                <w:kern w:val="0"/>
                <w:sz w:val="24"/>
                <w:szCs w:val="24"/>
                <w:highlight w:val="none"/>
              </w:rPr>
              <w:t>均可以得到有效治理和安全处置</w:t>
            </w:r>
            <w:r>
              <w:rPr>
                <w:color w:val="auto"/>
                <w:kern w:val="0"/>
                <w:sz w:val="24"/>
                <w:szCs w:val="24"/>
                <w:highlight w:val="none"/>
              </w:rPr>
              <w:t>，不会突破环境质量底线。</w:t>
            </w:r>
          </w:p>
          <w:p w14:paraId="6D0DD925">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ind w:firstLine="482" w:firstLineChars="200"/>
              <w:textAlignment w:val="auto"/>
              <w:rPr>
                <w:rFonts w:hint="eastAsia"/>
                <w:b/>
                <w:bCs/>
                <w:color w:val="auto"/>
                <w:sz w:val="24"/>
                <w:szCs w:val="24"/>
                <w:highlight w:val="none"/>
                <w:lang w:val="en-US" w:eastAsia="zh-CN"/>
              </w:rPr>
            </w:pPr>
            <w:bookmarkStart w:id="40" w:name="_Toc375"/>
            <w:r>
              <w:rPr>
                <w:rFonts w:hint="eastAsia"/>
                <w:b/>
                <w:bCs/>
                <w:color w:val="auto"/>
                <w:sz w:val="24"/>
                <w:szCs w:val="24"/>
                <w:highlight w:val="none"/>
                <w:lang w:val="en-US" w:eastAsia="zh-CN"/>
              </w:rPr>
              <w:t>10.4、资源利用上线</w:t>
            </w:r>
            <w:bookmarkEnd w:id="40"/>
          </w:p>
          <w:p w14:paraId="3B20AE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rPr>
            </w:pPr>
            <w:bookmarkStart w:id="41" w:name="_Toc12005"/>
            <w:r>
              <w:rPr>
                <w:rFonts w:hint="default" w:ascii="Times New Roman" w:hAnsi="Times New Roman" w:cs="Times New Roman"/>
                <w:color w:val="auto"/>
                <w:kern w:val="0"/>
                <w:sz w:val="24"/>
                <w:szCs w:val="24"/>
                <w:highlight w:val="none"/>
                <w:lang w:val="en-US" w:eastAsia="zh-CN"/>
              </w:rPr>
              <w:t>本项目属于辐射建设项目中Ⅱ类射线装置应用项目，</w:t>
            </w:r>
            <w:r>
              <w:rPr>
                <w:rFonts w:hint="eastAsia"/>
                <w:color w:val="auto"/>
                <w:kern w:val="0"/>
                <w:sz w:val="24"/>
                <w:szCs w:val="24"/>
                <w:highlight w:val="none"/>
                <w:lang w:val="en-US" w:eastAsia="zh-CN"/>
              </w:rPr>
              <w:t>在厂区已批复建成</w:t>
            </w:r>
            <w:r>
              <w:rPr>
                <w:rFonts w:hint="default"/>
                <w:color w:val="auto"/>
                <w:kern w:val="0"/>
                <w:sz w:val="24"/>
                <w:szCs w:val="24"/>
                <w:highlight w:val="none"/>
                <w:lang w:val="en-US" w:eastAsia="zh-CN"/>
              </w:rPr>
              <w:t>2#</w:t>
            </w:r>
            <w:r>
              <w:rPr>
                <w:rFonts w:hint="eastAsia"/>
                <w:color w:val="auto"/>
                <w:kern w:val="0"/>
                <w:sz w:val="24"/>
                <w:szCs w:val="24"/>
                <w:highlight w:val="none"/>
                <w:lang w:val="en-US" w:eastAsia="zh-CN"/>
              </w:rPr>
              <w:t>车间内东北角建设</w:t>
            </w:r>
            <w:r>
              <w:rPr>
                <w:rFonts w:hint="default"/>
                <w:color w:val="auto"/>
                <w:kern w:val="0"/>
                <w:sz w:val="24"/>
                <w:szCs w:val="24"/>
                <w:highlight w:val="none"/>
                <w:lang w:val="en-US" w:eastAsia="zh-CN"/>
              </w:rPr>
              <w:t>1</w:t>
            </w:r>
            <w:r>
              <w:rPr>
                <w:rFonts w:hint="eastAsia"/>
                <w:color w:val="auto"/>
                <w:kern w:val="0"/>
                <w:sz w:val="24"/>
                <w:szCs w:val="24"/>
                <w:highlight w:val="none"/>
                <w:lang w:val="en-US" w:eastAsia="zh-CN"/>
              </w:rPr>
              <w:t>座探伤房，不存在额外占用土地资源的情况。项目运行中会消耗一定量的电力、水等能源，施工期仅使用少量的防护、装修材料等，均取自当地，不存在资源过度使用的情况，符合资源利用上限要求。</w:t>
            </w:r>
            <w:r>
              <w:rPr>
                <w:rFonts w:hint="eastAsia" w:ascii="宋体" w:hAnsi="宋体" w:eastAsia="宋体" w:cs="宋体"/>
                <w:color w:val="auto"/>
                <w:kern w:val="0"/>
                <w:sz w:val="21"/>
                <w:szCs w:val="21"/>
                <w:lang w:val="en-US" w:eastAsia="zh-CN" w:bidi="ar"/>
              </w:rPr>
              <w:t xml:space="preserve"> </w:t>
            </w:r>
          </w:p>
          <w:p w14:paraId="7B2A666B">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ind w:firstLine="482" w:firstLineChars="200"/>
              <w:textAlignment w:val="auto"/>
              <w:rPr>
                <w:rFonts w:hint="eastAsia"/>
                <w:b/>
                <w:bCs/>
                <w:color w:val="auto"/>
                <w:sz w:val="24"/>
                <w:szCs w:val="24"/>
                <w:highlight w:val="none"/>
                <w:lang w:val="en-US" w:eastAsia="zh-CN"/>
              </w:rPr>
            </w:pPr>
            <w:r>
              <w:rPr>
                <w:rFonts w:hint="eastAsia"/>
                <w:b/>
                <w:bCs/>
                <w:color w:val="auto"/>
                <w:sz w:val="24"/>
                <w:szCs w:val="24"/>
                <w:highlight w:val="none"/>
                <w:lang w:val="en-US" w:eastAsia="zh-CN"/>
              </w:rPr>
              <w:t>10.5、生态环境准入清单</w:t>
            </w:r>
            <w:bookmarkEnd w:id="41"/>
          </w:p>
          <w:p w14:paraId="041C3F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auto"/>
                <w:sz w:val="24"/>
                <w:szCs w:val="24"/>
                <w:highlight w:val="none"/>
              </w:rPr>
            </w:pPr>
            <w:r>
              <w:rPr>
                <w:bCs/>
                <w:color w:val="auto"/>
                <w:sz w:val="24"/>
                <w:szCs w:val="24"/>
                <w:highlight w:val="none"/>
              </w:rPr>
              <w:t>本项目</w:t>
            </w:r>
            <w:r>
              <w:rPr>
                <w:rFonts w:hint="eastAsia"/>
                <w:bCs/>
                <w:color w:val="auto"/>
                <w:sz w:val="24"/>
                <w:highlight w:val="none"/>
              </w:rPr>
              <w:t>属于</w:t>
            </w:r>
            <w:r>
              <w:rPr>
                <w:bCs/>
                <w:color w:val="auto"/>
                <w:sz w:val="24"/>
                <w:highlight w:val="none"/>
              </w:rPr>
              <w:t>《产业结构调整指导目录（</w:t>
            </w:r>
            <w:r>
              <w:rPr>
                <w:rFonts w:hint="eastAsia"/>
                <w:bCs/>
                <w:color w:val="auto"/>
                <w:sz w:val="24"/>
                <w:highlight w:val="none"/>
                <w:lang w:val="en-US" w:eastAsia="zh-CN"/>
              </w:rPr>
              <w:t>2024</w:t>
            </w:r>
            <w:r>
              <w:rPr>
                <w:bCs/>
                <w:color w:val="auto"/>
                <w:sz w:val="24"/>
                <w:highlight w:val="none"/>
              </w:rPr>
              <w:t>年本）》</w:t>
            </w:r>
            <w:r>
              <w:rPr>
                <w:rFonts w:hint="eastAsia"/>
                <w:bCs/>
                <w:color w:val="auto"/>
                <w:sz w:val="24"/>
                <w:highlight w:val="none"/>
              </w:rPr>
              <w:t>中</w:t>
            </w:r>
            <w:r>
              <w:rPr>
                <w:bCs/>
                <w:color w:val="auto"/>
                <w:sz w:val="24"/>
                <w:highlight w:val="none"/>
              </w:rPr>
              <w:t>第一类鼓励类中第三十一款科技服务业第1条</w:t>
            </w:r>
            <w:r>
              <w:rPr>
                <w:rFonts w:hint="eastAsia"/>
                <w:bCs/>
                <w:color w:val="auto"/>
                <w:sz w:val="24"/>
                <w:highlight w:val="none"/>
              </w:rPr>
              <w:t>“</w:t>
            </w:r>
            <w:r>
              <w:rPr>
                <w:bCs/>
                <w:color w:val="auto"/>
                <w:sz w:val="24"/>
                <w:highlight w:val="none"/>
              </w:rPr>
              <w:t>工业设计、气象、生物、新材料、新能源、节能、环保、测绘、海洋等专业科技服务，标准化服务、计量测试、质量认证和检验检测服务、科技普及</w:t>
            </w:r>
            <w:r>
              <w:rPr>
                <w:rFonts w:hint="eastAsia"/>
                <w:bCs/>
                <w:color w:val="auto"/>
                <w:sz w:val="24"/>
                <w:highlight w:val="none"/>
              </w:rPr>
              <w:t>”</w:t>
            </w:r>
            <w:r>
              <w:rPr>
                <w:bCs/>
                <w:color w:val="auto"/>
                <w:sz w:val="24"/>
                <w:highlight w:val="none"/>
              </w:rPr>
              <w:t>关于质量检验检测内容</w:t>
            </w:r>
            <w:r>
              <w:rPr>
                <w:bCs/>
                <w:color w:val="auto"/>
                <w:sz w:val="24"/>
                <w:szCs w:val="24"/>
                <w:highlight w:val="none"/>
              </w:rPr>
              <w:t>；本项目不属于《市场准入负面清单（2019年版）》禁止准入类</w:t>
            </w:r>
            <w:r>
              <w:rPr>
                <w:rFonts w:hint="eastAsia"/>
                <w:bCs/>
                <w:color w:val="auto"/>
                <w:sz w:val="24"/>
                <w:szCs w:val="24"/>
                <w:highlight w:val="none"/>
              </w:rPr>
              <w:t>；</w:t>
            </w:r>
            <w:r>
              <w:rPr>
                <w:bCs/>
                <w:color w:val="auto"/>
                <w:sz w:val="24"/>
                <w:szCs w:val="24"/>
                <w:highlight w:val="none"/>
              </w:rPr>
              <w:t>本项目符合国家和地方产业政策</w:t>
            </w:r>
            <w:r>
              <w:rPr>
                <w:rFonts w:hint="eastAsia"/>
                <w:bCs/>
                <w:color w:val="auto"/>
                <w:sz w:val="24"/>
                <w:szCs w:val="24"/>
                <w:highlight w:val="none"/>
              </w:rPr>
              <w:t>。</w:t>
            </w:r>
          </w:p>
          <w:p w14:paraId="206627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bCs/>
                <w:color w:val="auto"/>
                <w:sz w:val="24"/>
                <w:szCs w:val="24"/>
                <w:highlight w:val="none"/>
              </w:rPr>
              <w:t>综上所述，</w:t>
            </w:r>
            <w:r>
              <w:rPr>
                <w:rFonts w:ascii="宋体" w:hAnsi="宋体" w:cs="宋体"/>
                <w:color w:val="auto"/>
                <w:sz w:val="24"/>
                <w:szCs w:val="24"/>
                <w:highlight w:val="none"/>
              </w:rPr>
              <w:t>本项目的建设符合“三线一单”相关要求。</w:t>
            </w:r>
          </w:p>
          <w:p w14:paraId="417FFD1C">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ind w:firstLine="482" w:firstLineChars="200"/>
              <w:textAlignment w:val="auto"/>
              <w:rPr>
                <w:b/>
                <w:bCs/>
                <w:color w:val="auto"/>
                <w:sz w:val="24"/>
                <w:szCs w:val="24"/>
                <w:highlight w:val="none"/>
              </w:rPr>
            </w:pPr>
            <w:r>
              <w:rPr>
                <w:rFonts w:hint="eastAsia"/>
                <w:b/>
                <w:bCs/>
                <w:color w:val="auto"/>
                <w:sz w:val="24"/>
                <w:szCs w:val="24"/>
                <w:highlight w:val="none"/>
                <w:lang w:val="en-US" w:eastAsia="zh-CN"/>
              </w:rPr>
              <w:t>11</w:t>
            </w:r>
            <w:r>
              <w:rPr>
                <w:rFonts w:hint="eastAsia"/>
                <w:b/>
                <w:bCs/>
                <w:color w:val="auto"/>
                <w:sz w:val="24"/>
                <w:szCs w:val="24"/>
                <w:highlight w:val="none"/>
              </w:rPr>
              <w:t>、辐射安全管理现状</w:t>
            </w:r>
          </w:p>
          <w:p w14:paraId="3CC53788">
            <w:pPr>
              <w:snapToGrid w:val="0"/>
              <w:spacing w:line="360" w:lineRule="auto"/>
              <w:ind w:firstLine="480" w:firstLineChars="200"/>
              <w:rPr>
                <w:bCs/>
                <w:color w:val="auto"/>
                <w:sz w:val="24"/>
                <w:szCs w:val="24"/>
                <w:highlight w:val="none"/>
              </w:rPr>
            </w:pPr>
            <w:r>
              <w:rPr>
                <w:rFonts w:hint="default" w:ascii="Times New Roman" w:hAnsi="Times New Roman" w:eastAsia="宋体" w:cs="Times New Roman"/>
                <w:color w:val="auto"/>
                <w:sz w:val="24"/>
                <w:highlight w:val="none"/>
                <w:lang w:val="en-US" w:eastAsia="zh-CN"/>
              </w:rPr>
              <w:t>安徽泓济环境科技有限公司</w:t>
            </w:r>
            <w:r>
              <w:rPr>
                <w:rFonts w:hint="eastAsia"/>
                <w:bCs/>
                <w:color w:val="auto"/>
                <w:sz w:val="24"/>
                <w:szCs w:val="24"/>
                <w:highlight w:val="none"/>
              </w:rPr>
              <w:t>目前尚无核技术应用项目获批或在用。为了加强本项目建设及运营期的辐射安全管理，</w:t>
            </w:r>
            <w:r>
              <w:rPr>
                <w:rFonts w:hint="default" w:ascii="Times New Roman" w:hAnsi="Times New Roman" w:eastAsia="宋体" w:cs="Times New Roman"/>
                <w:color w:val="auto"/>
                <w:sz w:val="24"/>
                <w:highlight w:val="none"/>
                <w:lang w:val="en-US" w:eastAsia="zh-CN"/>
              </w:rPr>
              <w:t>安徽泓济环境科技有限公司</w:t>
            </w:r>
            <w:r>
              <w:rPr>
                <w:rFonts w:hint="eastAsia"/>
                <w:bCs/>
                <w:color w:val="auto"/>
                <w:sz w:val="24"/>
                <w:szCs w:val="24"/>
                <w:highlight w:val="none"/>
              </w:rPr>
              <w:t>已根据《中华人民共和国放射性污染防治法》《放射性同位素与射线装置安全和防护条例》等法律法规的要求成立了辐射安全管理机构并制定了一系列辐射安全管理制度，具体如下：</w:t>
            </w:r>
          </w:p>
          <w:p w14:paraId="30132B19">
            <w:pPr>
              <w:snapToGrid w:val="0"/>
              <w:spacing w:line="360" w:lineRule="auto"/>
              <w:ind w:firstLine="480" w:firstLineChars="200"/>
              <w:rPr>
                <w:bCs/>
                <w:color w:val="auto"/>
                <w:sz w:val="24"/>
                <w:szCs w:val="24"/>
                <w:highlight w:val="none"/>
              </w:rPr>
            </w:pPr>
            <w:r>
              <w:rPr>
                <w:rFonts w:hint="eastAsia"/>
                <w:bCs/>
                <w:color w:val="auto"/>
                <w:sz w:val="24"/>
                <w:szCs w:val="24"/>
                <w:highlight w:val="none"/>
              </w:rPr>
              <w:t>（1）辐射安全与防护管理机构</w:t>
            </w:r>
          </w:p>
          <w:p w14:paraId="03CAD68B">
            <w:pPr>
              <w:snapToGrid w:val="0"/>
              <w:spacing w:line="360" w:lineRule="auto"/>
              <w:ind w:firstLine="480" w:firstLineChars="200"/>
              <w:rPr>
                <w:bCs/>
                <w:color w:val="auto"/>
                <w:sz w:val="24"/>
                <w:szCs w:val="24"/>
                <w:highlight w:val="none"/>
              </w:rPr>
            </w:pPr>
            <w:r>
              <w:rPr>
                <w:rFonts w:hint="eastAsia"/>
                <w:color w:val="auto"/>
                <w:kern w:val="0"/>
                <w:sz w:val="24"/>
                <w:highlight w:val="none"/>
                <w:lang w:eastAsia="zh-CN"/>
              </w:rPr>
              <w:t>《</w:t>
            </w:r>
            <w:r>
              <w:rPr>
                <w:rFonts w:hint="default" w:ascii="Times New Roman" w:hAnsi="Times New Roman" w:eastAsia="宋体" w:cs="Times New Roman"/>
                <w:color w:val="auto"/>
                <w:sz w:val="24"/>
                <w:highlight w:val="none"/>
                <w:lang w:val="en-US" w:eastAsia="zh-CN"/>
              </w:rPr>
              <w:t>安徽泓济环境科技有限公司</w:t>
            </w:r>
            <w:r>
              <w:rPr>
                <w:rFonts w:hint="eastAsia"/>
                <w:color w:val="auto"/>
                <w:kern w:val="0"/>
                <w:sz w:val="24"/>
                <w:szCs w:val="24"/>
                <w:highlight w:val="none"/>
                <w:lang w:val="zh-CN"/>
              </w:rPr>
              <w:t>辐射防护安全管理小组</w:t>
            </w:r>
            <w:r>
              <w:rPr>
                <w:rFonts w:hint="eastAsia"/>
                <w:color w:val="auto"/>
                <w:kern w:val="0"/>
                <w:sz w:val="24"/>
                <w:highlight w:val="none"/>
                <w:lang w:eastAsia="zh-CN"/>
              </w:rPr>
              <w:t>》</w:t>
            </w:r>
            <w:r>
              <w:rPr>
                <w:rFonts w:hint="eastAsia"/>
                <w:bCs/>
                <w:color w:val="auto"/>
                <w:sz w:val="24"/>
                <w:szCs w:val="24"/>
                <w:highlight w:val="none"/>
              </w:rPr>
              <w:t>，明确公司辐射安全和防护负责人</w:t>
            </w:r>
            <w:r>
              <w:rPr>
                <w:rFonts w:hint="eastAsia"/>
                <w:bCs/>
                <w:color w:val="auto"/>
                <w:sz w:val="24"/>
                <w:szCs w:val="24"/>
                <w:highlight w:val="none"/>
                <w:lang w:val="en-US" w:eastAsia="zh-CN"/>
              </w:rPr>
              <w:t>为白英</w:t>
            </w:r>
            <w:r>
              <w:rPr>
                <w:rFonts w:hint="eastAsia"/>
                <w:bCs/>
                <w:color w:val="auto"/>
                <w:sz w:val="24"/>
                <w:szCs w:val="24"/>
                <w:highlight w:val="none"/>
              </w:rPr>
              <w:t>。</w:t>
            </w:r>
          </w:p>
          <w:p w14:paraId="79261AF2">
            <w:pPr>
              <w:snapToGrid w:val="0"/>
              <w:spacing w:line="360" w:lineRule="auto"/>
              <w:ind w:firstLine="480" w:firstLineChars="200"/>
              <w:rPr>
                <w:bCs/>
                <w:color w:val="auto"/>
                <w:sz w:val="24"/>
                <w:szCs w:val="24"/>
                <w:highlight w:val="none"/>
              </w:rPr>
            </w:pPr>
            <w:r>
              <w:rPr>
                <w:rFonts w:hint="eastAsia"/>
                <w:bCs/>
                <w:color w:val="auto"/>
                <w:sz w:val="24"/>
                <w:szCs w:val="24"/>
                <w:highlight w:val="none"/>
              </w:rPr>
              <w:t>（2）辐射安全与防护管理制度</w:t>
            </w:r>
          </w:p>
          <w:p w14:paraId="7359C6C8">
            <w:pPr>
              <w:snapToGrid w:val="0"/>
              <w:spacing w:line="360" w:lineRule="auto"/>
              <w:ind w:firstLine="480" w:firstLineChars="200"/>
              <w:rPr>
                <w:rFonts w:hint="eastAsia"/>
                <w:bCs/>
                <w:color w:val="auto"/>
                <w:sz w:val="24"/>
                <w:szCs w:val="24"/>
                <w:highlight w:val="none"/>
              </w:rPr>
            </w:pPr>
            <w:r>
              <w:rPr>
                <w:color w:val="auto"/>
                <w:kern w:val="0"/>
                <w:sz w:val="24"/>
                <w:szCs w:val="24"/>
                <w:highlight w:val="none"/>
                <w:lang w:val="zh-CN"/>
              </w:rPr>
              <w:t>《</w:t>
            </w:r>
            <w:r>
              <w:rPr>
                <w:rFonts w:hint="eastAsia"/>
                <w:color w:val="auto"/>
                <w:kern w:val="0"/>
                <w:sz w:val="24"/>
                <w:szCs w:val="24"/>
                <w:highlight w:val="none"/>
                <w:lang w:val="zh-CN"/>
              </w:rPr>
              <w:t>辐射防护和安全保卫制度</w:t>
            </w:r>
            <w:r>
              <w:rPr>
                <w:color w:val="auto"/>
                <w:kern w:val="0"/>
                <w:sz w:val="24"/>
                <w:szCs w:val="24"/>
                <w:highlight w:val="none"/>
                <w:lang w:val="zh-CN"/>
              </w:rPr>
              <w:t>》《</w:t>
            </w:r>
            <w:r>
              <w:rPr>
                <w:rFonts w:hint="eastAsia"/>
                <w:color w:val="auto"/>
                <w:kern w:val="0"/>
                <w:sz w:val="24"/>
                <w:szCs w:val="24"/>
                <w:highlight w:val="none"/>
                <w:lang w:val="zh-CN"/>
              </w:rPr>
              <w:t>辐射工作人员管理制度</w:t>
            </w:r>
            <w:r>
              <w:rPr>
                <w:color w:val="auto"/>
                <w:kern w:val="0"/>
                <w:sz w:val="24"/>
                <w:szCs w:val="24"/>
                <w:highlight w:val="none"/>
                <w:lang w:val="zh-CN"/>
              </w:rPr>
              <w:t>》《</w:t>
            </w:r>
            <w:r>
              <w:rPr>
                <w:rFonts w:hint="eastAsia"/>
                <w:color w:val="auto"/>
                <w:kern w:val="0"/>
                <w:sz w:val="24"/>
                <w:szCs w:val="24"/>
                <w:highlight w:val="none"/>
                <w:lang w:val="zh-CN"/>
              </w:rPr>
              <w:t>辐射工作人员岗位职责</w:t>
            </w:r>
            <w:r>
              <w:rPr>
                <w:color w:val="auto"/>
                <w:kern w:val="0"/>
                <w:sz w:val="24"/>
                <w:szCs w:val="24"/>
                <w:highlight w:val="none"/>
                <w:lang w:val="zh-CN"/>
              </w:rPr>
              <w:t>》《</w:t>
            </w:r>
            <w:r>
              <w:rPr>
                <w:rFonts w:hint="eastAsia"/>
                <w:color w:val="auto"/>
                <w:kern w:val="0"/>
                <w:sz w:val="24"/>
                <w:szCs w:val="24"/>
                <w:highlight w:val="none"/>
                <w:lang w:val="zh-CN"/>
              </w:rPr>
              <w:t>设备检修、维护制度</w:t>
            </w:r>
            <w:r>
              <w:rPr>
                <w:color w:val="auto"/>
                <w:kern w:val="0"/>
                <w:sz w:val="24"/>
                <w:szCs w:val="24"/>
                <w:highlight w:val="none"/>
                <w:lang w:val="zh-CN"/>
              </w:rPr>
              <w:t>》</w:t>
            </w:r>
            <w:r>
              <w:rPr>
                <w:rFonts w:hint="eastAsia"/>
                <w:color w:val="auto"/>
                <w:kern w:val="0"/>
                <w:sz w:val="24"/>
                <w:szCs w:val="24"/>
                <w:highlight w:val="none"/>
                <w:lang w:val="zh-CN"/>
              </w:rPr>
              <w:t>《X射线探伤安全操作规程》《辐射安全防护自行检查和评估制度》《射线装置使用登记、台账管理制度》《辐射环境监测方案》</w:t>
            </w:r>
            <w:r>
              <w:rPr>
                <w:color w:val="auto"/>
                <w:kern w:val="0"/>
                <w:sz w:val="24"/>
                <w:szCs w:val="24"/>
                <w:highlight w:val="none"/>
                <w:lang w:val="zh-CN"/>
              </w:rPr>
              <w:t>《</w:t>
            </w:r>
            <w:r>
              <w:rPr>
                <w:rFonts w:hint="default" w:ascii="Times New Roman" w:hAnsi="Times New Roman" w:eastAsia="宋体" w:cs="Times New Roman"/>
                <w:color w:val="auto"/>
                <w:sz w:val="24"/>
                <w:highlight w:val="none"/>
                <w:lang w:val="en-US" w:eastAsia="zh-CN"/>
              </w:rPr>
              <w:t>安徽泓济环境科技有限公司</w:t>
            </w:r>
            <w:r>
              <w:rPr>
                <w:rFonts w:hint="eastAsia"/>
                <w:color w:val="auto"/>
                <w:kern w:val="0"/>
                <w:sz w:val="24"/>
                <w:szCs w:val="24"/>
                <w:highlight w:val="none"/>
                <w:lang w:val="zh-CN"/>
              </w:rPr>
              <w:t>辐射事故应急预案</w:t>
            </w:r>
            <w:r>
              <w:rPr>
                <w:color w:val="auto"/>
                <w:kern w:val="0"/>
                <w:sz w:val="24"/>
                <w:szCs w:val="24"/>
                <w:highlight w:val="none"/>
                <w:lang w:val="zh-CN"/>
              </w:rPr>
              <w:t>》</w:t>
            </w:r>
            <w:r>
              <w:rPr>
                <w:rFonts w:hint="eastAsia"/>
                <w:bCs/>
                <w:color w:val="auto"/>
                <w:sz w:val="24"/>
                <w:szCs w:val="24"/>
                <w:highlight w:val="none"/>
              </w:rPr>
              <w:t>。</w:t>
            </w:r>
          </w:p>
          <w:p w14:paraId="1F5893E5">
            <w:pPr>
              <w:snapToGrid w:val="0"/>
              <w:spacing w:line="360" w:lineRule="auto"/>
              <w:ind w:firstLine="480" w:firstLineChars="200"/>
              <w:rPr>
                <w:rFonts w:hint="eastAsia"/>
                <w:bCs/>
                <w:color w:val="auto"/>
                <w:sz w:val="24"/>
                <w:szCs w:val="24"/>
                <w:highlight w:val="none"/>
              </w:rPr>
            </w:pPr>
          </w:p>
          <w:p w14:paraId="6AF1A41F">
            <w:pPr>
              <w:snapToGrid w:val="0"/>
              <w:spacing w:line="360" w:lineRule="auto"/>
              <w:ind w:firstLine="480" w:firstLineChars="200"/>
              <w:rPr>
                <w:rFonts w:hint="eastAsia"/>
                <w:bCs/>
                <w:color w:val="auto"/>
                <w:sz w:val="24"/>
                <w:szCs w:val="24"/>
                <w:highlight w:val="none"/>
              </w:rPr>
            </w:pPr>
          </w:p>
          <w:p w14:paraId="6ECCBF98">
            <w:pPr>
              <w:snapToGrid w:val="0"/>
              <w:spacing w:line="360" w:lineRule="auto"/>
              <w:ind w:firstLine="480" w:firstLineChars="200"/>
              <w:rPr>
                <w:rFonts w:hint="eastAsia"/>
                <w:bCs/>
                <w:color w:val="auto"/>
                <w:sz w:val="24"/>
                <w:szCs w:val="24"/>
                <w:highlight w:val="none"/>
              </w:rPr>
            </w:pPr>
          </w:p>
          <w:p w14:paraId="6E7869E5">
            <w:pPr>
              <w:snapToGrid w:val="0"/>
              <w:spacing w:line="360" w:lineRule="auto"/>
              <w:ind w:firstLine="480" w:firstLineChars="200"/>
              <w:rPr>
                <w:rFonts w:hint="eastAsia"/>
                <w:bCs/>
                <w:color w:val="auto"/>
                <w:sz w:val="24"/>
                <w:szCs w:val="24"/>
                <w:highlight w:val="none"/>
              </w:rPr>
            </w:pPr>
          </w:p>
          <w:p w14:paraId="31915A49">
            <w:pPr>
              <w:snapToGrid w:val="0"/>
              <w:spacing w:line="360" w:lineRule="auto"/>
              <w:ind w:firstLine="480" w:firstLineChars="200"/>
              <w:rPr>
                <w:rFonts w:hint="eastAsia"/>
                <w:bCs/>
                <w:color w:val="auto"/>
                <w:sz w:val="24"/>
                <w:szCs w:val="24"/>
                <w:highlight w:val="none"/>
              </w:rPr>
            </w:pPr>
          </w:p>
          <w:p w14:paraId="6F4EAA31">
            <w:pPr>
              <w:snapToGrid w:val="0"/>
              <w:spacing w:line="360" w:lineRule="auto"/>
              <w:ind w:firstLine="480" w:firstLineChars="200"/>
              <w:rPr>
                <w:rFonts w:hint="eastAsia"/>
                <w:bCs/>
                <w:color w:val="auto"/>
                <w:sz w:val="24"/>
                <w:szCs w:val="24"/>
                <w:highlight w:val="none"/>
              </w:rPr>
            </w:pPr>
          </w:p>
          <w:p w14:paraId="4258B97E">
            <w:pPr>
              <w:snapToGrid w:val="0"/>
              <w:spacing w:line="360" w:lineRule="auto"/>
              <w:ind w:firstLine="480" w:firstLineChars="200"/>
              <w:rPr>
                <w:rFonts w:hint="eastAsia"/>
                <w:bCs/>
                <w:color w:val="auto"/>
                <w:sz w:val="24"/>
                <w:szCs w:val="24"/>
                <w:highlight w:val="none"/>
              </w:rPr>
            </w:pPr>
          </w:p>
          <w:p w14:paraId="165A815F">
            <w:pPr>
              <w:snapToGrid w:val="0"/>
              <w:spacing w:line="360" w:lineRule="auto"/>
              <w:ind w:firstLine="480" w:firstLineChars="200"/>
              <w:rPr>
                <w:rFonts w:hint="eastAsia"/>
                <w:bCs/>
                <w:color w:val="auto"/>
                <w:sz w:val="24"/>
                <w:szCs w:val="24"/>
                <w:highlight w:val="none"/>
              </w:rPr>
            </w:pPr>
          </w:p>
          <w:p w14:paraId="7DDFDAA6">
            <w:pPr>
              <w:snapToGrid w:val="0"/>
              <w:spacing w:line="360" w:lineRule="auto"/>
              <w:ind w:firstLine="480" w:firstLineChars="200"/>
              <w:rPr>
                <w:rFonts w:hint="eastAsia"/>
                <w:bCs/>
                <w:color w:val="auto"/>
                <w:sz w:val="24"/>
                <w:szCs w:val="24"/>
                <w:highlight w:val="none"/>
              </w:rPr>
            </w:pPr>
          </w:p>
          <w:p w14:paraId="2FEFED35">
            <w:pPr>
              <w:snapToGrid w:val="0"/>
              <w:spacing w:line="360" w:lineRule="auto"/>
              <w:ind w:firstLine="480" w:firstLineChars="200"/>
              <w:rPr>
                <w:rFonts w:hint="eastAsia"/>
                <w:bCs/>
                <w:color w:val="auto"/>
                <w:sz w:val="24"/>
                <w:szCs w:val="24"/>
                <w:highlight w:val="none"/>
              </w:rPr>
            </w:pPr>
          </w:p>
          <w:p w14:paraId="24B214DB">
            <w:pPr>
              <w:snapToGrid w:val="0"/>
              <w:spacing w:line="360" w:lineRule="auto"/>
              <w:ind w:firstLine="480" w:firstLineChars="200"/>
              <w:rPr>
                <w:rFonts w:hint="eastAsia"/>
                <w:bCs/>
                <w:color w:val="auto"/>
                <w:sz w:val="24"/>
                <w:szCs w:val="24"/>
                <w:highlight w:val="none"/>
              </w:rPr>
            </w:pPr>
          </w:p>
          <w:p w14:paraId="7245A3C9">
            <w:pPr>
              <w:snapToGrid w:val="0"/>
              <w:spacing w:line="360" w:lineRule="auto"/>
              <w:ind w:firstLine="480" w:firstLineChars="200"/>
              <w:rPr>
                <w:rFonts w:hint="eastAsia"/>
                <w:bCs/>
                <w:color w:val="auto"/>
                <w:sz w:val="24"/>
                <w:szCs w:val="24"/>
                <w:highlight w:val="none"/>
              </w:rPr>
            </w:pPr>
          </w:p>
          <w:p w14:paraId="17BBAFF0">
            <w:pPr>
              <w:snapToGrid w:val="0"/>
              <w:spacing w:line="360" w:lineRule="auto"/>
              <w:ind w:firstLine="480" w:firstLineChars="200"/>
              <w:rPr>
                <w:rFonts w:hint="eastAsia"/>
                <w:bCs/>
                <w:color w:val="auto"/>
                <w:sz w:val="24"/>
                <w:szCs w:val="24"/>
                <w:highlight w:val="none"/>
              </w:rPr>
            </w:pPr>
          </w:p>
          <w:p w14:paraId="6DCFDFF2">
            <w:pPr>
              <w:snapToGrid w:val="0"/>
              <w:spacing w:line="360" w:lineRule="auto"/>
              <w:ind w:firstLine="480" w:firstLineChars="200"/>
              <w:rPr>
                <w:rFonts w:hint="eastAsia"/>
                <w:bCs/>
                <w:color w:val="auto"/>
                <w:sz w:val="24"/>
                <w:szCs w:val="24"/>
                <w:highlight w:val="none"/>
              </w:rPr>
            </w:pPr>
          </w:p>
          <w:p w14:paraId="5D544E43">
            <w:pPr>
              <w:snapToGrid w:val="0"/>
              <w:spacing w:line="360" w:lineRule="auto"/>
              <w:ind w:firstLine="480" w:firstLineChars="200"/>
              <w:rPr>
                <w:rFonts w:hint="eastAsia"/>
                <w:bCs/>
                <w:color w:val="auto"/>
                <w:sz w:val="24"/>
                <w:szCs w:val="24"/>
                <w:highlight w:val="none"/>
              </w:rPr>
            </w:pPr>
          </w:p>
          <w:p w14:paraId="46A5671F">
            <w:pPr>
              <w:snapToGrid w:val="0"/>
              <w:spacing w:line="360" w:lineRule="auto"/>
              <w:ind w:firstLine="480" w:firstLineChars="200"/>
              <w:rPr>
                <w:rFonts w:hint="eastAsia"/>
                <w:bCs/>
                <w:color w:val="auto"/>
                <w:sz w:val="24"/>
                <w:szCs w:val="24"/>
                <w:highlight w:val="none"/>
              </w:rPr>
            </w:pPr>
          </w:p>
          <w:p w14:paraId="45EF7437">
            <w:pPr>
              <w:snapToGrid w:val="0"/>
              <w:spacing w:line="360" w:lineRule="auto"/>
              <w:ind w:firstLine="480" w:firstLineChars="200"/>
              <w:rPr>
                <w:rFonts w:hint="eastAsia"/>
                <w:bCs/>
                <w:color w:val="auto"/>
                <w:sz w:val="24"/>
                <w:szCs w:val="24"/>
                <w:highlight w:val="none"/>
              </w:rPr>
            </w:pPr>
          </w:p>
          <w:p w14:paraId="0264C82A">
            <w:pPr>
              <w:snapToGrid w:val="0"/>
              <w:spacing w:line="360" w:lineRule="auto"/>
              <w:ind w:firstLine="480" w:firstLineChars="200"/>
              <w:rPr>
                <w:rFonts w:hint="eastAsia" w:eastAsia="宋体"/>
                <w:color w:val="auto"/>
                <w:sz w:val="24"/>
                <w:highlight w:val="none"/>
                <w:lang w:eastAsia="zh-CN"/>
              </w:rPr>
            </w:pPr>
          </w:p>
        </w:tc>
      </w:tr>
    </w:tbl>
    <w:p w14:paraId="02FDF354">
      <w:pPr>
        <w:pStyle w:val="5"/>
        <w:spacing w:line="40" w:lineRule="exact"/>
        <w:ind w:firstLine="0" w:firstLineChars="0"/>
        <w:rPr>
          <w:b/>
          <w:color w:val="auto"/>
          <w:sz w:val="24"/>
          <w:szCs w:val="24"/>
          <w:highlight w:val="none"/>
        </w:rPr>
        <w:sectPr>
          <w:headerReference r:id="rId5" w:type="default"/>
          <w:footerReference r:id="rId6" w:type="default"/>
          <w:pgSz w:w="11907" w:h="16840"/>
          <w:pgMar w:top="1327" w:right="1800" w:bottom="1327" w:left="1800" w:header="850" w:footer="964" w:gutter="0"/>
          <w:pgBorders>
            <w:top w:val="none" w:sz="0" w:space="0"/>
            <w:left w:val="none" w:sz="0" w:space="0"/>
            <w:bottom w:val="none" w:sz="0" w:space="0"/>
            <w:right w:val="none" w:sz="0" w:space="0"/>
          </w:pgBorders>
          <w:pgNumType w:start="1"/>
          <w:cols w:space="720" w:num="1"/>
          <w:docGrid w:type="lines" w:linePitch="312" w:charSpace="0"/>
        </w:sectPr>
      </w:pPr>
    </w:p>
    <w:p w14:paraId="3211DED7">
      <w:pPr>
        <w:pStyle w:val="3"/>
        <w:spacing w:before="0" w:after="0" w:line="360" w:lineRule="auto"/>
        <w:rPr>
          <w:color w:val="auto"/>
          <w:sz w:val="28"/>
          <w:szCs w:val="28"/>
          <w:highlight w:val="none"/>
        </w:rPr>
      </w:pPr>
      <w:bookmarkStart w:id="42" w:name="_Toc15389548"/>
      <w:bookmarkStart w:id="43" w:name="_Toc2830"/>
      <w:r>
        <w:rPr>
          <w:color w:val="auto"/>
          <w:sz w:val="28"/>
          <w:szCs w:val="28"/>
          <w:highlight w:val="none"/>
        </w:rPr>
        <w:t>表2 放射源</w:t>
      </w:r>
      <w:bookmarkEnd w:id="42"/>
      <w:bookmarkEnd w:id="43"/>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1299"/>
        <w:gridCol w:w="2416"/>
        <w:gridCol w:w="837"/>
        <w:gridCol w:w="1472"/>
        <w:gridCol w:w="1472"/>
        <w:gridCol w:w="1472"/>
        <w:gridCol w:w="1472"/>
        <w:gridCol w:w="1108"/>
        <w:gridCol w:w="1151"/>
      </w:tblGrid>
      <w:tr w14:paraId="7448B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0" w:hRule="exact"/>
          <w:jc w:val="center"/>
        </w:trPr>
        <w:tc>
          <w:tcPr>
            <w:tcW w:w="280" w:type="pct"/>
            <w:vAlign w:val="center"/>
          </w:tcPr>
          <w:p w14:paraId="0374A775">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序号</w:t>
            </w:r>
          </w:p>
        </w:tc>
        <w:tc>
          <w:tcPr>
            <w:tcW w:w="483" w:type="pct"/>
            <w:vAlign w:val="center"/>
          </w:tcPr>
          <w:p w14:paraId="24A68DA2">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核素名称</w:t>
            </w:r>
          </w:p>
        </w:tc>
        <w:tc>
          <w:tcPr>
            <w:tcW w:w="898" w:type="pct"/>
            <w:vAlign w:val="center"/>
          </w:tcPr>
          <w:p w14:paraId="126E4564">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总活度（</w:t>
            </w:r>
            <w:r>
              <w:rPr>
                <w:rFonts w:hint="default" w:ascii="Times New Roman" w:hAnsi="Times New Roman" w:cs="Times New Roman"/>
                <w:color w:val="auto"/>
                <w:sz w:val="24"/>
                <w:highlight w:val="none"/>
              </w:rPr>
              <w:t>Bq）/活度</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highlight w:val="none"/>
              </w:rPr>
              <w:t>Bq）×枚数</w:t>
            </w:r>
          </w:p>
        </w:tc>
        <w:tc>
          <w:tcPr>
            <w:tcW w:w="311" w:type="pct"/>
            <w:vAlign w:val="center"/>
          </w:tcPr>
          <w:p w14:paraId="1EEFEC7D">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highlight w:val="none"/>
              </w:rPr>
              <w:t>类别</w:t>
            </w:r>
          </w:p>
        </w:tc>
        <w:tc>
          <w:tcPr>
            <w:tcW w:w="547" w:type="pct"/>
            <w:vAlign w:val="center"/>
          </w:tcPr>
          <w:p w14:paraId="387EB80D">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活动种类</w:t>
            </w:r>
          </w:p>
        </w:tc>
        <w:tc>
          <w:tcPr>
            <w:tcW w:w="547" w:type="pct"/>
            <w:vAlign w:val="center"/>
          </w:tcPr>
          <w:p w14:paraId="106764D3">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用途</w:t>
            </w:r>
          </w:p>
        </w:tc>
        <w:tc>
          <w:tcPr>
            <w:tcW w:w="547" w:type="pct"/>
            <w:vAlign w:val="center"/>
          </w:tcPr>
          <w:p w14:paraId="17D9A959">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使用场所</w:t>
            </w:r>
          </w:p>
        </w:tc>
        <w:tc>
          <w:tcPr>
            <w:tcW w:w="959" w:type="pct"/>
            <w:gridSpan w:val="2"/>
            <w:vAlign w:val="center"/>
          </w:tcPr>
          <w:p w14:paraId="1998F557">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贮存方式与地点</w:t>
            </w:r>
          </w:p>
        </w:tc>
        <w:tc>
          <w:tcPr>
            <w:tcW w:w="424" w:type="pct"/>
            <w:vAlign w:val="center"/>
          </w:tcPr>
          <w:p w14:paraId="63453819">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备注</w:t>
            </w:r>
          </w:p>
        </w:tc>
      </w:tr>
      <w:tr w14:paraId="65046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exact"/>
          <w:jc w:val="center"/>
        </w:trPr>
        <w:tc>
          <w:tcPr>
            <w:tcW w:w="5000" w:type="pct"/>
            <w:gridSpan w:val="10"/>
            <w:vAlign w:val="center"/>
          </w:tcPr>
          <w:p w14:paraId="0C618C62">
            <w:pPr>
              <w:widowControl/>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以下空白</w:t>
            </w:r>
          </w:p>
        </w:tc>
      </w:tr>
      <w:tr w14:paraId="07710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exact"/>
          <w:jc w:val="center"/>
        </w:trPr>
        <w:tc>
          <w:tcPr>
            <w:tcW w:w="280" w:type="pct"/>
            <w:vAlign w:val="center"/>
          </w:tcPr>
          <w:p w14:paraId="6C76D6F1">
            <w:pPr>
              <w:jc w:val="center"/>
              <w:rPr>
                <w:rFonts w:hint="default" w:ascii="Times New Roman" w:hAnsi="Times New Roman" w:cs="Times New Roman"/>
                <w:color w:val="auto"/>
                <w:szCs w:val="21"/>
                <w:highlight w:val="none"/>
              </w:rPr>
            </w:pPr>
          </w:p>
        </w:tc>
        <w:tc>
          <w:tcPr>
            <w:tcW w:w="483" w:type="pct"/>
            <w:vAlign w:val="center"/>
          </w:tcPr>
          <w:p w14:paraId="29F4FF62">
            <w:pPr>
              <w:jc w:val="center"/>
              <w:rPr>
                <w:rFonts w:hint="default" w:ascii="Times New Roman" w:hAnsi="Times New Roman" w:cs="Times New Roman"/>
                <w:color w:val="auto"/>
                <w:szCs w:val="21"/>
                <w:highlight w:val="none"/>
                <w:vertAlign w:val="superscript"/>
              </w:rPr>
            </w:pPr>
          </w:p>
        </w:tc>
        <w:tc>
          <w:tcPr>
            <w:tcW w:w="898" w:type="pct"/>
            <w:vAlign w:val="center"/>
          </w:tcPr>
          <w:p w14:paraId="61FC4EC2">
            <w:pPr>
              <w:jc w:val="center"/>
              <w:rPr>
                <w:rFonts w:hint="default" w:ascii="Times New Roman" w:hAnsi="Times New Roman" w:cs="Times New Roman"/>
                <w:color w:val="auto"/>
                <w:szCs w:val="21"/>
                <w:highlight w:val="none"/>
              </w:rPr>
            </w:pPr>
          </w:p>
        </w:tc>
        <w:tc>
          <w:tcPr>
            <w:tcW w:w="311" w:type="pct"/>
            <w:vAlign w:val="center"/>
          </w:tcPr>
          <w:p w14:paraId="05A44254">
            <w:pPr>
              <w:jc w:val="center"/>
              <w:rPr>
                <w:rFonts w:hint="default" w:ascii="Times New Roman" w:hAnsi="Times New Roman" w:cs="Times New Roman"/>
                <w:color w:val="auto"/>
                <w:szCs w:val="21"/>
                <w:highlight w:val="none"/>
              </w:rPr>
            </w:pPr>
          </w:p>
        </w:tc>
        <w:tc>
          <w:tcPr>
            <w:tcW w:w="547" w:type="pct"/>
            <w:vAlign w:val="center"/>
          </w:tcPr>
          <w:p w14:paraId="402E5A5E">
            <w:pPr>
              <w:jc w:val="center"/>
              <w:rPr>
                <w:rFonts w:hint="default" w:ascii="Times New Roman" w:hAnsi="Times New Roman" w:cs="Times New Roman"/>
                <w:color w:val="auto"/>
                <w:szCs w:val="21"/>
                <w:highlight w:val="none"/>
              </w:rPr>
            </w:pPr>
          </w:p>
        </w:tc>
        <w:tc>
          <w:tcPr>
            <w:tcW w:w="547" w:type="pct"/>
            <w:vAlign w:val="center"/>
          </w:tcPr>
          <w:p w14:paraId="68DCC775">
            <w:pPr>
              <w:jc w:val="center"/>
              <w:rPr>
                <w:rFonts w:hint="default" w:ascii="Times New Roman" w:hAnsi="Times New Roman" w:cs="Times New Roman"/>
                <w:color w:val="auto"/>
                <w:szCs w:val="21"/>
                <w:highlight w:val="none"/>
              </w:rPr>
            </w:pPr>
          </w:p>
        </w:tc>
        <w:tc>
          <w:tcPr>
            <w:tcW w:w="547" w:type="pct"/>
            <w:vAlign w:val="center"/>
          </w:tcPr>
          <w:p w14:paraId="7A261D3F">
            <w:pPr>
              <w:ind w:left="-94" w:leftChars="-45" w:right="-170" w:rightChars="-81"/>
              <w:jc w:val="center"/>
              <w:rPr>
                <w:rFonts w:hint="default" w:ascii="Times New Roman" w:hAnsi="Times New Roman" w:cs="Times New Roman"/>
                <w:color w:val="auto"/>
                <w:szCs w:val="21"/>
                <w:highlight w:val="none"/>
              </w:rPr>
            </w:pPr>
          </w:p>
        </w:tc>
        <w:tc>
          <w:tcPr>
            <w:tcW w:w="547" w:type="pct"/>
            <w:vAlign w:val="center"/>
          </w:tcPr>
          <w:p w14:paraId="2DEC49CA">
            <w:pPr>
              <w:jc w:val="center"/>
              <w:rPr>
                <w:rFonts w:hint="default" w:ascii="Times New Roman" w:hAnsi="Times New Roman" w:cs="Times New Roman"/>
                <w:color w:val="auto"/>
                <w:szCs w:val="21"/>
                <w:highlight w:val="none"/>
              </w:rPr>
            </w:pPr>
          </w:p>
        </w:tc>
        <w:tc>
          <w:tcPr>
            <w:tcW w:w="411" w:type="pct"/>
            <w:vAlign w:val="center"/>
          </w:tcPr>
          <w:p w14:paraId="3CADC711">
            <w:pPr>
              <w:jc w:val="center"/>
              <w:rPr>
                <w:rFonts w:hint="default" w:ascii="Times New Roman" w:hAnsi="Times New Roman" w:cs="Times New Roman"/>
                <w:color w:val="auto"/>
                <w:sz w:val="24"/>
                <w:szCs w:val="24"/>
                <w:highlight w:val="none"/>
              </w:rPr>
            </w:pPr>
          </w:p>
        </w:tc>
        <w:tc>
          <w:tcPr>
            <w:tcW w:w="424" w:type="pct"/>
            <w:vAlign w:val="center"/>
          </w:tcPr>
          <w:p w14:paraId="4FC7E076">
            <w:pPr>
              <w:jc w:val="center"/>
              <w:rPr>
                <w:rFonts w:hint="default" w:ascii="Times New Roman" w:hAnsi="Times New Roman" w:cs="Times New Roman"/>
                <w:color w:val="auto"/>
                <w:sz w:val="24"/>
                <w:szCs w:val="24"/>
                <w:highlight w:val="none"/>
              </w:rPr>
            </w:pPr>
          </w:p>
        </w:tc>
      </w:tr>
      <w:tr w14:paraId="0D34E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exact"/>
          <w:jc w:val="center"/>
        </w:trPr>
        <w:tc>
          <w:tcPr>
            <w:tcW w:w="280" w:type="pct"/>
            <w:vAlign w:val="center"/>
          </w:tcPr>
          <w:p w14:paraId="1DB211B3">
            <w:pPr>
              <w:jc w:val="center"/>
              <w:rPr>
                <w:rFonts w:hint="default" w:ascii="Times New Roman" w:hAnsi="Times New Roman" w:cs="Times New Roman"/>
                <w:color w:val="auto"/>
                <w:szCs w:val="21"/>
                <w:highlight w:val="none"/>
              </w:rPr>
            </w:pPr>
          </w:p>
        </w:tc>
        <w:tc>
          <w:tcPr>
            <w:tcW w:w="483" w:type="pct"/>
            <w:vAlign w:val="center"/>
          </w:tcPr>
          <w:p w14:paraId="2740F866">
            <w:pPr>
              <w:jc w:val="center"/>
              <w:rPr>
                <w:rFonts w:hint="default" w:ascii="Times New Roman" w:hAnsi="Times New Roman" w:cs="Times New Roman"/>
                <w:color w:val="auto"/>
                <w:szCs w:val="21"/>
                <w:highlight w:val="none"/>
                <w:vertAlign w:val="superscript"/>
              </w:rPr>
            </w:pPr>
          </w:p>
        </w:tc>
        <w:tc>
          <w:tcPr>
            <w:tcW w:w="898" w:type="pct"/>
            <w:vAlign w:val="center"/>
          </w:tcPr>
          <w:p w14:paraId="313B94F2">
            <w:pPr>
              <w:jc w:val="center"/>
              <w:rPr>
                <w:rFonts w:hint="default" w:ascii="Times New Roman" w:hAnsi="Times New Roman" w:cs="Times New Roman"/>
                <w:color w:val="auto"/>
                <w:szCs w:val="21"/>
                <w:highlight w:val="none"/>
              </w:rPr>
            </w:pPr>
          </w:p>
        </w:tc>
        <w:tc>
          <w:tcPr>
            <w:tcW w:w="311" w:type="pct"/>
            <w:vAlign w:val="center"/>
          </w:tcPr>
          <w:p w14:paraId="0EA07ECB">
            <w:pPr>
              <w:jc w:val="center"/>
              <w:rPr>
                <w:rFonts w:hint="default" w:ascii="Times New Roman" w:hAnsi="Times New Roman" w:cs="Times New Roman"/>
                <w:color w:val="auto"/>
                <w:szCs w:val="21"/>
                <w:highlight w:val="none"/>
              </w:rPr>
            </w:pPr>
          </w:p>
        </w:tc>
        <w:tc>
          <w:tcPr>
            <w:tcW w:w="547" w:type="pct"/>
            <w:vAlign w:val="center"/>
          </w:tcPr>
          <w:p w14:paraId="349BABA0">
            <w:pPr>
              <w:jc w:val="center"/>
              <w:rPr>
                <w:rFonts w:hint="default" w:ascii="Times New Roman" w:hAnsi="Times New Roman" w:cs="Times New Roman"/>
                <w:color w:val="auto"/>
                <w:szCs w:val="21"/>
                <w:highlight w:val="none"/>
              </w:rPr>
            </w:pPr>
          </w:p>
        </w:tc>
        <w:tc>
          <w:tcPr>
            <w:tcW w:w="547" w:type="pct"/>
            <w:vAlign w:val="center"/>
          </w:tcPr>
          <w:p w14:paraId="1960599F">
            <w:pPr>
              <w:jc w:val="center"/>
              <w:rPr>
                <w:rFonts w:hint="default" w:ascii="Times New Roman" w:hAnsi="Times New Roman" w:cs="Times New Roman"/>
                <w:color w:val="auto"/>
                <w:szCs w:val="21"/>
                <w:highlight w:val="none"/>
              </w:rPr>
            </w:pPr>
          </w:p>
        </w:tc>
        <w:tc>
          <w:tcPr>
            <w:tcW w:w="547" w:type="pct"/>
            <w:vAlign w:val="center"/>
          </w:tcPr>
          <w:p w14:paraId="59B0CF8F">
            <w:pPr>
              <w:jc w:val="center"/>
              <w:rPr>
                <w:rFonts w:hint="default" w:ascii="Times New Roman" w:hAnsi="Times New Roman" w:cs="Times New Roman"/>
                <w:color w:val="auto"/>
                <w:szCs w:val="21"/>
                <w:highlight w:val="none"/>
              </w:rPr>
            </w:pPr>
          </w:p>
        </w:tc>
        <w:tc>
          <w:tcPr>
            <w:tcW w:w="547" w:type="pct"/>
            <w:vAlign w:val="center"/>
          </w:tcPr>
          <w:p w14:paraId="34E7FC2C">
            <w:pPr>
              <w:jc w:val="center"/>
              <w:rPr>
                <w:rFonts w:hint="default" w:ascii="Times New Roman" w:hAnsi="Times New Roman" w:cs="Times New Roman"/>
                <w:color w:val="auto"/>
                <w:sz w:val="24"/>
                <w:szCs w:val="24"/>
                <w:highlight w:val="none"/>
              </w:rPr>
            </w:pPr>
          </w:p>
        </w:tc>
        <w:tc>
          <w:tcPr>
            <w:tcW w:w="411" w:type="pct"/>
            <w:vAlign w:val="center"/>
          </w:tcPr>
          <w:p w14:paraId="2606D8D5">
            <w:pPr>
              <w:jc w:val="center"/>
              <w:rPr>
                <w:rFonts w:hint="default" w:ascii="Times New Roman" w:hAnsi="Times New Roman" w:cs="Times New Roman"/>
                <w:color w:val="auto"/>
                <w:sz w:val="24"/>
                <w:szCs w:val="24"/>
                <w:highlight w:val="none"/>
              </w:rPr>
            </w:pPr>
          </w:p>
        </w:tc>
        <w:tc>
          <w:tcPr>
            <w:tcW w:w="424" w:type="pct"/>
            <w:vAlign w:val="center"/>
          </w:tcPr>
          <w:p w14:paraId="7A5EAEB2">
            <w:pPr>
              <w:jc w:val="center"/>
              <w:rPr>
                <w:rFonts w:hint="default" w:ascii="Times New Roman" w:hAnsi="Times New Roman" w:cs="Times New Roman"/>
                <w:color w:val="auto"/>
                <w:sz w:val="24"/>
                <w:szCs w:val="24"/>
                <w:highlight w:val="none"/>
              </w:rPr>
            </w:pPr>
          </w:p>
        </w:tc>
      </w:tr>
    </w:tbl>
    <w:p w14:paraId="13D41679">
      <w:pPr>
        <w:ind w:firstLine="420"/>
        <w:rPr>
          <w:color w:val="auto"/>
          <w:highlight w:val="none"/>
        </w:rPr>
      </w:pPr>
      <w:r>
        <w:rPr>
          <w:color w:val="auto"/>
          <w:highlight w:val="none"/>
        </w:rPr>
        <w:t>注：放射源包括放射性中子源，对其要说明是何种核素以及产生的中子流强度（n/s）。</w:t>
      </w:r>
    </w:p>
    <w:p w14:paraId="59FA6C2F">
      <w:pPr>
        <w:ind w:firstLine="420"/>
        <w:rPr>
          <w:color w:val="auto"/>
          <w:highlight w:val="none"/>
        </w:rPr>
      </w:pPr>
    </w:p>
    <w:p w14:paraId="2B1FA887">
      <w:pPr>
        <w:pStyle w:val="3"/>
        <w:spacing w:before="0" w:after="0" w:line="360" w:lineRule="auto"/>
        <w:rPr>
          <w:color w:val="auto"/>
          <w:sz w:val="28"/>
          <w:szCs w:val="28"/>
          <w:highlight w:val="none"/>
        </w:rPr>
      </w:pPr>
      <w:bookmarkStart w:id="44" w:name="_Toc15389549"/>
      <w:bookmarkStart w:id="45" w:name="_Toc24503"/>
      <w:r>
        <w:rPr>
          <w:color w:val="auto"/>
          <w:sz w:val="28"/>
          <w:szCs w:val="28"/>
          <w:highlight w:val="none"/>
        </w:rPr>
        <w:t>表3 非密封放射性物质</w:t>
      </w:r>
      <w:bookmarkEnd w:id="44"/>
      <w:bookmarkEnd w:id="45"/>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8"/>
        <w:gridCol w:w="739"/>
        <w:gridCol w:w="2052"/>
        <w:gridCol w:w="820"/>
        <w:gridCol w:w="1507"/>
        <w:gridCol w:w="1507"/>
        <w:gridCol w:w="1235"/>
        <w:gridCol w:w="1098"/>
        <w:gridCol w:w="1235"/>
        <w:gridCol w:w="1507"/>
        <w:gridCol w:w="1203"/>
      </w:tblGrid>
      <w:tr w14:paraId="6EA45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04" w:type="pct"/>
            <w:vAlign w:val="center"/>
          </w:tcPr>
          <w:p w14:paraId="0E1190F2">
            <w:pPr>
              <w:jc w:val="center"/>
              <w:rPr>
                <w:color w:val="auto"/>
                <w:sz w:val="24"/>
                <w:szCs w:val="24"/>
                <w:highlight w:val="none"/>
              </w:rPr>
            </w:pPr>
            <w:r>
              <w:rPr>
                <w:color w:val="auto"/>
                <w:sz w:val="24"/>
                <w:szCs w:val="24"/>
                <w:highlight w:val="none"/>
              </w:rPr>
              <w:t>序号</w:t>
            </w:r>
          </w:p>
        </w:tc>
        <w:tc>
          <w:tcPr>
            <w:tcW w:w="275" w:type="pct"/>
            <w:vAlign w:val="center"/>
          </w:tcPr>
          <w:p w14:paraId="3E8B414E">
            <w:pPr>
              <w:jc w:val="center"/>
              <w:rPr>
                <w:color w:val="auto"/>
                <w:sz w:val="24"/>
                <w:szCs w:val="24"/>
                <w:highlight w:val="none"/>
              </w:rPr>
            </w:pPr>
            <w:r>
              <w:rPr>
                <w:color w:val="auto"/>
                <w:sz w:val="24"/>
                <w:szCs w:val="24"/>
                <w:highlight w:val="none"/>
              </w:rPr>
              <w:t>核素</w:t>
            </w:r>
          </w:p>
          <w:p w14:paraId="5703BE75">
            <w:pPr>
              <w:jc w:val="center"/>
              <w:rPr>
                <w:color w:val="auto"/>
                <w:sz w:val="24"/>
                <w:szCs w:val="24"/>
                <w:highlight w:val="none"/>
              </w:rPr>
            </w:pPr>
            <w:r>
              <w:rPr>
                <w:color w:val="auto"/>
                <w:sz w:val="24"/>
                <w:szCs w:val="24"/>
                <w:highlight w:val="none"/>
              </w:rPr>
              <w:t>名称</w:t>
            </w:r>
          </w:p>
        </w:tc>
        <w:tc>
          <w:tcPr>
            <w:tcW w:w="763" w:type="pct"/>
            <w:vAlign w:val="center"/>
          </w:tcPr>
          <w:p w14:paraId="58C9D2AF">
            <w:pPr>
              <w:jc w:val="center"/>
              <w:rPr>
                <w:color w:val="auto"/>
                <w:sz w:val="24"/>
                <w:szCs w:val="24"/>
                <w:highlight w:val="none"/>
              </w:rPr>
            </w:pPr>
            <w:r>
              <w:rPr>
                <w:color w:val="auto"/>
                <w:sz w:val="24"/>
                <w:szCs w:val="24"/>
                <w:highlight w:val="none"/>
              </w:rPr>
              <w:t>理化性质</w:t>
            </w:r>
          </w:p>
        </w:tc>
        <w:tc>
          <w:tcPr>
            <w:tcW w:w="305" w:type="pct"/>
            <w:vAlign w:val="center"/>
          </w:tcPr>
          <w:p w14:paraId="7BD8B206">
            <w:pPr>
              <w:jc w:val="center"/>
              <w:rPr>
                <w:color w:val="auto"/>
                <w:sz w:val="24"/>
                <w:szCs w:val="24"/>
                <w:highlight w:val="none"/>
              </w:rPr>
            </w:pPr>
            <w:r>
              <w:rPr>
                <w:color w:val="auto"/>
                <w:sz w:val="24"/>
                <w:szCs w:val="24"/>
                <w:highlight w:val="none"/>
              </w:rPr>
              <w:t>活动</w:t>
            </w:r>
          </w:p>
          <w:p w14:paraId="07DB0AB4">
            <w:pPr>
              <w:jc w:val="center"/>
              <w:rPr>
                <w:color w:val="auto"/>
                <w:sz w:val="24"/>
                <w:szCs w:val="24"/>
                <w:highlight w:val="none"/>
              </w:rPr>
            </w:pPr>
            <w:r>
              <w:rPr>
                <w:color w:val="auto"/>
                <w:sz w:val="24"/>
                <w:szCs w:val="24"/>
                <w:highlight w:val="none"/>
              </w:rPr>
              <w:t>种类</w:t>
            </w:r>
          </w:p>
        </w:tc>
        <w:tc>
          <w:tcPr>
            <w:tcW w:w="560" w:type="pct"/>
            <w:vAlign w:val="center"/>
          </w:tcPr>
          <w:p w14:paraId="324C13F3">
            <w:pPr>
              <w:jc w:val="center"/>
              <w:rPr>
                <w:color w:val="auto"/>
                <w:sz w:val="24"/>
                <w:szCs w:val="24"/>
                <w:highlight w:val="none"/>
              </w:rPr>
            </w:pPr>
            <w:r>
              <w:rPr>
                <w:color w:val="auto"/>
                <w:sz w:val="24"/>
                <w:szCs w:val="24"/>
                <w:highlight w:val="none"/>
              </w:rPr>
              <w:t>实际日最大操作量（Bq）</w:t>
            </w:r>
          </w:p>
        </w:tc>
        <w:tc>
          <w:tcPr>
            <w:tcW w:w="560" w:type="pct"/>
            <w:vAlign w:val="center"/>
          </w:tcPr>
          <w:p w14:paraId="7995BC4F">
            <w:pPr>
              <w:jc w:val="center"/>
              <w:rPr>
                <w:color w:val="auto"/>
                <w:sz w:val="24"/>
                <w:szCs w:val="24"/>
                <w:highlight w:val="none"/>
              </w:rPr>
            </w:pPr>
            <w:r>
              <w:rPr>
                <w:color w:val="auto"/>
                <w:sz w:val="24"/>
                <w:szCs w:val="24"/>
                <w:highlight w:val="none"/>
              </w:rPr>
              <w:t>日等效最大操作量（Bq）</w:t>
            </w:r>
          </w:p>
        </w:tc>
        <w:tc>
          <w:tcPr>
            <w:tcW w:w="459" w:type="pct"/>
            <w:vAlign w:val="center"/>
          </w:tcPr>
          <w:p w14:paraId="30E2DD14">
            <w:pPr>
              <w:jc w:val="center"/>
              <w:rPr>
                <w:color w:val="auto"/>
                <w:sz w:val="24"/>
                <w:szCs w:val="24"/>
                <w:highlight w:val="none"/>
              </w:rPr>
            </w:pPr>
            <w:r>
              <w:rPr>
                <w:color w:val="auto"/>
                <w:sz w:val="24"/>
                <w:szCs w:val="24"/>
                <w:highlight w:val="none"/>
              </w:rPr>
              <w:t>年最大用量（Bq）</w:t>
            </w:r>
          </w:p>
        </w:tc>
        <w:tc>
          <w:tcPr>
            <w:tcW w:w="408" w:type="pct"/>
            <w:vAlign w:val="center"/>
          </w:tcPr>
          <w:p w14:paraId="6F53D994">
            <w:pPr>
              <w:jc w:val="center"/>
              <w:rPr>
                <w:color w:val="auto"/>
                <w:sz w:val="24"/>
                <w:szCs w:val="24"/>
                <w:highlight w:val="none"/>
              </w:rPr>
            </w:pPr>
            <w:r>
              <w:rPr>
                <w:color w:val="auto"/>
                <w:sz w:val="24"/>
                <w:szCs w:val="24"/>
                <w:highlight w:val="none"/>
              </w:rPr>
              <w:t>用途</w:t>
            </w:r>
          </w:p>
        </w:tc>
        <w:tc>
          <w:tcPr>
            <w:tcW w:w="459" w:type="pct"/>
            <w:vAlign w:val="center"/>
          </w:tcPr>
          <w:p w14:paraId="23FB1418">
            <w:pPr>
              <w:jc w:val="center"/>
              <w:rPr>
                <w:color w:val="auto"/>
                <w:sz w:val="24"/>
                <w:szCs w:val="24"/>
                <w:highlight w:val="none"/>
              </w:rPr>
            </w:pPr>
            <w:r>
              <w:rPr>
                <w:color w:val="auto"/>
                <w:sz w:val="24"/>
                <w:szCs w:val="24"/>
                <w:highlight w:val="none"/>
              </w:rPr>
              <w:t>操作方式</w:t>
            </w:r>
          </w:p>
        </w:tc>
        <w:tc>
          <w:tcPr>
            <w:tcW w:w="560" w:type="pct"/>
            <w:vAlign w:val="center"/>
          </w:tcPr>
          <w:p w14:paraId="33317F05">
            <w:pPr>
              <w:jc w:val="center"/>
              <w:rPr>
                <w:color w:val="auto"/>
                <w:sz w:val="24"/>
                <w:szCs w:val="24"/>
                <w:highlight w:val="none"/>
              </w:rPr>
            </w:pPr>
            <w:r>
              <w:rPr>
                <w:color w:val="auto"/>
                <w:sz w:val="24"/>
                <w:szCs w:val="24"/>
                <w:highlight w:val="none"/>
              </w:rPr>
              <w:t>使用场所</w:t>
            </w:r>
          </w:p>
        </w:tc>
        <w:tc>
          <w:tcPr>
            <w:tcW w:w="441" w:type="pct"/>
            <w:vAlign w:val="center"/>
          </w:tcPr>
          <w:p w14:paraId="73784062">
            <w:pPr>
              <w:jc w:val="center"/>
              <w:rPr>
                <w:color w:val="auto"/>
                <w:sz w:val="24"/>
                <w:szCs w:val="24"/>
                <w:highlight w:val="none"/>
              </w:rPr>
            </w:pPr>
            <w:r>
              <w:rPr>
                <w:color w:val="auto"/>
                <w:sz w:val="24"/>
                <w:szCs w:val="24"/>
                <w:highlight w:val="none"/>
              </w:rPr>
              <w:t>贮存方式与地点</w:t>
            </w:r>
          </w:p>
        </w:tc>
      </w:tr>
      <w:tr w14:paraId="30003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exact"/>
          <w:jc w:val="center"/>
        </w:trPr>
        <w:tc>
          <w:tcPr>
            <w:tcW w:w="5000" w:type="pct"/>
            <w:gridSpan w:val="11"/>
            <w:vAlign w:val="center"/>
          </w:tcPr>
          <w:p w14:paraId="022A5937">
            <w:pPr>
              <w:jc w:val="center"/>
              <w:rPr>
                <w:color w:val="auto"/>
                <w:szCs w:val="21"/>
                <w:highlight w:val="none"/>
              </w:rPr>
            </w:pPr>
            <w:r>
              <w:rPr>
                <w:rFonts w:hint="eastAsia"/>
                <w:color w:val="auto"/>
                <w:sz w:val="24"/>
                <w:szCs w:val="24"/>
                <w:highlight w:val="none"/>
              </w:rPr>
              <w:t>以下空白</w:t>
            </w:r>
          </w:p>
        </w:tc>
      </w:tr>
      <w:tr w14:paraId="48E9F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04" w:type="pct"/>
            <w:vAlign w:val="center"/>
          </w:tcPr>
          <w:p w14:paraId="38F1D9D3">
            <w:pPr>
              <w:jc w:val="center"/>
              <w:rPr>
                <w:color w:val="auto"/>
                <w:szCs w:val="21"/>
                <w:highlight w:val="none"/>
              </w:rPr>
            </w:pPr>
          </w:p>
        </w:tc>
        <w:tc>
          <w:tcPr>
            <w:tcW w:w="275" w:type="pct"/>
            <w:vAlign w:val="center"/>
          </w:tcPr>
          <w:p w14:paraId="4E6ABF15">
            <w:pPr>
              <w:jc w:val="center"/>
              <w:rPr>
                <w:color w:val="auto"/>
                <w:szCs w:val="21"/>
                <w:highlight w:val="none"/>
              </w:rPr>
            </w:pPr>
          </w:p>
        </w:tc>
        <w:tc>
          <w:tcPr>
            <w:tcW w:w="763" w:type="pct"/>
            <w:vAlign w:val="center"/>
          </w:tcPr>
          <w:p w14:paraId="243A5CD0">
            <w:pPr>
              <w:jc w:val="center"/>
              <w:rPr>
                <w:color w:val="auto"/>
                <w:szCs w:val="21"/>
                <w:highlight w:val="none"/>
              </w:rPr>
            </w:pPr>
          </w:p>
        </w:tc>
        <w:tc>
          <w:tcPr>
            <w:tcW w:w="305" w:type="pct"/>
            <w:vAlign w:val="center"/>
          </w:tcPr>
          <w:p w14:paraId="2A969A21">
            <w:pPr>
              <w:jc w:val="center"/>
              <w:rPr>
                <w:color w:val="auto"/>
                <w:szCs w:val="21"/>
                <w:highlight w:val="none"/>
              </w:rPr>
            </w:pPr>
          </w:p>
        </w:tc>
        <w:tc>
          <w:tcPr>
            <w:tcW w:w="560" w:type="pct"/>
            <w:vAlign w:val="center"/>
          </w:tcPr>
          <w:p w14:paraId="7C051035">
            <w:pPr>
              <w:jc w:val="center"/>
              <w:rPr>
                <w:color w:val="auto"/>
                <w:szCs w:val="21"/>
                <w:highlight w:val="none"/>
              </w:rPr>
            </w:pPr>
          </w:p>
        </w:tc>
        <w:tc>
          <w:tcPr>
            <w:tcW w:w="560" w:type="pct"/>
            <w:vAlign w:val="center"/>
          </w:tcPr>
          <w:p w14:paraId="3EBD58CA">
            <w:pPr>
              <w:adjustRightInd w:val="0"/>
              <w:snapToGrid w:val="0"/>
              <w:jc w:val="center"/>
              <w:rPr>
                <w:color w:val="auto"/>
                <w:szCs w:val="21"/>
                <w:highlight w:val="none"/>
              </w:rPr>
            </w:pPr>
          </w:p>
        </w:tc>
        <w:tc>
          <w:tcPr>
            <w:tcW w:w="459" w:type="pct"/>
            <w:vAlign w:val="center"/>
          </w:tcPr>
          <w:p w14:paraId="35B0F243">
            <w:pPr>
              <w:jc w:val="center"/>
              <w:rPr>
                <w:color w:val="auto"/>
                <w:szCs w:val="21"/>
                <w:highlight w:val="none"/>
              </w:rPr>
            </w:pPr>
          </w:p>
        </w:tc>
        <w:tc>
          <w:tcPr>
            <w:tcW w:w="408" w:type="pct"/>
            <w:vAlign w:val="center"/>
          </w:tcPr>
          <w:p w14:paraId="5722B38E">
            <w:pPr>
              <w:jc w:val="center"/>
              <w:rPr>
                <w:color w:val="auto"/>
                <w:szCs w:val="21"/>
                <w:highlight w:val="none"/>
              </w:rPr>
            </w:pPr>
          </w:p>
        </w:tc>
        <w:tc>
          <w:tcPr>
            <w:tcW w:w="459" w:type="pct"/>
            <w:vAlign w:val="center"/>
          </w:tcPr>
          <w:p w14:paraId="403B4DE8">
            <w:pPr>
              <w:jc w:val="center"/>
              <w:rPr>
                <w:color w:val="auto"/>
                <w:szCs w:val="21"/>
                <w:highlight w:val="none"/>
              </w:rPr>
            </w:pPr>
          </w:p>
        </w:tc>
        <w:tc>
          <w:tcPr>
            <w:tcW w:w="560" w:type="pct"/>
            <w:vAlign w:val="center"/>
          </w:tcPr>
          <w:p w14:paraId="7F7FBE39">
            <w:pPr>
              <w:jc w:val="center"/>
              <w:rPr>
                <w:color w:val="auto"/>
                <w:szCs w:val="21"/>
                <w:highlight w:val="none"/>
              </w:rPr>
            </w:pPr>
          </w:p>
        </w:tc>
        <w:tc>
          <w:tcPr>
            <w:tcW w:w="441" w:type="pct"/>
            <w:vAlign w:val="center"/>
          </w:tcPr>
          <w:p w14:paraId="2EEC5135">
            <w:pPr>
              <w:jc w:val="center"/>
              <w:rPr>
                <w:color w:val="auto"/>
                <w:szCs w:val="21"/>
                <w:highlight w:val="none"/>
              </w:rPr>
            </w:pPr>
          </w:p>
        </w:tc>
      </w:tr>
      <w:tr w14:paraId="2A8FA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04" w:type="pct"/>
            <w:vAlign w:val="center"/>
          </w:tcPr>
          <w:p w14:paraId="64FE2B3E">
            <w:pPr>
              <w:jc w:val="center"/>
              <w:rPr>
                <w:color w:val="auto"/>
                <w:szCs w:val="21"/>
                <w:highlight w:val="none"/>
              </w:rPr>
            </w:pPr>
          </w:p>
        </w:tc>
        <w:tc>
          <w:tcPr>
            <w:tcW w:w="275" w:type="pct"/>
            <w:vAlign w:val="center"/>
          </w:tcPr>
          <w:p w14:paraId="02900C64">
            <w:pPr>
              <w:jc w:val="center"/>
              <w:rPr>
                <w:color w:val="auto"/>
                <w:szCs w:val="21"/>
                <w:highlight w:val="none"/>
              </w:rPr>
            </w:pPr>
          </w:p>
        </w:tc>
        <w:tc>
          <w:tcPr>
            <w:tcW w:w="763" w:type="pct"/>
            <w:vAlign w:val="center"/>
          </w:tcPr>
          <w:p w14:paraId="1DA597CC">
            <w:pPr>
              <w:jc w:val="center"/>
              <w:rPr>
                <w:color w:val="auto"/>
                <w:szCs w:val="21"/>
                <w:highlight w:val="none"/>
              </w:rPr>
            </w:pPr>
          </w:p>
        </w:tc>
        <w:tc>
          <w:tcPr>
            <w:tcW w:w="305" w:type="pct"/>
            <w:vAlign w:val="center"/>
          </w:tcPr>
          <w:p w14:paraId="4F4FBB2A">
            <w:pPr>
              <w:jc w:val="center"/>
              <w:rPr>
                <w:color w:val="auto"/>
                <w:szCs w:val="21"/>
                <w:highlight w:val="none"/>
              </w:rPr>
            </w:pPr>
          </w:p>
        </w:tc>
        <w:tc>
          <w:tcPr>
            <w:tcW w:w="560" w:type="pct"/>
            <w:vAlign w:val="center"/>
          </w:tcPr>
          <w:p w14:paraId="5C76EC6B">
            <w:pPr>
              <w:jc w:val="center"/>
              <w:rPr>
                <w:color w:val="auto"/>
                <w:szCs w:val="21"/>
                <w:highlight w:val="none"/>
              </w:rPr>
            </w:pPr>
          </w:p>
        </w:tc>
        <w:tc>
          <w:tcPr>
            <w:tcW w:w="560" w:type="pct"/>
            <w:vAlign w:val="center"/>
          </w:tcPr>
          <w:p w14:paraId="3CDD22C1">
            <w:pPr>
              <w:adjustRightInd w:val="0"/>
              <w:snapToGrid w:val="0"/>
              <w:jc w:val="center"/>
              <w:rPr>
                <w:color w:val="auto"/>
                <w:szCs w:val="21"/>
                <w:highlight w:val="none"/>
              </w:rPr>
            </w:pPr>
          </w:p>
        </w:tc>
        <w:tc>
          <w:tcPr>
            <w:tcW w:w="459" w:type="pct"/>
            <w:vAlign w:val="center"/>
          </w:tcPr>
          <w:p w14:paraId="783A1544">
            <w:pPr>
              <w:jc w:val="center"/>
              <w:rPr>
                <w:color w:val="auto"/>
                <w:szCs w:val="21"/>
                <w:highlight w:val="none"/>
              </w:rPr>
            </w:pPr>
          </w:p>
        </w:tc>
        <w:tc>
          <w:tcPr>
            <w:tcW w:w="408" w:type="pct"/>
            <w:vAlign w:val="center"/>
          </w:tcPr>
          <w:p w14:paraId="5FA2C1C7">
            <w:pPr>
              <w:jc w:val="center"/>
              <w:rPr>
                <w:color w:val="auto"/>
                <w:szCs w:val="21"/>
                <w:highlight w:val="none"/>
              </w:rPr>
            </w:pPr>
          </w:p>
        </w:tc>
        <w:tc>
          <w:tcPr>
            <w:tcW w:w="459" w:type="pct"/>
            <w:vAlign w:val="center"/>
          </w:tcPr>
          <w:p w14:paraId="0AAD7850">
            <w:pPr>
              <w:jc w:val="center"/>
              <w:rPr>
                <w:color w:val="auto"/>
                <w:szCs w:val="21"/>
                <w:highlight w:val="none"/>
              </w:rPr>
            </w:pPr>
          </w:p>
        </w:tc>
        <w:tc>
          <w:tcPr>
            <w:tcW w:w="560" w:type="pct"/>
            <w:vAlign w:val="center"/>
          </w:tcPr>
          <w:p w14:paraId="5DA245D4">
            <w:pPr>
              <w:jc w:val="center"/>
              <w:rPr>
                <w:color w:val="auto"/>
                <w:szCs w:val="21"/>
                <w:highlight w:val="none"/>
              </w:rPr>
            </w:pPr>
          </w:p>
        </w:tc>
        <w:tc>
          <w:tcPr>
            <w:tcW w:w="441" w:type="pct"/>
            <w:vAlign w:val="center"/>
          </w:tcPr>
          <w:p w14:paraId="0D402E25">
            <w:pPr>
              <w:jc w:val="center"/>
              <w:rPr>
                <w:color w:val="auto"/>
                <w:szCs w:val="21"/>
                <w:highlight w:val="none"/>
              </w:rPr>
            </w:pPr>
          </w:p>
        </w:tc>
      </w:tr>
    </w:tbl>
    <w:p w14:paraId="266A12F0">
      <w:pPr>
        <w:ind w:firstLine="420"/>
        <w:rPr>
          <w:color w:val="auto"/>
          <w:highlight w:val="none"/>
        </w:rPr>
      </w:pPr>
      <w:r>
        <w:rPr>
          <w:color w:val="auto"/>
          <w:highlight w:val="none"/>
        </w:rPr>
        <w:t>注：日等效最大操作量和操作方式见《电离辐射防护与辐射源安全基本标准》（GB 18871-2002）。</w:t>
      </w:r>
    </w:p>
    <w:p w14:paraId="00A0F32B">
      <w:pPr>
        <w:ind w:firstLine="450"/>
        <w:rPr>
          <w:color w:val="auto"/>
          <w:sz w:val="24"/>
          <w:szCs w:val="24"/>
          <w:highlight w:val="none"/>
        </w:rPr>
      </w:pPr>
    </w:p>
    <w:p w14:paraId="36436560">
      <w:pPr>
        <w:pStyle w:val="22"/>
        <w:rPr>
          <w:color w:val="auto"/>
          <w:highlight w:val="none"/>
        </w:rPr>
      </w:pPr>
    </w:p>
    <w:p w14:paraId="22E177A8">
      <w:pPr>
        <w:pStyle w:val="3"/>
        <w:spacing w:before="0" w:after="0" w:line="240" w:lineRule="auto"/>
        <w:rPr>
          <w:color w:val="auto"/>
          <w:sz w:val="28"/>
          <w:szCs w:val="28"/>
          <w:highlight w:val="none"/>
        </w:rPr>
      </w:pPr>
      <w:bookmarkStart w:id="46" w:name="_Toc1216"/>
      <w:bookmarkStart w:id="47" w:name="_Toc15389550"/>
      <w:r>
        <w:rPr>
          <w:color w:val="auto"/>
          <w:sz w:val="28"/>
          <w:szCs w:val="28"/>
          <w:highlight w:val="none"/>
        </w:rPr>
        <w:t>表4 射线装置</w:t>
      </w:r>
      <w:bookmarkEnd w:id="46"/>
      <w:bookmarkEnd w:id="47"/>
    </w:p>
    <w:p w14:paraId="5DF716F7">
      <w:pPr>
        <w:ind w:firstLine="45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（一）加速器：包括医用、工农业、科研、教学等用途的各类型加速器</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8"/>
        <w:gridCol w:w="1332"/>
        <w:gridCol w:w="821"/>
        <w:gridCol w:w="705"/>
        <w:gridCol w:w="982"/>
        <w:gridCol w:w="853"/>
        <w:gridCol w:w="2069"/>
        <w:gridCol w:w="1934"/>
        <w:gridCol w:w="1264"/>
        <w:gridCol w:w="1695"/>
        <w:gridCol w:w="998"/>
      </w:tblGrid>
      <w:tr w14:paraId="2888C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exact"/>
          <w:jc w:val="center"/>
        </w:trPr>
        <w:tc>
          <w:tcPr>
            <w:tcW w:w="297" w:type="pct"/>
            <w:vAlign w:val="center"/>
          </w:tcPr>
          <w:p w14:paraId="14C30F74">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序号</w:t>
            </w:r>
          </w:p>
        </w:tc>
        <w:tc>
          <w:tcPr>
            <w:tcW w:w="495" w:type="pct"/>
            <w:vAlign w:val="center"/>
          </w:tcPr>
          <w:p w14:paraId="67C0920C">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名称</w:t>
            </w:r>
          </w:p>
        </w:tc>
        <w:tc>
          <w:tcPr>
            <w:tcW w:w="305" w:type="pct"/>
            <w:vAlign w:val="center"/>
          </w:tcPr>
          <w:p w14:paraId="1D7B9DDE">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类别</w:t>
            </w:r>
          </w:p>
        </w:tc>
        <w:tc>
          <w:tcPr>
            <w:tcW w:w="262" w:type="pct"/>
            <w:vAlign w:val="center"/>
          </w:tcPr>
          <w:p w14:paraId="3458DDAC">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数量</w:t>
            </w:r>
          </w:p>
        </w:tc>
        <w:tc>
          <w:tcPr>
            <w:tcW w:w="365" w:type="pct"/>
            <w:vAlign w:val="center"/>
          </w:tcPr>
          <w:p w14:paraId="1877F769">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型号</w:t>
            </w:r>
          </w:p>
        </w:tc>
        <w:tc>
          <w:tcPr>
            <w:tcW w:w="317" w:type="pct"/>
            <w:vAlign w:val="center"/>
          </w:tcPr>
          <w:p w14:paraId="2BAB5D0A">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加速粒子</w:t>
            </w:r>
          </w:p>
        </w:tc>
        <w:tc>
          <w:tcPr>
            <w:tcW w:w="769" w:type="pct"/>
            <w:vAlign w:val="center"/>
          </w:tcPr>
          <w:p w14:paraId="1829257D">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最大能量（MeV）</w:t>
            </w:r>
          </w:p>
        </w:tc>
        <w:tc>
          <w:tcPr>
            <w:tcW w:w="719" w:type="pct"/>
            <w:vAlign w:val="center"/>
          </w:tcPr>
          <w:p w14:paraId="77BDF5F0">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额定电流（mA）/剂量率（Gy/h）</w:t>
            </w:r>
          </w:p>
        </w:tc>
        <w:tc>
          <w:tcPr>
            <w:tcW w:w="470" w:type="pct"/>
            <w:vAlign w:val="center"/>
          </w:tcPr>
          <w:p w14:paraId="55856D68">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用途</w:t>
            </w:r>
          </w:p>
        </w:tc>
        <w:tc>
          <w:tcPr>
            <w:tcW w:w="630" w:type="pct"/>
            <w:vAlign w:val="center"/>
          </w:tcPr>
          <w:p w14:paraId="767B652D">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工作场所</w:t>
            </w:r>
          </w:p>
        </w:tc>
        <w:tc>
          <w:tcPr>
            <w:tcW w:w="366" w:type="pct"/>
            <w:vAlign w:val="center"/>
          </w:tcPr>
          <w:p w14:paraId="6D45545E">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备注</w:t>
            </w:r>
          </w:p>
        </w:tc>
      </w:tr>
      <w:tr w14:paraId="562B4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jc w:val="center"/>
        </w:trPr>
        <w:tc>
          <w:tcPr>
            <w:tcW w:w="5000" w:type="pct"/>
            <w:gridSpan w:val="11"/>
            <w:vAlign w:val="center"/>
          </w:tcPr>
          <w:p w14:paraId="4D7872D4">
            <w:pPr>
              <w:spacing w:line="24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 w:val="24"/>
                <w:szCs w:val="24"/>
                <w:highlight w:val="none"/>
              </w:rPr>
              <w:t>以下空白</w:t>
            </w:r>
          </w:p>
        </w:tc>
      </w:tr>
      <w:tr w14:paraId="2F705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jc w:val="center"/>
        </w:trPr>
        <w:tc>
          <w:tcPr>
            <w:tcW w:w="297" w:type="pct"/>
            <w:vAlign w:val="center"/>
          </w:tcPr>
          <w:p w14:paraId="36235ADE">
            <w:pPr>
              <w:spacing w:line="240" w:lineRule="exact"/>
              <w:jc w:val="center"/>
              <w:rPr>
                <w:rFonts w:hint="default" w:ascii="Times New Roman" w:hAnsi="Times New Roman" w:cs="Times New Roman"/>
                <w:color w:val="auto"/>
                <w:szCs w:val="21"/>
                <w:highlight w:val="none"/>
              </w:rPr>
            </w:pPr>
          </w:p>
        </w:tc>
        <w:tc>
          <w:tcPr>
            <w:tcW w:w="495" w:type="pct"/>
            <w:vAlign w:val="center"/>
          </w:tcPr>
          <w:p w14:paraId="0708C4A2">
            <w:pPr>
              <w:widowControl/>
              <w:jc w:val="center"/>
              <w:rPr>
                <w:rFonts w:hint="default" w:ascii="Times New Roman" w:hAnsi="Times New Roman" w:cs="Times New Roman"/>
                <w:color w:val="auto"/>
                <w:szCs w:val="21"/>
                <w:highlight w:val="none"/>
              </w:rPr>
            </w:pPr>
          </w:p>
        </w:tc>
        <w:tc>
          <w:tcPr>
            <w:tcW w:w="305" w:type="pct"/>
            <w:vAlign w:val="center"/>
          </w:tcPr>
          <w:p w14:paraId="66C55E3A">
            <w:pPr>
              <w:spacing w:line="240" w:lineRule="exact"/>
              <w:jc w:val="center"/>
              <w:rPr>
                <w:rFonts w:hint="default" w:ascii="Times New Roman" w:hAnsi="Times New Roman" w:cs="Times New Roman"/>
                <w:color w:val="auto"/>
                <w:szCs w:val="21"/>
                <w:highlight w:val="none"/>
              </w:rPr>
            </w:pPr>
          </w:p>
        </w:tc>
        <w:tc>
          <w:tcPr>
            <w:tcW w:w="262" w:type="pct"/>
            <w:vAlign w:val="center"/>
          </w:tcPr>
          <w:p w14:paraId="72765994">
            <w:pPr>
              <w:widowControl/>
              <w:jc w:val="center"/>
              <w:rPr>
                <w:rFonts w:hint="default" w:ascii="Times New Roman" w:hAnsi="Times New Roman" w:cs="Times New Roman"/>
                <w:color w:val="auto"/>
                <w:szCs w:val="21"/>
                <w:highlight w:val="none"/>
              </w:rPr>
            </w:pPr>
          </w:p>
        </w:tc>
        <w:tc>
          <w:tcPr>
            <w:tcW w:w="365" w:type="pct"/>
            <w:vAlign w:val="center"/>
          </w:tcPr>
          <w:p w14:paraId="5A881F58">
            <w:pPr>
              <w:spacing w:line="240" w:lineRule="exact"/>
              <w:jc w:val="center"/>
              <w:rPr>
                <w:rFonts w:hint="default" w:ascii="Times New Roman" w:hAnsi="Times New Roman" w:cs="Times New Roman"/>
                <w:color w:val="auto"/>
                <w:szCs w:val="21"/>
                <w:highlight w:val="none"/>
              </w:rPr>
            </w:pPr>
          </w:p>
        </w:tc>
        <w:tc>
          <w:tcPr>
            <w:tcW w:w="317" w:type="pct"/>
            <w:vAlign w:val="center"/>
          </w:tcPr>
          <w:p w14:paraId="227A6821">
            <w:pPr>
              <w:widowControl/>
              <w:jc w:val="center"/>
              <w:rPr>
                <w:rFonts w:hint="default" w:ascii="Times New Roman" w:hAnsi="Times New Roman" w:cs="Times New Roman"/>
                <w:color w:val="auto"/>
                <w:szCs w:val="21"/>
                <w:highlight w:val="none"/>
              </w:rPr>
            </w:pPr>
          </w:p>
        </w:tc>
        <w:tc>
          <w:tcPr>
            <w:tcW w:w="769" w:type="pct"/>
            <w:vAlign w:val="center"/>
          </w:tcPr>
          <w:p w14:paraId="2004DD76">
            <w:pPr>
              <w:spacing w:line="240" w:lineRule="exact"/>
              <w:jc w:val="center"/>
              <w:rPr>
                <w:rFonts w:hint="default" w:ascii="Times New Roman" w:hAnsi="Times New Roman" w:cs="Times New Roman"/>
                <w:color w:val="auto"/>
                <w:szCs w:val="21"/>
                <w:highlight w:val="none"/>
              </w:rPr>
            </w:pPr>
          </w:p>
        </w:tc>
        <w:tc>
          <w:tcPr>
            <w:tcW w:w="719" w:type="pct"/>
            <w:vAlign w:val="center"/>
          </w:tcPr>
          <w:p w14:paraId="1ECAFE4D">
            <w:pPr>
              <w:widowControl/>
              <w:jc w:val="center"/>
              <w:rPr>
                <w:rFonts w:hint="default" w:ascii="Times New Roman" w:hAnsi="Times New Roman" w:cs="Times New Roman"/>
                <w:color w:val="auto"/>
                <w:szCs w:val="21"/>
                <w:highlight w:val="none"/>
              </w:rPr>
            </w:pPr>
          </w:p>
        </w:tc>
        <w:tc>
          <w:tcPr>
            <w:tcW w:w="470" w:type="pct"/>
            <w:vAlign w:val="center"/>
          </w:tcPr>
          <w:p w14:paraId="08513B1B">
            <w:pPr>
              <w:spacing w:line="240" w:lineRule="exact"/>
              <w:jc w:val="center"/>
              <w:rPr>
                <w:rFonts w:hint="default" w:ascii="Times New Roman" w:hAnsi="Times New Roman" w:cs="Times New Roman"/>
                <w:color w:val="auto"/>
                <w:szCs w:val="21"/>
                <w:highlight w:val="none"/>
              </w:rPr>
            </w:pPr>
          </w:p>
        </w:tc>
        <w:tc>
          <w:tcPr>
            <w:tcW w:w="630" w:type="pct"/>
            <w:vAlign w:val="center"/>
          </w:tcPr>
          <w:p w14:paraId="24432DF0">
            <w:pPr>
              <w:widowControl/>
              <w:jc w:val="center"/>
              <w:rPr>
                <w:rFonts w:hint="default" w:ascii="Times New Roman" w:hAnsi="Times New Roman" w:cs="Times New Roman"/>
                <w:color w:val="auto"/>
                <w:szCs w:val="21"/>
                <w:highlight w:val="none"/>
              </w:rPr>
            </w:pPr>
          </w:p>
        </w:tc>
        <w:tc>
          <w:tcPr>
            <w:tcW w:w="366" w:type="pct"/>
            <w:vAlign w:val="center"/>
          </w:tcPr>
          <w:p w14:paraId="10D8D09D">
            <w:pPr>
              <w:spacing w:line="240" w:lineRule="exact"/>
              <w:jc w:val="center"/>
              <w:rPr>
                <w:rFonts w:hint="default" w:ascii="Times New Roman" w:hAnsi="Times New Roman" w:cs="Times New Roman"/>
                <w:color w:val="auto"/>
                <w:szCs w:val="21"/>
                <w:highlight w:val="none"/>
              </w:rPr>
            </w:pPr>
          </w:p>
        </w:tc>
      </w:tr>
    </w:tbl>
    <w:p w14:paraId="6740C34B">
      <w:pPr>
        <w:ind w:firstLine="45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（二）X射线机：包括工业探伤、医用诊断和治疗、分析等用途</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4"/>
        <w:gridCol w:w="1872"/>
        <w:gridCol w:w="899"/>
        <w:gridCol w:w="1079"/>
        <w:gridCol w:w="1759"/>
        <w:gridCol w:w="1442"/>
        <w:gridCol w:w="1342"/>
        <w:gridCol w:w="1138"/>
        <w:gridCol w:w="2023"/>
        <w:gridCol w:w="1103"/>
      </w:tblGrid>
      <w:tr w14:paraId="3C444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95" w:type="pct"/>
            <w:vAlign w:val="center"/>
          </w:tcPr>
          <w:p w14:paraId="5B27276F">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序号</w:t>
            </w:r>
          </w:p>
        </w:tc>
        <w:tc>
          <w:tcPr>
            <w:tcW w:w="696" w:type="pct"/>
            <w:vAlign w:val="center"/>
          </w:tcPr>
          <w:p w14:paraId="1804A343">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名称</w:t>
            </w:r>
          </w:p>
        </w:tc>
        <w:tc>
          <w:tcPr>
            <w:tcW w:w="334" w:type="pct"/>
            <w:vAlign w:val="center"/>
          </w:tcPr>
          <w:p w14:paraId="7488C114">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类别</w:t>
            </w:r>
          </w:p>
        </w:tc>
        <w:tc>
          <w:tcPr>
            <w:tcW w:w="401" w:type="pct"/>
            <w:vAlign w:val="center"/>
          </w:tcPr>
          <w:p w14:paraId="26E367DA">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数量（台）</w:t>
            </w:r>
          </w:p>
        </w:tc>
        <w:tc>
          <w:tcPr>
            <w:tcW w:w="654" w:type="pct"/>
            <w:vAlign w:val="center"/>
          </w:tcPr>
          <w:p w14:paraId="76705F8D">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型号</w:t>
            </w:r>
          </w:p>
        </w:tc>
        <w:tc>
          <w:tcPr>
            <w:tcW w:w="536" w:type="pct"/>
            <w:vAlign w:val="center"/>
          </w:tcPr>
          <w:p w14:paraId="5EE592CF">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最大管电压（kV）</w:t>
            </w:r>
          </w:p>
        </w:tc>
        <w:tc>
          <w:tcPr>
            <w:tcW w:w="499" w:type="pct"/>
            <w:vAlign w:val="center"/>
          </w:tcPr>
          <w:p w14:paraId="21A96AF4">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最大管电流（mA）</w:t>
            </w:r>
          </w:p>
        </w:tc>
        <w:tc>
          <w:tcPr>
            <w:tcW w:w="423" w:type="pct"/>
            <w:vAlign w:val="center"/>
          </w:tcPr>
          <w:p w14:paraId="040B2A5D">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用途</w:t>
            </w:r>
          </w:p>
        </w:tc>
        <w:tc>
          <w:tcPr>
            <w:tcW w:w="752" w:type="pct"/>
            <w:vAlign w:val="center"/>
          </w:tcPr>
          <w:p w14:paraId="1B302A8B">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工作场所</w:t>
            </w:r>
          </w:p>
        </w:tc>
        <w:tc>
          <w:tcPr>
            <w:tcW w:w="404" w:type="pct"/>
            <w:vAlign w:val="center"/>
          </w:tcPr>
          <w:p w14:paraId="0381C378">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备注</w:t>
            </w:r>
          </w:p>
        </w:tc>
      </w:tr>
      <w:tr w14:paraId="199CD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295" w:type="pct"/>
            <w:vAlign w:val="center"/>
          </w:tcPr>
          <w:p w14:paraId="7054FAD3">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highlight w:val="none"/>
              </w:rPr>
              <w:t>1</w:t>
            </w:r>
          </w:p>
        </w:tc>
        <w:tc>
          <w:tcPr>
            <w:tcW w:w="696" w:type="pct"/>
            <w:vAlign w:val="center"/>
          </w:tcPr>
          <w:p w14:paraId="3891357C">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GB"/>
              </w:rPr>
              <w:t>X射线探伤机</w:t>
            </w:r>
          </w:p>
        </w:tc>
        <w:tc>
          <w:tcPr>
            <w:tcW w:w="334" w:type="pct"/>
            <w:vAlign w:val="center"/>
          </w:tcPr>
          <w:p w14:paraId="0F30A4F0">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II</w:t>
            </w:r>
          </w:p>
        </w:tc>
        <w:tc>
          <w:tcPr>
            <w:tcW w:w="401" w:type="pct"/>
            <w:vAlign w:val="center"/>
          </w:tcPr>
          <w:p w14:paraId="01C8A7D9">
            <w:pPr>
              <w:jc w:val="center"/>
              <w:rPr>
                <w:rFonts w:hint="default" w:ascii="Times New Roman" w:hAnsi="Times New Roman" w:eastAsia="Times New Roman" w:cs="Times New Roman"/>
                <w:color w:val="auto"/>
                <w:sz w:val="24"/>
                <w:szCs w:val="24"/>
                <w:highlight w:val="none"/>
              </w:rPr>
            </w:pPr>
            <w:r>
              <w:rPr>
                <w:rFonts w:hint="default" w:ascii="Times New Roman" w:hAnsi="Times New Roman" w:cs="Times New Roman"/>
                <w:color w:val="auto"/>
                <w:sz w:val="24"/>
                <w:szCs w:val="24"/>
                <w:highlight w:val="none"/>
              </w:rPr>
              <w:t>1</w:t>
            </w:r>
          </w:p>
        </w:tc>
        <w:tc>
          <w:tcPr>
            <w:tcW w:w="654" w:type="pct"/>
            <w:vAlign w:val="center"/>
          </w:tcPr>
          <w:p w14:paraId="514151D4">
            <w:pPr>
              <w:jc w:val="center"/>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XXG-250</w:t>
            </w:r>
            <w:r>
              <w:rPr>
                <w:rFonts w:hint="eastAsia" w:cs="Times New Roman"/>
                <w:color w:val="auto"/>
                <w:sz w:val="24"/>
                <w:szCs w:val="24"/>
                <w:highlight w:val="none"/>
                <w:lang w:val="en-US" w:eastAsia="zh-CN"/>
              </w:rPr>
              <w:t>5</w:t>
            </w:r>
          </w:p>
        </w:tc>
        <w:tc>
          <w:tcPr>
            <w:tcW w:w="536" w:type="pct"/>
            <w:vAlign w:val="center"/>
          </w:tcPr>
          <w:p w14:paraId="2FB0EF98">
            <w:pPr>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250</w:t>
            </w:r>
          </w:p>
        </w:tc>
        <w:tc>
          <w:tcPr>
            <w:tcW w:w="499" w:type="pct"/>
            <w:vAlign w:val="center"/>
          </w:tcPr>
          <w:p w14:paraId="12B9B535">
            <w:pPr>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GB"/>
              </w:rPr>
              <w:t>5</w:t>
            </w:r>
          </w:p>
        </w:tc>
        <w:tc>
          <w:tcPr>
            <w:tcW w:w="423" w:type="pct"/>
            <w:vAlign w:val="center"/>
          </w:tcPr>
          <w:p w14:paraId="3996C239">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pacing w:val="-4"/>
                <w:sz w:val="24"/>
                <w:szCs w:val="24"/>
                <w:highlight w:val="none"/>
              </w:rPr>
              <w:t>工件无损检测</w:t>
            </w:r>
          </w:p>
        </w:tc>
        <w:tc>
          <w:tcPr>
            <w:tcW w:w="752" w:type="pct"/>
            <w:vAlign w:val="center"/>
          </w:tcPr>
          <w:p w14:paraId="1E2DE814">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pacing w:val="-1"/>
                <w:sz w:val="24"/>
                <w:szCs w:val="24"/>
                <w:highlight w:val="none"/>
              </w:rPr>
              <w:t>探伤房</w:t>
            </w:r>
          </w:p>
        </w:tc>
        <w:tc>
          <w:tcPr>
            <w:tcW w:w="404" w:type="pct"/>
            <w:vAlign w:val="center"/>
          </w:tcPr>
          <w:p w14:paraId="597F4E34">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定向机</w:t>
            </w:r>
          </w:p>
        </w:tc>
      </w:tr>
      <w:tr w14:paraId="2BE77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295" w:type="pct"/>
            <w:vAlign w:val="center"/>
          </w:tcPr>
          <w:p w14:paraId="4A27A943">
            <w:pPr>
              <w:jc w:val="center"/>
              <w:rPr>
                <w:rFonts w:hint="default" w:ascii="Times New Roman" w:hAnsi="Times New Roman" w:cs="Times New Roman"/>
                <w:color w:val="auto"/>
                <w:sz w:val="24"/>
                <w:szCs w:val="24"/>
                <w:highlight w:val="none"/>
              </w:rPr>
            </w:pPr>
          </w:p>
        </w:tc>
        <w:tc>
          <w:tcPr>
            <w:tcW w:w="696" w:type="pct"/>
            <w:vAlign w:val="center"/>
          </w:tcPr>
          <w:p w14:paraId="2CA9C941">
            <w:pPr>
              <w:jc w:val="center"/>
              <w:rPr>
                <w:rFonts w:hint="default" w:ascii="Times New Roman" w:hAnsi="Times New Roman" w:cs="Times New Roman"/>
                <w:color w:val="auto"/>
                <w:spacing w:val="-2"/>
                <w:sz w:val="24"/>
                <w:szCs w:val="24"/>
                <w:highlight w:val="none"/>
              </w:rPr>
            </w:pPr>
          </w:p>
        </w:tc>
        <w:tc>
          <w:tcPr>
            <w:tcW w:w="334" w:type="pct"/>
            <w:vAlign w:val="center"/>
          </w:tcPr>
          <w:p w14:paraId="2EF44F0C">
            <w:pPr>
              <w:jc w:val="center"/>
              <w:rPr>
                <w:rFonts w:hint="default" w:ascii="Times New Roman" w:hAnsi="Times New Roman" w:eastAsia="Times New Roman" w:cs="Times New Roman"/>
                <w:color w:val="auto"/>
                <w:spacing w:val="-2"/>
                <w:sz w:val="24"/>
                <w:szCs w:val="24"/>
                <w:highlight w:val="none"/>
              </w:rPr>
            </w:pPr>
          </w:p>
        </w:tc>
        <w:tc>
          <w:tcPr>
            <w:tcW w:w="401" w:type="pct"/>
            <w:vAlign w:val="center"/>
          </w:tcPr>
          <w:p w14:paraId="2B8A84BE">
            <w:pPr>
              <w:jc w:val="center"/>
              <w:rPr>
                <w:rFonts w:hint="default" w:ascii="Times New Roman" w:hAnsi="Times New Roman" w:eastAsia="Times New Roman" w:cs="Times New Roman"/>
                <w:color w:val="auto"/>
                <w:sz w:val="24"/>
                <w:szCs w:val="24"/>
                <w:highlight w:val="none"/>
              </w:rPr>
            </w:pPr>
          </w:p>
        </w:tc>
        <w:tc>
          <w:tcPr>
            <w:tcW w:w="654" w:type="pct"/>
            <w:vAlign w:val="center"/>
          </w:tcPr>
          <w:p w14:paraId="03CCAF0A">
            <w:pPr>
              <w:jc w:val="center"/>
              <w:rPr>
                <w:rFonts w:hint="default" w:ascii="Times New Roman" w:hAnsi="Times New Roman" w:cs="Times New Roman"/>
                <w:color w:val="auto"/>
                <w:sz w:val="24"/>
                <w:szCs w:val="24"/>
                <w:highlight w:val="none"/>
                <w:lang w:val="en-GB"/>
              </w:rPr>
            </w:pPr>
          </w:p>
        </w:tc>
        <w:tc>
          <w:tcPr>
            <w:tcW w:w="536" w:type="pct"/>
            <w:vAlign w:val="center"/>
          </w:tcPr>
          <w:p w14:paraId="74E28860">
            <w:pPr>
              <w:snapToGrid w:val="0"/>
              <w:jc w:val="center"/>
              <w:rPr>
                <w:rFonts w:hint="default" w:ascii="Times New Roman" w:hAnsi="Times New Roman" w:cs="Times New Roman"/>
                <w:color w:val="auto"/>
                <w:spacing w:val="-1"/>
                <w:sz w:val="24"/>
                <w:szCs w:val="24"/>
                <w:highlight w:val="none"/>
              </w:rPr>
            </w:pPr>
          </w:p>
        </w:tc>
        <w:tc>
          <w:tcPr>
            <w:tcW w:w="499" w:type="pct"/>
            <w:vAlign w:val="center"/>
          </w:tcPr>
          <w:p w14:paraId="0E05209D">
            <w:pPr>
              <w:snapToGrid w:val="0"/>
              <w:jc w:val="center"/>
              <w:rPr>
                <w:rFonts w:hint="default" w:ascii="Times New Roman" w:hAnsi="Times New Roman" w:cs="Times New Roman"/>
                <w:color w:val="auto"/>
                <w:spacing w:val="-1"/>
                <w:sz w:val="24"/>
                <w:szCs w:val="24"/>
                <w:highlight w:val="none"/>
              </w:rPr>
            </w:pPr>
          </w:p>
        </w:tc>
        <w:tc>
          <w:tcPr>
            <w:tcW w:w="423" w:type="pct"/>
            <w:vAlign w:val="center"/>
          </w:tcPr>
          <w:p w14:paraId="0FD2636D">
            <w:pPr>
              <w:jc w:val="center"/>
              <w:rPr>
                <w:rFonts w:hint="default" w:ascii="Times New Roman" w:hAnsi="Times New Roman" w:cs="Times New Roman"/>
                <w:color w:val="auto"/>
                <w:spacing w:val="-4"/>
                <w:sz w:val="24"/>
                <w:szCs w:val="24"/>
                <w:highlight w:val="none"/>
              </w:rPr>
            </w:pPr>
          </w:p>
        </w:tc>
        <w:tc>
          <w:tcPr>
            <w:tcW w:w="752" w:type="pct"/>
            <w:vAlign w:val="center"/>
          </w:tcPr>
          <w:p w14:paraId="5F8C7A84">
            <w:pPr>
              <w:jc w:val="center"/>
              <w:rPr>
                <w:rFonts w:hint="default" w:ascii="Times New Roman" w:hAnsi="Times New Roman" w:cs="Times New Roman"/>
                <w:color w:val="auto"/>
                <w:spacing w:val="-1"/>
                <w:sz w:val="24"/>
                <w:szCs w:val="24"/>
                <w:highlight w:val="none"/>
              </w:rPr>
            </w:pPr>
          </w:p>
        </w:tc>
        <w:tc>
          <w:tcPr>
            <w:tcW w:w="404" w:type="pct"/>
            <w:vAlign w:val="center"/>
          </w:tcPr>
          <w:p w14:paraId="1D5DDCB8">
            <w:pPr>
              <w:jc w:val="center"/>
              <w:rPr>
                <w:rFonts w:hint="default" w:ascii="Times New Roman" w:hAnsi="Times New Roman" w:cs="Times New Roman"/>
                <w:color w:val="auto"/>
                <w:sz w:val="24"/>
                <w:szCs w:val="24"/>
                <w:highlight w:val="none"/>
              </w:rPr>
            </w:pPr>
          </w:p>
        </w:tc>
      </w:tr>
      <w:tr w14:paraId="60EFE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5000" w:type="pct"/>
            <w:gridSpan w:val="10"/>
            <w:vAlign w:val="center"/>
          </w:tcPr>
          <w:p w14:paraId="22A76FF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 w:val="24"/>
                <w:szCs w:val="24"/>
                <w:highlight w:val="none"/>
              </w:rPr>
              <w:t>以下空白</w:t>
            </w:r>
          </w:p>
        </w:tc>
      </w:tr>
      <w:tr w14:paraId="63A73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295" w:type="pct"/>
            <w:vAlign w:val="center"/>
          </w:tcPr>
          <w:p w14:paraId="5D756401">
            <w:pPr>
              <w:jc w:val="center"/>
              <w:rPr>
                <w:rFonts w:hint="default" w:ascii="Times New Roman" w:hAnsi="Times New Roman" w:cs="Times New Roman"/>
                <w:color w:val="auto"/>
                <w:sz w:val="24"/>
                <w:szCs w:val="24"/>
                <w:highlight w:val="none"/>
              </w:rPr>
            </w:pPr>
          </w:p>
        </w:tc>
        <w:tc>
          <w:tcPr>
            <w:tcW w:w="696" w:type="pct"/>
            <w:vAlign w:val="center"/>
          </w:tcPr>
          <w:p w14:paraId="40CCD85B">
            <w:pPr>
              <w:jc w:val="center"/>
              <w:rPr>
                <w:rFonts w:hint="default" w:ascii="Times New Roman" w:hAnsi="Times New Roman" w:cs="Times New Roman"/>
                <w:color w:val="auto"/>
                <w:szCs w:val="21"/>
                <w:highlight w:val="none"/>
              </w:rPr>
            </w:pPr>
          </w:p>
        </w:tc>
        <w:tc>
          <w:tcPr>
            <w:tcW w:w="334" w:type="pct"/>
            <w:vAlign w:val="center"/>
          </w:tcPr>
          <w:p w14:paraId="24AC3772">
            <w:pPr>
              <w:jc w:val="center"/>
              <w:rPr>
                <w:rFonts w:hint="default" w:ascii="Times New Roman" w:hAnsi="Times New Roman" w:cs="Times New Roman"/>
                <w:color w:val="auto"/>
                <w:szCs w:val="21"/>
                <w:highlight w:val="none"/>
              </w:rPr>
            </w:pPr>
          </w:p>
        </w:tc>
        <w:tc>
          <w:tcPr>
            <w:tcW w:w="401" w:type="pct"/>
            <w:vAlign w:val="center"/>
          </w:tcPr>
          <w:p w14:paraId="30FDC42A">
            <w:pPr>
              <w:jc w:val="center"/>
              <w:rPr>
                <w:rFonts w:hint="default" w:ascii="Times New Roman" w:hAnsi="Times New Roman" w:eastAsia="Times New Roman" w:cs="Times New Roman"/>
                <w:color w:val="auto"/>
                <w:szCs w:val="21"/>
                <w:highlight w:val="none"/>
              </w:rPr>
            </w:pPr>
          </w:p>
        </w:tc>
        <w:tc>
          <w:tcPr>
            <w:tcW w:w="654" w:type="pct"/>
            <w:vAlign w:val="center"/>
          </w:tcPr>
          <w:p w14:paraId="30858FD1">
            <w:pPr>
              <w:jc w:val="center"/>
              <w:rPr>
                <w:rFonts w:hint="default" w:ascii="Times New Roman" w:hAnsi="Times New Roman" w:eastAsia="Times New Roman" w:cs="Times New Roman"/>
                <w:color w:val="auto"/>
                <w:szCs w:val="21"/>
                <w:highlight w:val="none"/>
              </w:rPr>
            </w:pPr>
          </w:p>
        </w:tc>
        <w:tc>
          <w:tcPr>
            <w:tcW w:w="536" w:type="pct"/>
            <w:vAlign w:val="center"/>
          </w:tcPr>
          <w:p w14:paraId="3F92B7B3">
            <w:pPr>
              <w:jc w:val="center"/>
              <w:rPr>
                <w:rFonts w:hint="default" w:ascii="Times New Roman" w:hAnsi="Times New Roman" w:cs="Times New Roman"/>
                <w:color w:val="auto"/>
                <w:szCs w:val="21"/>
                <w:highlight w:val="none"/>
              </w:rPr>
            </w:pPr>
          </w:p>
        </w:tc>
        <w:tc>
          <w:tcPr>
            <w:tcW w:w="499" w:type="pct"/>
            <w:vAlign w:val="center"/>
          </w:tcPr>
          <w:p w14:paraId="54413639">
            <w:pPr>
              <w:jc w:val="center"/>
              <w:rPr>
                <w:rFonts w:hint="default" w:ascii="Times New Roman" w:hAnsi="Times New Roman" w:eastAsia="Times New Roman" w:cs="Times New Roman"/>
                <w:color w:val="auto"/>
                <w:szCs w:val="21"/>
                <w:highlight w:val="none"/>
              </w:rPr>
            </w:pPr>
          </w:p>
        </w:tc>
        <w:tc>
          <w:tcPr>
            <w:tcW w:w="423" w:type="pct"/>
            <w:vAlign w:val="center"/>
          </w:tcPr>
          <w:p w14:paraId="758351D3">
            <w:pPr>
              <w:jc w:val="center"/>
              <w:rPr>
                <w:rFonts w:hint="default" w:ascii="Times New Roman" w:hAnsi="Times New Roman" w:cs="Times New Roman"/>
                <w:color w:val="auto"/>
                <w:szCs w:val="21"/>
                <w:highlight w:val="none"/>
              </w:rPr>
            </w:pPr>
          </w:p>
        </w:tc>
        <w:tc>
          <w:tcPr>
            <w:tcW w:w="752" w:type="pct"/>
            <w:vAlign w:val="center"/>
          </w:tcPr>
          <w:p w14:paraId="1F41930C">
            <w:pPr>
              <w:jc w:val="center"/>
              <w:rPr>
                <w:rFonts w:hint="default" w:ascii="Times New Roman" w:hAnsi="Times New Roman" w:cs="Times New Roman"/>
                <w:color w:val="auto"/>
                <w:szCs w:val="21"/>
                <w:highlight w:val="none"/>
              </w:rPr>
            </w:pPr>
          </w:p>
        </w:tc>
        <w:tc>
          <w:tcPr>
            <w:tcW w:w="404" w:type="pct"/>
            <w:vAlign w:val="center"/>
          </w:tcPr>
          <w:p w14:paraId="488EA32C">
            <w:pPr>
              <w:jc w:val="center"/>
              <w:rPr>
                <w:rFonts w:hint="default" w:ascii="Times New Roman" w:hAnsi="Times New Roman" w:cs="Times New Roman"/>
                <w:color w:val="auto"/>
                <w:szCs w:val="21"/>
                <w:highlight w:val="none"/>
              </w:rPr>
            </w:pPr>
          </w:p>
        </w:tc>
      </w:tr>
    </w:tbl>
    <w:p w14:paraId="1BF2567B">
      <w:pPr>
        <w:spacing w:line="360" w:lineRule="auto"/>
        <w:ind w:firstLine="448"/>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（三）中子发生器，包括中子管，但不包括放射性中子源</w:t>
      </w:r>
    </w:p>
    <w:tbl>
      <w:tblPr>
        <w:tblStyle w:val="3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7"/>
        <w:gridCol w:w="1288"/>
        <w:gridCol w:w="592"/>
        <w:gridCol w:w="578"/>
        <w:gridCol w:w="1068"/>
        <w:gridCol w:w="1264"/>
        <w:gridCol w:w="1240"/>
        <w:gridCol w:w="1113"/>
        <w:gridCol w:w="858"/>
        <w:gridCol w:w="1208"/>
        <w:gridCol w:w="925"/>
        <w:gridCol w:w="925"/>
        <w:gridCol w:w="928"/>
        <w:gridCol w:w="824"/>
      </w:tblGrid>
      <w:tr w14:paraId="55839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237" w:type="pct"/>
            <w:vMerge w:val="restart"/>
            <w:vAlign w:val="center"/>
          </w:tcPr>
          <w:p w14:paraId="2718ADDD">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序号</w:t>
            </w:r>
          </w:p>
        </w:tc>
        <w:tc>
          <w:tcPr>
            <w:tcW w:w="479" w:type="pct"/>
            <w:vMerge w:val="restart"/>
            <w:vAlign w:val="center"/>
          </w:tcPr>
          <w:p w14:paraId="685B14EC">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名称</w:t>
            </w:r>
          </w:p>
        </w:tc>
        <w:tc>
          <w:tcPr>
            <w:tcW w:w="220" w:type="pct"/>
            <w:vMerge w:val="restart"/>
            <w:vAlign w:val="center"/>
          </w:tcPr>
          <w:p w14:paraId="7623F85A">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类别</w:t>
            </w:r>
          </w:p>
        </w:tc>
        <w:tc>
          <w:tcPr>
            <w:tcW w:w="215" w:type="pct"/>
            <w:vMerge w:val="restart"/>
            <w:vAlign w:val="center"/>
          </w:tcPr>
          <w:p w14:paraId="497CDA4C">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数量</w:t>
            </w:r>
          </w:p>
        </w:tc>
        <w:tc>
          <w:tcPr>
            <w:tcW w:w="397" w:type="pct"/>
            <w:vMerge w:val="restart"/>
            <w:vAlign w:val="center"/>
          </w:tcPr>
          <w:p w14:paraId="517716F6">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型号</w:t>
            </w:r>
          </w:p>
        </w:tc>
        <w:tc>
          <w:tcPr>
            <w:tcW w:w="470" w:type="pct"/>
            <w:vMerge w:val="restart"/>
            <w:vAlign w:val="center"/>
          </w:tcPr>
          <w:p w14:paraId="206AC5BC">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最大管电压（kV）</w:t>
            </w:r>
          </w:p>
        </w:tc>
        <w:tc>
          <w:tcPr>
            <w:tcW w:w="461" w:type="pct"/>
            <w:vMerge w:val="restart"/>
            <w:vAlign w:val="center"/>
          </w:tcPr>
          <w:p w14:paraId="5E1218F5">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最大靶电流（</w:t>
            </w:r>
            <w:r>
              <w:rPr>
                <w:rFonts w:hint="default" w:ascii="Times New Roman" w:hAnsi="Times New Roman" w:cs="Times New Roman"/>
                <w:color w:val="auto"/>
                <w:sz w:val="24"/>
                <w:szCs w:val="24"/>
                <w:highlight w:val="none"/>
              </w:rPr>
              <w:sym w:font="Symbol" w:char="F06D"/>
            </w:r>
            <w:r>
              <w:rPr>
                <w:rFonts w:hint="default" w:ascii="Times New Roman" w:hAnsi="Times New Roman" w:cs="Times New Roman"/>
                <w:color w:val="auto"/>
                <w:sz w:val="24"/>
                <w:szCs w:val="24"/>
                <w:highlight w:val="none"/>
              </w:rPr>
              <w:t>A）</w:t>
            </w:r>
          </w:p>
        </w:tc>
        <w:tc>
          <w:tcPr>
            <w:tcW w:w="414" w:type="pct"/>
            <w:vMerge w:val="restart"/>
            <w:vAlign w:val="center"/>
          </w:tcPr>
          <w:p w14:paraId="7E4A3D0C">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中子强度（n/s）</w:t>
            </w:r>
          </w:p>
        </w:tc>
        <w:tc>
          <w:tcPr>
            <w:tcW w:w="319" w:type="pct"/>
            <w:vMerge w:val="restart"/>
            <w:vAlign w:val="center"/>
          </w:tcPr>
          <w:p w14:paraId="6B0E58EC">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用途</w:t>
            </w:r>
          </w:p>
        </w:tc>
        <w:tc>
          <w:tcPr>
            <w:tcW w:w="449" w:type="pct"/>
            <w:vMerge w:val="restart"/>
            <w:vAlign w:val="center"/>
          </w:tcPr>
          <w:p w14:paraId="476F7B07">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工作场所</w:t>
            </w:r>
          </w:p>
        </w:tc>
        <w:tc>
          <w:tcPr>
            <w:tcW w:w="1033" w:type="pct"/>
            <w:gridSpan w:val="3"/>
            <w:vAlign w:val="center"/>
          </w:tcPr>
          <w:p w14:paraId="0F2360C9">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氚靶情况</w:t>
            </w:r>
          </w:p>
        </w:tc>
        <w:tc>
          <w:tcPr>
            <w:tcW w:w="300" w:type="pct"/>
            <w:vMerge w:val="restart"/>
            <w:vAlign w:val="center"/>
          </w:tcPr>
          <w:p w14:paraId="2552D4B5">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备注</w:t>
            </w:r>
          </w:p>
        </w:tc>
      </w:tr>
      <w:tr w14:paraId="464FE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237" w:type="pct"/>
            <w:vMerge w:val="continue"/>
            <w:vAlign w:val="center"/>
          </w:tcPr>
          <w:p w14:paraId="29ECB1E8">
            <w:pPr>
              <w:jc w:val="center"/>
              <w:rPr>
                <w:rFonts w:hint="default" w:ascii="Times New Roman" w:hAnsi="Times New Roman" w:cs="Times New Roman"/>
                <w:color w:val="auto"/>
                <w:highlight w:val="none"/>
              </w:rPr>
            </w:pPr>
          </w:p>
        </w:tc>
        <w:tc>
          <w:tcPr>
            <w:tcW w:w="479" w:type="pct"/>
            <w:vMerge w:val="continue"/>
            <w:vAlign w:val="center"/>
          </w:tcPr>
          <w:p w14:paraId="4D63086B">
            <w:pPr>
              <w:jc w:val="center"/>
              <w:rPr>
                <w:rFonts w:hint="default" w:ascii="Times New Roman" w:hAnsi="Times New Roman" w:cs="Times New Roman"/>
                <w:color w:val="auto"/>
                <w:highlight w:val="none"/>
              </w:rPr>
            </w:pPr>
          </w:p>
        </w:tc>
        <w:tc>
          <w:tcPr>
            <w:tcW w:w="220" w:type="pct"/>
            <w:vMerge w:val="continue"/>
            <w:vAlign w:val="center"/>
          </w:tcPr>
          <w:p w14:paraId="1E548C06">
            <w:pPr>
              <w:jc w:val="center"/>
              <w:rPr>
                <w:rFonts w:hint="default" w:ascii="Times New Roman" w:hAnsi="Times New Roman" w:cs="Times New Roman"/>
                <w:color w:val="auto"/>
                <w:highlight w:val="none"/>
              </w:rPr>
            </w:pPr>
          </w:p>
        </w:tc>
        <w:tc>
          <w:tcPr>
            <w:tcW w:w="215" w:type="pct"/>
            <w:vMerge w:val="continue"/>
            <w:vAlign w:val="center"/>
          </w:tcPr>
          <w:p w14:paraId="199737B8">
            <w:pPr>
              <w:jc w:val="center"/>
              <w:rPr>
                <w:rFonts w:hint="default" w:ascii="Times New Roman" w:hAnsi="Times New Roman" w:cs="Times New Roman"/>
                <w:color w:val="auto"/>
                <w:highlight w:val="none"/>
              </w:rPr>
            </w:pPr>
          </w:p>
        </w:tc>
        <w:tc>
          <w:tcPr>
            <w:tcW w:w="397" w:type="pct"/>
            <w:vMerge w:val="continue"/>
            <w:vAlign w:val="center"/>
          </w:tcPr>
          <w:p w14:paraId="7F87F1DC">
            <w:pPr>
              <w:jc w:val="center"/>
              <w:rPr>
                <w:rFonts w:hint="default" w:ascii="Times New Roman" w:hAnsi="Times New Roman" w:cs="Times New Roman"/>
                <w:color w:val="auto"/>
                <w:highlight w:val="none"/>
              </w:rPr>
            </w:pPr>
          </w:p>
        </w:tc>
        <w:tc>
          <w:tcPr>
            <w:tcW w:w="470" w:type="pct"/>
            <w:vMerge w:val="continue"/>
            <w:vAlign w:val="center"/>
          </w:tcPr>
          <w:p w14:paraId="3EE1E7F5">
            <w:pPr>
              <w:jc w:val="center"/>
              <w:rPr>
                <w:rFonts w:hint="default" w:ascii="Times New Roman" w:hAnsi="Times New Roman" w:cs="Times New Roman"/>
                <w:color w:val="auto"/>
                <w:highlight w:val="none"/>
              </w:rPr>
            </w:pPr>
          </w:p>
        </w:tc>
        <w:tc>
          <w:tcPr>
            <w:tcW w:w="461" w:type="pct"/>
            <w:vMerge w:val="continue"/>
            <w:vAlign w:val="center"/>
          </w:tcPr>
          <w:p w14:paraId="6EAFF4BE">
            <w:pPr>
              <w:jc w:val="center"/>
              <w:rPr>
                <w:rFonts w:hint="default" w:ascii="Times New Roman" w:hAnsi="Times New Roman" w:cs="Times New Roman"/>
                <w:color w:val="auto"/>
                <w:highlight w:val="none"/>
              </w:rPr>
            </w:pPr>
          </w:p>
        </w:tc>
        <w:tc>
          <w:tcPr>
            <w:tcW w:w="414" w:type="pct"/>
            <w:vMerge w:val="continue"/>
            <w:vAlign w:val="center"/>
          </w:tcPr>
          <w:p w14:paraId="1959ABC8">
            <w:pPr>
              <w:jc w:val="center"/>
              <w:rPr>
                <w:rFonts w:hint="default" w:ascii="Times New Roman" w:hAnsi="Times New Roman" w:cs="Times New Roman"/>
                <w:color w:val="auto"/>
                <w:highlight w:val="none"/>
              </w:rPr>
            </w:pPr>
          </w:p>
        </w:tc>
        <w:tc>
          <w:tcPr>
            <w:tcW w:w="319" w:type="pct"/>
            <w:vMerge w:val="continue"/>
            <w:vAlign w:val="center"/>
          </w:tcPr>
          <w:p w14:paraId="23AE5D43">
            <w:pPr>
              <w:jc w:val="center"/>
              <w:rPr>
                <w:rFonts w:hint="default" w:ascii="Times New Roman" w:hAnsi="Times New Roman" w:cs="Times New Roman"/>
                <w:color w:val="auto"/>
                <w:highlight w:val="none"/>
              </w:rPr>
            </w:pPr>
          </w:p>
        </w:tc>
        <w:tc>
          <w:tcPr>
            <w:tcW w:w="449" w:type="pct"/>
            <w:vMerge w:val="continue"/>
            <w:vAlign w:val="center"/>
          </w:tcPr>
          <w:p w14:paraId="36825455">
            <w:pPr>
              <w:jc w:val="center"/>
              <w:rPr>
                <w:rFonts w:hint="default" w:ascii="Times New Roman" w:hAnsi="Times New Roman" w:cs="Times New Roman"/>
                <w:color w:val="auto"/>
                <w:highlight w:val="none"/>
              </w:rPr>
            </w:pPr>
          </w:p>
        </w:tc>
        <w:tc>
          <w:tcPr>
            <w:tcW w:w="344" w:type="pct"/>
            <w:vAlign w:val="center"/>
          </w:tcPr>
          <w:p w14:paraId="0307D9D7">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活度(Bq)</w:t>
            </w:r>
          </w:p>
        </w:tc>
        <w:tc>
          <w:tcPr>
            <w:tcW w:w="344" w:type="pct"/>
            <w:vAlign w:val="center"/>
          </w:tcPr>
          <w:p w14:paraId="26C85FBA">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贮存</w:t>
            </w:r>
          </w:p>
          <w:p w14:paraId="736518BF">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方式</w:t>
            </w:r>
          </w:p>
        </w:tc>
        <w:tc>
          <w:tcPr>
            <w:tcW w:w="345" w:type="pct"/>
            <w:vAlign w:val="center"/>
          </w:tcPr>
          <w:p w14:paraId="0AB1D3D8">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数量</w:t>
            </w:r>
          </w:p>
        </w:tc>
        <w:tc>
          <w:tcPr>
            <w:tcW w:w="300" w:type="pct"/>
            <w:vMerge w:val="continue"/>
            <w:vAlign w:val="center"/>
          </w:tcPr>
          <w:p w14:paraId="6933C6DC">
            <w:pPr>
              <w:jc w:val="center"/>
              <w:rPr>
                <w:rFonts w:hint="default" w:ascii="Times New Roman" w:hAnsi="Times New Roman" w:cs="Times New Roman"/>
                <w:color w:val="auto"/>
                <w:sz w:val="24"/>
                <w:szCs w:val="24"/>
                <w:highlight w:val="none"/>
              </w:rPr>
            </w:pPr>
          </w:p>
        </w:tc>
      </w:tr>
      <w:tr w14:paraId="41665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exact"/>
          <w:jc w:val="center"/>
        </w:trPr>
        <w:tc>
          <w:tcPr>
            <w:tcW w:w="5000" w:type="pct"/>
            <w:gridSpan w:val="14"/>
            <w:vAlign w:val="center"/>
          </w:tcPr>
          <w:p w14:paraId="6B71BBE9">
            <w:pPr>
              <w:widowControl/>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以下空白</w:t>
            </w:r>
          </w:p>
        </w:tc>
      </w:tr>
      <w:tr w14:paraId="3BF6A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exact"/>
          <w:jc w:val="center"/>
        </w:trPr>
        <w:tc>
          <w:tcPr>
            <w:tcW w:w="237" w:type="pct"/>
            <w:vAlign w:val="center"/>
          </w:tcPr>
          <w:p w14:paraId="79F465F6">
            <w:pPr>
              <w:jc w:val="center"/>
              <w:rPr>
                <w:rFonts w:hint="default" w:ascii="Times New Roman" w:hAnsi="Times New Roman" w:cs="Times New Roman"/>
                <w:color w:val="auto"/>
                <w:sz w:val="24"/>
                <w:szCs w:val="24"/>
                <w:highlight w:val="none"/>
              </w:rPr>
            </w:pPr>
          </w:p>
        </w:tc>
        <w:tc>
          <w:tcPr>
            <w:tcW w:w="479" w:type="pct"/>
            <w:vAlign w:val="center"/>
          </w:tcPr>
          <w:p w14:paraId="3B36CBB5">
            <w:pPr>
              <w:jc w:val="center"/>
              <w:rPr>
                <w:rFonts w:hint="default" w:ascii="Times New Roman" w:hAnsi="Times New Roman" w:cs="Times New Roman"/>
                <w:color w:val="auto"/>
                <w:sz w:val="24"/>
                <w:szCs w:val="24"/>
                <w:highlight w:val="none"/>
              </w:rPr>
            </w:pPr>
          </w:p>
        </w:tc>
        <w:tc>
          <w:tcPr>
            <w:tcW w:w="220" w:type="pct"/>
            <w:vAlign w:val="center"/>
          </w:tcPr>
          <w:p w14:paraId="3F488A22">
            <w:pPr>
              <w:jc w:val="center"/>
              <w:rPr>
                <w:rFonts w:hint="default" w:ascii="Times New Roman" w:hAnsi="Times New Roman" w:cs="Times New Roman"/>
                <w:color w:val="auto"/>
                <w:sz w:val="24"/>
                <w:szCs w:val="24"/>
                <w:highlight w:val="none"/>
              </w:rPr>
            </w:pPr>
          </w:p>
        </w:tc>
        <w:tc>
          <w:tcPr>
            <w:tcW w:w="215" w:type="pct"/>
            <w:vAlign w:val="center"/>
          </w:tcPr>
          <w:p w14:paraId="55F7E8D7">
            <w:pPr>
              <w:jc w:val="center"/>
              <w:rPr>
                <w:rFonts w:hint="default" w:ascii="Times New Roman" w:hAnsi="Times New Roman" w:cs="Times New Roman"/>
                <w:color w:val="auto"/>
                <w:sz w:val="24"/>
                <w:szCs w:val="24"/>
                <w:highlight w:val="none"/>
              </w:rPr>
            </w:pPr>
          </w:p>
        </w:tc>
        <w:tc>
          <w:tcPr>
            <w:tcW w:w="397" w:type="pct"/>
            <w:vAlign w:val="center"/>
          </w:tcPr>
          <w:p w14:paraId="06A33375">
            <w:pPr>
              <w:jc w:val="center"/>
              <w:rPr>
                <w:rFonts w:hint="default" w:ascii="Times New Roman" w:hAnsi="Times New Roman" w:cs="Times New Roman"/>
                <w:color w:val="auto"/>
                <w:sz w:val="24"/>
                <w:szCs w:val="24"/>
                <w:highlight w:val="none"/>
              </w:rPr>
            </w:pPr>
          </w:p>
        </w:tc>
        <w:tc>
          <w:tcPr>
            <w:tcW w:w="470" w:type="pct"/>
            <w:vAlign w:val="center"/>
          </w:tcPr>
          <w:p w14:paraId="5888CF0D">
            <w:pPr>
              <w:jc w:val="center"/>
              <w:rPr>
                <w:rFonts w:hint="default" w:ascii="Times New Roman" w:hAnsi="Times New Roman" w:cs="Times New Roman"/>
                <w:color w:val="auto"/>
                <w:sz w:val="24"/>
                <w:szCs w:val="24"/>
                <w:highlight w:val="none"/>
              </w:rPr>
            </w:pPr>
          </w:p>
        </w:tc>
        <w:tc>
          <w:tcPr>
            <w:tcW w:w="461" w:type="pct"/>
            <w:vAlign w:val="center"/>
          </w:tcPr>
          <w:p w14:paraId="0FC7C25F">
            <w:pPr>
              <w:jc w:val="center"/>
              <w:rPr>
                <w:rFonts w:hint="default" w:ascii="Times New Roman" w:hAnsi="Times New Roman" w:cs="Times New Roman"/>
                <w:color w:val="auto"/>
                <w:sz w:val="24"/>
                <w:szCs w:val="24"/>
                <w:highlight w:val="none"/>
              </w:rPr>
            </w:pPr>
          </w:p>
        </w:tc>
        <w:tc>
          <w:tcPr>
            <w:tcW w:w="414" w:type="pct"/>
            <w:vAlign w:val="center"/>
          </w:tcPr>
          <w:p w14:paraId="1EDB8AFF">
            <w:pPr>
              <w:jc w:val="center"/>
              <w:rPr>
                <w:rFonts w:hint="default" w:ascii="Times New Roman" w:hAnsi="Times New Roman" w:cs="Times New Roman"/>
                <w:color w:val="auto"/>
                <w:sz w:val="24"/>
                <w:szCs w:val="24"/>
                <w:highlight w:val="none"/>
              </w:rPr>
            </w:pPr>
          </w:p>
        </w:tc>
        <w:tc>
          <w:tcPr>
            <w:tcW w:w="319" w:type="pct"/>
            <w:vAlign w:val="center"/>
          </w:tcPr>
          <w:p w14:paraId="5E19F521">
            <w:pPr>
              <w:jc w:val="center"/>
              <w:rPr>
                <w:rFonts w:hint="default" w:ascii="Times New Roman" w:hAnsi="Times New Roman" w:cs="Times New Roman"/>
                <w:color w:val="auto"/>
                <w:sz w:val="24"/>
                <w:szCs w:val="24"/>
                <w:highlight w:val="none"/>
              </w:rPr>
            </w:pPr>
          </w:p>
        </w:tc>
        <w:tc>
          <w:tcPr>
            <w:tcW w:w="449" w:type="pct"/>
            <w:vAlign w:val="center"/>
          </w:tcPr>
          <w:p w14:paraId="211030E0">
            <w:pPr>
              <w:jc w:val="center"/>
              <w:rPr>
                <w:rFonts w:hint="default" w:ascii="Times New Roman" w:hAnsi="Times New Roman" w:cs="Times New Roman"/>
                <w:color w:val="auto"/>
                <w:sz w:val="24"/>
                <w:szCs w:val="24"/>
                <w:highlight w:val="none"/>
              </w:rPr>
            </w:pPr>
          </w:p>
        </w:tc>
        <w:tc>
          <w:tcPr>
            <w:tcW w:w="344" w:type="pct"/>
            <w:vAlign w:val="center"/>
          </w:tcPr>
          <w:p w14:paraId="6A4ECFD9">
            <w:pPr>
              <w:jc w:val="center"/>
              <w:rPr>
                <w:rFonts w:hint="default" w:ascii="Times New Roman" w:hAnsi="Times New Roman" w:cs="Times New Roman"/>
                <w:color w:val="auto"/>
                <w:sz w:val="24"/>
                <w:szCs w:val="24"/>
                <w:highlight w:val="none"/>
              </w:rPr>
            </w:pPr>
          </w:p>
        </w:tc>
        <w:tc>
          <w:tcPr>
            <w:tcW w:w="344" w:type="pct"/>
            <w:vAlign w:val="center"/>
          </w:tcPr>
          <w:p w14:paraId="78AE8232">
            <w:pPr>
              <w:jc w:val="center"/>
              <w:rPr>
                <w:rFonts w:hint="default" w:ascii="Times New Roman" w:hAnsi="Times New Roman" w:cs="Times New Roman"/>
                <w:color w:val="auto"/>
                <w:sz w:val="24"/>
                <w:szCs w:val="24"/>
                <w:highlight w:val="none"/>
              </w:rPr>
            </w:pPr>
          </w:p>
        </w:tc>
        <w:tc>
          <w:tcPr>
            <w:tcW w:w="345" w:type="pct"/>
            <w:vAlign w:val="center"/>
          </w:tcPr>
          <w:p w14:paraId="4E5A3C6F">
            <w:pPr>
              <w:jc w:val="center"/>
              <w:rPr>
                <w:rFonts w:hint="default" w:ascii="Times New Roman" w:hAnsi="Times New Roman" w:cs="Times New Roman"/>
                <w:color w:val="auto"/>
                <w:sz w:val="24"/>
                <w:szCs w:val="24"/>
                <w:highlight w:val="none"/>
              </w:rPr>
            </w:pPr>
          </w:p>
        </w:tc>
        <w:tc>
          <w:tcPr>
            <w:tcW w:w="300" w:type="pct"/>
            <w:vAlign w:val="center"/>
          </w:tcPr>
          <w:p w14:paraId="6B67E938">
            <w:pPr>
              <w:jc w:val="center"/>
              <w:rPr>
                <w:rFonts w:hint="default" w:ascii="Times New Roman" w:hAnsi="Times New Roman" w:cs="Times New Roman"/>
                <w:color w:val="auto"/>
                <w:sz w:val="24"/>
                <w:szCs w:val="24"/>
                <w:highlight w:val="none"/>
              </w:rPr>
            </w:pPr>
          </w:p>
        </w:tc>
      </w:tr>
    </w:tbl>
    <w:p w14:paraId="0F515D77">
      <w:pPr>
        <w:pStyle w:val="5"/>
        <w:spacing w:line="40" w:lineRule="exact"/>
        <w:ind w:firstLine="0" w:firstLineChars="0"/>
        <w:rPr>
          <w:b/>
          <w:color w:val="auto"/>
          <w:sz w:val="28"/>
          <w:highlight w:val="none"/>
        </w:rPr>
        <w:sectPr>
          <w:headerReference r:id="rId7" w:type="default"/>
          <w:pgSz w:w="16840" w:h="11907" w:orient="landscape"/>
          <w:pgMar w:top="1440" w:right="1800" w:bottom="1440" w:left="1800" w:header="964" w:footer="964" w:gutter="0"/>
          <w:pgBorders>
            <w:top w:val="none" w:sz="0" w:space="0"/>
            <w:left w:val="none" w:sz="0" w:space="0"/>
            <w:bottom w:val="none" w:sz="0" w:space="0"/>
            <w:right w:val="none" w:sz="0" w:space="0"/>
          </w:pgBorders>
          <w:cols w:space="720" w:num="1"/>
          <w:docGrid w:type="lines" w:linePitch="312" w:charSpace="0"/>
        </w:sectPr>
      </w:pPr>
    </w:p>
    <w:p w14:paraId="729145FB">
      <w:pPr>
        <w:pStyle w:val="3"/>
        <w:spacing w:before="0" w:after="0" w:line="360" w:lineRule="auto"/>
        <w:rPr>
          <w:color w:val="auto"/>
          <w:sz w:val="28"/>
          <w:szCs w:val="28"/>
          <w:highlight w:val="none"/>
        </w:rPr>
      </w:pPr>
      <w:bookmarkStart w:id="48" w:name="_Toc15389551"/>
      <w:bookmarkStart w:id="49" w:name="_Toc30918"/>
      <w:r>
        <w:rPr>
          <w:color w:val="auto"/>
          <w:sz w:val="28"/>
          <w:szCs w:val="28"/>
          <w:highlight w:val="none"/>
        </w:rPr>
        <w:t>表5 废弃物</w:t>
      </w:r>
      <w:bookmarkEnd w:id="48"/>
      <w:r>
        <w:rPr>
          <w:rFonts w:hint="eastAsia"/>
          <w:color w:val="auto"/>
          <w:sz w:val="28"/>
          <w:szCs w:val="28"/>
          <w:highlight w:val="none"/>
        </w:rPr>
        <w:t>（重点是放射性废弃物）</w:t>
      </w:r>
      <w:bookmarkEnd w:id="49"/>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6"/>
        <w:gridCol w:w="843"/>
        <w:gridCol w:w="856"/>
        <w:gridCol w:w="518"/>
        <w:gridCol w:w="996"/>
        <w:gridCol w:w="907"/>
        <w:gridCol w:w="894"/>
        <w:gridCol w:w="1323"/>
        <w:gridCol w:w="1591"/>
      </w:tblGrid>
      <w:tr w14:paraId="5306A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4E9607B9">
            <w:pPr>
              <w:jc w:val="center"/>
              <w:rPr>
                <w:color w:val="auto"/>
                <w:sz w:val="24"/>
                <w:szCs w:val="24"/>
                <w:highlight w:val="none"/>
              </w:rPr>
            </w:pPr>
            <w:r>
              <w:rPr>
                <w:color w:val="auto"/>
                <w:sz w:val="24"/>
                <w:szCs w:val="24"/>
                <w:highlight w:val="none"/>
              </w:rPr>
              <w:t>名称</w:t>
            </w:r>
          </w:p>
        </w:tc>
        <w:tc>
          <w:tcPr>
            <w:tcW w:w="464" w:type="pct"/>
            <w:vAlign w:val="center"/>
          </w:tcPr>
          <w:p w14:paraId="665D4C33">
            <w:pPr>
              <w:jc w:val="center"/>
              <w:rPr>
                <w:color w:val="auto"/>
                <w:sz w:val="24"/>
                <w:szCs w:val="24"/>
                <w:highlight w:val="none"/>
              </w:rPr>
            </w:pPr>
            <w:r>
              <w:rPr>
                <w:color w:val="auto"/>
                <w:sz w:val="24"/>
                <w:szCs w:val="24"/>
                <w:highlight w:val="none"/>
              </w:rPr>
              <w:t>状态</w:t>
            </w:r>
          </w:p>
        </w:tc>
        <w:tc>
          <w:tcPr>
            <w:tcW w:w="471" w:type="pct"/>
            <w:vAlign w:val="center"/>
          </w:tcPr>
          <w:p w14:paraId="5A41E53C">
            <w:pPr>
              <w:jc w:val="center"/>
              <w:rPr>
                <w:color w:val="auto"/>
                <w:sz w:val="24"/>
                <w:szCs w:val="24"/>
                <w:highlight w:val="none"/>
              </w:rPr>
            </w:pPr>
            <w:r>
              <w:rPr>
                <w:color w:val="auto"/>
                <w:sz w:val="24"/>
                <w:szCs w:val="24"/>
                <w:highlight w:val="none"/>
              </w:rPr>
              <w:t>核素名称</w:t>
            </w:r>
          </w:p>
        </w:tc>
        <w:tc>
          <w:tcPr>
            <w:tcW w:w="285" w:type="pct"/>
            <w:vAlign w:val="center"/>
          </w:tcPr>
          <w:p w14:paraId="01C4BD14">
            <w:pPr>
              <w:jc w:val="center"/>
              <w:rPr>
                <w:color w:val="auto"/>
                <w:sz w:val="24"/>
                <w:szCs w:val="24"/>
                <w:highlight w:val="none"/>
              </w:rPr>
            </w:pPr>
            <w:r>
              <w:rPr>
                <w:color w:val="auto"/>
                <w:sz w:val="24"/>
                <w:szCs w:val="24"/>
                <w:highlight w:val="none"/>
              </w:rPr>
              <w:t>活度</w:t>
            </w:r>
          </w:p>
        </w:tc>
        <w:tc>
          <w:tcPr>
            <w:tcW w:w="548" w:type="pct"/>
            <w:vAlign w:val="center"/>
          </w:tcPr>
          <w:p w14:paraId="01FB9AF0">
            <w:pPr>
              <w:jc w:val="center"/>
              <w:rPr>
                <w:color w:val="auto"/>
                <w:sz w:val="24"/>
                <w:szCs w:val="24"/>
                <w:highlight w:val="none"/>
              </w:rPr>
            </w:pPr>
            <w:r>
              <w:rPr>
                <w:color w:val="auto"/>
                <w:sz w:val="24"/>
                <w:szCs w:val="24"/>
                <w:highlight w:val="none"/>
              </w:rPr>
              <w:t>月排</w:t>
            </w:r>
          </w:p>
          <w:p w14:paraId="5B500948">
            <w:pPr>
              <w:jc w:val="center"/>
              <w:rPr>
                <w:color w:val="auto"/>
                <w:sz w:val="24"/>
                <w:szCs w:val="24"/>
                <w:highlight w:val="none"/>
              </w:rPr>
            </w:pPr>
            <w:r>
              <w:rPr>
                <w:color w:val="auto"/>
                <w:sz w:val="24"/>
                <w:szCs w:val="24"/>
                <w:highlight w:val="none"/>
              </w:rPr>
              <w:t>放量</w:t>
            </w:r>
          </w:p>
        </w:tc>
        <w:tc>
          <w:tcPr>
            <w:tcW w:w="499" w:type="pct"/>
            <w:vAlign w:val="center"/>
          </w:tcPr>
          <w:p w14:paraId="0897A8F0">
            <w:pPr>
              <w:jc w:val="center"/>
              <w:rPr>
                <w:color w:val="auto"/>
                <w:sz w:val="24"/>
                <w:szCs w:val="24"/>
                <w:highlight w:val="none"/>
              </w:rPr>
            </w:pPr>
            <w:r>
              <w:rPr>
                <w:color w:val="auto"/>
                <w:sz w:val="24"/>
                <w:szCs w:val="24"/>
                <w:highlight w:val="none"/>
              </w:rPr>
              <w:t>年排</w:t>
            </w:r>
          </w:p>
          <w:p w14:paraId="5876371D">
            <w:pPr>
              <w:jc w:val="center"/>
              <w:rPr>
                <w:color w:val="auto"/>
                <w:sz w:val="24"/>
                <w:szCs w:val="24"/>
                <w:highlight w:val="none"/>
              </w:rPr>
            </w:pPr>
            <w:r>
              <w:rPr>
                <w:color w:val="auto"/>
                <w:sz w:val="24"/>
                <w:szCs w:val="24"/>
                <w:highlight w:val="none"/>
              </w:rPr>
              <w:t>放量</w:t>
            </w:r>
          </w:p>
        </w:tc>
        <w:tc>
          <w:tcPr>
            <w:tcW w:w="492" w:type="pct"/>
            <w:vAlign w:val="center"/>
          </w:tcPr>
          <w:p w14:paraId="2293BA54">
            <w:pPr>
              <w:jc w:val="center"/>
              <w:rPr>
                <w:color w:val="auto"/>
                <w:sz w:val="24"/>
                <w:szCs w:val="24"/>
                <w:highlight w:val="none"/>
              </w:rPr>
            </w:pPr>
            <w:r>
              <w:rPr>
                <w:color w:val="auto"/>
                <w:sz w:val="24"/>
                <w:szCs w:val="24"/>
                <w:highlight w:val="none"/>
              </w:rPr>
              <w:t>排放口浓度</w:t>
            </w:r>
          </w:p>
        </w:tc>
        <w:tc>
          <w:tcPr>
            <w:tcW w:w="728" w:type="pct"/>
            <w:vAlign w:val="center"/>
          </w:tcPr>
          <w:p w14:paraId="2B0E6485">
            <w:pPr>
              <w:jc w:val="center"/>
              <w:rPr>
                <w:color w:val="auto"/>
                <w:sz w:val="24"/>
                <w:szCs w:val="24"/>
                <w:highlight w:val="none"/>
              </w:rPr>
            </w:pPr>
            <w:r>
              <w:rPr>
                <w:color w:val="auto"/>
                <w:sz w:val="24"/>
                <w:szCs w:val="24"/>
                <w:highlight w:val="none"/>
              </w:rPr>
              <w:t>暂存</w:t>
            </w:r>
          </w:p>
          <w:p w14:paraId="2295A374">
            <w:pPr>
              <w:jc w:val="center"/>
              <w:rPr>
                <w:color w:val="auto"/>
                <w:sz w:val="24"/>
                <w:szCs w:val="24"/>
                <w:highlight w:val="none"/>
              </w:rPr>
            </w:pPr>
            <w:r>
              <w:rPr>
                <w:color w:val="auto"/>
                <w:sz w:val="24"/>
                <w:szCs w:val="24"/>
                <w:highlight w:val="none"/>
              </w:rPr>
              <w:t>情况</w:t>
            </w:r>
          </w:p>
        </w:tc>
        <w:tc>
          <w:tcPr>
            <w:tcW w:w="875" w:type="pct"/>
            <w:vAlign w:val="center"/>
          </w:tcPr>
          <w:p w14:paraId="2E237D8E">
            <w:pPr>
              <w:jc w:val="center"/>
              <w:rPr>
                <w:color w:val="auto"/>
                <w:sz w:val="24"/>
                <w:szCs w:val="24"/>
                <w:highlight w:val="none"/>
              </w:rPr>
            </w:pPr>
            <w:r>
              <w:rPr>
                <w:color w:val="auto"/>
                <w:sz w:val="24"/>
                <w:szCs w:val="24"/>
                <w:highlight w:val="none"/>
              </w:rPr>
              <w:t>最终去向</w:t>
            </w:r>
          </w:p>
        </w:tc>
      </w:tr>
      <w:tr w14:paraId="7606C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7BB5F83C">
            <w:pPr>
              <w:jc w:val="center"/>
              <w:rPr>
                <w:color w:val="auto"/>
                <w:sz w:val="24"/>
                <w:szCs w:val="24"/>
                <w:highlight w:val="none"/>
              </w:rPr>
            </w:pPr>
            <w:r>
              <w:rPr>
                <w:color w:val="auto"/>
                <w:sz w:val="24"/>
                <w:szCs w:val="24"/>
                <w:highlight w:val="none"/>
              </w:rPr>
              <w:t>O</w:t>
            </w:r>
            <w:r>
              <w:rPr>
                <w:color w:val="auto"/>
                <w:sz w:val="24"/>
                <w:szCs w:val="24"/>
                <w:highlight w:val="none"/>
                <w:vertAlign w:val="subscript"/>
              </w:rPr>
              <w:t>3</w:t>
            </w:r>
            <w:r>
              <w:rPr>
                <w:color w:val="auto"/>
                <w:sz w:val="24"/>
                <w:szCs w:val="24"/>
                <w:highlight w:val="none"/>
              </w:rPr>
              <w:t>、NO</w:t>
            </w:r>
            <w:r>
              <w:rPr>
                <w:color w:val="auto"/>
                <w:sz w:val="24"/>
                <w:szCs w:val="24"/>
                <w:highlight w:val="none"/>
                <w:vertAlign w:val="subscript"/>
              </w:rPr>
              <w:t>x</w:t>
            </w:r>
          </w:p>
        </w:tc>
        <w:tc>
          <w:tcPr>
            <w:tcW w:w="464" w:type="pct"/>
            <w:vAlign w:val="center"/>
          </w:tcPr>
          <w:p w14:paraId="1A9C504E">
            <w:pPr>
              <w:jc w:val="center"/>
              <w:rPr>
                <w:color w:val="auto"/>
                <w:sz w:val="24"/>
                <w:szCs w:val="24"/>
                <w:highlight w:val="none"/>
              </w:rPr>
            </w:pPr>
            <w:r>
              <w:rPr>
                <w:color w:val="auto"/>
                <w:sz w:val="24"/>
                <w:szCs w:val="24"/>
                <w:highlight w:val="none"/>
              </w:rPr>
              <w:t>气态</w:t>
            </w:r>
          </w:p>
        </w:tc>
        <w:tc>
          <w:tcPr>
            <w:tcW w:w="471" w:type="pct"/>
            <w:vAlign w:val="center"/>
          </w:tcPr>
          <w:p w14:paraId="5083C274">
            <w:pPr>
              <w:jc w:val="center"/>
              <w:rPr>
                <w:color w:val="auto"/>
                <w:sz w:val="24"/>
                <w:szCs w:val="24"/>
                <w:highlight w:val="none"/>
              </w:rPr>
            </w:pPr>
            <w:r>
              <w:rPr>
                <w:color w:val="auto"/>
                <w:sz w:val="24"/>
                <w:szCs w:val="24"/>
                <w:highlight w:val="none"/>
              </w:rPr>
              <w:t>/</w:t>
            </w:r>
          </w:p>
        </w:tc>
        <w:tc>
          <w:tcPr>
            <w:tcW w:w="285" w:type="pct"/>
            <w:vAlign w:val="center"/>
          </w:tcPr>
          <w:p w14:paraId="3C2BDEE3">
            <w:pPr>
              <w:widowControl/>
              <w:jc w:val="center"/>
              <w:rPr>
                <w:color w:val="auto"/>
                <w:sz w:val="24"/>
                <w:szCs w:val="24"/>
                <w:highlight w:val="none"/>
              </w:rPr>
            </w:pPr>
            <w:r>
              <w:rPr>
                <w:color w:val="auto"/>
                <w:sz w:val="24"/>
                <w:szCs w:val="24"/>
                <w:highlight w:val="none"/>
              </w:rPr>
              <w:t>/</w:t>
            </w:r>
          </w:p>
        </w:tc>
        <w:tc>
          <w:tcPr>
            <w:tcW w:w="548" w:type="pct"/>
            <w:vAlign w:val="center"/>
          </w:tcPr>
          <w:p w14:paraId="752B21BD">
            <w:pPr>
              <w:jc w:val="center"/>
              <w:rPr>
                <w:color w:val="auto"/>
                <w:sz w:val="24"/>
                <w:szCs w:val="24"/>
                <w:highlight w:val="none"/>
              </w:rPr>
            </w:pPr>
            <w:r>
              <w:rPr>
                <w:color w:val="auto"/>
                <w:sz w:val="24"/>
                <w:szCs w:val="24"/>
                <w:highlight w:val="none"/>
              </w:rPr>
              <w:t>少量</w:t>
            </w:r>
          </w:p>
        </w:tc>
        <w:tc>
          <w:tcPr>
            <w:tcW w:w="499" w:type="pct"/>
            <w:vAlign w:val="center"/>
          </w:tcPr>
          <w:p w14:paraId="0AEBDAF9">
            <w:pPr>
              <w:jc w:val="center"/>
              <w:rPr>
                <w:color w:val="auto"/>
                <w:sz w:val="24"/>
                <w:szCs w:val="24"/>
                <w:highlight w:val="none"/>
              </w:rPr>
            </w:pPr>
            <w:r>
              <w:rPr>
                <w:color w:val="auto"/>
                <w:sz w:val="24"/>
                <w:szCs w:val="24"/>
                <w:highlight w:val="none"/>
              </w:rPr>
              <w:t>少量</w:t>
            </w:r>
          </w:p>
        </w:tc>
        <w:tc>
          <w:tcPr>
            <w:tcW w:w="492" w:type="pct"/>
            <w:vAlign w:val="center"/>
          </w:tcPr>
          <w:p w14:paraId="11DC31E0">
            <w:pPr>
              <w:widowControl/>
              <w:jc w:val="center"/>
              <w:rPr>
                <w:color w:val="auto"/>
                <w:sz w:val="24"/>
                <w:szCs w:val="24"/>
                <w:highlight w:val="none"/>
              </w:rPr>
            </w:pPr>
            <w:r>
              <w:rPr>
                <w:color w:val="auto"/>
                <w:sz w:val="24"/>
                <w:szCs w:val="24"/>
                <w:highlight w:val="none"/>
              </w:rPr>
              <w:t>/</w:t>
            </w:r>
          </w:p>
        </w:tc>
        <w:tc>
          <w:tcPr>
            <w:tcW w:w="728" w:type="pct"/>
            <w:vAlign w:val="center"/>
          </w:tcPr>
          <w:p w14:paraId="379F8F79">
            <w:pPr>
              <w:jc w:val="center"/>
              <w:rPr>
                <w:color w:val="auto"/>
                <w:sz w:val="24"/>
                <w:szCs w:val="24"/>
                <w:highlight w:val="none"/>
              </w:rPr>
            </w:pPr>
            <w:r>
              <w:rPr>
                <w:color w:val="auto"/>
                <w:sz w:val="24"/>
                <w:szCs w:val="24"/>
                <w:highlight w:val="none"/>
              </w:rPr>
              <w:t>/</w:t>
            </w:r>
          </w:p>
        </w:tc>
        <w:tc>
          <w:tcPr>
            <w:tcW w:w="875" w:type="pct"/>
            <w:vAlign w:val="center"/>
          </w:tcPr>
          <w:p w14:paraId="68067E2A">
            <w:pPr>
              <w:jc w:val="center"/>
              <w:rPr>
                <w:rFonts w:hint="default" w:eastAsia="宋体"/>
                <w:color w:val="auto"/>
                <w:sz w:val="24"/>
                <w:szCs w:val="24"/>
                <w:highlight w:val="none"/>
                <w:lang w:val="en-US" w:eastAsia="zh-CN"/>
              </w:rPr>
            </w:pPr>
            <w:r>
              <w:rPr>
                <w:rFonts w:hint="eastAsia"/>
                <w:color w:val="auto"/>
                <w:sz w:val="24"/>
                <w:szCs w:val="24"/>
                <w:highlight w:val="none"/>
              </w:rPr>
              <w:t>探伤房设置通风系统，经通风后排至外环境</w:t>
            </w:r>
            <w:r>
              <w:rPr>
                <w:rFonts w:hint="eastAsia"/>
                <w:color w:val="auto"/>
                <w:sz w:val="24"/>
                <w:szCs w:val="24"/>
                <w:highlight w:val="none"/>
                <w:lang w:val="en-US" w:eastAsia="zh-CN"/>
              </w:rPr>
              <w:t>自动分解</w:t>
            </w:r>
          </w:p>
        </w:tc>
      </w:tr>
      <w:tr w14:paraId="07F26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215414AC">
            <w:pPr>
              <w:jc w:val="center"/>
              <w:rPr>
                <w:color w:val="auto"/>
                <w:sz w:val="24"/>
                <w:szCs w:val="24"/>
                <w:highlight w:val="none"/>
              </w:rPr>
            </w:pPr>
            <w:r>
              <w:rPr>
                <w:rFonts w:hint="eastAsia"/>
                <w:color w:val="auto"/>
                <w:sz w:val="24"/>
                <w:szCs w:val="24"/>
                <w:highlight w:val="none"/>
              </w:rPr>
              <w:t>废显影液、废定影液</w:t>
            </w:r>
          </w:p>
        </w:tc>
        <w:tc>
          <w:tcPr>
            <w:tcW w:w="464" w:type="pct"/>
            <w:vAlign w:val="center"/>
          </w:tcPr>
          <w:p w14:paraId="44CC46C4">
            <w:pPr>
              <w:jc w:val="center"/>
              <w:rPr>
                <w:color w:val="auto"/>
                <w:sz w:val="24"/>
                <w:szCs w:val="24"/>
                <w:highlight w:val="none"/>
              </w:rPr>
            </w:pPr>
            <w:r>
              <w:rPr>
                <w:rFonts w:hint="eastAsia"/>
                <w:color w:val="auto"/>
                <w:sz w:val="24"/>
                <w:szCs w:val="24"/>
                <w:highlight w:val="none"/>
              </w:rPr>
              <w:t>液态</w:t>
            </w:r>
          </w:p>
        </w:tc>
        <w:tc>
          <w:tcPr>
            <w:tcW w:w="471" w:type="pct"/>
            <w:vAlign w:val="center"/>
          </w:tcPr>
          <w:p w14:paraId="5244AD7B">
            <w:pPr>
              <w:jc w:val="center"/>
              <w:rPr>
                <w:color w:val="auto"/>
                <w:sz w:val="24"/>
                <w:szCs w:val="24"/>
                <w:highlight w:val="none"/>
              </w:rPr>
            </w:pPr>
            <w:r>
              <w:rPr>
                <w:color w:val="auto"/>
                <w:sz w:val="24"/>
                <w:szCs w:val="24"/>
                <w:highlight w:val="none"/>
              </w:rPr>
              <w:t>/</w:t>
            </w:r>
          </w:p>
        </w:tc>
        <w:tc>
          <w:tcPr>
            <w:tcW w:w="285" w:type="pct"/>
            <w:vAlign w:val="center"/>
          </w:tcPr>
          <w:p w14:paraId="170F593E">
            <w:pPr>
              <w:jc w:val="center"/>
              <w:rPr>
                <w:color w:val="auto"/>
                <w:sz w:val="24"/>
                <w:szCs w:val="24"/>
                <w:highlight w:val="none"/>
              </w:rPr>
            </w:pPr>
            <w:r>
              <w:rPr>
                <w:color w:val="auto"/>
                <w:sz w:val="24"/>
                <w:szCs w:val="24"/>
                <w:highlight w:val="none"/>
              </w:rPr>
              <w:t>/</w:t>
            </w:r>
          </w:p>
        </w:tc>
        <w:tc>
          <w:tcPr>
            <w:tcW w:w="548" w:type="pct"/>
            <w:vAlign w:val="center"/>
          </w:tcPr>
          <w:p w14:paraId="43EA5DC9">
            <w:pPr>
              <w:jc w:val="center"/>
              <w:rPr>
                <w:rFonts w:hint="default"/>
                <w:color w:val="auto"/>
                <w:sz w:val="24"/>
                <w:szCs w:val="24"/>
                <w:highlight w:val="none"/>
                <w:lang w:val="en-US"/>
              </w:rPr>
            </w:pPr>
            <w:r>
              <w:rPr>
                <w:rFonts w:hint="eastAsia"/>
                <w:color w:val="auto"/>
                <w:sz w:val="24"/>
                <w:szCs w:val="24"/>
                <w:highlight w:val="none"/>
              </w:rPr>
              <w:t>约</w:t>
            </w:r>
            <w:r>
              <w:rPr>
                <w:rFonts w:hint="eastAsia"/>
                <w:color w:val="auto"/>
                <w:sz w:val="24"/>
                <w:szCs w:val="24"/>
                <w:highlight w:val="none"/>
                <w:lang w:val="en-US" w:eastAsia="zh-CN"/>
              </w:rPr>
              <w:t>0.0014</w:t>
            </w:r>
          </w:p>
        </w:tc>
        <w:tc>
          <w:tcPr>
            <w:tcW w:w="499" w:type="pct"/>
            <w:vAlign w:val="center"/>
          </w:tcPr>
          <w:p w14:paraId="081F2E0F">
            <w:pPr>
              <w:jc w:val="center"/>
              <w:rPr>
                <w:rFonts w:hint="default" w:eastAsia="宋体"/>
                <w:color w:val="auto"/>
                <w:sz w:val="24"/>
                <w:szCs w:val="24"/>
                <w:highlight w:val="none"/>
                <w:lang w:val="en-US" w:eastAsia="zh-CN"/>
              </w:rPr>
            </w:pPr>
            <w:r>
              <w:rPr>
                <w:rFonts w:hint="eastAsia"/>
                <w:color w:val="auto"/>
                <w:sz w:val="24"/>
                <w:szCs w:val="24"/>
                <w:highlight w:val="none"/>
              </w:rPr>
              <w:t>约</w:t>
            </w:r>
            <w:r>
              <w:rPr>
                <w:rFonts w:hint="eastAsia"/>
                <w:color w:val="auto"/>
                <w:sz w:val="24"/>
                <w:szCs w:val="24"/>
                <w:highlight w:val="none"/>
                <w:lang w:val="en-US" w:eastAsia="zh-CN"/>
              </w:rPr>
              <w:t>0.014t</w:t>
            </w:r>
          </w:p>
        </w:tc>
        <w:tc>
          <w:tcPr>
            <w:tcW w:w="492" w:type="pct"/>
            <w:vAlign w:val="center"/>
          </w:tcPr>
          <w:p w14:paraId="4EA418D9">
            <w:pPr>
              <w:jc w:val="center"/>
              <w:rPr>
                <w:color w:val="auto"/>
                <w:sz w:val="24"/>
                <w:szCs w:val="24"/>
                <w:highlight w:val="none"/>
              </w:rPr>
            </w:pPr>
            <w:r>
              <w:rPr>
                <w:rFonts w:hint="eastAsia"/>
                <w:color w:val="auto"/>
                <w:sz w:val="24"/>
                <w:szCs w:val="24"/>
                <w:highlight w:val="none"/>
              </w:rPr>
              <w:t>/</w:t>
            </w:r>
          </w:p>
        </w:tc>
        <w:tc>
          <w:tcPr>
            <w:tcW w:w="728" w:type="pct"/>
            <w:vAlign w:val="center"/>
          </w:tcPr>
          <w:p w14:paraId="7A74D99B">
            <w:pPr>
              <w:jc w:val="center"/>
              <w:rPr>
                <w:color w:val="auto"/>
                <w:sz w:val="24"/>
                <w:szCs w:val="24"/>
                <w:highlight w:val="none"/>
              </w:rPr>
            </w:pPr>
            <w:r>
              <w:rPr>
                <w:rFonts w:hint="eastAsia"/>
                <w:color w:val="auto"/>
                <w:sz w:val="24"/>
                <w:szCs w:val="24"/>
                <w:highlight w:val="none"/>
              </w:rPr>
              <w:t>集中收集</w:t>
            </w:r>
            <w:r>
              <w:rPr>
                <w:rFonts w:hint="eastAsia"/>
                <w:color w:val="auto"/>
                <w:sz w:val="24"/>
                <w:szCs w:val="24"/>
                <w:highlight w:val="none"/>
                <w:lang w:val="en-US" w:eastAsia="zh-CN"/>
              </w:rPr>
              <w:t>于废液收集桶，在</w:t>
            </w:r>
            <w:r>
              <w:rPr>
                <w:rFonts w:hint="eastAsia"/>
                <w:color w:val="auto"/>
                <w:sz w:val="24"/>
                <w:szCs w:val="24"/>
                <w:highlight w:val="none"/>
              </w:rPr>
              <w:t>危废暂存库内</w:t>
            </w:r>
          </w:p>
        </w:tc>
        <w:tc>
          <w:tcPr>
            <w:tcW w:w="875" w:type="pct"/>
            <w:vAlign w:val="center"/>
          </w:tcPr>
          <w:p w14:paraId="13A523B5">
            <w:pPr>
              <w:jc w:val="center"/>
              <w:rPr>
                <w:color w:val="auto"/>
                <w:sz w:val="24"/>
                <w:szCs w:val="24"/>
                <w:highlight w:val="none"/>
              </w:rPr>
            </w:pPr>
            <w:r>
              <w:rPr>
                <w:rFonts w:hint="eastAsia"/>
                <w:color w:val="auto"/>
                <w:sz w:val="24"/>
                <w:szCs w:val="24"/>
                <w:highlight w:val="none"/>
              </w:rPr>
              <w:t>集中收贮后，交由有资质的单位处理处置</w:t>
            </w:r>
          </w:p>
        </w:tc>
      </w:tr>
      <w:tr w14:paraId="4EAD3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35C05D96">
            <w:pPr>
              <w:jc w:val="center"/>
              <w:rPr>
                <w:color w:val="auto"/>
                <w:sz w:val="24"/>
                <w:szCs w:val="24"/>
                <w:highlight w:val="none"/>
              </w:rPr>
            </w:pPr>
            <w:r>
              <w:rPr>
                <w:rFonts w:hint="eastAsia"/>
                <w:color w:val="auto"/>
                <w:sz w:val="24"/>
                <w:szCs w:val="24"/>
                <w:highlight w:val="none"/>
                <w:lang w:val="en-US" w:eastAsia="zh-CN"/>
              </w:rPr>
              <w:t>胶片冲洗</w:t>
            </w:r>
            <w:r>
              <w:rPr>
                <w:rFonts w:hint="eastAsia"/>
                <w:color w:val="auto"/>
                <w:sz w:val="24"/>
                <w:szCs w:val="24"/>
                <w:highlight w:val="none"/>
              </w:rPr>
              <w:t>废</w:t>
            </w:r>
            <w:r>
              <w:rPr>
                <w:rFonts w:hint="eastAsia"/>
                <w:color w:val="auto"/>
                <w:sz w:val="24"/>
                <w:szCs w:val="24"/>
                <w:highlight w:val="none"/>
                <w:lang w:val="en-US" w:eastAsia="zh-CN"/>
              </w:rPr>
              <w:t>液</w:t>
            </w:r>
          </w:p>
        </w:tc>
        <w:tc>
          <w:tcPr>
            <w:tcW w:w="464" w:type="pct"/>
            <w:vAlign w:val="center"/>
          </w:tcPr>
          <w:p w14:paraId="501D94F1">
            <w:pPr>
              <w:jc w:val="center"/>
              <w:rPr>
                <w:color w:val="auto"/>
                <w:sz w:val="24"/>
                <w:szCs w:val="24"/>
                <w:highlight w:val="none"/>
              </w:rPr>
            </w:pPr>
            <w:r>
              <w:rPr>
                <w:rFonts w:hint="eastAsia"/>
                <w:color w:val="auto"/>
                <w:sz w:val="24"/>
                <w:szCs w:val="24"/>
                <w:highlight w:val="none"/>
              </w:rPr>
              <w:t>液态</w:t>
            </w:r>
          </w:p>
        </w:tc>
        <w:tc>
          <w:tcPr>
            <w:tcW w:w="471" w:type="pct"/>
            <w:vAlign w:val="center"/>
          </w:tcPr>
          <w:p w14:paraId="2535BBED">
            <w:pPr>
              <w:jc w:val="center"/>
              <w:rPr>
                <w:color w:val="auto"/>
                <w:sz w:val="24"/>
                <w:szCs w:val="24"/>
                <w:highlight w:val="none"/>
              </w:rPr>
            </w:pPr>
            <w:r>
              <w:rPr>
                <w:rFonts w:hint="eastAsia"/>
                <w:color w:val="auto"/>
                <w:sz w:val="24"/>
                <w:szCs w:val="24"/>
                <w:highlight w:val="none"/>
              </w:rPr>
              <w:t>/</w:t>
            </w:r>
          </w:p>
        </w:tc>
        <w:tc>
          <w:tcPr>
            <w:tcW w:w="285" w:type="pct"/>
            <w:vAlign w:val="center"/>
          </w:tcPr>
          <w:p w14:paraId="37C30642">
            <w:pPr>
              <w:jc w:val="center"/>
              <w:rPr>
                <w:color w:val="auto"/>
                <w:sz w:val="24"/>
                <w:szCs w:val="24"/>
                <w:highlight w:val="none"/>
              </w:rPr>
            </w:pPr>
            <w:r>
              <w:rPr>
                <w:rFonts w:hint="eastAsia"/>
                <w:color w:val="auto"/>
                <w:sz w:val="24"/>
                <w:szCs w:val="24"/>
                <w:highlight w:val="none"/>
              </w:rPr>
              <w:t>/</w:t>
            </w:r>
          </w:p>
        </w:tc>
        <w:tc>
          <w:tcPr>
            <w:tcW w:w="548" w:type="pct"/>
            <w:vAlign w:val="center"/>
          </w:tcPr>
          <w:p w14:paraId="7507A973">
            <w:pPr>
              <w:jc w:val="center"/>
              <w:rPr>
                <w:rFonts w:hint="default"/>
                <w:color w:val="auto"/>
                <w:sz w:val="24"/>
                <w:szCs w:val="24"/>
                <w:highlight w:val="none"/>
                <w:lang w:val="en-US"/>
              </w:rPr>
            </w:pPr>
            <w:r>
              <w:rPr>
                <w:rFonts w:hint="eastAsia"/>
                <w:color w:val="auto"/>
                <w:sz w:val="24"/>
                <w:szCs w:val="24"/>
                <w:highlight w:val="none"/>
              </w:rPr>
              <w:t>约</w:t>
            </w:r>
            <w:r>
              <w:rPr>
                <w:rFonts w:hint="eastAsia"/>
                <w:color w:val="auto"/>
                <w:sz w:val="24"/>
                <w:szCs w:val="24"/>
                <w:highlight w:val="none"/>
                <w:lang w:val="en-US" w:eastAsia="zh-CN"/>
              </w:rPr>
              <w:t>0.012t</w:t>
            </w:r>
          </w:p>
        </w:tc>
        <w:tc>
          <w:tcPr>
            <w:tcW w:w="499" w:type="pct"/>
            <w:vAlign w:val="center"/>
          </w:tcPr>
          <w:p w14:paraId="134F202C">
            <w:pPr>
              <w:jc w:val="center"/>
              <w:rPr>
                <w:rFonts w:hint="default" w:eastAsia="宋体"/>
                <w:color w:val="auto"/>
                <w:sz w:val="24"/>
                <w:szCs w:val="24"/>
                <w:highlight w:val="none"/>
                <w:lang w:val="en-US" w:eastAsia="zh-CN"/>
              </w:rPr>
            </w:pPr>
            <w:r>
              <w:rPr>
                <w:rFonts w:hint="eastAsia"/>
                <w:color w:val="auto"/>
                <w:sz w:val="24"/>
                <w:szCs w:val="24"/>
                <w:highlight w:val="none"/>
              </w:rPr>
              <w:t>约</w:t>
            </w:r>
            <w:r>
              <w:rPr>
                <w:rFonts w:hint="eastAsia"/>
                <w:color w:val="auto"/>
                <w:sz w:val="24"/>
                <w:szCs w:val="24"/>
                <w:highlight w:val="none"/>
                <w:lang w:val="en-US" w:eastAsia="zh-CN"/>
              </w:rPr>
              <w:t>0.12t</w:t>
            </w:r>
          </w:p>
        </w:tc>
        <w:tc>
          <w:tcPr>
            <w:tcW w:w="492" w:type="pct"/>
            <w:vAlign w:val="center"/>
          </w:tcPr>
          <w:p w14:paraId="5F0AFA3A">
            <w:pPr>
              <w:jc w:val="center"/>
              <w:rPr>
                <w:color w:val="auto"/>
                <w:sz w:val="24"/>
                <w:szCs w:val="24"/>
                <w:highlight w:val="none"/>
              </w:rPr>
            </w:pPr>
            <w:r>
              <w:rPr>
                <w:rFonts w:hint="eastAsia"/>
                <w:color w:val="auto"/>
                <w:sz w:val="24"/>
                <w:szCs w:val="24"/>
                <w:highlight w:val="none"/>
              </w:rPr>
              <w:t>/</w:t>
            </w:r>
          </w:p>
        </w:tc>
        <w:tc>
          <w:tcPr>
            <w:tcW w:w="728" w:type="pct"/>
            <w:vAlign w:val="center"/>
          </w:tcPr>
          <w:p w14:paraId="3A3F909E">
            <w:pPr>
              <w:jc w:val="center"/>
              <w:rPr>
                <w:color w:val="auto"/>
                <w:sz w:val="24"/>
                <w:szCs w:val="24"/>
                <w:highlight w:val="none"/>
              </w:rPr>
            </w:pPr>
            <w:r>
              <w:rPr>
                <w:rFonts w:hint="eastAsia"/>
                <w:color w:val="auto"/>
                <w:sz w:val="24"/>
                <w:szCs w:val="24"/>
                <w:highlight w:val="none"/>
              </w:rPr>
              <w:t>集中收集</w:t>
            </w:r>
            <w:r>
              <w:rPr>
                <w:rFonts w:hint="eastAsia"/>
                <w:color w:val="auto"/>
                <w:sz w:val="24"/>
                <w:szCs w:val="24"/>
                <w:highlight w:val="none"/>
                <w:lang w:val="en-US" w:eastAsia="zh-CN"/>
              </w:rPr>
              <w:t>于废液收集桶，在</w:t>
            </w:r>
            <w:r>
              <w:rPr>
                <w:rFonts w:hint="eastAsia"/>
                <w:color w:val="auto"/>
                <w:sz w:val="24"/>
                <w:szCs w:val="24"/>
                <w:highlight w:val="none"/>
              </w:rPr>
              <w:t>危废暂存库内</w:t>
            </w:r>
          </w:p>
        </w:tc>
        <w:tc>
          <w:tcPr>
            <w:tcW w:w="875" w:type="pct"/>
            <w:vAlign w:val="center"/>
          </w:tcPr>
          <w:p w14:paraId="7CA86420">
            <w:pPr>
              <w:jc w:val="center"/>
              <w:rPr>
                <w:color w:val="auto"/>
                <w:sz w:val="24"/>
                <w:szCs w:val="24"/>
                <w:highlight w:val="none"/>
              </w:rPr>
            </w:pPr>
            <w:r>
              <w:rPr>
                <w:rFonts w:hint="eastAsia"/>
                <w:color w:val="auto"/>
                <w:sz w:val="24"/>
                <w:szCs w:val="24"/>
                <w:highlight w:val="none"/>
              </w:rPr>
              <w:t>集中收贮后，交由有资质的单位处理处置</w:t>
            </w:r>
          </w:p>
        </w:tc>
      </w:tr>
      <w:tr w14:paraId="6E9DB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15D44137">
            <w:pPr>
              <w:jc w:val="center"/>
              <w:rPr>
                <w:color w:val="auto"/>
                <w:sz w:val="24"/>
                <w:szCs w:val="24"/>
                <w:highlight w:val="none"/>
              </w:rPr>
            </w:pPr>
            <w:r>
              <w:rPr>
                <w:rFonts w:hint="eastAsia"/>
                <w:color w:val="auto"/>
                <w:sz w:val="24"/>
                <w:szCs w:val="24"/>
                <w:highlight w:val="none"/>
              </w:rPr>
              <w:t>废胶片</w:t>
            </w:r>
          </w:p>
        </w:tc>
        <w:tc>
          <w:tcPr>
            <w:tcW w:w="464" w:type="pct"/>
            <w:vAlign w:val="center"/>
          </w:tcPr>
          <w:p w14:paraId="4452DBA3">
            <w:pPr>
              <w:jc w:val="center"/>
              <w:rPr>
                <w:color w:val="auto"/>
                <w:sz w:val="24"/>
                <w:szCs w:val="24"/>
                <w:highlight w:val="none"/>
              </w:rPr>
            </w:pPr>
            <w:r>
              <w:rPr>
                <w:rFonts w:hint="eastAsia"/>
                <w:color w:val="auto"/>
                <w:sz w:val="24"/>
                <w:szCs w:val="24"/>
                <w:highlight w:val="none"/>
              </w:rPr>
              <w:t>固态</w:t>
            </w:r>
          </w:p>
        </w:tc>
        <w:tc>
          <w:tcPr>
            <w:tcW w:w="471" w:type="pct"/>
            <w:vAlign w:val="center"/>
          </w:tcPr>
          <w:p w14:paraId="3A03EDE1">
            <w:pPr>
              <w:jc w:val="center"/>
              <w:rPr>
                <w:color w:val="auto"/>
                <w:sz w:val="24"/>
                <w:szCs w:val="24"/>
                <w:highlight w:val="none"/>
              </w:rPr>
            </w:pPr>
            <w:r>
              <w:rPr>
                <w:rFonts w:hint="eastAsia"/>
                <w:color w:val="auto"/>
                <w:sz w:val="24"/>
                <w:szCs w:val="24"/>
                <w:highlight w:val="none"/>
              </w:rPr>
              <w:t>/</w:t>
            </w:r>
          </w:p>
        </w:tc>
        <w:tc>
          <w:tcPr>
            <w:tcW w:w="285" w:type="pct"/>
            <w:vAlign w:val="center"/>
          </w:tcPr>
          <w:p w14:paraId="28345A43">
            <w:pPr>
              <w:jc w:val="center"/>
              <w:rPr>
                <w:color w:val="auto"/>
                <w:sz w:val="24"/>
                <w:szCs w:val="24"/>
                <w:highlight w:val="none"/>
              </w:rPr>
            </w:pPr>
            <w:r>
              <w:rPr>
                <w:rFonts w:hint="eastAsia"/>
                <w:color w:val="auto"/>
                <w:sz w:val="24"/>
                <w:szCs w:val="24"/>
                <w:highlight w:val="none"/>
              </w:rPr>
              <w:t>/</w:t>
            </w:r>
          </w:p>
        </w:tc>
        <w:tc>
          <w:tcPr>
            <w:tcW w:w="548" w:type="pct"/>
            <w:vAlign w:val="center"/>
          </w:tcPr>
          <w:p w14:paraId="6DE5A29D">
            <w:pPr>
              <w:jc w:val="center"/>
              <w:rPr>
                <w:rFonts w:hint="default"/>
                <w:color w:val="auto"/>
                <w:sz w:val="24"/>
                <w:szCs w:val="24"/>
                <w:highlight w:val="none"/>
                <w:lang w:val="en-US"/>
              </w:rPr>
            </w:pPr>
            <w:r>
              <w:rPr>
                <w:rFonts w:hint="eastAsia"/>
                <w:color w:val="auto"/>
                <w:sz w:val="24"/>
                <w:szCs w:val="24"/>
                <w:highlight w:val="none"/>
              </w:rPr>
              <w:t>约</w:t>
            </w:r>
            <w:r>
              <w:rPr>
                <w:rFonts w:hint="eastAsia"/>
                <w:color w:val="auto"/>
                <w:sz w:val="24"/>
                <w:szCs w:val="24"/>
                <w:highlight w:val="none"/>
                <w:lang w:val="en-US" w:eastAsia="zh-CN"/>
              </w:rPr>
              <w:t>0.175kg</w:t>
            </w:r>
          </w:p>
        </w:tc>
        <w:tc>
          <w:tcPr>
            <w:tcW w:w="499" w:type="pct"/>
            <w:vAlign w:val="center"/>
          </w:tcPr>
          <w:p w14:paraId="0FBFADE8">
            <w:pPr>
              <w:jc w:val="center"/>
              <w:rPr>
                <w:rFonts w:hint="default"/>
                <w:color w:val="auto"/>
                <w:sz w:val="24"/>
                <w:szCs w:val="24"/>
                <w:highlight w:val="none"/>
                <w:lang w:val="en-US"/>
              </w:rPr>
            </w:pPr>
            <w:r>
              <w:rPr>
                <w:rFonts w:hint="eastAsia"/>
                <w:color w:val="auto"/>
                <w:sz w:val="24"/>
                <w:szCs w:val="24"/>
                <w:highlight w:val="none"/>
              </w:rPr>
              <w:t>约</w:t>
            </w:r>
            <w:r>
              <w:rPr>
                <w:rFonts w:hint="eastAsia"/>
                <w:color w:val="auto"/>
                <w:sz w:val="24"/>
                <w:szCs w:val="24"/>
                <w:highlight w:val="none"/>
                <w:lang w:val="en-US" w:eastAsia="zh-CN"/>
              </w:rPr>
              <w:t>1.75kg</w:t>
            </w:r>
          </w:p>
        </w:tc>
        <w:tc>
          <w:tcPr>
            <w:tcW w:w="492" w:type="pct"/>
            <w:vAlign w:val="center"/>
          </w:tcPr>
          <w:p w14:paraId="1BB1F414">
            <w:pPr>
              <w:jc w:val="center"/>
              <w:rPr>
                <w:color w:val="auto"/>
                <w:sz w:val="24"/>
                <w:szCs w:val="24"/>
                <w:highlight w:val="none"/>
              </w:rPr>
            </w:pPr>
            <w:r>
              <w:rPr>
                <w:rFonts w:hint="eastAsia"/>
                <w:color w:val="auto"/>
                <w:sz w:val="24"/>
                <w:szCs w:val="24"/>
                <w:highlight w:val="none"/>
              </w:rPr>
              <w:t>/</w:t>
            </w:r>
          </w:p>
        </w:tc>
        <w:tc>
          <w:tcPr>
            <w:tcW w:w="728" w:type="pct"/>
            <w:vAlign w:val="center"/>
          </w:tcPr>
          <w:p w14:paraId="47C6F0A9">
            <w:pPr>
              <w:jc w:val="center"/>
              <w:rPr>
                <w:color w:val="auto"/>
                <w:sz w:val="24"/>
                <w:szCs w:val="24"/>
                <w:highlight w:val="none"/>
              </w:rPr>
            </w:pPr>
            <w:r>
              <w:rPr>
                <w:rFonts w:hint="eastAsia"/>
                <w:color w:val="auto"/>
                <w:sz w:val="24"/>
                <w:szCs w:val="24"/>
                <w:highlight w:val="none"/>
              </w:rPr>
              <w:t>集中收集后暂存于公司危废暂存库内</w:t>
            </w:r>
          </w:p>
        </w:tc>
        <w:tc>
          <w:tcPr>
            <w:tcW w:w="875" w:type="pct"/>
            <w:vAlign w:val="center"/>
          </w:tcPr>
          <w:p w14:paraId="63FAF950">
            <w:pPr>
              <w:jc w:val="center"/>
              <w:rPr>
                <w:color w:val="auto"/>
                <w:sz w:val="24"/>
                <w:szCs w:val="24"/>
                <w:highlight w:val="none"/>
              </w:rPr>
            </w:pPr>
            <w:r>
              <w:rPr>
                <w:rFonts w:hint="eastAsia"/>
                <w:color w:val="auto"/>
                <w:sz w:val="24"/>
                <w:szCs w:val="24"/>
                <w:highlight w:val="none"/>
              </w:rPr>
              <w:t>集中收贮后，交由有资质的单位处理处置</w:t>
            </w:r>
          </w:p>
        </w:tc>
      </w:tr>
      <w:tr w14:paraId="1E682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31481BD2">
            <w:pPr>
              <w:jc w:val="center"/>
              <w:rPr>
                <w:color w:val="auto"/>
                <w:szCs w:val="21"/>
                <w:highlight w:val="none"/>
              </w:rPr>
            </w:pPr>
          </w:p>
        </w:tc>
        <w:tc>
          <w:tcPr>
            <w:tcW w:w="464" w:type="pct"/>
            <w:vAlign w:val="center"/>
          </w:tcPr>
          <w:p w14:paraId="4A6C454A">
            <w:pPr>
              <w:jc w:val="center"/>
              <w:rPr>
                <w:color w:val="auto"/>
                <w:szCs w:val="21"/>
                <w:highlight w:val="none"/>
              </w:rPr>
            </w:pPr>
          </w:p>
        </w:tc>
        <w:tc>
          <w:tcPr>
            <w:tcW w:w="471" w:type="pct"/>
            <w:vAlign w:val="center"/>
          </w:tcPr>
          <w:p w14:paraId="5E42A6C1">
            <w:pPr>
              <w:spacing w:line="240" w:lineRule="exact"/>
              <w:jc w:val="center"/>
              <w:rPr>
                <w:color w:val="auto"/>
                <w:szCs w:val="21"/>
                <w:highlight w:val="none"/>
              </w:rPr>
            </w:pPr>
          </w:p>
        </w:tc>
        <w:tc>
          <w:tcPr>
            <w:tcW w:w="285" w:type="pct"/>
            <w:vAlign w:val="center"/>
          </w:tcPr>
          <w:p w14:paraId="6E8A3785">
            <w:pPr>
              <w:widowControl/>
              <w:jc w:val="center"/>
              <w:rPr>
                <w:color w:val="auto"/>
                <w:szCs w:val="21"/>
                <w:highlight w:val="none"/>
              </w:rPr>
            </w:pPr>
          </w:p>
        </w:tc>
        <w:tc>
          <w:tcPr>
            <w:tcW w:w="548" w:type="pct"/>
            <w:vAlign w:val="center"/>
          </w:tcPr>
          <w:p w14:paraId="4445E4C0">
            <w:pPr>
              <w:jc w:val="center"/>
              <w:rPr>
                <w:color w:val="auto"/>
                <w:szCs w:val="21"/>
                <w:highlight w:val="none"/>
              </w:rPr>
            </w:pPr>
          </w:p>
        </w:tc>
        <w:tc>
          <w:tcPr>
            <w:tcW w:w="499" w:type="pct"/>
            <w:vAlign w:val="center"/>
          </w:tcPr>
          <w:p w14:paraId="7A197A97">
            <w:pPr>
              <w:spacing w:before="156" w:beforeLines="50" w:line="320" w:lineRule="exact"/>
              <w:ind w:left="48" w:leftChars="2" w:right="57" w:hanging="44" w:hangingChars="21"/>
              <w:jc w:val="center"/>
              <w:rPr>
                <w:color w:val="auto"/>
                <w:szCs w:val="21"/>
                <w:highlight w:val="none"/>
              </w:rPr>
            </w:pPr>
          </w:p>
        </w:tc>
        <w:tc>
          <w:tcPr>
            <w:tcW w:w="492" w:type="pct"/>
            <w:vAlign w:val="center"/>
          </w:tcPr>
          <w:p w14:paraId="7B0AA48F">
            <w:pPr>
              <w:widowControl/>
              <w:jc w:val="center"/>
              <w:rPr>
                <w:color w:val="auto"/>
                <w:szCs w:val="21"/>
                <w:highlight w:val="none"/>
              </w:rPr>
            </w:pPr>
          </w:p>
        </w:tc>
        <w:tc>
          <w:tcPr>
            <w:tcW w:w="728" w:type="pct"/>
            <w:vAlign w:val="center"/>
          </w:tcPr>
          <w:p w14:paraId="1718A542">
            <w:pPr>
              <w:spacing w:line="320" w:lineRule="exact"/>
              <w:ind w:left="-52" w:leftChars="-25" w:right="-54" w:rightChars="-26"/>
              <w:jc w:val="center"/>
              <w:rPr>
                <w:color w:val="auto"/>
                <w:szCs w:val="21"/>
                <w:highlight w:val="none"/>
              </w:rPr>
            </w:pPr>
          </w:p>
        </w:tc>
        <w:tc>
          <w:tcPr>
            <w:tcW w:w="875" w:type="pct"/>
            <w:vAlign w:val="center"/>
          </w:tcPr>
          <w:p w14:paraId="342A5B46">
            <w:pPr>
              <w:spacing w:line="320" w:lineRule="exact"/>
              <w:ind w:left="-52" w:leftChars="-25" w:right="-54" w:rightChars="-26"/>
              <w:jc w:val="center"/>
              <w:rPr>
                <w:color w:val="auto"/>
                <w:szCs w:val="21"/>
                <w:highlight w:val="none"/>
              </w:rPr>
            </w:pPr>
          </w:p>
        </w:tc>
      </w:tr>
      <w:tr w14:paraId="0B8E1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26F1454E">
            <w:pPr>
              <w:jc w:val="center"/>
              <w:rPr>
                <w:color w:val="auto"/>
                <w:szCs w:val="21"/>
                <w:highlight w:val="none"/>
              </w:rPr>
            </w:pPr>
          </w:p>
        </w:tc>
        <w:tc>
          <w:tcPr>
            <w:tcW w:w="464" w:type="pct"/>
            <w:vAlign w:val="center"/>
          </w:tcPr>
          <w:p w14:paraId="7445A982">
            <w:pPr>
              <w:jc w:val="center"/>
              <w:rPr>
                <w:color w:val="auto"/>
                <w:szCs w:val="21"/>
                <w:highlight w:val="none"/>
              </w:rPr>
            </w:pPr>
          </w:p>
        </w:tc>
        <w:tc>
          <w:tcPr>
            <w:tcW w:w="471" w:type="pct"/>
            <w:vAlign w:val="center"/>
          </w:tcPr>
          <w:p w14:paraId="2CB80D1F">
            <w:pPr>
              <w:spacing w:line="240" w:lineRule="exact"/>
              <w:jc w:val="center"/>
              <w:rPr>
                <w:color w:val="auto"/>
                <w:szCs w:val="21"/>
                <w:highlight w:val="none"/>
              </w:rPr>
            </w:pPr>
          </w:p>
        </w:tc>
        <w:tc>
          <w:tcPr>
            <w:tcW w:w="285" w:type="pct"/>
            <w:vAlign w:val="center"/>
          </w:tcPr>
          <w:p w14:paraId="72FE970B">
            <w:pPr>
              <w:widowControl/>
              <w:jc w:val="center"/>
              <w:rPr>
                <w:color w:val="auto"/>
                <w:szCs w:val="21"/>
                <w:highlight w:val="none"/>
              </w:rPr>
            </w:pPr>
          </w:p>
        </w:tc>
        <w:tc>
          <w:tcPr>
            <w:tcW w:w="548" w:type="pct"/>
            <w:vAlign w:val="center"/>
          </w:tcPr>
          <w:p w14:paraId="28DFF7EA">
            <w:pPr>
              <w:jc w:val="center"/>
              <w:rPr>
                <w:color w:val="auto"/>
                <w:szCs w:val="21"/>
                <w:highlight w:val="none"/>
              </w:rPr>
            </w:pPr>
          </w:p>
        </w:tc>
        <w:tc>
          <w:tcPr>
            <w:tcW w:w="499" w:type="pct"/>
            <w:vAlign w:val="center"/>
          </w:tcPr>
          <w:p w14:paraId="51C0F1F2">
            <w:pPr>
              <w:spacing w:before="156" w:beforeLines="50" w:line="320" w:lineRule="exact"/>
              <w:ind w:left="48" w:leftChars="2" w:right="57" w:hanging="44" w:hangingChars="21"/>
              <w:jc w:val="center"/>
              <w:rPr>
                <w:color w:val="auto"/>
                <w:szCs w:val="21"/>
                <w:highlight w:val="none"/>
              </w:rPr>
            </w:pPr>
          </w:p>
        </w:tc>
        <w:tc>
          <w:tcPr>
            <w:tcW w:w="492" w:type="pct"/>
            <w:vAlign w:val="center"/>
          </w:tcPr>
          <w:p w14:paraId="71BF7436">
            <w:pPr>
              <w:widowControl/>
              <w:jc w:val="center"/>
              <w:rPr>
                <w:color w:val="auto"/>
                <w:szCs w:val="21"/>
                <w:highlight w:val="none"/>
              </w:rPr>
            </w:pPr>
          </w:p>
        </w:tc>
        <w:tc>
          <w:tcPr>
            <w:tcW w:w="728" w:type="pct"/>
            <w:vAlign w:val="center"/>
          </w:tcPr>
          <w:p w14:paraId="023895B2">
            <w:pPr>
              <w:spacing w:line="320" w:lineRule="exact"/>
              <w:ind w:left="-52" w:leftChars="-25" w:right="-54" w:rightChars="-26"/>
              <w:jc w:val="center"/>
              <w:rPr>
                <w:color w:val="auto"/>
                <w:szCs w:val="21"/>
                <w:highlight w:val="none"/>
              </w:rPr>
            </w:pPr>
          </w:p>
        </w:tc>
        <w:tc>
          <w:tcPr>
            <w:tcW w:w="875" w:type="pct"/>
            <w:vAlign w:val="center"/>
          </w:tcPr>
          <w:p w14:paraId="1698C5B2">
            <w:pPr>
              <w:spacing w:line="320" w:lineRule="exact"/>
              <w:ind w:left="-52" w:leftChars="-25" w:right="-54" w:rightChars="-26"/>
              <w:jc w:val="center"/>
              <w:rPr>
                <w:color w:val="auto"/>
                <w:szCs w:val="21"/>
                <w:highlight w:val="none"/>
              </w:rPr>
            </w:pPr>
          </w:p>
        </w:tc>
      </w:tr>
      <w:tr w14:paraId="58784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13712B4A">
            <w:pPr>
              <w:jc w:val="center"/>
              <w:rPr>
                <w:color w:val="auto"/>
                <w:szCs w:val="21"/>
                <w:highlight w:val="none"/>
              </w:rPr>
            </w:pPr>
          </w:p>
        </w:tc>
        <w:tc>
          <w:tcPr>
            <w:tcW w:w="464" w:type="pct"/>
            <w:vAlign w:val="center"/>
          </w:tcPr>
          <w:p w14:paraId="45C515A4">
            <w:pPr>
              <w:jc w:val="center"/>
              <w:rPr>
                <w:color w:val="auto"/>
                <w:szCs w:val="21"/>
                <w:highlight w:val="none"/>
              </w:rPr>
            </w:pPr>
          </w:p>
        </w:tc>
        <w:tc>
          <w:tcPr>
            <w:tcW w:w="471" w:type="pct"/>
            <w:vAlign w:val="center"/>
          </w:tcPr>
          <w:p w14:paraId="2F7E2A60">
            <w:pPr>
              <w:spacing w:line="240" w:lineRule="exact"/>
              <w:jc w:val="center"/>
              <w:rPr>
                <w:color w:val="auto"/>
                <w:szCs w:val="21"/>
                <w:highlight w:val="none"/>
              </w:rPr>
            </w:pPr>
          </w:p>
        </w:tc>
        <w:tc>
          <w:tcPr>
            <w:tcW w:w="285" w:type="pct"/>
            <w:vAlign w:val="center"/>
          </w:tcPr>
          <w:p w14:paraId="41DDC8A7">
            <w:pPr>
              <w:widowControl/>
              <w:jc w:val="center"/>
              <w:rPr>
                <w:color w:val="auto"/>
                <w:szCs w:val="21"/>
                <w:highlight w:val="none"/>
              </w:rPr>
            </w:pPr>
          </w:p>
        </w:tc>
        <w:tc>
          <w:tcPr>
            <w:tcW w:w="548" w:type="pct"/>
            <w:vAlign w:val="center"/>
          </w:tcPr>
          <w:p w14:paraId="4B91DEE6">
            <w:pPr>
              <w:jc w:val="center"/>
              <w:rPr>
                <w:color w:val="auto"/>
                <w:szCs w:val="21"/>
                <w:highlight w:val="none"/>
              </w:rPr>
            </w:pPr>
          </w:p>
        </w:tc>
        <w:tc>
          <w:tcPr>
            <w:tcW w:w="499" w:type="pct"/>
            <w:vAlign w:val="center"/>
          </w:tcPr>
          <w:p w14:paraId="65329C31">
            <w:pPr>
              <w:spacing w:before="156" w:beforeLines="50" w:line="320" w:lineRule="exact"/>
              <w:ind w:left="48" w:leftChars="2" w:right="57" w:hanging="44" w:hangingChars="21"/>
              <w:jc w:val="center"/>
              <w:rPr>
                <w:color w:val="auto"/>
                <w:szCs w:val="21"/>
                <w:highlight w:val="none"/>
              </w:rPr>
            </w:pPr>
          </w:p>
        </w:tc>
        <w:tc>
          <w:tcPr>
            <w:tcW w:w="492" w:type="pct"/>
            <w:vAlign w:val="center"/>
          </w:tcPr>
          <w:p w14:paraId="5186352C">
            <w:pPr>
              <w:widowControl/>
              <w:jc w:val="center"/>
              <w:rPr>
                <w:color w:val="auto"/>
                <w:szCs w:val="21"/>
                <w:highlight w:val="none"/>
              </w:rPr>
            </w:pPr>
          </w:p>
        </w:tc>
        <w:tc>
          <w:tcPr>
            <w:tcW w:w="728" w:type="pct"/>
            <w:vAlign w:val="center"/>
          </w:tcPr>
          <w:p w14:paraId="42E6EB61">
            <w:pPr>
              <w:spacing w:line="320" w:lineRule="exact"/>
              <w:ind w:left="-52" w:leftChars="-25" w:right="-54" w:rightChars="-26"/>
              <w:jc w:val="center"/>
              <w:rPr>
                <w:color w:val="auto"/>
                <w:szCs w:val="21"/>
                <w:highlight w:val="none"/>
              </w:rPr>
            </w:pPr>
          </w:p>
        </w:tc>
        <w:tc>
          <w:tcPr>
            <w:tcW w:w="875" w:type="pct"/>
            <w:vAlign w:val="center"/>
          </w:tcPr>
          <w:p w14:paraId="1BF10494">
            <w:pPr>
              <w:spacing w:line="320" w:lineRule="exact"/>
              <w:ind w:left="-52" w:leftChars="-25" w:right="-54" w:rightChars="-26"/>
              <w:jc w:val="center"/>
              <w:rPr>
                <w:color w:val="auto"/>
                <w:szCs w:val="21"/>
                <w:highlight w:val="none"/>
              </w:rPr>
            </w:pPr>
          </w:p>
        </w:tc>
      </w:tr>
      <w:tr w14:paraId="0511F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4EED7E8A">
            <w:pPr>
              <w:jc w:val="center"/>
              <w:rPr>
                <w:color w:val="auto"/>
                <w:szCs w:val="21"/>
                <w:highlight w:val="none"/>
              </w:rPr>
            </w:pPr>
          </w:p>
        </w:tc>
        <w:tc>
          <w:tcPr>
            <w:tcW w:w="464" w:type="pct"/>
            <w:vAlign w:val="center"/>
          </w:tcPr>
          <w:p w14:paraId="09B17BB7">
            <w:pPr>
              <w:jc w:val="center"/>
              <w:rPr>
                <w:color w:val="auto"/>
                <w:szCs w:val="21"/>
                <w:highlight w:val="none"/>
              </w:rPr>
            </w:pPr>
          </w:p>
        </w:tc>
        <w:tc>
          <w:tcPr>
            <w:tcW w:w="471" w:type="pct"/>
            <w:vAlign w:val="center"/>
          </w:tcPr>
          <w:p w14:paraId="564F024C">
            <w:pPr>
              <w:spacing w:line="240" w:lineRule="exact"/>
              <w:jc w:val="center"/>
              <w:rPr>
                <w:color w:val="auto"/>
                <w:szCs w:val="21"/>
                <w:highlight w:val="none"/>
              </w:rPr>
            </w:pPr>
          </w:p>
        </w:tc>
        <w:tc>
          <w:tcPr>
            <w:tcW w:w="285" w:type="pct"/>
            <w:vAlign w:val="center"/>
          </w:tcPr>
          <w:p w14:paraId="722ECA7F">
            <w:pPr>
              <w:widowControl/>
              <w:jc w:val="center"/>
              <w:rPr>
                <w:color w:val="auto"/>
                <w:szCs w:val="21"/>
                <w:highlight w:val="none"/>
              </w:rPr>
            </w:pPr>
          </w:p>
        </w:tc>
        <w:tc>
          <w:tcPr>
            <w:tcW w:w="548" w:type="pct"/>
            <w:vAlign w:val="center"/>
          </w:tcPr>
          <w:p w14:paraId="3A0BEE1F">
            <w:pPr>
              <w:jc w:val="center"/>
              <w:rPr>
                <w:color w:val="auto"/>
                <w:szCs w:val="21"/>
                <w:highlight w:val="none"/>
              </w:rPr>
            </w:pPr>
          </w:p>
        </w:tc>
        <w:tc>
          <w:tcPr>
            <w:tcW w:w="499" w:type="pct"/>
            <w:vAlign w:val="center"/>
          </w:tcPr>
          <w:p w14:paraId="5747408B">
            <w:pPr>
              <w:spacing w:before="156" w:beforeLines="50" w:line="320" w:lineRule="exact"/>
              <w:ind w:left="48" w:leftChars="2" w:right="57" w:hanging="44" w:hangingChars="21"/>
              <w:jc w:val="center"/>
              <w:rPr>
                <w:color w:val="auto"/>
                <w:szCs w:val="21"/>
                <w:highlight w:val="none"/>
              </w:rPr>
            </w:pPr>
          </w:p>
        </w:tc>
        <w:tc>
          <w:tcPr>
            <w:tcW w:w="492" w:type="pct"/>
            <w:vAlign w:val="center"/>
          </w:tcPr>
          <w:p w14:paraId="5904DB42">
            <w:pPr>
              <w:widowControl/>
              <w:jc w:val="center"/>
              <w:rPr>
                <w:color w:val="auto"/>
                <w:szCs w:val="21"/>
                <w:highlight w:val="none"/>
              </w:rPr>
            </w:pPr>
          </w:p>
        </w:tc>
        <w:tc>
          <w:tcPr>
            <w:tcW w:w="728" w:type="pct"/>
            <w:vAlign w:val="center"/>
          </w:tcPr>
          <w:p w14:paraId="3655FE3B">
            <w:pPr>
              <w:spacing w:line="320" w:lineRule="exact"/>
              <w:ind w:left="-52" w:leftChars="-25" w:right="-54" w:rightChars="-26"/>
              <w:jc w:val="center"/>
              <w:rPr>
                <w:color w:val="auto"/>
                <w:szCs w:val="21"/>
                <w:highlight w:val="none"/>
              </w:rPr>
            </w:pPr>
          </w:p>
        </w:tc>
        <w:tc>
          <w:tcPr>
            <w:tcW w:w="875" w:type="pct"/>
            <w:vAlign w:val="center"/>
          </w:tcPr>
          <w:p w14:paraId="73CA3C0E">
            <w:pPr>
              <w:spacing w:line="320" w:lineRule="exact"/>
              <w:ind w:left="-52" w:leftChars="-25" w:right="-54" w:rightChars="-26"/>
              <w:jc w:val="center"/>
              <w:rPr>
                <w:color w:val="auto"/>
                <w:szCs w:val="21"/>
                <w:highlight w:val="none"/>
              </w:rPr>
            </w:pPr>
          </w:p>
        </w:tc>
      </w:tr>
      <w:tr w14:paraId="7D7C1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5E904079">
            <w:pPr>
              <w:jc w:val="center"/>
              <w:rPr>
                <w:color w:val="auto"/>
                <w:szCs w:val="21"/>
                <w:highlight w:val="none"/>
              </w:rPr>
            </w:pPr>
          </w:p>
        </w:tc>
        <w:tc>
          <w:tcPr>
            <w:tcW w:w="464" w:type="pct"/>
            <w:vAlign w:val="center"/>
          </w:tcPr>
          <w:p w14:paraId="6B15A389">
            <w:pPr>
              <w:jc w:val="center"/>
              <w:rPr>
                <w:color w:val="auto"/>
                <w:szCs w:val="21"/>
                <w:highlight w:val="none"/>
              </w:rPr>
            </w:pPr>
          </w:p>
        </w:tc>
        <w:tc>
          <w:tcPr>
            <w:tcW w:w="471" w:type="pct"/>
            <w:vAlign w:val="center"/>
          </w:tcPr>
          <w:p w14:paraId="62B0F18F">
            <w:pPr>
              <w:spacing w:line="240" w:lineRule="exact"/>
              <w:jc w:val="center"/>
              <w:rPr>
                <w:color w:val="auto"/>
                <w:szCs w:val="21"/>
                <w:highlight w:val="none"/>
              </w:rPr>
            </w:pPr>
          </w:p>
        </w:tc>
        <w:tc>
          <w:tcPr>
            <w:tcW w:w="285" w:type="pct"/>
            <w:vAlign w:val="center"/>
          </w:tcPr>
          <w:p w14:paraId="779D2387">
            <w:pPr>
              <w:widowControl/>
              <w:jc w:val="center"/>
              <w:rPr>
                <w:color w:val="auto"/>
                <w:szCs w:val="21"/>
                <w:highlight w:val="none"/>
              </w:rPr>
            </w:pPr>
          </w:p>
        </w:tc>
        <w:tc>
          <w:tcPr>
            <w:tcW w:w="548" w:type="pct"/>
            <w:vAlign w:val="center"/>
          </w:tcPr>
          <w:p w14:paraId="5F424633">
            <w:pPr>
              <w:jc w:val="center"/>
              <w:rPr>
                <w:color w:val="auto"/>
                <w:szCs w:val="21"/>
                <w:highlight w:val="none"/>
              </w:rPr>
            </w:pPr>
          </w:p>
        </w:tc>
        <w:tc>
          <w:tcPr>
            <w:tcW w:w="499" w:type="pct"/>
            <w:vAlign w:val="center"/>
          </w:tcPr>
          <w:p w14:paraId="390538CE">
            <w:pPr>
              <w:spacing w:before="156" w:beforeLines="50" w:line="320" w:lineRule="exact"/>
              <w:ind w:left="48" w:leftChars="2" w:right="57" w:hanging="44" w:hangingChars="21"/>
              <w:jc w:val="center"/>
              <w:rPr>
                <w:color w:val="auto"/>
                <w:szCs w:val="21"/>
                <w:highlight w:val="none"/>
              </w:rPr>
            </w:pPr>
          </w:p>
        </w:tc>
        <w:tc>
          <w:tcPr>
            <w:tcW w:w="492" w:type="pct"/>
            <w:vAlign w:val="center"/>
          </w:tcPr>
          <w:p w14:paraId="7AF0470E">
            <w:pPr>
              <w:widowControl/>
              <w:jc w:val="center"/>
              <w:rPr>
                <w:color w:val="auto"/>
                <w:szCs w:val="21"/>
                <w:highlight w:val="none"/>
              </w:rPr>
            </w:pPr>
          </w:p>
        </w:tc>
        <w:tc>
          <w:tcPr>
            <w:tcW w:w="728" w:type="pct"/>
            <w:vAlign w:val="center"/>
          </w:tcPr>
          <w:p w14:paraId="689FF3F0">
            <w:pPr>
              <w:spacing w:line="320" w:lineRule="exact"/>
              <w:ind w:left="-52" w:leftChars="-25" w:right="-54" w:rightChars="-26"/>
              <w:jc w:val="center"/>
              <w:rPr>
                <w:color w:val="auto"/>
                <w:szCs w:val="21"/>
                <w:highlight w:val="none"/>
              </w:rPr>
            </w:pPr>
          </w:p>
        </w:tc>
        <w:tc>
          <w:tcPr>
            <w:tcW w:w="875" w:type="pct"/>
            <w:vAlign w:val="center"/>
          </w:tcPr>
          <w:p w14:paraId="6968132C">
            <w:pPr>
              <w:spacing w:line="320" w:lineRule="exact"/>
              <w:ind w:left="-52" w:leftChars="-25" w:right="-54" w:rightChars="-26"/>
              <w:jc w:val="center"/>
              <w:rPr>
                <w:color w:val="auto"/>
                <w:szCs w:val="21"/>
                <w:highlight w:val="none"/>
              </w:rPr>
            </w:pPr>
          </w:p>
        </w:tc>
      </w:tr>
      <w:tr w14:paraId="43551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6DB486D9">
            <w:pPr>
              <w:jc w:val="center"/>
              <w:rPr>
                <w:color w:val="auto"/>
                <w:szCs w:val="21"/>
                <w:highlight w:val="none"/>
              </w:rPr>
            </w:pPr>
          </w:p>
        </w:tc>
        <w:tc>
          <w:tcPr>
            <w:tcW w:w="464" w:type="pct"/>
            <w:vAlign w:val="center"/>
          </w:tcPr>
          <w:p w14:paraId="239081CB">
            <w:pPr>
              <w:jc w:val="center"/>
              <w:rPr>
                <w:color w:val="auto"/>
                <w:szCs w:val="21"/>
                <w:highlight w:val="none"/>
              </w:rPr>
            </w:pPr>
          </w:p>
        </w:tc>
        <w:tc>
          <w:tcPr>
            <w:tcW w:w="471" w:type="pct"/>
            <w:vAlign w:val="center"/>
          </w:tcPr>
          <w:p w14:paraId="76F8C22C">
            <w:pPr>
              <w:spacing w:line="240" w:lineRule="exact"/>
              <w:jc w:val="center"/>
              <w:rPr>
                <w:color w:val="auto"/>
                <w:szCs w:val="21"/>
                <w:highlight w:val="none"/>
              </w:rPr>
            </w:pPr>
          </w:p>
        </w:tc>
        <w:tc>
          <w:tcPr>
            <w:tcW w:w="285" w:type="pct"/>
            <w:vAlign w:val="center"/>
          </w:tcPr>
          <w:p w14:paraId="13072D5B">
            <w:pPr>
              <w:widowControl/>
              <w:jc w:val="center"/>
              <w:rPr>
                <w:color w:val="auto"/>
                <w:szCs w:val="21"/>
                <w:highlight w:val="none"/>
              </w:rPr>
            </w:pPr>
          </w:p>
        </w:tc>
        <w:tc>
          <w:tcPr>
            <w:tcW w:w="548" w:type="pct"/>
            <w:vAlign w:val="center"/>
          </w:tcPr>
          <w:p w14:paraId="254FE940">
            <w:pPr>
              <w:jc w:val="center"/>
              <w:rPr>
                <w:color w:val="auto"/>
                <w:szCs w:val="21"/>
                <w:highlight w:val="none"/>
              </w:rPr>
            </w:pPr>
          </w:p>
        </w:tc>
        <w:tc>
          <w:tcPr>
            <w:tcW w:w="499" w:type="pct"/>
            <w:vAlign w:val="center"/>
          </w:tcPr>
          <w:p w14:paraId="638D93C7">
            <w:pPr>
              <w:spacing w:before="156" w:beforeLines="50" w:line="320" w:lineRule="exact"/>
              <w:ind w:left="48" w:leftChars="2" w:right="57" w:hanging="44" w:hangingChars="21"/>
              <w:jc w:val="center"/>
              <w:rPr>
                <w:color w:val="auto"/>
                <w:szCs w:val="21"/>
                <w:highlight w:val="none"/>
              </w:rPr>
            </w:pPr>
          </w:p>
        </w:tc>
        <w:tc>
          <w:tcPr>
            <w:tcW w:w="492" w:type="pct"/>
            <w:vAlign w:val="center"/>
          </w:tcPr>
          <w:p w14:paraId="0848D88C">
            <w:pPr>
              <w:widowControl/>
              <w:jc w:val="center"/>
              <w:rPr>
                <w:color w:val="auto"/>
                <w:szCs w:val="21"/>
                <w:highlight w:val="none"/>
              </w:rPr>
            </w:pPr>
          </w:p>
        </w:tc>
        <w:tc>
          <w:tcPr>
            <w:tcW w:w="728" w:type="pct"/>
            <w:vAlign w:val="center"/>
          </w:tcPr>
          <w:p w14:paraId="2555B384">
            <w:pPr>
              <w:spacing w:line="320" w:lineRule="exact"/>
              <w:ind w:left="-52" w:leftChars="-25" w:right="-54" w:rightChars="-26"/>
              <w:jc w:val="center"/>
              <w:rPr>
                <w:color w:val="auto"/>
                <w:szCs w:val="21"/>
                <w:highlight w:val="none"/>
              </w:rPr>
            </w:pPr>
          </w:p>
        </w:tc>
        <w:tc>
          <w:tcPr>
            <w:tcW w:w="875" w:type="pct"/>
            <w:vAlign w:val="center"/>
          </w:tcPr>
          <w:p w14:paraId="744F2F89">
            <w:pPr>
              <w:spacing w:line="320" w:lineRule="exact"/>
              <w:ind w:left="-52" w:leftChars="-25" w:right="-54" w:rightChars="-26"/>
              <w:jc w:val="center"/>
              <w:rPr>
                <w:color w:val="auto"/>
                <w:szCs w:val="21"/>
                <w:highlight w:val="none"/>
              </w:rPr>
            </w:pPr>
          </w:p>
        </w:tc>
      </w:tr>
      <w:tr w14:paraId="3F7A5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3B167DEC">
            <w:pPr>
              <w:jc w:val="center"/>
              <w:rPr>
                <w:color w:val="auto"/>
                <w:szCs w:val="21"/>
                <w:highlight w:val="none"/>
              </w:rPr>
            </w:pPr>
          </w:p>
        </w:tc>
        <w:tc>
          <w:tcPr>
            <w:tcW w:w="464" w:type="pct"/>
            <w:vAlign w:val="center"/>
          </w:tcPr>
          <w:p w14:paraId="6F90F863">
            <w:pPr>
              <w:jc w:val="center"/>
              <w:rPr>
                <w:color w:val="auto"/>
                <w:szCs w:val="21"/>
                <w:highlight w:val="none"/>
              </w:rPr>
            </w:pPr>
          </w:p>
        </w:tc>
        <w:tc>
          <w:tcPr>
            <w:tcW w:w="471" w:type="pct"/>
            <w:vAlign w:val="center"/>
          </w:tcPr>
          <w:p w14:paraId="008F714B">
            <w:pPr>
              <w:spacing w:line="240" w:lineRule="exact"/>
              <w:jc w:val="center"/>
              <w:rPr>
                <w:color w:val="auto"/>
                <w:szCs w:val="21"/>
                <w:highlight w:val="none"/>
              </w:rPr>
            </w:pPr>
          </w:p>
        </w:tc>
        <w:tc>
          <w:tcPr>
            <w:tcW w:w="285" w:type="pct"/>
            <w:vAlign w:val="center"/>
          </w:tcPr>
          <w:p w14:paraId="2BEE3DE8">
            <w:pPr>
              <w:widowControl/>
              <w:jc w:val="center"/>
              <w:rPr>
                <w:color w:val="auto"/>
                <w:szCs w:val="21"/>
                <w:highlight w:val="none"/>
              </w:rPr>
            </w:pPr>
          </w:p>
        </w:tc>
        <w:tc>
          <w:tcPr>
            <w:tcW w:w="548" w:type="pct"/>
            <w:vAlign w:val="center"/>
          </w:tcPr>
          <w:p w14:paraId="51EBAAC4">
            <w:pPr>
              <w:jc w:val="center"/>
              <w:rPr>
                <w:color w:val="auto"/>
                <w:szCs w:val="21"/>
                <w:highlight w:val="none"/>
              </w:rPr>
            </w:pPr>
          </w:p>
        </w:tc>
        <w:tc>
          <w:tcPr>
            <w:tcW w:w="499" w:type="pct"/>
            <w:vAlign w:val="center"/>
          </w:tcPr>
          <w:p w14:paraId="481B3F55">
            <w:pPr>
              <w:spacing w:before="156" w:beforeLines="50" w:line="320" w:lineRule="exact"/>
              <w:ind w:left="48" w:leftChars="2" w:right="57" w:hanging="44" w:hangingChars="21"/>
              <w:jc w:val="center"/>
              <w:rPr>
                <w:color w:val="auto"/>
                <w:szCs w:val="21"/>
                <w:highlight w:val="none"/>
              </w:rPr>
            </w:pPr>
          </w:p>
        </w:tc>
        <w:tc>
          <w:tcPr>
            <w:tcW w:w="492" w:type="pct"/>
            <w:vAlign w:val="center"/>
          </w:tcPr>
          <w:p w14:paraId="50FCBD72">
            <w:pPr>
              <w:widowControl/>
              <w:jc w:val="center"/>
              <w:rPr>
                <w:color w:val="auto"/>
                <w:szCs w:val="21"/>
                <w:highlight w:val="none"/>
              </w:rPr>
            </w:pPr>
          </w:p>
        </w:tc>
        <w:tc>
          <w:tcPr>
            <w:tcW w:w="728" w:type="pct"/>
            <w:vAlign w:val="center"/>
          </w:tcPr>
          <w:p w14:paraId="5B37C1EE">
            <w:pPr>
              <w:spacing w:line="320" w:lineRule="exact"/>
              <w:ind w:left="-52" w:leftChars="-25" w:right="-54" w:rightChars="-26"/>
              <w:jc w:val="center"/>
              <w:rPr>
                <w:color w:val="auto"/>
                <w:szCs w:val="21"/>
                <w:highlight w:val="none"/>
              </w:rPr>
            </w:pPr>
          </w:p>
        </w:tc>
        <w:tc>
          <w:tcPr>
            <w:tcW w:w="875" w:type="pct"/>
            <w:vAlign w:val="center"/>
          </w:tcPr>
          <w:p w14:paraId="38B44617">
            <w:pPr>
              <w:spacing w:line="320" w:lineRule="exact"/>
              <w:ind w:left="-52" w:leftChars="-25" w:right="-54" w:rightChars="-26"/>
              <w:jc w:val="center"/>
              <w:rPr>
                <w:color w:val="auto"/>
                <w:szCs w:val="21"/>
                <w:highlight w:val="none"/>
              </w:rPr>
            </w:pPr>
          </w:p>
        </w:tc>
      </w:tr>
      <w:tr w14:paraId="752F5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072014DE">
            <w:pPr>
              <w:jc w:val="center"/>
              <w:rPr>
                <w:color w:val="auto"/>
                <w:szCs w:val="21"/>
                <w:highlight w:val="none"/>
              </w:rPr>
            </w:pPr>
          </w:p>
        </w:tc>
        <w:tc>
          <w:tcPr>
            <w:tcW w:w="464" w:type="pct"/>
            <w:vAlign w:val="center"/>
          </w:tcPr>
          <w:p w14:paraId="69005D5B">
            <w:pPr>
              <w:jc w:val="center"/>
              <w:rPr>
                <w:color w:val="auto"/>
                <w:szCs w:val="21"/>
                <w:highlight w:val="none"/>
              </w:rPr>
            </w:pPr>
          </w:p>
        </w:tc>
        <w:tc>
          <w:tcPr>
            <w:tcW w:w="471" w:type="pct"/>
            <w:vAlign w:val="center"/>
          </w:tcPr>
          <w:p w14:paraId="40524D3C">
            <w:pPr>
              <w:spacing w:line="240" w:lineRule="exact"/>
              <w:jc w:val="center"/>
              <w:rPr>
                <w:color w:val="auto"/>
                <w:szCs w:val="21"/>
                <w:highlight w:val="none"/>
              </w:rPr>
            </w:pPr>
          </w:p>
        </w:tc>
        <w:tc>
          <w:tcPr>
            <w:tcW w:w="285" w:type="pct"/>
            <w:vAlign w:val="center"/>
          </w:tcPr>
          <w:p w14:paraId="2048C260">
            <w:pPr>
              <w:widowControl/>
              <w:jc w:val="center"/>
              <w:rPr>
                <w:color w:val="auto"/>
                <w:szCs w:val="21"/>
                <w:highlight w:val="none"/>
              </w:rPr>
            </w:pPr>
          </w:p>
        </w:tc>
        <w:tc>
          <w:tcPr>
            <w:tcW w:w="548" w:type="pct"/>
            <w:vAlign w:val="center"/>
          </w:tcPr>
          <w:p w14:paraId="05CD1491">
            <w:pPr>
              <w:jc w:val="center"/>
              <w:rPr>
                <w:color w:val="auto"/>
                <w:szCs w:val="21"/>
                <w:highlight w:val="none"/>
              </w:rPr>
            </w:pPr>
          </w:p>
        </w:tc>
        <w:tc>
          <w:tcPr>
            <w:tcW w:w="499" w:type="pct"/>
            <w:vAlign w:val="center"/>
          </w:tcPr>
          <w:p w14:paraId="52EC6AEC">
            <w:pPr>
              <w:spacing w:before="156" w:beforeLines="50" w:line="320" w:lineRule="exact"/>
              <w:ind w:left="48" w:leftChars="2" w:right="57" w:hanging="44" w:hangingChars="21"/>
              <w:jc w:val="center"/>
              <w:rPr>
                <w:color w:val="auto"/>
                <w:szCs w:val="21"/>
                <w:highlight w:val="none"/>
              </w:rPr>
            </w:pPr>
          </w:p>
        </w:tc>
        <w:tc>
          <w:tcPr>
            <w:tcW w:w="492" w:type="pct"/>
            <w:vAlign w:val="center"/>
          </w:tcPr>
          <w:p w14:paraId="1F83E61F">
            <w:pPr>
              <w:widowControl/>
              <w:jc w:val="center"/>
              <w:rPr>
                <w:color w:val="auto"/>
                <w:szCs w:val="21"/>
                <w:highlight w:val="none"/>
              </w:rPr>
            </w:pPr>
          </w:p>
        </w:tc>
        <w:tc>
          <w:tcPr>
            <w:tcW w:w="728" w:type="pct"/>
            <w:vAlign w:val="center"/>
          </w:tcPr>
          <w:p w14:paraId="557F1BAB">
            <w:pPr>
              <w:spacing w:line="320" w:lineRule="exact"/>
              <w:ind w:left="-52" w:leftChars="-25" w:right="-54" w:rightChars="-26"/>
              <w:jc w:val="center"/>
              <w:rPr>
                <w:color w:val="auto"/>
                <w:szCs w:val="21"/>
                <w:highlight w:val="none"/>
              </w:rPr>
            </w:pPr>
          </w:p>
        </w:tc>
        <w:tc>
          <w:tcPr>
            <w:tcW w:w="875" w:type="pct"/>
            <w:vAlign w:val="center"/>
          </w:tcPr>
          <w:p w14:paraId="7C28BF6E">
            <w:pPr>
              <w:spacing w:line="320" w:lineRule="exact"/>
              <w:ind w:left="-52" w:leftChars="-25" w:right="-54" w:rightChars="-26"/>
              <w:jc w:val="center"/>
              <w:rPr>
                <w:color w:val="auto"/>
                <w:szCs w:val="21"/>
                <w:highlight w:val="none"/>
              </w:rPr>
            </w:pPr>
          </w:p>
        </w:tc>
      </w:tr>
      <w:tr w14:paraId="7DA30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pct"/>
            <w:vAlign w:val="center"/>
          </w:tcPr>
          <w:p w14:paraId="7563A023">
            <w:pPr>
              <w:jc w:val="center"/>
              <w:rPr>
                <w:color w:val="auto"/>
                <w:szCs w:val="21"/>
                <w:highlight w:val="none"/>
              </w:rPr>
            </w:pPr>
          </w:p>
        </w:tc>
        <w:tc>
          <w:tcPr>
            <w:tcW w:w="464" w:type="pct"/>
            <w:vAlign w:val="center"/>
          </w:tcPr>
          <w:p w14:paraId="0BE7227E">
            <w:pPr>
              <w:jc w:val="center"/>
              <w:rPr>
                <w:color w:val="auto"/>
                <w:szCs w:val="21"/>
                <w:highlight w:val="none"/>
              </w:rPr>
            </w:pPr>
          </w:p>
        </w:tc>
        <w:tc>
          <w:tcPr>
            <w:tcW w:w="471" w:type="pct"/>
            <w:vAlign w:val="center"/>
          </w:tcPr>
          <w:p w14:paraId="67269245">
            <w:pPr>
              <w:spacing w:line="240" w:lineRule="exact"/>
              <w:jc w:val="center"/>
              <w:rPr>
                <w:color w:val="auto"/>
                <w:szCs w:val="21"/>
                <w:highlight w:val="none"/>
              </w:rPr>
            </w:pPr>
          </w:p>
        </w:tc>
        <w:tc>
          <w:tcPr>
            <w:tcW w:w="285" w:type="pct"/>
            <w:vAlign w:val="center"/>
          </w:tcPr>
          <w:p w14:paraId="7E4923B8">
            <w:pPr>
              <w:widowControl/>
              <w:jc w:val="center"/>
              <w:rPr>
                <w:color w:val="auto"/>
                <w:szCs w:val="21"/>
                <w:highlight w:val="none"/>
              </w:rPr>
            </w:pPr>
          </w:p>
        </w:tc>
        <w:tc>
          <w:tcPr>
            <w:tcW w:w="548" w:type="pct"/>
            <w:vAlign w:val="center"/>
          </w:tcPr>
          <w:p w14:paraId="7A6C351A">
            <w:pPr>
              <w:jc w:val="center"/>
              <w:rPr>
                <w:color w:val="auto"/>
                <w:szCs w:val="21"/>
                <w:highlight w:val="none"/>
              </w:rPr>
            </w:pPr>
          </w:p>
        </w:tc>
        <w:tc>
          <w:tcPr>
            <w:tcW w:w="499" w:type="pct"/>
            <w:vAlign w:val="center"/>
          </w:tcPr>
          <w:p w14:paraId="4A1E1FB9">
            <w:pPr>
              <w:spacing w:before="156" w:beforeLines="50" w:line="320" w:lineRule="exact"/>
              <w:ind w:left="48" w:leftChars="2" w:right="57" w:hanging="44" w:hangingChars="21"/>
              <w:jc w:val="center"/>
              <w:rPr>
                <w:color w:val="auto"/>
                <w:szCs w:val="21"/>
                <w:highlight w:val="none"/>
              </w:rPr>
            </w:pPr>
          </w:p>
        </w:tc>
        <w:tc>
          <w:tcPr>
            <w:tcW w:w="492" w:type="pct"/>
            <w:vAlign w:val="center"/>
          </w:tcPr>
          <w:p w14:paraId="2181B65D">
            <w:pPr>
              <w:widowControl/>
              <w:jc w:val="center"/>
              <w:rPr>
                <w:color w:val="auto"/>
                <w:szCs w:val="21"/>
                <w:highlight w:val="none"/>
              </w:rPr>
            </w:pPr>
          </w:p>
        </w:tc>
        <w:tc>
          <w:tcPr>
            <w:tcW w:w="728" w:type="pct"/>
            <w:vAlign w:val="center"/>
          </w:tcPr>
          <w:p w14:paraId="37886A3F">
            <w:pPr>
              <w:spacing w:line="320" w:lineRule="exact"/>
              <w:ind w:left="-52" w:leftChars="-25" w:right="-54" w:rightChars="-26"/>
              <w:jc w:val="center"/>
              <w:rPr>
                <w:color w:val="auto"/>
                <w:szCs w:val="21"/>
                <w:highlight w:val="none"/>
              </w:rPr>
            </w:pPr>
          </w:p>
        </w:tc>
        <w:tc>
          <w:tcPr>
            <w:tcW w:w="875" w:type="pct"/>
            <w:vAlign w:val="center"/>
          </w:tcPr>
          <w:p w14:paraId="269FC5C9">
            <w:pPr>
              <w:spacing w:line="320" w:lineRule="exact"/>
              <w:ind w:left="-52" w:leftChars="-25" w:right="-54" w:rightChars="-26"/>
              <w:jc w:val="center"/>
              <w:rPr>
                <w:color w:val="auto"/>
                <w:szCs w:val="21"/>
                <w:highlight w:val="none"/>
              </w:rPr>
            </w:pPr>
          </w:p>
        </w:tc>
      </w:tr>
    </w:tbl>
    <w:p w14:paraId="1252AAB5">
      <w:pPr>
        <w:spacing w:before="156" w:beforeLines="50"/>
        <w:rPr>
          <w:color w:val="auto"/>
          <w:highlight w:val="none"/>
        </w:rPr>
      </w:pPr>
      <w:r>
        <w:rPr>
          <w:color w:val="auto"/>
          <w:highlight w:val="none"/>
        </w:rPr>
        <w:t>注：1.常规废弃物排放浓度，对于液态单位为mg/l，固体为mg/kg，气态为mg/m</w:t>
      </w:r>
      <w:r>
        <w:rPr>
          <w:color w:val="auto"/>
          <w:highlight w:val="none"/>
          <w:vertAlign w:val="superscript"/>
        </w:rPr>
        <w:t>3</w:t>
      </w:r>
      <w:r>
        <w:rPr>
          <w:color w:val="auto"/>
          <w:highlight w:val="none"/>
        </w:rPr>
        <w:t>，年排放总量用kg。</w:t>
      </w:r>
    </w:p>
    <w:p w14:paraId="27AC9142">
      <w:pPr>
        <w:ind w:firstLine="420" w:firstLineChars="200"/>
        <w:rPr>
          <w:color w:val="auto"/>
          <w:highlight w:val="none"/>
        </w:rPr>
      </w:pPr>
      <w:r>
        <w:rPr>
          <w:color w:val="auto"/>
          <w:highlight w:val="none"/>
        </w:rPr>
        <w:t>2.含有放射性的废弃物要注明，其排放浓度用比活度(Bq/l或Bq/kg或Bq/m</w:t>
      </w:r>
      <w:r>
        <w:rPr>
          <w:color w:val="auto"/>
          <w:highlight w:val="none"/>
          <w:vertAlign w:val="superscript"/>
        </w:rPr>
        <w:t>3</w:t>
      </w:r>
      <w:r>
        <w:rPr>
          <w:color w:val="auto"/>
          <w:highlight w:val="none"/>
        </w:rPr>
        <w:t>)，年排放总量分别用Bq和kg。</w:t>
      </w:r>
    </w:p>
    <w:p w14:paraId="16CBE85E">
      <w:pPr>
        <w:rPr>
          <w:color w:val="auto"/>
        </w:rPr>
      </w:pPr>
      <w:bookmarkStart w:id="50" w:name="_Toc15389552"/>
      <w:bookmarkStart w:id="51" w:name="_Toc20164"/>
    </w:p>
    <w:p w14:paraId="6453D236">
      <w:pPr>
        <w:rPr>
          <w:color w:val="auto"/>
        </w:rPr>
        <w:sectPr>
          <w:headerReference r:id="rId8" w:type="default"/>
          <w:pgSz w:w="11907" w:h="16840"/>
          <w:pgMar w:top="1383" w:right="1463" w:bottom="1327" w:left="1576" w:header="1134" w:footer="964" w:gutter="0"/>
          <w:pgBorders>
            <w:top w:val="none" w:sz="0" w:space="0"/>
            <w:left w:val="none" w:sz="0" w:space="0"/>
            <w:bottom w:val="none" w:sz="0" w:space="0"/>
            <w:right w:val="none" w:sz="0" w:space="0"/>
          </w:pgBorders>
          <w:cols w:space="720" w:num="1"/>
          <w:docGrid w:type="linesAndChars" w:linePitch="312" w:charSpace="0"/>
        </w:sectPr>
      </w:pPr>
    </w:p>
    <w:p w14:paraId="7E568CD6">
      <w:pPr>
        <w:pStyle w:val="3"/>
        <w:spacing w:before="0" w:after="0" w:line="360" w:lineRule="auto"/>
        <w:rPr>
          <w:color w:val="auto"/>
          <w:sz w:val="28"/>
          <w:szCs w:val="28"/>
          <w:highlight w:val="none"/>
        </w:rPr>
      </w:pPr>
      <w:r>
        <w:rPr>
          <w:color w:val="auto"/>
          <w:sz w:val="28"/>
          <w:szCs w:val="28"/>
          <w:highlight w:val="none"/>
        </w:rPr>
        <w:t>表6 评价依据</w:t>
      </w:r>
      <w:bookmarkEnd w:id="50"/>
      <w:bookmarkEnd w:id="51"/>
    </w:p>
    <w:tbl>
      <w:tblPr>
        <w:tblStyle w:val="3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9"/>
        <w:gridCol w:w="7860"/>
      </w:tblGrid>
      <w:tr w14:paraId="25E02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8" w:type="pct"/>
            <w:vAlign w:val="center"/>
          </w:tcPr>
          <w:p w14:paraId="038BDBA2">
            <w:pPr>
              <w:jc w:val="center"/>
              <w:rPr>
                <w:b/>
                <w:bCs/>
                <w:color w:val="auto"/>
                <w:sz w:val="24"/>
                <w:szCs w:val="24"/>
                <w:highlight w:val="none"/>
              </w:rPr>
            </w:pPr>
            <w:r>
              <w:rPr>
                <w:b/>
                <w:bCs/>
                <w:color w:val="auto"/>
                <w:sz w:val="24"/>
                <w:szCs w:val="24"/>
                <w:highlight w:val="none"/>
              </w:rPr>
              <w:t>法规</w:t>
            </w:r>
          </w:p>
          <w:p w14:paraId="24C777AD">
            <w:pPr>
              <w:jc w:val="center"/>
              <w:rPr>
                <w:color w:val="auto"/>
                <w:sz w:val="24"/>
                <w:szCs w:val="24"/>
                <w:highlight w:val="none"/>
              </w:rPr>
            </w:pPr>
            <w:r>
              <w:rPr>
                <w:b/>
                <w:bCs/>
                <w:color w:val="auto"/>
                <w:sz w:val="24"/>
                <w:szCs w:val="24"/>
                <w:highlight w:val="none"/>
              </w:rPr>
              <w:t>文件</w:t>
            </w:r>
          </w:p>
        </w:tc>
        <w:tc>
          <w:tcPr>
            <w:tcW w:w="4381" w:type="pct"/>
          </w:tcPr>
          <w:p w14:paraId="32389262">
            <w:pPr>
              <w:adjustRightInd w:val="0"/>
              <w:snapToGrid w:val="0"/>
              <w:spacing w:line="360" w:lineRule="auto"/>
              <w:ind w:firstLine="480" w:firstLineChars="200"/>
              <w:rPr>
                <w:color w:val="auto"/>
                <w:sz w:val="24"/>
                <w:szCs w:val="24"/>
                <w:highlight w:val="none"/>
              </w:rPr>
            </w:pPr>
            <w:r>
              <w:rPr>
                <w:color w:val="auto"/>
                <w:sz w:val="24"/>
                <w:szCs w:val="24"/>
                <w:highlight w:val="none"/>
              </w:rPr>
              <w:t>（1）《中华人民共和国环境保护法》（修订版），2015年1月1日施行；</w:t>
            </w:r>
          </w:p>
          <w:p w14:paraId="3E84E6DD">
            <w:pPr>
              <w:adjustRightInd w:val="0"/>
              <w:snapToGrid w:val="0"/>
              <w:spacing w:line="360" w:lineRule="auto"/>
              <w:ind w:firstLine="480" w:firstLineChars="200"/>
              <w:rPr>
                <w:color w:val="auto"/>
                <w:sz w:val="24"/>
                <w:highlight w:val="none"/>
              </w:rPr>
            </w:pPr>
            <w:r>
              <w:rPr>
                <w:color w:val="auto"/>
                <w:sz w:val="24"/>
                <w:highlight w:val="none"/>
              </w:rPr>
              <w:t>（2）《中华人民共和国环境影响评价法》2018年12月29日修订；</w:t>
            </w:r>
          </w:p>
          <w:p w14:paraId="495F248E">
            <w:pPr>
              <w:adjustRightInd w:val="0"/>
              <w:snapToGrid w:val="0"/>
              <w:spacing w:line="360" w:lineRule="auto"/>
              <w:ind w:firstLine="480" w:firstLineChars="200"/>
              <w:rPr>
                <w:color w:val="auto"/>
                <w:sz w:val="24"/>
                <w:highlight w:val="none"/>
              </w:rPr>
            </w:pPr>
            <w:r>
              <w:rPr>
                <w:color w:val="auto"/>
                <w:sz w:val="24"/>
                <w:highlight w:val="none"/>
              </w:rPr>
              <w:t>（3）《中华人民共和国放射性污染防治法》2003年10月1日施行；</w:t>
            </w:r>
          </w:p>
          <w:p w14:paraId="1DC1B661">
            <w:pPr>
              <w:adjustRightInd w:val="0"/>
              <w:snapToGrid w:val="0"/>
              <w:spacing w:line="360" w:lineRule="auto"/>
              <w:ind w:firstLine="480" w:firstLineChars="200"/>
              <w:rPr>
                <w:color w:val="auto"/>
                <w:sz w:val="24"/>
                <w:highlight w:val="none"/>
              </w:rPr>
            </w:pPr>
            <w:r>
              <w:rPr>
                <w:color w:val="auto"/>
                <w:sz w:val="24"/>
                <w:highlight w:val="none"/>
              </w:rPr>
              <w:t>（4）《中华人民共和国大气污染防治法》2018年10月26日施行；</w:t>
            </w:r>
          </w:p>
          <w:p w14:paraId="438E923E">
            <w:pPr>
              <w:adjustRightInd w:val="0"/>
              <w:snapToGrid w:val="0"/>
              <w:spacing w:line="360" w:lineRule="auto"/>
              <w:ind w:firstLine="480" w:firstLineChars="200"/>
              <w:rPr>
                <w:color w:val="auto"/>
                <w:sz w:val="24"/>
                <w:highlight w:val="none"/>
              </w:rPr>
            </w:pPr>
            <w:r>
              <w:rPr>
                <w:color w:val="auto"/>
                <w:sz w:val="24"/>
                <w:highlight w:val="none"/>
              </w:rPr>
              <w:t>（5）《中华人民共和国水污染防治法》2018年1月1日修正施行；</w:t>
            </w:r>
          </w:p>
          <w:p w14:paraId="19E527F0">
            <w:pPr>
              <w:adjustRightInd w:val="0"/>
              <w:snapToGrid w:val="0"/>
              <w:spacing w:line="360" w:lineRule="auto"/>
              <w:ind w:firstLine="480" w:firstLineChars="200"/>
              <w:rPr>
                <w:color w:val="auto"/>
                <w:sz w:val="24"/>
                <w:highlight w:val="none"/>
              </w:rPr>
            </w:pPr>
            <w:r>
              <w:rPr>
                <w:color w:val="auto"/>
                <w:sz w:val="24"/>
                <w:highlight w:val="none"/>
              </w:rPr>
              <w:t>（6）《</w:t>
            </w:r>
            <w:r>
              <w:rPr>
                <w:rFonts w:hint="eastAsia"/>
                <w:color w:val="auto"/>
                <w:sz w:val="24"/>
                <w:highlight w:val="none"/>
              </w:rPr>
              <w:t>中华人民共和国噪声污染防治法</w:t>
            </w:r>
            <w:r>
              <w:rPr>
                <w:color w:val="auto"/>
                <w:sz w:val="24"/>
                <w:highlight w:val="none"/>
              </w:rPr>
              <w:t>》20</w:t>
            </w:r>
            <w:r>
              <w:rPr>
                <w:rFonts w:hint="eastAsia"/>
                <w:color w:val="auto"/>
                <w:sz w:val="24"/>
                <w:highlight w:val="none"/>
              </w:rPr>
              <w:t>22</w:t>
            </w:r>
            <w:r>
              <w:rPr>
                <w:color w:val="auto"/>
                <w:sz w:val="24"/>
                <w:highlight w:val="none"/>
              </w:rPr>
              <w:t>年</w:t>
            </w:r>
            <w:r>
              <w:rPr>
                <w:rFonts w:hint="eastAsia"/>
                <w:color w:val="auto"/>
                <w:sz w:val="24"/>
                <w:highlight w:val="none"/>
              </w:rPr>
              <w:t>6</w:t>
            </w:r>
            <w:r>
              <w:rPr>
                <w:color w:val="auto"/>
                <w:sz w:val="24"/>
                <w:highlight w:val="none"/>
              </w:rPr>
              <w:t>月</w:t>
            </w:r>
            <w:r>
              <w:rPr>
                <w:rFonts w:hint="eastAsia"/>
                <w:color w:val="auto"/>
                <w:sz w:val="24"/>
                <w:highlight w:val="none"/>
              </w:rPr>
              <w:t>5</w:t>
            </w:r>
            <w:r>
              <w:rPr>
                <w:color w:val="auto"/>
                <w:sz w:val="24"/>
                <w:highlight w:val="none"/>
              </w:rPr>
              <w:t>日施行</w:t>
            </w:r>
            <w:r>
              <w:rPr>
                <w:rFonts w:hint="eastAsia"/>
                <w:color w:val="auto"/>
                <w:sz w:val="24"/>
                <w:highlight w:val="none"/>
              </w:rPr>
              <w:t>；</w:t>
            </w:r>
          </w:p>
          <w:p w14:paraId="53C90C3B">
            <w:pPr>
              <w:adjustRightInd w:val="0"/>
              <w:snapToGrid w:val="0"/>
              <w:spacing w:line="360" w:lineRule="auto"/>
              <w:ind w:firstLine="480" w:firstLineChars="200"/>
              <w:rPr>
                <w:color w:val="auto"/>
                <w:sz w:val="24"/>
                <w:highlight w:val="none"/>
              </w:rPr>
            </w:pPr>
            <w:r>
              <w:rPr>
                <w:color w:val="auto"/>
                <w:sz w:val="24"/>
                <w:highlight w:val="none"/>
              </w:rPr>
              <w:t>（7）《中华人民共和国固体废物污染环境防治法》2020年9月1日施行；</w:t>
            </w:r>
          </w:p>
          <w:p w14:paraId="36D2F0BC">
            <w:pPr>
              <w:adjustRightInd w:val="0"/>
              <w:snapToGrid w:val="0"/>
              <w:spacing w:line="360" w:lineRule="auto"/>
              <w:ind w:firstLine="480" w:firstLineChars="200"/>
              <w:rPr>
                <w:color w:val="auto"/>
                <w:sz w:val="24"/>
                <w:highlight w:val="none"/>
              </w:rPr>
            </w:pPr>
            <w:r>
              <w:rPr>
                <w:color w:val="auto"/>
                <w:sz w:val="24"/>
                <w:highlight w:val="none"/>
              </w:rPr>
              <w:t>（8）《建设项目环境保护管理条例》，国务院令第682号，2017年10月1日施行；</w:t>
            </w:r>
          </w:p>
          <w:p w14:paraId="0CE20728">
            <w:pPr>
              <w:adjustRightInd w:val="0"/>
              <w:snapToGrid w:val="0"/>
              <w:spacing w:line="360" w:lineRule="auto"/>
              <w:ind w:firstLine="480" w:firstLineChars="200"/>
              <w:rPr>
                <w:color w:val="auto"/>
                <w:sz w:val="24"/>
                <w:highlight w:val="none"/>
              </w:rPr>
            </w:pPr>
            <w:r>
              <w:rPr>
                <w:color w:val="auto"/>
                <w:sz w:val="24"/>
                <w:highlight w:val="none"/>
              </w:rPr>
              <w:t>（9）《建设项目环境影响评价分类管理名录》（2021年版）生态环境</w:t>
            </w:r>
            <w:r>
              <w:rPr>
                <w:rFonts w:hint="eastAsia"/>
                <w:color w:val="auto"/>
                <w:sz w:val="24"/>
                <w:highlight w:val="none"/>
              </w:rPr>
              <w:t>部</w:t>
            </w:r>
            <w:r>
              <w:rPr>
                <w:color w:val="auto"/>
                <w:sz w:val="24"/>
                <w:highlight w:val="none"/>
              </w:rPr>
              <w:t>令第16号，2021年1月1日起施行；</w:t>
            </w:r>
          </w:p>
          <w:p w14:paraId="3138D24F">
            <w:pPr>
              <w:adjustRightInd w:val="0"/>
              <w:snapToGrid w:val="0"/>
              <w:spacing w:line="360" w:lineRule="auto"/>
              <w:ind w:firstLine="480" w:firstLineChars="200"/>
              <w:rPr>
                <w:color w:val="auto"/>
                <w:sz w:val="24"/>
                <w:highlight w:val="none"/>
              </w:rPr>
            </w:pPr>
            <w:r>
              <w:rPr>
                <w:color w:val="auto"/>
                <w:sz w:val="24"/>
                <w:highlight w:val="none"/>
              </w:rPr>
              <w:t>（10）《放射性同位素与射线装置安全和防护条例》，国务院令第709号修改，2019年3月2日起施行；</w:t>
            </w:r>
          </w:p>
          <w:p w14:paraId="6BA494E8">
            <w:pPr>
              <w:adjustRightInd w:val="0"/>
              <w:snapToGrid w:val="0"/>
              <w:spacing w:line="360" w:lineRule="auto"/>
              <w:ind w:firstLine="480" w:firstLineChars="200"/>
              <w:rPr>
                <w:color w:val="auto"/>
                <w:sz w:val="24"/>
                <w:highlight w:val="none"/>
              </w:rPr>
            </w:pPr>
            <w:r>
              <w:rPr>
                <w:color w:val="auto"/>
                <w:sz w:val="24"/>
                <w:highlight w:val="none"/>
              </w:rPr>
              <w:t>（11）《放射性同位素与射线装置安全和防护管理办法》，原环境保护部令第18号，2011年5月1日起施行；</w:t>
            </w:r>
          </w:p>
          <w:p w14:paraId="47980CA7">
            <w:pPr>
              <w:adjustRightInd w:val="0"/>
              <w:snapToGrid w:val="0"/>
              <w:spacing w:line="360" w:lineRule="auto"/>
              <w:ind w:firstLine="480" w:firstLineChars="200"/>
              <w:rPr>
                <w:color w:val="auto"/>
                <w:sz w:val="24"/>
                <w:highlight w:val="none"/>
              </w:rPr>
            </w:pPr>
            <w:r>
              <w:rPr>
                <w:color w:val="auto"/>
                <w:sz w:val="24"/>
                <w:highlight w:val="none"/>
              </w:rPr>
              <w:t>（12）《关于建立放射性同位素与射线装置辐射事故分级处理和报告制度的通知》，国家环保总局，环发[2006]145号，2006年9月施行；</w:t>
            </w:r>
          </w:p>
          <w:p w14:paraId="3ECDA4DD">
            <w:pPr>
              <w:snapToGrid w:val="0"/>
              <w:spacing w:line="360" w:lineRule="auto"/>
              <w:ind w:firstLine="480" w:firstLineChars="200"/>
              <w:rPr>
                <w:color w:val="auto"/>
                <w:sz w:val="24"/>
                <w:szCs w:val="24"/>
                <w:highlight w:val="none"/>
              </w:rPr>
            </w:pPr>
            <w:r>
              <w:rPr>
                <w:color w:val="auto"/>
                <w:sz w:val="24"/>
                <w:highlight w:val="none"/>
              </w:rPr>
              <w:t>（13）《放射性同位素与射线装置安全许可管理办法》，</w:t>
            </w:r>
            <w:r>
              <w:rPr>
                <w:color w:val="auto"/>
                <w:sz w:val="24"/>
                <w:szCs w:val="24"/>
                <w:highlight w:val="none"/>
              </w:rPr>
              <w:t>2021年1月4日（生态环境部令第20号）第四次修订；</w:t>
            </w:r>
          </w:p>
          <w:p w14:paraId="7CC9BE88">
            <w:pPr>
              <w:adjustRightInd w:val="0"/>
              <w:snapToGrid w:val="0"/>
              <w:spacing w:line="360" w:lineRule="auto"/>
              <w:ind w:firstLine="480" w:firstLineChars="200"/>
              <w:rPr>
                <w:color w:val="auto"/>
                <w:sz w:val="24"/>
                <w:szCs w:val="24"/>
                <w:highlight w:val="none"/>
              </w:rPr>
            </w:pPr>
            <w:r>
              <w:rPr>
                <w:color w:val="auto"/>
                <w:sz w:val="24"/>
                <w:szCs w:val="24"/>
                <w:highlight w:val="none"/>
              </w:rPr>
              <w:t>（14）《关于发布〈射线装置分类〉的公告》，</w:t>
            </w:r>
            <w:r>
              <w:rPr>
                <w:rFonts w:hint="eastAsia"/>
                <w:color w:val="auto"/>
                <w:sz w:val="24"/>
                <w:szCs w:val="24"/>
                <w:highlight w:val="none"/>
              </w:rPr>
              <w:t>原</w:t>
            </w:r>
            <w:r>
              <w:rPr>
                <w:color w:val="auto"/>
                <w:sz w:val="24"/>
                <w:szCs w:val="24"/>
                <w:highlight w:val="none"/>
              </w:rPr>
              <w:t>国家环境保护部公告2017年第66号，2017年12月施行；</w:t>
            </w:r>
          </w:p>
          <w:p w14:paraId="28DDC5BE">
            <w:pPr>
              <w:adjustRightInd w:val="0"/>
              <w:snapToGrid w:val="0"/>
              <w:spacing w:line="360" w:lineRule="auto"/>
              <w:ind w:firstLine="480" w:firstLineChars="200"/>
              <w:rPr>
                <w:color w:val="auto"/>
                <w:sz w:val="24"/>
                <w:szCs w:val="24"/>
                <w:highlight w:val="none"/>
              </w:rPr>
            </w:pPr>
            <w:r>
              <w:rPr>
                <w:color w:val="auto"/>
                <w:sz w:val="24"/>
                <w:szCs w:val="24"/>
                <w:highlight w:val="none"/>
              </w:rPr>
              <w:t>（15）《放射工作人员职业健康管理办法》，</w:t>
            </w:r>
            <w:r>
              <w:rPr>
                <w:rFonts w:hint="eastAsia"/>
                <w:color w:val="auto"/>
                <w:sz w:val="24"/>
                <w:szCs w:val="24"/>
                <w:highlight w:val="none"/>
              </w:rPr>
              <w:t>原</w:t>
            </w:r>
            <w:r>
              <w:rPr>
                <w:color w:val="auto"/>
                <w:sz w:val="24"/>
                <w:szCs w:val="24"/>
                <w:highlight w:val="none"/>
              </w:rPr>
              <w:t>中华人民共和国卫生部令第55号，2007年3月23日经卫生部部务会议讨论通过，自2007年11月1日起施行</w:t>
            </w:r>
            <w:r>
              <w:rPr>
                <w:rFonts w:hint="eastAsia"/>
                <w:color w:val="auto"/>
                <w:sz w:val="24"/>
                <w:szCs w:val="24"/>
                <w:highlight w:val="none"/>
              </w:rPr>
              <w:t>。</w:t>
            </w:r>
          </w:p>
          <w:p w14:paraId="228F2C72">
            <w:pPr>
              <w:adjustRightInd w:val="0"/>
              <w:snapToGrid w:val="0"/>
              <w:spacing w:line="360" w:lineRule="auto"/>
              <w:ind w:firstLine="480" w:firstLineChars="200"/>
              <w:rPr>
                <w:color w:val="auto"/>
                <w:sz w:val="24"/>
                <w:szCs w:val="24"/>
                <w:highlight w:val="none"/>
              </w:rPr>
            </w:pPr>
            <w:r>
              <w:rPr>
                <w:color w:val="auto"/>
                <w:sz w:val="24"/>
                <w:szCs w:val="24"/>
                <w:highlight w:val="none"/>
              </w:rPr>
              <w:t>（16）《关于明确核技术利用辐射安全监管有关事项的通知》，环办辐射函</w:t>
            </w:r>
            <w:r>
              <w:rPr>
                <w:rFonts w:hint="eastAsia"/>
                <w:color w:val="auto"/>
                <w:sz w:val="24"/>
                <w:szCs w:val="24"/>
                <w:highlight w:val="none"/>
              </w:rPr>
              <w:t>[</w:t>
            </w:r>
            <w:r>
              <w:rPr>
                <w:color w:val="auto"/>
                <w:sz w:val="24"/>
                <w:szCs w:val="24"/>
                <w:highlight w:val="none"/>
              </w:rPr>
              <w:t>2016</w:t>
            </w:r>
            <w:r>
              <w:rPr>
                <w:rFonts w:hint="eastAsia"/>
                <w:color w:val="auto"/>
                <w:sz w:val="24"/>
                <w:szCs w:val="24"/>
                <w:highlight w:val="none"/>
              </w:rPr>
              <w:t>]</w:t>
            </w:r>
            <w:r>
              <w:rPr>
                <w:color w:val="auto"/>
                <w:sz w:val="24"/>
                <w:szCs w:val="24"/>
                <w:highlight w:val="none"/>
              </w:rPr>
              <w:t>430号，原环境保护部办公厅，2016年3月7日起施行；</w:t>
            </w:r>
          </w:p>
          <w:p w14:paraId="205824D2">
            <w:pPr>
              <w:adjustRightInd w:val="0"/>
              <w:snapToGrid w:val="0"/>
              <w:spacing w:line="360" w:lineRule="auto"/>
              <w:ind w:firstLine="480" w:firstLineChars="200"/>
              <w:rPr>
                <w:color w:val="auto"/>
                <w:sz w:val="24"/>
                <w:szCs w:val="24"/>
                <w:highlight w:val="none"/>
              </w:rPr>
            </w:pPr>
            <w:r>
              <w:rPr>
                <w:color w:val="auto"/>
                <w:sz w:val="24"/>
                <w:szCs w:val="24"/>
                <w:highlight w:val="none"/>
              </w:rPr>
              <w:t>（17）《产业结构调整指导目录（20</w:t>
            </w:r>
            <w:r>
              <w:rPr>
                <w:rFonts w:hint="eastAsia"/>
                <w:color w:val="auto"/>
                <w:sz w:val="24"/>
                <w:szCs w:val="24"/>
                <w:highlight w:val="none"/>
                <w:lang w:val="en-US" w:eastAsia="zh-CN"/>
              </w:rPr>
              <w:t>24</w:t>
            </w:r>
            <w:r>
              <w:rPr>
                <w:color w:val="auto"/>
                <w:sz w:val="24"/>
                <w:szCs w:val="24"/>
                <w:highlight w:val="none"/>
              </w:rPr>
              <w:t>年）》，国家发展和改革委员会</w:t>
            </w:r>
            <w:r>
              <w:rPr>
                <w:rFonts w:hint="eastAsia"/>
                <w:color w:val="auto"/>
                <w:sz w:val="24"/>
                <w:szCs w:val="24"/>
                <w:highlight w:val="none"/>
              </w:rPr>
              <w:t>，</w:t>
            </w:r>
            <w:r>
              <w:rPr>
                <w:color w:val="auto"/>
                <w:sz w:val="24"/>
                <w:szCs w:val="24"/>
                <w:highlight w:val="none"/>
              </w:rPr>
              <w:t>202</w:t>
            </w:r>
            <w:r>
              <w:rPr>
                <w:rFonts w:hint="eastAsia"/>
                <w:color w:val="auto"/>
                <w:sz w:val="24"/>
                <w:szCs w:val="24"/>
                <w:highlight w:val="none"/>
                <w:lang w:val="en-US" w:eastAsia="zh-CN"/>
              </w:rPr>
              <w:t>4</w:t>
            </w:r>
            <w:r>
              <w:rPr>
                <w:color w:val="auto"/>
                <w:sz w:val="24"/>
                <w:szCs w:val="24"/>
                <w:highlight w:val="none"/>
              </w:rPr>
              <w:t>年</w:t>
            </w:r>
            <w:r>
              <w:rPr>
                <w:rFonts w:hint="eastAsia"/>
                <w:color w:val="auto"/>
                <w:sz w:val="24"/>
                <w:szCs w:val="24"/>
                <w:highlight w:val="none"/>
                <w:lang w:val="en-US" w:eastAsia="zh-CN"/>
              </w:rPr>
              <w:t>2</w:t>
            </w:r>
            <w:r>
              <w:rPr>
                <w:color w:val="auto"/>
                <w:sz w:val="24"/>
                <w:szCs w:val="24"/>
                <w:highlight w:val="none"/>
              </w:rPr>
              <w:t>月1日实施；</w:t>
            </w:r>
          </w:p>
          <w:p w14:paraId="36B0DD94">
            <w:pPr>
              <w:adjustRightInd w:val="0"/>
              <w:snapToGrid w:val="0"/>
              <w:spacing w:line="360" w:lineRule="auto"/>
              <w:ind w:firstLine="480" w:firstLineChars="200"/>
              <w:rPr>
                <w:color w:val="auto"/>
                <w:sz w:val="24"/>
                <w:szCs w:val="24"/>
                <w:highlight w:val="none"/>
              </w:rPr>
            </w:pPr>
            <w:r>
              <w:rPr>
                <w:color w:val="auto"/>
                <w:sz w:val="24"/>
                <w:szCs w:val="24"/>
                <w:highlight w:val="none"/>
              </w:rPr>
              <w:t>（18）《国家危险废物名录（2021年）》，生态环境</w:t>
            </w:r>
            <w:r>
              <w:rPr>
                <w:rFonts w:hint="eastAsia"/>
                <w:color w:val="auto"/>
                <w:sz w:val="24"/>
                <w:szCs w:val="24"/>
                <w:highlight w:val="none"/>
              </w:rPr>
              <w:t>部</w:t>
            </w:r>
            <w:r>
              <w:rPr>
                <w:color w:val="auto"/>
                <w:sz w:val="24"/>
                <w:szCs w:val="24"/>
                <w:highlight w:val="none"/>
              </w:rPr>
              <w:t>令第15号</w:t>
            </w:r>
            <w:r>
              <w:rPr>
                <w:rFonts w:hint="eastAsia"/>
                <w:color w:val="auto"/>
                <w:sz w:val="24"/>
                <w:szCs w:val="24"/>
                <w:highlight w:val="none"/>
              </w:rPr>
              <w:t>，</w:t>
            </w:r>
            <w:r>
              <w:rPr>
                <w:color w:val="auto"/>
                <w:sz w:val="24"/>
                <w:szCs w:val="24"/>
                <w:highlight w:val="none"/>
              </w:rPr>
              <w:t>20</w:t>
            </w:r>
            <w:r>
              <w:rPr>
                <w:rFonts w:hint="eastAsia"/>
                <w:color w:val="auto"/>
                <w:sz w:val="24"/>
                <w:szCs w:val="24"/>
                <w:highlight w:val="none"/>
              </w:rPr>
              <w:t>21</w:t>
            </w:r>
            <w:r>
              <w:rPr>
                <w:color w:val="auto"/>
                <w:sz w:val="24"/>
                <w:szCs w:val="24"/>
                <w:highlight w:val="none"/>
              </w:rPr>
              <w:t>年1月</w:t>
            </w:r>
            <w:r>
              <w:rPr>
                <w:rFonts w:hint="eastAsia"/>
                <w:color w:val="auto"/>
                <w:sz w:val="24"/>
                <w:szCs w:val="24"/>
                <w:highlight w:val="none"/>
              </w:rPr>
              <w:t>1</w:t>
            </w:r>
            <w:r>
              <w:rPr>
                <w:color w:val="auto"/>
                <w:sz w:val="24"/>
                <w:szCs w:val="24"/>
                <w:highlight w:val="none"/>
              </w:rPr>
              <w:t>日起施行；</w:t>
            </w:r>
          </w:p>
          <w:p w14:paraId="365E4E5B">
            <w:pPr>
              <w:adjustRightInd w:val="0"/>
              <w:snapToGrid w:val="0"/>
              <w:spacing w:line="360" w:lineRule="auto"/>
              <w:ind w:firstLine="480" w:firstLineChars="200"/>
              <w:rPr>
                <w:color w:val="auto"/>
                <w:sz w:val="24"/>
                <w:szCs w:val="24"/>
                <w:highlight w:val="none"/>
              </w:rPr>
            </w:pPr>
            <w:r>
              <w:rPr>
                <w:color w:val="auto"/>
                <w:sz w:val="24"/>
                <w:szCs w:val="24"/>
                <w:highlight w:val="none"/>
              </w:rPr>
              <w:t>（19）《安徽省环境保护条例》，2017年11月17日安徽省第十二届人民代表大会常务委员会第四十一次会议修订，2018年1月</w:t>
            </w:r>
            <w:r>
              <w:rPr>
                <w:rFonts w:hint="eastAsia"/>
                <w:color w:val="auto"/>
                <w:sz w:val="24"/>
                <w:szCs w:val="24"/>
                <w:highlight w:val="none"/>
              </w:rPr>
              <w:t>1</w:t>
            </w:r>
            <w:r>
              <w:rPr>
                <w:color w:val="auto"/>
                <w:sz w:val="24"/>
                <w:szCs w:val="24"/>
                <w:highlight w:val="none"/>
              </w:rPr>
              <w:t>日起施行；</w:t>
            </w:r>
          </w:p>
          <w:p w14:paraId="4EF28021">
            <w:pPr>
              <w:adjustRightInd w:val="0"/>
              <w:snapToGrid w:val="0"/>
              <w:spacing w:line="360" w:lineRule="auto"/>
              <w:ind w:firstLine="480" w:firstLineChars="200"/>
              <w:rPr>
                <w:color w:val="auto"/>
                <w:sz w:val="24"/>
                <w:szCs w:val="24"/>
                <w:highlight w:val="none"/>
              </w:rPr>
            </w:pPr>
            <w:r>
              <w:rPr>
                <w:color w:val="auto"/>
                <w:sz w:val="24"/>
                <w:szCs w:val="24"/>
                <w:highlight w:val="none"/>
              </w:rPr>
              <w:t>（20）《安徽省放射性同位素与射线装置安全和防护管理办法》，</w:t>
            </w:r>
            <w:r>
              <w:rPr>
                <w:rFonts w:hint="eastAsia"/>
                <w:color w:val="auto"/>
                <w:sz w:val="24"/>
                <w:szCs w:val="24"/>
                <w:highlight w:val="none"/>
              </w:rPr>
              <w:t>原</w:t>
            </w:r>
            <w:r>
              <w:rPr>
                <w:color w:val="auto"/>
                <w:sz w:val="24"/>
                <w:szCs w:val="24"/>
                <w:highlight w:val="none"/>
              </w:rPr>
              <w:t>安徽省环保厅2008年9月18日颁布；</w:t>
            </w:r>
          </w:p>
          <w:p w14:paraId="557F7C58">
            <w:pPr>
              <w:adjustRightInd w:val="0"/>
              <w:snapToGrid w:val="0"/>
              <w:spacing w:line="360" w:lineRule="auto"/>
              <w:ind w:firstLine="480" w:firstLineChars="200"/>
              <w:rPr>
                <w:rFonts w:hint="eastAsia"/>
                <w:color w:val="auto"/>
                <w:sz w:val="24"/>
                <w:szCs w:val="24"/>
                <w:highlight w:val="none"/>
              </w:rPr>
            </w:pPr>
            <w:r>
              <w:rPr>
                <w:color w:val="auto"/>
                <w:sz w:val="24"/>
                <w:szCs w:val="24"/>
                <w:highlight w:val="none"/>
              </w:rPr>
              <w:t>（21）《安徽省人民政府关于发布安徽省生态保护红线的通知》，安徽省人民政府，皖政秘[2018]120号</w:t>
            </w:r>
            <w:r>
              <w:rPr>
                <w:rFonts w:hint="eastAsia"/>
                <w:color w:val="auto"/>
                <w:sz w:val="24"/>
                <w:szCs w:val="24"/>
                <w:highlight w:val="none"/>
              </w:rPr>
              <w:t>。</w:t>
            </w:r>
          </w:p>
          <w:p w14:paraId="35608B5D">
            <w:pPr>
              <w:adjustRightInd w:val="0"/>
              <w:snapToGrid w:val="0"/>
              <w:spacing w:line="360" w:lineRule="auto"/>
              <w:ind w:firstLine="480" w:firstLineChars="200"/>
              <w:rPr>
                <w:color w:val="auto"/>
                <w:sz w:val="24"/>
                <w:szCs w:val="24"/>
                <w:highlight w:val="none"/>
              </w:rPr>
            </w:pPr>
            <w:r>
              <w:rPr>
                <w:rFonts w:hint="eastAsia"/>
                <w:color w:val="auto"/>
                <w:sz w:val="24"/>
                <w:szCs w:val="24"/>
                <w:highlight w:val="none"/>
                <w:lang w:val="en-US" w:eastAsia="zh-CN"/>
              </w:rPr>
              <w:t>（</w:t>
            </w:r>
            <w:r>
              <w:rPr>
                <w:rFonts w:hint="default"/>
                <w:color w:val="auto"/>
                <w:sz w:val="24"/>
                <w:szCs w:val="24"/>
                <w:highlight w:val="none"/>
                <w:lang w:val="en-US" w:eastAsia="zh-CN"/>
              </w:rPr>
              <w:t>2</w:t>
            </w:r>
            <w:r>
              <w:rPr>
                <w:rFonts w:hint="eastAsia"/>
                <w:color w:val="auto"/>
                <w:sz w:val="24"/>
                <w:szCs w:val="24"/>
                <w:highlight w:val="none"/>
                <w:lang w:val="en-US" w:eastAsia="zh-CN"/>
              </w:rPr>
              <w:t>2）《六安市环境保护委员会办公室关于印发六安市</w:t>
            </w:r>
            <w:r>
              <w:rPr>
                <w:rFonts w:hint="default"/>
                <w:color w:val="auto"/>
                <w:sz w:val="24"/>
                <w:szCs w:val="24"/>
                <w:highlight w:val="none"/>
                <w:lang w:val="en-US" w:eastAsia="zh-CN"/>
              </w:rPr>
              <w:t>“</w:t>
            </w:r>
            <w:r>
              <w:rPr>
                <w:rFonts w:hint="eastAsia"/>
                <w:color w:val="auto"/>
                <w:sz w:val="24"/>
                <w:szCs w:val="24"/>
                <w:highlight w:val="none"/>
                <w:lang w:val="en-US" w:eastAsia="zh-CN"/>
              </w:rPr>
              <w:t>三线一单</w:t>
            </w:r>
            <w:r>
              <w:rPr>
                <w:rFonts w:hint="default"/>
                <w:color w:val="auto"/>
                <w:sz w:val="24"/>
                <w:szCs w:val="24"/>
                <w:highlight w:val="none"/>
                <w:lang w:val="en-US" w:eastAsia="zh-CN"/>
              </w:rPr>
              <w:t>”</w:t>
            </w:r>
            <w:r>
              <w:rPr>
                <w:rFonts w:hint="eastAsia"/>
                <w:color w:val="auto"/>
                <w:sz w:val="24"/>
                <w:szCs w:val="24"/>
                <w:highlight w:val="none"/>
                <w:lang w:val="en-US" w:eastAsia="zh-CN"/>
              </w:rPr>
              <w:t xml:space="preserve">技 </w:t>
            </w:r>
          </w:p>
          <w:p w14:paraId="68BCFCEB">
            <w:pPr>
              <w:adjustRightInd w:val="0"/>
              <w:snapToGrid w:val="0"/>
              <w:spacing w:line="360" w:lineRule="auto"/>
              <w:rPr>
                <w:rFonts w:hint="eastAsia" w:eastAsia="宋体"/>
                <w:color w:val="auto"/>
                <w:sz w:val="24"/>
                <w:highlight w:val="none"/>
                <w:lang w:eastAsia="zh-CN"/>
              </w:rPr>
            </w:pPr>
            <w:r>
              <w:rPr>
                <w:rFonts w:hint="eastAsia"/>
                <w:color w:val="auto"/>
                <w:sz w:val="24"/>
                <w:szCs w:val="24"/>
                <w:highlight w:val="none"/>
                <w:lang w:val="en-US" w:eastAsia="zh-CN"/>
              </w:rPr>
              <w:t>术成果的通知》（六环委办〔</w:t>
            </w:r>
            <w:r>
              <w:rPr>
                <w:rFonts w:hint="default"/>
                <w:color w:val="auto"/>
                <w:sz w:val="24"/>
                <w:szCs w:val="24"/>
                <w:highlight w:val="none"/>
                <w:lang w:val="en-US" w:eastAsia="zh-CN"/>
              </w:rPr>
              <w:t>2021</w:t>
            </w:r>
            <w:r>
              <w:rPr>
                <w:rFonts w:hint="eastAsia"/>
                <w:color w:val="auto"/>
                <w:sz w:val="24"/>
                <w:szCs w:val="24"/>
                <w:highlight w:val="none"/>
                <w:lang w:val="en-US" w:eastAsia="zh-CN"/>
              </w:rPr>
              <w:t>〕</w:t>
            </w:r>
            <w:r>
              <w:rPr>
                <w:rFonts w:hint="default"/>
                <w:color w:val="auto"/>
                <w:sz w:val="24"/>
                <w:szCs w:val="24"/>
                <w:highlight w:val="none"/>
                <w:lang w:val="en-US" w:eastAsia="zh-CN"/>
              </w:rPr>
              <w:t xml:space="preserve">49 </w:t>
            </w:r>
            <w:r>
              <w:rPr>
                <w:rFonts w:hint="eastAsia"/>
                <w:color w:val="auto"/>
                <w:sz w:val="24"/>
                <w:szCs w:val="24"/>
                <w:highlight w:val="none"/>
                <w:lang w:val="en-US" w:eastAsia="zh-CN"/>
              </w:rPr>
              <w:t>号）。</w:t>
            </w:r>
          </w:p>
        </w:tc>
      </w:tr>
      <w:tr w14:paraId="05782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8" w:type="pct"/>
            <w:vAlign w:val="center"/>
          </w:tcPr>
          <w:p w14:paraId="0F6ADA81">
            <w:pPr>
              <w:jc w:val="center"/>
              <w:rPr>
                <w:b/>
                <w:bCs/>
                <w:color w:val="auto"/>
                <w:sz w:val="24"/>
                <w:szCs w:val="24"/>
                <w:highlight w:val="none"/>
              </w:rPr>
            </w:pPr>
            <w:r>
              <w:rPr>
                <w:b/>
                <w:bCs/>
                <w:color w:val="auto"/>
                <w:sz w:val="24"/>
                <w:szCs w:val="24"/>
                <w:highlight w:val="none"/>
              </w:rPr>
              <w:t>技术</w:t>
            </w:r>
          </w:p>
          <w:p w14:paraId="0AB0139E">
            <w:pPr>
              <w:jc w:val="center"/>
              <w:rPr>
                <w:color w:val="auto"/>
                <w:sz w:val="24"/>
                <w:szCs w:val="24"/>
                <w:highlight w:val="none"/>
              </w:rPr>
            </w:pPr>
            <w:r>
              <w:rPr>
                <w:b/>
                <w:bCs/>
                <w:color w:val="auto"/>
                <w:sz w:val="24"/>
                <w:szCs w:val="24"/>
                <w:highlight w:val="none"/>
              </w:rPr>
              <w:t>标准</w:t>
            </w:r>
          </w:p>
        </w:tc>
        <w:tc>
          <w:tcPr>
            <w:tcW w:w="4381" w:type="pct"/>
          </w:tcPr>
          <w:p w14:paraId="645920F5">
            <w:pPr>
              <w:snapToGrid w:val="0"/>
              <w:spacing w:line="360" w:lineRule="auto"/>
              <w:ind w:firstLine="480" w:firstLineChars="200"/>
              <w:rPr>
                <w:color w:val="auto"/>
                <w:sz w:val="24"/>
                <w:szCs w:val="24"/>
                <w:highlight w:val="none"/>
              </w:rPr>
            </w:pPr>
            <w:r>
              <w:rPr>
                <w:color w:val="auto"/>
                <w:sz w:val="24"/>
                <w:szCs w:val="24"/>
                <w:highlight w:val="none"/>
              </w:rPr>
              <w:t>（1）《建设项目环境影响评价技术导则 总纲》（HJ2.1-2016）；</w:t>
            </w:r>
          </w:p>
          <w:p w14:paraId="737C85E8">
            <w:pPr>
              <w:snapToGrid w:val="0"/>
              <w:spacing w:line="360" w:lineRule="auto"/>
              <w:ind w:firstLine="480" w:firstLineChars="200"/>
              <w:rPr>
                <w:color w:val="auto"/>
                <w:sz w:val="24"/>
                <w:szCs w:val="24"/>
                <w:highlight w:val="none"/>
              </w:rPr>
            </w:pPr>
            <w:r>
              <w:rPr>
                <w:color w:val="auto"/>
                <w:sz w:val="24"/>
                <w:szCs w:val="24"/>
                <w:highlight w:val="none"/>
              </w:rPr>
              <w:t>（2）《辐射环境保护管理导则 核技术利用建设项目环境影响评价文件的内容和格式》（HJ 10.1-2016）；</w:t>
            </w:r>
          </w:p>
          <w:p w14:paraId="506B000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rPr>
            </w:pPr>
            <w:r>
              <w:rPr>
                <w:color w:val="auto"/>
                <w:sz w:val="24"/>
                <w:szCs w:val="24"/>
                <w:highlight w:val="none"/>
              </w:rPr>
              <w:t>（3）《环境影响评价技术导则 大气环境》（HJ2.2-2018）；</w:t>
            </w:r>
          </w:p>
          <w:p w14:paraId="220508D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rPr>
            </w:pPr>
            <w:r>
              <w:rPr>
                <w:color w:val="auto"/>
                <w:sz w:val="24"/>
                <w:szCs w:val="24"/>
                <w:highlight w:val="none"/>
              </w:rPr>
              <w:t>（4）《环境影响评价技术导则 地表水》（HJ2.3-2018）；</w:t>
            </w:r>
          </w:p>
          <w:p w14:paraId="370E6FB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rPr>
            </w:pPr>
            <w:r>
              <w:rPr>
                <w:color w:val="auto"/>
                <w:sz w:val="24"/>
                <w:szCs w:val="24"/>
                <w:highlight w:val="none"/>
              </w:rPr>
              <w:t>（5）《环境影响评价技术导则 声环境》（HJ2.4-20</w:t>
            </w:r>
            <w:r>
              <w:rPr>
                <w:rFonts w:hint="eastAsia"/>
                <w:color w:val="auto"/>
                <w:sz w:val="24"/>
                <w:szCs w:val="24"/>
                <w:highlight w:val="none"/>
              </w:rPr>
              <w:t>21</w:t>
            </w:r>
            <w:r>
              <w:rPr>
                <w:color w:val="auto"/>
                <w:sz w:val="24"/>
                <w:szCs w:val="24"/>
                <w:highlight w:val="none"/>
              </w:rPr>
              <w:t>）；</w:t>
            </w:r>
          </w:p>
          <w:p w14:paraId="3D075CC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rPr>
            </w:pPr>
            <w:r>
              <w:rPr>
                <w:color w:val="auto"/>
                <w:sz w:val="24"/>
                <w:szCs w:val="24"/>
                <w:highlight w:val="none"/>
              </w:rPr>
              <w:t>（6）《辐射环境监测技术规范》（HJ 61-2021</w:t>
            </w:r>
            <w:r>
              <w:rPr>
                <w:rFonts w:hint="eastAsia"/>
                <w:color w:val="auto"/>
                <w:sz w:val="24"/>
                <w:szCs w:val="24"/>
                <w:highlight w:val="none"/>
              </w:rPr>
              <w:t>）</w:t>
            </w:r>
            <w:r>
              <w:rPr>
                <w:color w:val="auto"/>
                <w:sz w:val="24"/>
                <w:szCs w:val="24"/>
                <w:highlight w:val="none"/>
              </w:rPr>
              <w:t>；</w:t>
            </w:r>
          </w:p>
          <w:p w14:paraId="60A15EF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rPr>
            </w:pPr>
            <w:r>
              <w:rPr>
                <w:color w:val="auto"/>
                <w:sz w:val="24"/>
                <w:szCs w:val="24"/>
                <w:highlight w:val="none"/>
              </w:rPr>
              <w:t>（7）《环境γ辐射剂量率测量技术规范》（HJ 1157-2021）；</w:t>
            </w:r>
          </w:p>
          <w:p w14:paraId="3BA1807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rPr>
            </w:pPr>
            <w:r>
              <w:rPr>
                <w:color w:val="auto"/>
                <w:sz w:val="24"/>
                <w:szCs w:val="24"/>
                <w:highlight w:val="none"/>
              </w:rPr>
              <w:t>（8）《职业性外照射个人监测规范》（GBZ128-201</w:t>
            </w:r>
            <w:r>
              <w:rPr>
                <w:rFonts w:hint="eastAsia"/>
                <w:color w:val="auto"/>
                <w:sz w:val="24"/>
                <w:szCs w:val="24"/>
                <w:highlight w:val="none"/>
              </w:rPr>
              <w:t>9</w:t>
            </w:r>
            <w:r>
              <w:rPr>
                <w:color w:val="auto"/>
                <w:sz w:val="24"/>
                <w:szCs w:val="24"/>
                <w:highlight w:val="none"/>
              </w:rPr>
              <w:t>）；</w:t>
            </w:r>
          </w:p>
          <w:p w14:paraId="4CAF7AA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rPr>
            </w:pPr>
            <w:r>
              <w:rPr>
                <w:color w:val="auto"/>
                <w:sz w:val="24"/>
                <w:szCs w:val="24"/>
                <w:highlight w:val="none"/>
              </w:rPr>
              <w:t>（9）《电离辐射防护与辐射源安全基本标准》（GB18871-2002）；</w:t>
            </w:r>
          </w:p>
          <w:p w14:paraId="589BE66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rPr>
            </w:pPr>
            <w:r>
              <w:rPr>
                <w:color w:val="auto"/>
                <w:sz w:val="24"/>
                <w:szCs w:val="24"/>
                <w:highlight w:val="none"/>
              </w:rPr>
              <w:t>（10）《工业X射线</w:t>
            </w:r>
            <w:r>
              <w:rPr>
                <w:rFonts w:hint="eastAsia"/>
                <w:color w:val="auto"/>
                <w:sz w:val="24"/>
                <w:szCs w:val="24"/>
                <w:highlight w:val="none"/>
              </w:rPr>
              <w:t>探伤室</w:t>
            </w:r>
            <w:r>
              <w:rPr>
                <w:color w:val="auto"/>
                <w:sz w:val="24"/>
                <w:szCs w:val="24"/>
                <w:highlight w:val="none"/>
              </w:rPr>
              <w:t>辐射屏蔽规范》（GBZ/T250-2014）；</w:t>
            </w:r>
          </w:p>
          <w:p w14:paraId="6727177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rPr>
            </w:pPr>
            <w:r>
              <w:rPr>
                <w:color w:val="auto"/>
                <w:sz w:val="24"/>
                <w:szCs w:val="24"/>
                <w:highlight w:val="none"/>
              </w:rPr>
              <w:t>（11）</w:t>
            </w:r>
            <w:r>
              <w:rPr>
                <w:rFonts w:hint="eastAsia"/>
                <w:color w:val="auto"/>
                <w:sz w:val="24"/>
                <w:szCs w:val="24"/>
                <w:highlight w:val="none"/>
              </w:rPr>
              <w:t>《工业探伤放射防护标准》（GBZ117-2022）</w:t>
            </w:r>
            <w:r>
              <w:rPr>
                <w:color w:val="auto"/>
                <w:sz w:val="24"/>
                <w:szCs w:val="24"/>
                <w:highlight w:val="none"/>
              </w:rPr>
              <w:t>；</w:t>
            </w:r>
          </w:p>
          <w:p w14:paraId="572F5CD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rPr>
            </w:pPr>
            <w:r>
              <w:rPr>
                <w:color w:val="auto"/>
                <w:sz w:val="24"/>
                <w:szCs w:val="24"/>
                <w:highlight w:val="none"/>
              </w:rPr>
              <w:t>（1</w:t>
            </w:r>
            <w:r>
              <w:rPr>
                <w:rFonts w:hint="eastAsia"/>
                <w:color w:val="auto"/>
                <w:sz w:val="24"/>
                <w:szCs w:val="24"/>
                <w:highlight w:val="none"/>
              </w:rPr>
              <w:t>2</w:t>
            </w:r>
            <w:r>
              <w:rPr>
                <w:color w:val="auto"/>
                <w:sz w:val="24"/>
                <w:szCs w:val="24"/>
                <w:highlight w:val="none"/>
              </w:rPr>
              <w:t>）</w:t>
            </w:r>
            <w:r>
              <w:rPr>
                <w:rFonts w:hint="eastAsia"/>
                <w:color w:val="auto"/>
                <w:sz w:val="24"/>
                <w:szCs w:val="24"/>
                <w:highlight w:val="none"/>
              </w:rPr>
              <w:t>《声环境质量标准》（GB3096-2008）；</w:t>
            </w:r>
          </w:p>
          <w:p w14:paraId="373C3E3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rPr>
            </w:pPr>
            <w:r>
              <w:rPr>
                <w:color w:val="auto"/>
                <w:sz w:val="24"/>
                <w:szCs w:val="24"/>
                <w:highlight w:val="none"/>
              </w:rPr>
              <w:t>（1</w:t>
            </w:r>
            <w:r>
              <w:rPr>
                <w:rFonts w:hint="eastAsia"/>
                <w:color w:val="auto"/>
                <w:sz w:val="24"/>
                <w:szCs w:val="24"/>
                <w:highlight w:val="none"/>
              </w:rPr>
              <w:t>3</w:t>
            </w:r>
            <w:r>
              <w:rPr>
                <w:color w:val="auto"/>
                <w:sz w:val="24"/>
                <w:szCs w:val="24"/>
                <w:highlight w:val="none"/>
              </w:rPr>
              <w:t>）《工业企业厂界环境噪声排放标准》（GB12348-2008）</w:t>
            </w:r>
            <w:r>
              <w:rPr>
                <w:rFonts w:hint="eastAsia"/>
                <w:color w:val="auto"/>
                <w:sz w:val="24"/>
                <w:szCs w:val="24"/>
                <w:highlight w:val="none"/>
              </w:rPr>
              <w:t>；</w:t>
            </w:r>
          </w:p>
          <w:p w14:paraId="78A670C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rPr>
            </w:pPr>
            <w:r>
              <w:rPr>
                <w:rFonts w:hint="eastAsia"/>
                <w:color w:val="auto"/>
                <w:sz w:val="24"/>
                <w:szCs w:val="24"/>
                <w:highlight w:val="none"/>
              </w:rPr>
              <w:t>（14）</w:t>
            </w:r>
            <w:r>
              <w:rPr>
                <w:rFonts w:hint="eastAsia"/>
                <w:snapToGrid w:val="0"/>
                <w:color w:val="auto"/>
                <w:spacing w:val="7"/>
                <w:kern w:val="0"/>
                <w:sz w:val="24"/>
                <w:szCs w:val="24"/>
                <w:highlight w:val="none"/>
              </w:rPr>
              <w:t>《建筑施工场界环境噪声排放标准》（GB12523-2011）；</w:t>
            </w:r>
          </w:p>
          <w:p w14:paraId="0D267F1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highlight w:val="none"/>
              </w:rPr>
            </w:pPr>
            <w:r>
              <w:rPr>
                <w:rFonts w:hint="eastAsia"/>
                <w:color w:val="auto"/>
                <w:sz w:val="24"/>
                <w:szCs w:val="24"/>
                <w:highlight w:val="none"/>
              </w:rPr>
              <w:t>（15）《危险废物贮存污染控制标准》（GB18597-2023）；</w:t>
            </w:r>
          </w:p>
          <w:p w14:paraId="4B132B6E">
            <w:pPr>
              <w:pStyle w:val="11"/>
              <w:keepNext w:val="0"/>
              <w:keepLines w:val="0"/>
              <w:pageBreakBefore w:val="0"/>
              <w:widowControl w:val="0"/>
              <w:kinsoku/>
              <w:wordWrap/>
              <w:overflowPunct/>
              <w:topLinePunct w:val="0"/>
              <w:autoSpaceDE/>
              <w:autoSpaceDN/>
              <w:bidi w:val="0"/>
              <w:adjustRightInd/>
              <w:snapToGrid/>
              <w:spacing w:line="360" w:lineRule="auto"/>
              <w:ind w:left="478" w:leftChars="228" w:firstLine="0" w:firstLineChars="0"/>
              <w:jc w:val="both"/>
              <w:textAlignment w:val="auto"/>
              <w:rPr>
                <w:rFonts w:hint="eastAsia"/>
                <w:color w:val="auto"/>
                <w:sz w:val="24"/>
                <w:szCs w:val="24"/>
                <w:highlight w:val="none"/>
                <w:lang w:eastAsia="zh-CN"/>
              </w:rPr>
            </w:pPr>
            <w:r>
              <w:rPr>
                <w:rFonts w:hint="eastAsia"/>
                <w:color w:val="auto"/>
                <w:sz w:val="24"/>
                <w:szCs w:val="24"/>
                <w:highlight w:val="none"/>
              </w:rPr>
              <w:t>（16）《一般工业固体废物贮存和填埋污染控制标准》（GB18599-2020）</w:t>
            </w:r>
            <w:r>
              <w:rPr>
                <w:rFonts w:hint="eastAsia"/>
                <w:color w:val="auto"/>
                <w:sz w:val="24"/>
                <w:szCs w:val="24"/>
                <w:highlight w:val="none"/>
                <w:lang w:eastAsia="zh-CN"/>
              </w:rPr>
              <w:t>；</w:t>
            </w:r>
          </w:p>
          <w:p w14:paraId="66E77605">
            <w:pPr>
              <w:pStyle w:val="11"/>
              <w:keepNext w:val="0"/>
              <w:keepLines w:val="0"/>
              <w:pageBreakBefore w:val="0"/>
              <w:widowControl w:val="0"/>
              <w:kinsoku/>
              <w:wordWrap/>
              <w:overflowPunct/>
              <w:topLinePunct w:val="0"/>
              <w:autoSpaceDE/>
              <w:autoSpaceDN/>
              <w:bidi w:val="0"/>
              <w:adjustRightInd/>
              <w:snapToGrid/>
              <w:spacing w:line="360" w:lineRule="auto"/>
              <w:ind w:left="478" w:leftChars="228" w:firstLine="0" w:firstLineChars="0"/>
              <w:jc w:val="both"/>
              <w:textAlignment w:val="auto"/>
              <w:rPr>
                <w:rFonts w:hint="eastAsia" w:eastAsia="宋体"/>
                <w:color w:val="auto"/>
                <w:sz w:val="24"/>
                <w:szCs w:val="24"/>
                <w:highlight w:val="none"/>
                <w:lang w:eastAsia="zh-CN"/>
              </w:rPr>
            </w:pPr>
            <w:r>
              <w:rPr>
                <w:rFonts w:hint="eastAsia"/>
                <w:color w:val="auto"/>
                <w:sz w:val="24"/>
                <w:szCs w:val="24"/>
                <w:highlight w:val="none"/>
                <w:lang w:eastAsia="zh-CN"/>
              </w:rPr>
              <w:t>（</w:t>
            </w:r>
            <w:r>
              <w:rPr>
                <w:rFonts w:hint="eastAsia"/>
                <w:color w:val="auto"/>
                <w:sz w:val="24"/>
                <w:szCs w:val="24"/>
                <w:highlight w:val="none"/>
                <w:lang w:val="en-US" w:eastAsia="zh-CN"/>
              </w:rPr>
              <w:t>17</w:t>
            </w:r>
            <w:r>
              <w:rPr>
                <w:rFonts w:hint="eastAsia"/>
                <w:color w:val="auto"/>
                <w:sz w:val="24"/>
                <w:szCs w:val="24"/>
                <w:highlight w:val="none"/>
                <w:lang w:eastAsia="zh-CN"/>
              </w:rPr>
              <w:t>）</w:t>
            </w:r>
            <w:r>
              <w:rPr>
                <w:rFonts w:hint="eastAsia" w:ascii="Times New Roman" w:hAnsi="Times New Roman" w:eastAsia="宋体" w:cs="Times New Roman"/>
                <w:bCs w:val="0"/>
                <w:color w:val="auto"/>
                <w:kern w:val="2"/>
                <w:sz w:val="24"/>
                <w:szCs w:val="24"/>
                <w:lang w:val="en-US" w:eastAsia="zh-CN" w:bidi="ar-SA"/>
              </w:rPr>
              <w:t>《核技术利用单位自行监测技术规范》（DB34/T 4571--2023）。</w:t>
            </w:r>
          </w:p>
        </w:tc>
      </w:tr>
      <w:tr w14:paraId="4439A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8" w:type="pct"/>
            <w:vAlign w:val="center"/>
          </w:tcPr>
          <w:p w14:paraId="165DDE2E">
            <w:pPr>
              <w:jc w:val="center"/>
              <w:rPr>
                <w:b/>
                <w:bCs/>
                <w:color w:val="auto"/>
                <w:sz w:val="24"/>
                <w:szCs w:val="24"/>
                <w:highlight w:val="none"/>
              </w:rPr>
            </w:pPr>
            <w:r>
              <w:rPr>
                <w:rFonts w:hint="eastAsia"/>
                <w:b/>
                <w:bCs/>
                <w:color w:val="auto"/>
                <w:sz w:val="24"/>
                <w:szCs w:val="24"/>
                <w:highlight w:val="none"/>
              </w:rPr>
              <w:t>其他</w:t>
            </w:r>
          </w:p>
        </w:tc>
        <w:tc>
          <w:tcPr>
            <w:tcW w:w="4381" w:type="pct"/>
          </w:tcPr>
          <w:p w14:paraId="4BC01B5E">
            <w:pPr>
              <w:keepNext w:val="0"/>
              <w:keepLines w:val="0"/>
              <w:pageBreakBefore w:val="0"/>
              <w:widowControl w:val="0"/>
              <w:kinsoku/>
              <w:wordWrap/>
              <w:overflowPunct/>
              <w:topLinePunct w:val="0"/>
              <w:autoSpaceDE/>
              <w:autoSpaceDN/>
              <w:bidi w:val="0"/>
              <w:adjustRightInd/>
              <w:snapToGrid/>
              <w:spacing w:line="360" w:lineRule="auto"/>
              <w:ind w:firstLine="464" w:firstLineChars="200"/>
              <w:textAlignment w:val="auto"/>
              <w:rPr>
                <w:color w:val="auto"/>
                <w:spacing w:val="-4"/>
                <w:sz w:val="24"/>
                <w:szCs w:val="24"/>
                <w:highlight w:val="none"/>
              </w:rPr>
            </w:pPr>
            <w:r>
              <w:rPr>
                <w:color w:val="auto"/>
                <w:spacing w:val="-4"/>
                <w:sz w:val="24"/>
                <w:szCs w:val="24"/>
                <w:highlight w:val="none"/>
                <w:lang w:val="zh-CN"/>
              </w:rPr>
              <w:t>（1）</w:t>
            </w:r>
            <w:r>
              <w:rPr>
                <w:rFonts w:hint="eastAsia"/>
                <w:color w:val="auto"/>
                <w:spacing w:val="-4"/>
                <w:sz w:val="24"/>
                <w:szCs w:val="24"/>
                <w:highlight w:val="none"/>
              </w:rPr>
              <w:t>本项目环境影响评价委托书；</w:t>
            </w:r>
          </w:p>
          <w:p w14:paraId="03FDA5C2">
            <w:pPr>
              <w:keepNext w:val="0"/>
              <w:keepLines w:val="0"/>
              <w:pageBreakBefore w:val="0"/>
              <w:widowControl w:val="0"/>
              <w:kinsoku/>
              <w:wordWrap/>
              <w:overflowPunct/>
              <w:topLinePunct w:val="0"/>
              <w:autoSpaceDE/>
              <w:autoSpaceDN/>
              <w:bidi w:val="0"/>
              <w:adjustRightInd/>
              <w:snapToGrid/>
              <w:spacing w:line="360" w:lineRule="auto"/>
              <w:ind w:firstLine="464" w:firstLineChars="200"/>
              <w:textAlignment w:val="auto"/>
              <w:rPr>
                <w:rFonts w:hint="eastAsia"/>
                <w:color w:val="auto"/>
                <w:spacing w:val="-4"/>
                <w:sz w:val="24"/>
                <w:szCs w:val="24"/>
                <w:highlight w:val="none"/>
                <w:lang w:val="zh-CN"/>
              </w:rPr>
            </w:pPr>
            <w:r>
              <w:rPr>
                <w:rFonts w:hint="eastAsia"/>
                <w:color w:val="auto"/>
                <w:spacing w:val="-4"/>
                <w:sz w:val="24"/>
                <w:szCs w:val="24"/>
                <w:highlight w:val="none"/>
              </w:rPr>
              <w:t>（2）关于本项目的设备参数、探伤房设计图纸等环评相关基础资料；</w:t>
            </w:r>
          </w:p>
          <w:p w14:paraId="1FCD2042">
            <w:pPr>
              <w:keepNext w:val="0"/>
              <w:keepLines w:val="0"/>
              <w:pageBreakBefore w:val="0"/>
              <w:widowControl w:val="0"/>
              <w:kinsoku/>
              <w:wordWrap/>
              <w:overflowPunct/>
              <w:topLinePunct w:val="0"/>
              <w:autoSpaceDE/>
              <w:autoSpaceDN/>
              <w:bidi w:val="0"/>
              <w:adjustRightInd/>
              <w:snapToGrid/>
              <w:spacing w:line="360" w:lineRule="auto"/>
              <w:ind w:firstLine="464" w:firstLineChars="200"/>
              <w:textAlignment w:val="auto"/>
              <w:rPr>
                <w:rFonts w:hint="eastAsia"/>
                <w:color w:val="auto"/>
                <w:spacing w:val="-4"/>
                <w:sz w:val="24"/>
                <w:szCs w:val="24"/>
                <w:highlight w:val="none"/>
                <w:lang w:val="zh-CN"/>
              </w:rPr>
            </w:pPr>
            <w:r>
              <w:rPr>
                <w:rFonts w:hint="eastAsia"/>
                <w:color w:val="auto"/>
                <w:spacing w:val="-4"/>
                <w:sz w:val="24"/>
                <w:szCs w:val="24"/>
                <w:highlight w:val="none"/>
                <w:lang w:val="zh-CN"/>
              </w:rPr>
              <w:t>（</w:t>
            </w:r>
            <w:r>
              <w:rPr>
                <w:rFonts w:hint="eastAsia"/>
                <w:color w:val="auto"/>
                <w:spacing w:val="-4"/>
                <w:sz w:val="24"/>
                <w:szCs w:val="24"/>
                <w:highlight w:val="none"/>
              </w:rPr>
              <w:t>3</w:t>
            </w:r>
            <w:r>
              <w:rPr>
                <w:rFonts w:hint="eastAsia"/>
                <w:color w:val="auto"/>
                <w:spacing w:val="-4"/>
                <w:sz w:val="24"/>
                <w:szCs w:val="24"/>
                <w:highlight w:val="none"/>
                <w:lang w:val="zh-CN"/>
              </w:rPr>
              <w:t>）</w:t>
            </w:r>
            <w:r>
              <w:rPr>
                <w:rFonts w:hint="eastAsia"/>
                <w:color w:val="auto"/>
                <w:spacing w:val="-4"/>
                <w:sz w:val="24"/>
                <w:szCs w:val="24"/>
                <w:highlight w:val="none"/>
                <w:lang w:val="en-US" w:eastAsia="zh-CN"/>
              </w:rPr>
              <w:t>《辐射防护导论》，方杰主编；《辐射安全手册》（潘自强）</w:t>
            </w:r>
            <w:r>
              <w:rPr>
                <w:rFonts w:hint="eastAsia"/>
                <w:color w:val="auto"/>
                <w:spacing w:val="-4"/>
                <w:sz w:val="24"/>
                <w:szCs w:val="24"/>
                <w:highlight w:val="none"/>
              </w:rPr>
              <w:t>；</w:t>
            </w:r>
          </w:p>
          <w:p w14:paraId="13A3BC71">
            <w:pPr>
              <w:keepNext w:val="0"/>
              <w:keepLines w:val="0"/>
              <w:pageBreakBefore w:val="0"/>
              <w:widowControl w:val="0"/>
              <w:kinsoku/>
              <w:wordWrap/>
              <w:overflowPunct/>
              <w:topLinePunct w:val="0"/>
              <w:autoSpaceDE/>
              <w:autoSpaceDN/>
              <w:bidi w:val="0"/>
              <w:adjustRightInd/>
              <w:snapToGrid/>
              <w:spacing w:line="360" w:lineRule="auto"/>
              <w:ind w:firstLine="464" w:firstLineChars="200"/>
              <w:textAlignment w:val="auto"/>
              <w:rPr>
                <w:rFonts w:hint="eastAsia"/>
                <w:color w:val="auto"/>
                <w:spacing w:val="-4"/>
                <w:sz w:val="24"/>
                <w:szCs w:val="24"/>
                <w:highlight w:val="none"/>
                <w:lang w:val="zh-CN"/>
              </w:rPr>
            </w:pPr>
            <w:r>
              <w:rPr>
                <w:rFonts w:hint="eastAsia"/>
                <w:color w:val="auto"/>
                <w:spacing w:val="-4"/>
                <w:sz w:val="24"/>
                <w:szCs w:val="24"/>
                <w:highlight w:val="none"/>
                <w:lang w:val="zh-CN"/>
              </w:rPr>
              <w:t>（</w:t>
            </w:r>
            <w:r>
              <w:rPr>
                <w:rFonts w:hint="eastAsia"/>
                <w:color w:val="auto"/>
                <w:spacing w:val="-4"/>
                <w:sz w:val="24"/>
                <w:szCs w:val="24"/>
                <w:highlight w:val="none"/>
              </w:rPr>
              <w:t>4</w:t>
            </w:r>
            <w:r>
              <w:rPr>
                <w:rFonts w:hint="eastAsia"/>
                <w:color w:val="auto"/>
                <w:spacing w:val="-4"/>
                <w:sz w:val="24"/>
                <w:szCs w:val="24"/>
                <w:highlight w:val="none"/>
                <w:lang w:val="zh-CN"/>
              </w:rPr>
              <w:t>）</w:t>
            </w:r>
            <w:r>
              <w:rPr>
                <w:rFonts w:hint="eastAsia"/>
                <w:color w:val="auto"/>
                <w:spacing w:val="-4"/>
                <w:sz w:val="24"/>
                <w:szCs w:val="24"/>
                <w:highlight w:val="none"/>
              </w:rPr>
              <w:t>《202</w:t>
            </w:r>
            <w:r>
              <w:rPr>
                <w:rFonts w:hint="eastAsia"/>
                <w:color w:val="auto"/>
                <w:spacing w:val="-4"/>
                <w:sz w:val="24"/>
                <w:szCs w:val="24"/>
                <w:highlight w:val="none"/>
                <w:lang w:val="en-US" w:eastAsia="zh-CN"/>
              </w:rPr>
              <w:t>3</w:t>
            </w:r>
            <w:r>
              <w:rPr>
                <w:rFonts w:hint="eastAsia"/>
                <w:color w:val="auto"/>
                <w:spacing w:val="-4"/>
                <w:sz w:val="24"/>
                <w:szCs w:val="24"/>
                <w:highlight w:val="none"/>
              </w:rPr>
              <w:t>年</w:t>
            </w:r>
            <w:r>
              <w:rPr>
                <w:rFonts w:hint="eastAsia"/>
                <w:color w:val="auto"/>
                <w:spacing w:val="-4"/>
                <w:sz w:val="24"/>
                <w:szCs w:val="24"/>
                <w:highlight w:val="none"/>
                <w:lang w:val="en-US" w:eastAsia="zh-CN"/>
              </w:rPr>
              <w:t>六安</w:t>
            </w:r>
            <w:r>
              <w:rPr>
                <w:rFonts w:hint="eastAsia"/>
                <w:color w:val="auto"/>
                <w:spacing w:val="-4"/>
                <w:sz w:val="24"/>
                <w:szCs w:val="24"/>
                <w:highlight w:val="none"/>
              </w:rPr>
              <w:t>市环境质量状况公报》；</w:t>
            </w:r>
          </w:p>
          <w:p w14:paraId="281FE35E">
            <w:pPr>
              <w:keepNext w:val="0"/>
              <w:keepLines w:val="0"/>
              <w:pageBreakBefore w:val="0"/>
              <w:widowControl w:val="0"/>
              <w:kinsoku/>
              <w:wordWrap/>
              <w:overflowPunct/>
              <w:topLinePunct w:val="0"/>
              <w:autoSpaceDE/>
              <w:autoSpaceDN/>
              <w:bidi w:val="0"/>
              <w:adjustRightInd/>
              <w:snapToGrid/>
              <w:spacing w:line="360" w:lineRule="auto"/>
              <w:ind w:firstLine="464" w:firstLineChars="200"/>
              <w:textAlignment w:val="auto"/>
              <w:rPr>
                <w:color w:val="auto"/>
                <w:spacing w:val="-4"/>
                <w:sz w:val="24"/>
                <w:szCs w:val="24"/>
                <w:highlight w:val="none"/>
                <w:lang w:val="zh-CN"/>
              </w:rPr>
            </w:pPr>
            <w:r>
              <w:rPr>
                <w:rFonts w:hint="eastAsia"/>
                <w:color w:val="auto"/>
                <w:spacing w:val="-4"/>
                <w:sz w:val="24"/>
                <w:szCs w:val="24"/>
                <w:highlight w:val="none"/>
                <w:lang w:val="zh-CN"/>
              </w:rPr>
              <w:t>（</w:t>
            </w:r>
            <w:r>
              <w:rPr>
                <w:rFonts w:hint="eastAsia"/>
                <w:color w:val="auto"/>
                <w:spacing w:val="-4"/>
                <w:sz w:val="24"/>
                <w:szCs w:val="24"/>
                <w:highlight w:val="none"/>
              </w:rPr>
              <w:t>5</w:t>
            </w:r>
            <w:r>
              <w:rPr>
                <w:rFonts w:hint="eastAsia"/>
                <w:color w:val="auto"/>
                <w:spacing w:val="-4"/>
                <w:sz w:val="24"/>
                <w:szCs w:val="24"/>
                <w:highlight w:val="none"/>
                <w:lang w:val="zh-CN"/>
              </w:rPr>
              <w:t>）</w:t>
            </w:r>
            <w:r>
              <w:rPr>
                <w:rFonts w:hint="eastAsia"/>
                <w:color w:val="auto"/>
                <w:spacing w:val="-4"/>
                <w:sz w:val="24"/>
                <w:szCs w:val="24"/>
                <w:highlight w:val="none"/>
              </w:rPr>
              <w:t>本项目声环境及天</w:t>
            </w:r>
            <w:r>
              <w:rPr>
                <w:color w:val="auto"/>
                <w:spacing w:val="-4"/>
                <w:sz w:val="24"/>
                <w:szCs w:val="24"/>
                <w:highlight w:val="none"/>
              </w:rPr>
              <w:t>然本底辐射水平检测</w:t>
            </w:r>
            <w:r>
              <w:rPr>
                <w:rFonts w:hint="eastAsia"/>
                <w:color w:val="auto"/>
                <w:spacing w:val="-4"/>
                <w:sz w:val="24"/>
                <w:szCs w:val="24"/>
                <w:highlight w:val="none"/>
              </w:rPr>
              <w:t>报告；</w:t>
            </w:r>
          </w:p>
          <w:p w14:paraId="5CC28788">
            <w:pPr>
              <w:keepNext w:val="0"/>
              <w:keepLines w:val="0"/>
              <w:pageBreakBefore w:val="0"/>
              <w:widowControl w:val="0"/>
              <w:kinsoku/>
              <w:wordWrap/>
              <w:overflowPunct/>
              <w:topLinePunct w:val="0"/>
              <w:autoSpaceDE/>
              <w:autoSpaceDN/>
              <w:bidi w:val="0"/>
              <w:adjustRightInd/>
              <w:snapToGrid/>
              <w:spacing w:line="360" w:lineRule="auto"/>
              <w:ind w:firstLine="464" w:firstLineChars="200"/>
              <w:textAlignment w:val="auto"/>
              <w:rPr>
                <w:rFonts w:hint="eastAsia"/>
                <w:color w:val="auto"/>
                <w:spacing w:val="-4"/>
                <w:sz w:val="24"/>
                <w:szCs w:val="24"/>
                <w:highlight w:val="none"/>
              </w:rPr>
            </w:pPr>
            <w:r>
              <w:rPr>
                <w:rFonts w:hint="eastAsia"/>
                <w:color w:val="auto"/>
                <w:spacing w:val="-4"/>
                <w:sz w:val="24"/>
                <w:szCs w:val="24"/>
                <w:highlight w:val="none"/>
                <w:lang w:val="zh-CN"/>
              </w:rPr>
              <w:t>（</w:t>
            </w:r>
            <w:r>
              <w:rPr>
                <w:rFonts w:hint="eastAsia"/>
                <w:color w:val="auto"/>
                <w:spacing w:val="-4"/>
                <w:sz w:val="24"/>
                <w:szCs w:val="24"/>
                <w:highlight w:val="none"/>
              </w:rPr>
              <w:t>6</w:t>
            </w:r>
            <w:r>
              <w:rPr>
                <w:rFonts w:hint="eastAsia"/>
                <w:color w:val="auto"/>
                <w:spacing w:val="-4"/>
                <w:sz w:val="24"/>
                <w:szCs w:val="24"/>
                <w:highlight w:val="none"/>
                <w:lang w:val="zh-CN"/>
              </w:rPr>
              <w:t>）</w:t>
            </w:r>
            <w:r>
              <w:rPr>
                <w:rFonts w:hint="eastAsia"/>
                <w:color w:val="auto"/>
                <w:spacing w:val="-4"/>
                <w:sz w:val="24"/>
                <w:szCs w:val="24"/>
                <w:highlight w:val="none"/>
              </w:rPr>
              <w:t>根据《</w:t>
            </w:r>
            <w:r>
              <w:rPr>
                <w:rFonts w:hint="eastAsia"/>
                <w:color w:val="auto"/>
                <w:spacing w:val="-4"/>
                <w:sz w:val="24"/>
                <w:szCs w:val="24"/>
                <w:highlight w:val="none"/>
                <w:lang w:val="en-US" w:eastAsia="zh-CN"/>
              </w:rPr>
              <w:t>六安市辐射</w:t>
            </w:r>
            <w:r>
              <w:rPr>
                <w:rFonts w:hint="eastAsia"/>
                <w:color w:val="auto"/>
                <w:spacing w:val="-4"/>
                <w:sz w:val="24"/>
                <w:szCs w:val="24"/>
                <w:highlight w:val="none"/>
              </w:rPr>
              <w:t>环境状况公报》（202</w:t>
            </w:r>
            <w:r>
              <w:rPr>
                <w:rFonts w:hint="eastAsia"/>
                <w:color w:val="auto"/>
                <w:spacing w:val="-4"/>
                <w:sz w:val="24"/>
                <w:szCs w:val="24"/>
                <w:highlight w:val="none"/>
                <w:lang w:val="en-US" w:eastAsia="zh-CN"/>
              </w:rPr>
              <w:t>3</w:t>
            </w:r>
            <w:r>
              <w:rPr>
                <w:rFonts w:hint="eastAsia"/>
                <w:color w:val="auto"/>
                <w:spacing w:val="-4"/>
                <w:sz w:val="24"/>
                <w:szCs w:val="24"/>
                <w:highlight w:val="none"/>
              </w:rPr>
              <w:t>年）中数据显示：202</w:t>
            </w:r>
            <w:r>
              <w:rPr>
                <w:rFonts w:hint="eastAsia"/>
                <w:color w:val="auto"/>
                <w:spacing w:val="-4"/>
                <w:sz w:val="24"/>
                <w:szCs w:val="24"/>
                <w:highlight w:val="none"/>
                <w:lang w:val="en-US" w:eastAsia="zh-CN"/>
              </w:rPr>
              <w:t>3</w:t>
            </w:r>
            <w:r>
              <w:rPr>
                <w:rFonts w:hint="eastAsia"/>
                <w:color w:val="auto"/>
                <w:spacing w:val="-4"/>
                <w:sz w:val="24"/>
                <w:szCs w:val="24"/>
                <w:highlight w:val="none"/>
              </w:rPr>
              <w:t>年，</w:t>
            </w:r>
            <w:r>
              <w:rPr>
                <w:rFonts w:hint="eastAsia"/>
                <w:color w:val="auto"/>
                <w:spacing w:val="-4"/>
                <w:sz w:val="24"/>
                <w:szCs w:val="24"/>
                <w:highlight w:val="none"/>
                <w:lang w:val="en-US" w:eastAsia="zh-CN"/>
              </w:rPr>
              <w:t>六安市</w:t>
            </w:r>
            <w:r>
              <w:rPr>
                <w:rFonts w:hint="eastAsia"/>
                <w:color w:val="auto"/>
                <w:spacing w:val="-4"/>
                <w:sz w:val="24"/>
                <w:szCs w:val="24"/>
                <w:highlight w:val="none"/>
              </w:rPr>
              <w:t>伽玛辐射空气吸收剂量率（含宇宙射线贡献值）平均值为</w:t>
            </w:r>
            <w:r>
              <w:rPr>
                <w:rFonts w:hint="eastAsia"/>
                <w:color w:val="auto"/>
                <w:spacing w:val="-4"/>
                <w:sz w:val="24"/>
                <w:szCs w:val="24"/>
                <w:highlight w:val="none"/>
                <w:lang w:val="en-US" w:eastAsia="zh-CN"/>
              </w:rPr>
              <w:t>103.6</w:t>
            </w:r>
            <w:r>
              <w:rPr>
                <w:rFonts w:hint="eastAsia"/>
                <w:color w:val="auto"/>
                <w:spacing w:val="-4"/>
                <w:sz w:val="24"/>
                <w:szCs w:val="24"/>
                <w:highlight w:val="none"/>
              </w:rPr>
              <w:t>nGy/h，范围为</w:t>
            </w:r>
            <w:r>
              <w:rPr>
                <w:rFonts w:hint="eastAsia"/>
                <w:color w:val="auto"/>
                <w:spacing w:val="-4"/>
                <w:sz w:val="24"/>
                <w:szCs w:val="24"/>
                <w:highlight w:val="none"/>
                <w:lang w:val="en-US" w:eastAsia="zh-CN"/>
              </w:rPr>
              <w:t>83</w:t>
            </w:r>
            <w:r>
              <w:rPr>
                <w:rFonts w:hint="eastAsia"/>
                <w:color w:val="auto"/>
                <w:spacing w:val="-4"/>
                <w:sz w:val="24"/>
                <w:szCs w:val="24"/>
                <w:highlight w:val="none"/>
              </w:rPr>
              <w:t>~11</w:t>
            </w:r>
            <w:r>
              <w:rPr>
                <w:rFonts w:hint="eastAsia"/>
                <w:color w:val="auto"/>
                <w:spacing w:val="-4"/>
                <w:sz w:val="24"/>
                <w:szCs w:val="24"/>
                <w:highlight w:val="none"/>
                <w:lang w:val="en-US" w:eastAsia="zh-CN"/>
              </w:rPr>
              <w:t>9</w:t>
            </w:r>
            <w:r>
              <w:rPr>
                <w:rFonts w:hint="eastAsia"/>
                <w:color w:val="auto"/>
                <w:spacing w:val="-4"/>
                <w:sz w:val="24"/>
                <w:szCs w:val="24"/>
                <w:highlight w:val="none"/>
              </w:rPr>
              <w:t>nGy/h。</w:t>
            </w:r>
          </w:p>
          <w:p w14:paraId="79296EC4">
            <w:pPr>
              <w:spacing w:line="360" w:lineRule="auto"/>
              <w:ind w:firstLine="464" w:firstLineChars="200"/>
              <w:rPr>
                <w:rFonts w:hint="eastAsia"/>
                <w:color w:val="auto"/>
                <w:spacing w:val="-4"/>
                <w:sz w:val="24"/>
                <w:szCs w:val="24"/>
                <w:highlight w:val="none"/>
              </w:rPr>
            </w:pPr>
          </w:p>
          <w:p w14:paraId="7D103789">
            <w:pPr>
              <w:spacing w:line="360" w:lineRule="auto"/>
              <w:ind w:firstLine="464" w:firstLineChars="200"/>
              <w:rPr>
                <w:rFonts w:hint="eastAsia"/>
                <w:color w:val="auto"/>
                <w:spacing w:val="-4"/>
                <w:sz w:val="24"/>
                <w:szCs w:val="24"/>
                <w:highlight w:val="none"/>
              </w:rPr>
            </w:pPr>
          </w:p>
          <w:p w14:paraId="043C98C4">
            <w:pPr>
              <w:spacing w:line="360" w:lineRule="auto"/>
              <w:ind w:firstLine="464" w:firstLineChars="200"/>
              <w:rPr>
                <w:rFonts w:hint="eastAsia"/>
                <w:color w:val="auto"/>
                <w:spacing w:val="-4"/>
                <w:sz w:val="24"/>
                <w:szCs w:val="24"/>
                <w:highlight w:val="none"/>
              </w:rPr>
            </w:pPr>
          </w:p>
          <w:p w14:paraId="6F8A9984">
            <w:pPr>
              <w:spacing w:line="360" w:lineRule="auto"/>
              <w:ind w:firstLine="464" w:firstLineChars="200"/>
              <w:rPr>
                <w:rFonts w:hint="eastAsia"/>
                <w:color w:val="auto"/>
                <w:spacing w:val="-4"/>
                <w:sz w:val="24"/>
                <w:szCs w:val="24"/>
                <w:highlight w:val="none"/>
              </w:rPr>
            </w:pPr>
          </w:p>
          <w:p w14:paraId="42AC640B">
            <w:pPr>
              <w:spacing w:line="360" w:lineRule="auto"/>
              <w:ind w:firstLine="464" w:firstLineChars="200"/>
              <w:rPr>
                <w:rFonts w:hint="eastAsia"/>
                <w:color w:val="auto"/>
                <w:spacing w:val="-4"/>
                <w:sz w:val="24"/>
                <w:szCs w:val="24"/>
                <w:highlight w:val="none"/>
              </w:rPr>
            </w:pPr>
          </w:p>
          <w:p w14:paraId="55BF5D03">
            <w:pPr>
              <w:spacing w:line="360" w:lineRule="auto"/>
              <w:ind w:firstLine="464" w:firstLineChars="200"/>
              <w:rPr>
                <w:rFonts w:hint="eastAsia"/>
                <w:color w:val="auto"/>
                <w:spacing w:val="-4"/>
                <w:sz w:val="24"/>
                <w:szCs w:val="24"/>
                <w:highlight w:val="none"/>
              </w:rPr>
            </w:pPr>
          </w:p>
          <w:p w14:paraId="7DF64BAC">
            <w:pPr>
              <w:spacing w:line="360" w:lineRule="auto"/>
              <w:ind w:firstLine="464" w:firstLineChars="200"/>
              <w:rPr>
                <w:rFonts w:hint="eastAsia"/>
                <w:color w:val="auto"/>
                <w:spacing w:val="-4"/>
                <w:sz w:val="24"/>
                <w:szCs w:val="24"/>
                <w:highlight w:val="none"/>
              </w:rPr>
            </w:pPr>
          </w:p>
          <w:p w14:paraId="01760BC4">
            <w:pPr>
              <w:spacing w:line="360" w:lineRule="auto"/>
              <w:ind w:firstLine="464" w:firstLineChars="200"/>
              <w:rPr>
                <w:rFonts w:hint="eastAsia"/>
                <w:color w:val="auto"/>
                <w:spacing w:val="-4"/>
                <w:sz w:val="24"/>
                <w:szCs w:val="24"/>
                <w:highlight w:val="none"/>
              </w:rPr>
            </w:pPr>
          </w:p>
          <w:p w14:paraId="0779628E">
            <w:pPr>
              <w:spacing w:line="360" w:lineRule="auto"/>
              <w:ind w:firstLine="464" w:firstLineChars="200"/>
              <w:rPr>
                <w:rFonts w:hint="eastAsia"/>
                <w:color w:val="auto"/>
                <w:spacing w:val="-4"/>
                <w:sz w:val="24"/>
                <w:szCs w:val="24"/>
                <w:highlight w:val="none"/>
              </w:rPr>
            </w:pPr>
          </w:p>
          <w:p w14:paraId="242E835B">
            <w:pPr>
              <w:spacing w:line="360" w:lineRule="auto"/>
              <w:ind w:firstLine="464" w:firstLineChars="200"/>
              <w:rPr>
                <w:rFonts w:hint="eastAsia"/>
                <w:color w:val="auto"/>
                <w:spacing w:val="-4"/>
                <w:sz w:val="24"/>
                <w:szCs w:val="24"/>
                <w:highlight w:val="none"/>
              </w:rPr>
            </w:pPr>
          </w:p>
          <w:p w14:paraId="7B0CEBE1">
            <w:pPr>
              <w:spacing w:line="360" w:lineRule="auto"/>
              <w:ind w:firstLine="464" w:firstLineChars="200"/>
              <w:rPr>
                <w:rFonts w:hint="eastAsia" w:eastAsia="宋体"/>
                <w:color w:val="auto"/>
                <w:spacing w:val="-4"/>
                <w:sz w:val="24"/>
                <w:szCs w:val="24"/>
                <w:highlight w:val="none"/>
                <w:lang w:val="zh-CN" w:eastAsia="zh-CN"/>
              </w:rPr>
            </w:pPr>
          </w:p>
          <w:p w14:paraId="13610093">
            <w:pPr>
              <w:rPr>
                <w:color w:val="auto"/>
                <w:highlight w:val="none"/>
                <w:lang w:val="zh-CN"/>
              </w:rPr>
            </w:pPr>
          </w:p>
          <w:p w14:paraId="1D37193C">
            <w:pPr>
              <w:pStyle w:val="12"/>
              <w:rPr>
                <w:color w:val="auto"/>
                <w:kern w:val="0"/>
                <w:szCs w:val="24"/>
                <w:highlight w:val="none"/>
                <w:lang w:val="zh-CN"/>
              </w:rPr>
            </w:pPr>
          </w:p>
          <w:p w14:paraId="2DBD6494">
            <w:pPr>
              <w:rPr>
                <w:color w:val="auto"/>
                <w:kern w:val="0"/>
                <w:sz w:val="24"/>
                <w:szCs w:val="24"/>
                <w:highlight w:val="none"/>
                <w:lang w:val="zh-CN"/>
              </w:rPr>
            </w:pPr>
          </w:p>
          <w:p w14:paraId="4F7841C1">
            <w:pPr>
              <w:pStyle w:val="7"/>
              <w:rPr>
                <w:color w:val="auto"/>
                <w:kern w:val="0"/>
                <w:sz w:val="24"/>
                <w:szCs w:val="24"/>
                <w:highlight w:val="none"/>
                <w:lang w:val="zh-CN"/>
              </w:rPr>
            </w:pPr>
          </w:p>
          <w:p w14:paraId="6649BD81">
            <w:pPr>
              <w:rPr>
                <w:color w:val="auto"/>
                <w:kern w:val="0"/>
                <w:sz w:val="24"/>
                <w:szCs w:val="24"/>
                <w:highlight w:val="none"/>
                <w:lang w:val="zh-CN"/>
              </w:rPr>
            </w:pPr>
          </w:p>
          <w:p w14:paraId="394C71BD">
            <w:pPr>
              <w:pStyle w:val="7"/>
              <w:rPr>
                <w:color w:val="auto"/>
                <w:kern w:val="0"/>
                <w:sz w:val="24"/>
                <w:szCs w:val="24"/>
                <w:highlight w:val="none"/>
                <w:lang w:val="zh-CN"/>
              </w:rPr>
            </w:pPr>
          </w:p>
          <w:p w14:paraId="69EFE4A8">
            <w:pPr>
              <w:rPr>
                <w:color w:val="auto"/>
                <w:kern w:val="0"/>
                <w:sz w:val="24"/>
                <w:szCs w:val="24"/>
                <w:highlight w:val="none"/>
                <w:lang w:val="zh-CN"/>
              </w:rPr>
            </w:pPr>
          </w:p>
          <w:p w14:paraId="44C42B0C">
            <w:pPr>
              <w:pStyle w:val="12"/>
              <w:rPr>
                <w:color w:val="auto"/>
                <w:kern w:val="0"/>
                <w:szCs w:val="24"/>
                <w:highlight w:val="none"/>
              </w:rPr>
            </w:pPr>
          </w:p>
        </w:tc>
      </w:tr>
    </w:tbl>
    <w:p w14:paraId="778AD7E0">
      <w:pPr>
        <w:rPr>
          <w:color w:val="auto"/>
          <w:sz w:val="28"/>
          <w:szCs w:val="28"/>
          <w:highlight w:val="none"/>
        </w:rPr>
      </w:pPr>
      <w:bookmarkStart w:id="52" w:name="_Toc15389553"/>
      <w:r>
        <w:rPr>
          <w:color w:val="auto"/>
          <w:sz w:val="28"/>
          <w:szCs w:val="28"/>
          <w:highlight w:val="none"/>
        </w:rPr>
        <w:br w:type="page"/>
      </w:r>
    </w:p>
    <w:p w14:paraId="0136AFDA">
      <w:pPr>
        <w:pStyle w:val="3"/>
        <w:spacing w:before="0" w:after="0" w:line="360" w:lineRule="auto"/>
        <w:rPr>
          <w:color w:val="auto"/>
          <w:sz w:val="28"/>
          <w:szCs w:val="28"/>
          <w:highlight w:val="none"/>
        </w:rPr>
      </w:pPr>
      <w:bookmarkStart w:id="53" w:name="_Toc25676"/>
      <w:r>
        <w:rPr>
          <w:color w:val="auto"/>
          <w:sz w:val="28"/>
          <w:szCs w:val="28"/>
          <w:highlight w:val="none"/>
        </w:rPr>
        <w:t>表7 保护目标与评价标准</w:t>
      </w:r>
      <w:bookmarkEnd w:id="52"/>
      <w:bookmarkEnd w:id="53"/>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71"/>
      </w:tblGrid>
      <w:tr w14:paraId="614A5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79" w:type="dxa"/>
            <w:vAlign w:val="top"/>
          </w:tcPr>
          <w:p w14:paraId="35F6070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0" w:firstLineChars="200"/>
              <w:textAlignment w:val="auto"/>
              <w:rPr>
                <w:rFonts w:hint="default" w:ascii="Times New Roman" w:hAnsi="Times New Roman" w:cs="Times New Roman"/>
                <w:b/>
                <w:bCs/>
                <w:color w:val="auto"/>
                <w:sz w:val="24"/>
                <w:szCs w:val="24"/>
                <w:highlight w:val="none"/>
              </w:rPr>
            </w:pPr>
            <w:bookmarkStart w:id="54" w:name="_Toc5431"/>
            <w:bookmarkStart w:id="55" w:name="_Toc66001563"/>
            <w:bookmarkStart w:id="56" w:name="_Toc66009997"/>
            <w:bookmarkStart w:id="57" w:name="_Toc36829692"/>
            <w:bookmarkStart w:id="58" w:name="_Toc5555"/>
            <w:bookmarkStart w:id="59" w:name="_Toc16364"/>
            <w:r>
              <w:rPr>
                <w:rFonts w:hint="default" w:ascii="Times New Roman" w:hAnsi="Times New Roman" w:cs="Times New Roman"/>
                <w:b/>
                <w:bCs/>
                <w:color w:val="auto"/>
                <w:sz w:val="24"/>
                <w:szCs w:val="24"/>
                <w:highlight w:val="none"/>
              </w:rPr>
              <w:t>1、评价内容及目的</w:t>
            </w:r>
          </w:p>
          <w:p w14:paraId="4A37D89E">
            <w:pPr>
              <w:pStyle w:val="115"/>
              <w:spacing w:line="360" w:lineRule="auto"/>
              <w:ind w:firstLine="420"/>
              <w:rPr>
                <w:rFonts w:hint="default" w:ascii="Times New Roman" w:hAnsi="Times New Roman" w:cs="Times New Roman"/>
                <w:color w:val="auto"/>
                <w:highlight w:val="none"/>
              </w:rPr>
            </w:pPr>
            <w:r>
              <w:rPr>
                <w:rFonts w:hint="default" w:ascii="Times New Roman" w:hAnsi="Times New Roman" w:cs="Times New Roman"/>
                <w:color w:val="auto"/>
                <w:highlight w:val="none"/>
              </w:rPr>
              <w:t>（1）在调查</w:t>
            </w:r>
            <w:r>
              <w:rPr>
                <w:rFonts w:hint="default" w:ascii="Times New Roman" w:hAnsi="Times New Roman" w:eastAsia="宋体" w:cs="Times New Roman"/>
                <w:color w:val="auto"/>
                <w:sz w:val="24"/>
                <w:highlight w:val="none"/>
                <w:lang w:val="en-US" w:eastAsia="zh-CN"/>
              </w:rPr>
              <w:t>安徽泓济环境科技有限公司</w:t>
            </w:r>
            <w:r>
              <w:rPr>
                <w:rFonts w:hint="default" w:ascii="Times New Roman" w:hAnsi="Times New Roman" w:cs="Times New Roman"/>
                <w:color w:val="auto"/>
                <w:highlight w:val="none"/>
              </w:rPr>
              <w:t>厂区</w:t>
            </w:r>
            <w:r>
              <w:rPr>
                <w:rFonts w:hint="eastAsia" w:cs="Times New Roman"/>
                <w:color w:val="auto"/>
                <w:highlight w:val="none"/>
                <w:lang w:val="en-US" w:eastAsia="zh-CN"/>
              </w:rPr>
              <w:t>现有</w:t>
            </w:r>
            <w:r>
              <w:rPr>
                <w:rFonts w:hint="default" w:ascii="Times New Roman" w:hAnsi="Times New Roman" w:cs="Times New Roman"/>
                <w:color w:val="auto"/>
                <w:highlight w:val="none"/>
              </w:rPr>
              <w:t>环境保护设施的设计及建设情况的基础上，分析本项目废水、</w:t>
            </w:r>
            <w:r>
              <w:rPr>
                <w:rFonts w:hint="eastAsia" w:cs="Times New Roman"/>
                <w:color w:val="auto"/>
                <w:highlight w:val="none"/>
                <w:lang w:val="en-US" w:eastAsia="zh-CN"/>
              </w:rPr>
              <w:t>废气等非辐射环境影响评价，以及</w:t>
            </w:r>
            <w:r>
              <w:rPr>
                <w:rFonts w:hint="default" w:ascii="Times New Roman" w:hAnsi="Times New Roman" w:cs="Times New Roman"/>
                <w:color w:val="auto"/>
                <w:highlight w:val="none"/>
              </w:rPr>
              <w:t>固废依托处置的可行性。</w:t>
            </w:r>
          </w:p>
          <w:p w14:paraId="425B9F89">
            <w:pPr>
              <w:pStyle w:val="115"/>
              <w:spacing w:line="36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（2）对项目建设地点及周围进行辐射环境现状监测，对环境质量现状水平进行评价。</w:t>
            </w:r>
          </w:p>
          <w:p w14:paraId="6C6D23F9">
            <w:pPr>
              <w:pStyle w:val="115"/>
              <w:spacing w:line="36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（3）根据本项目探伤房拟采取的防护措施，对照《工业探伤放射防护标准》（GBZ117-2022）进行符合性分析，提出完善建议，并提出相应的辐射安全管理要求，把辐射环境影响减少到</w:t>
            </w:r>
            <w:r>
              <w:rPr>
                <w:rFonts w:hint="eastAsia" w:cs="Times New Roman"/>
                <w:color w:val="auto"/>
                <w:highlight w:val="none"/>
                <w:lang w:eastAsia="zh-CN"/>
              </w:rPr>
              <w:t>“</w:t>
            </w:r>
            <w:r>
              <w:rPr>
                <w:rFonts w:hint="default" w:ascii="Times New Roman" w:hAnsi="Times New Roman" w:cs="Times New Roman"/>
                <w:color w:val="auto"/>
                <w:highlight w:val="none"/>
              </w:rPr>
              <w:t>可合理达到的尽可能低水平</w:t>
            </w:r>
            <w:r>
              <w:rPr>
                <w:rFonts w:hint="eastAsia" w:cs="Times New Roman"/>
                <w:color w:val="auto"/>
                <w:highlight w:val="none"/>
                <w:lang w:eastAsia="zh-CN"/>
              </w:rPr>
              <w:t>”</w:t>
            </w:r>
            <w:r>
              <w:rPr>
                <w:rFonts w:hint="default" w:ascii="Times New Roman" w:hAnsi="Times New Roman" w:cs="Times New Roman"/>
                <w:color w:val="auto"/>
                <w:highlight w:val="none"/>
              </w:rPr>
              <w:t>。</w:t>
            </w:r>
          </w:p>
          <w:p w14:paraId="77E02045">
            <w:pPr>
              <w:pStyle w:val="115"/>
              <w:spacing w:line="36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（4）对项目运营期探伤房外的关注点的剂量率进行预测与</w:t>
            </w:r>
            <w:r>
              <w:rPr>
                <w:rFonts w:hint="default" w:ascii="Times New Roman" w:hAnsi="Times New Roman" w:cs="Times New Roman"/>
                <w:strike w:val="0"/>
                <w:color w:val="auto"/>
                <w:sz w:val="24"/>
                <w:szCs w:val="24"/>
                <w:highlight w:val="none"/>
              </w:rPr>
              <w:t>评价</w:t>
            </w:r>
            <w:r>
              <w:rPr>
                <w:rFonts w:hint="default" w:ascii="Times New Roman" w:hAnsi="Times New Roman" w:cs="Times New Roman"/>
                <w:color w:val="auto"/>
                <w:highlight w:val="none"/>
              </w:rPr>
              <w:t>，对辐射工作人员及公众年有效剂量进行估算与评价。</w:t>
            </w:r>
          </w:p>
          <w:p w14:paraId="26349F48">
            <w:pPr>
              <w:pStyle w:val="115"/>
              <w:spacing w:line="36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（5）提出满足国家和地方生态环境主管部门对建设项目环境管理规定的要求，为项目的环境管理提供科学依据。</w:t>
            </w:r>
          </w:p>
          <w:p w14:paraId="6F9BA511">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0" w:firstLineChars="200"/>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2、评价原则</w:t>
            </w:r>
          </w:p>
          <w:p w14:paraId="7CD097D7">
            <w:pPr>
              <w:kinsoku w:val="0"/>
              <w:overflowPunct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此次评价遵循《电离辐射防护与辐射源安全基本标准》（GB18871-2002）中的辐射防护</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三原则</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要求：</w:t>
            </w:r>
          </w:p>
          <w:p w14:paraId="20FE4D14">
            <w:pPr>
              <w:kinsoku w:val="0"/>
              <w:overflowPunct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（1）实践的正当性；</w:t>
            </w:r>
          </w:p>
          <w:p w14:paraId="41AECB07">
            <w:pPr>
              <w:kinsoku w:val="0"/>
              <w:overflowPunct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（2）剂量限制和潜在照射危险限制；</w:t>
            </w:r>
          </w:p>
          <w:p w14:paraId="3057708F">
            <w:pPr>
              <w:kinsoku w:val="0"/>
              <w:overflowPunct w:val="0"/>
              <w:spacing w:line="360" w:lineRule="auto"/>
              <w:ind w:firstLine="480" w:firstLineChars="200"/>
              <w:rPr>
                <w:rFonts w:hint="default" w:ascii="Times New Roman" w:hAnsi="Times New Roman" w:cs="Times New Roman"/>
                <w:color w:val="auto"/>
                <w:sz w:val="28"/>
                <w:szCs w:val="28"/>
                <w:highlight w:val="none"/>
              </w:rPr>
            </w:pPr>
            <w:r>
              <w:rPr>
                <w:rFonts w:hint="default" w:ascii="Times New Roman" w:hAnsi="Times New Roman" w:cs="Times New Roman"/>
                <w:color w:val="auto"/>
                <w:sz w:val="24"/>
                <w:szCs w:val="24"/>
                <w:highlight w:val="none"/>
              </w:rPr>
              <w:t>（3）防护与安全的最优化。</w:t>
            </w:r>
          </w:p>
          <w:p w14:paraId="185CEFF7">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0" w:firstLineChars="200"/>
              <w:textAlignment w:val="auto"/>
              <w:rPr>
                <w:rFonts w:hint="default" w:ascii="Times New Roman" w:hAnsi="Times New Roman" w:cs="Times New Roman"/>
                <w:b/>
                <w:bCs/>
                <w:color w:val="auto"/>
                <w:sz w:val="24"/>
                <w:szCs w:val="24"/>
                <w:highlight w:val="none"/>
              </w:rPr>
            </w:pPr>
            <w:bookmarkStart w:id="60" w:name="_Toc23553"/>
            <w:bookmarkStart w:id="61" w:name="_Toc14870"/>
            <w:bookmarkStart w:id="62" w:name="_Toc30516"/>
            <w:r>
              <w:rPr>
                <w:rFonts w:hint="default" w:ascii="Times New Roman" w:hAnsi="Times New Roman" w:cs="Times New Roman"/>
                <w:b/>
                <w:bCs/>
                <w:color w:val="auto"/>
                <w:sz w:val="24"/>
                <w:szCs w:val="24"/>
                <w:highlight w:val="none"/>
              </w:rPr>
              <w:t>3、评价重点</w:t>
            </w:r>
            <w:bookmarkEnd w:id="60"/>
            <w:bookmarkEnd w:id="61"/>
            <w:bookmarkEnd w:id="62"/>
          </w:p>
          <w:p w14:paraId="558E66FD">
            <w:pPr>
              <w:keepNext w:val="0"/>
              <w:keepLines w:val="0"/>
              <w:pageBreakBefore w:val="0"/>
              <w:widowControl w:val="0"/>
              <w:kinsoku/>
              <w:wordWrap/>
              <w:overflowPunct w:val="0"/>
              <w:topLinePunct w:val="0"/>
              <w:autoSpaceDE/>
              <w:autoSpaceDN/>
              <w:bidi w:val="0"/>
              <w:adjustRightInd/>
              <w:snapToGrid/>
              <w:spacing w:line="360" w:lineRule="auto"/>
              <w:ind w:firstLine="480" w:firstLineChars="200"/>
              <w:textAlignment w:val="auto"/>
              <w:rPr>
                <w:color w:val="auto"/>
              </w:rPr>
            </w:pPr>
            <w:r>
              <w:rPr>
                <w:rFonts w:hint="default" w:ascii="Times New Roman" w:hAnsi="Times New Roman" w:eastAsia="宋体" w:cs="Times New Roman"/>
                <w:color w:val="auto"/>
                <w:sz w:val="24"/>
                <w:szCs w:val="24"/>
                <w:highlight w:val="none"/>
              </w:rPr>
              <w:t>辐射环境：</w:t>
            </w:r>
            <w:r>
              <w:rPr>
                <w:rFonts w:hint="eastAsia" w:ascii="Times New Roman" w:hAnsi="Times New Roman" w:eastAsia="宋体" w:cs="Times New Roman"/>
                <w:color w:val="auto"/>
                <w:sz w:val="24"/>
                <w:szCs w:val="24"/>
                <w:highlight w:val="none"/>
                <w:lang w:val="en-US" w:eastAsia="zh-CN"/>
              </w:rPr>
              <w:t>此次评价重点为拟建</w:t>
            </w:r>
            <w:r>
              <w:rPr>
                <w:rFonts w:hint="default" w:ascii="Times New Roman" w:hAnsi="Times New Roman" w:eastAsia="宋体" w:cs="Times New Roman"/>
                <w:color w:val="auto"/>
                <w:sz w:val="24"/>
                <w:szCs w:val="24"/>
                <w:highlight w:val="none"/>
                <w:lang w:val="en-US" w:eastAsia="zh-CN"/>
              </w:rPr>
              <w:t>X</w:t>
            </w:r>
            <w:r>
              <w:rPr>
                <w:rFonts w:hint="eastAsia" w:ascii="Times New Roman" w:hAnsi="Times New Roman" w:eastAsia="宋体" w:cs="Times New Roman"/>
                <w:color w:val="auto"/>
                <w:sz w:val="24"/>
                <w:szCs w:val="24"/>
                <w:highlight w:val="none"/>
                <w:lang w:val="en-US" w:eastAsia="zh-CN"/>
              </w:rPr>
              <w:t>射线探伤室采取的屏蔽防护措施、安全装置、安全管理措施、辐射事故应急措施等合理性和有效性评价，以及项目在运营期对辐射工作人员和公众所受附加剂量评价。</w:t>
            </w:r>
            <w:r>
              <w:rPr>
                <w:rFonts w:hint="eastAsia" w:ascii="宋体" w:hAnsi="宋体" w:eastAsia="宋体" w:cs="宋体"/>
                <w:color w:val="auto"/>
                <w:kern w:val="0"/>
                <w:sz w:val="24"/>
                <w:szCs w:val="24"/>
                <w:lang w:val="en-US" w:eastAsia="zh-CN" w:bidi="ar"/>
              </w:rPr>
              <w:t xml:space="preserve"> </w:t>
            </w:r>
          </w:p>
          <w:p w14:paraId="03029DD5">
            <w:pPr>
              <w:keepNext w:val="0"/>
              <w:keepLines w:val="0"/>
              <w:pageBreakBefore w:val="0"/>
              <w:widowControl w:val="0"/>
              <w:kinsoku/>
              <w:wordWrap/>
              <w:overflowPunct w:val="0"/>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非辐射环境：</w:t>
            </w:r>
          </w:p>
          <w:p w14:paraId="35BF8BB5">
            <w:pPr>
              <w:keepNext w:val="0"/>
              <w:keepLines w:val="0"/>
              <w:pageBreakBefore w:val="0"/>
              <w:widowControl w:val="0"/>
              <w:kinsoku/>
              <w:wordWrap/>
              <w:overflowPunct w:val="0"/>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施工期：项目位于已建</w:t>
            </w:r>
            <w:r>
              <w:rPr>
                <w:rFonts w:hint="default"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 xml:space="preserve">车间内东北角，施工期内容主要包括探伤室的建设、装修、 </w:t>
            </w:r>
          </w:p>
          <w:p w14:paraId="02E89A4A">
            <w:pPr>
              <w:keepNext w:val="0"/>
              <w:keepLines w:val="0"/>
              <w:pageBreakBefore w:val="0"/>
              <w:widowControl w:val="0"/>
              <w:kinsoku/>
              <w:wordWrap/>
              <w:overflowPunct w:val="0"/>
              <w:topLinePunct w:val="0"/>
              <w:autoSpaceDE/>
              <w:autoSpaceDN/>
              <w:bidi w:val="0"/>
              <w:adjustRightInd/>
              <w:snapToGrid/>
              <w:spacing w:line="360" w:lineRule="auto"/>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设备安装和辅助用房的建设、装修等，项目土建工程量较小。施工期的主要污染源为施工</w:t>
            </w:r>
            <w:r>
              <w:rPr>
                <w:rFonts w:hint="eastAsia" w:cs="Times New Roman"/>
                <w:color w:val="auto"/>
                <w:sz w:val="24"/>
                <w:szCs w:val="24"/>
                <w:highlight w:val="none"/>
                <w:lang w:val="en-US" w:eastAsia="zh-CN"/>
              </w:rPr>
              <w:t>地基开槽过程</w:t>
            </w:r>
            <w:r>
              <w:rPr>
                <w:rFonts w:hint="eastAsia" w:ascii="Times New Roman" w:hAnsi="Times New Roman" w:eastAsia="宋体" w:cs="Times New Roman"/>
                <w:color w:val="auto"/>
                <w:sz w:val="24"/>
                <w:szCs w:val="24"/>
                <w:highlight w:val="none"/>
                <w:lang w:val="en-US" w:eastAsia="zh-CN"/>
              </w:rPr>
              <w:t xml:space="preserve">产生的废气、废水、噪声和固废。这些污染是暂时性的，待施工结束后，基本可以得到消除。本次评价仅对施工期环境影响分析进行简单分析。 </w:t>
            </w:r>
          </w:p>
          <w:p w14:paraId="3ED60939">
            <w:pPr>
              <w:keepNext w:val="0"/>
              <w:keepLines w:val="0"/>
              <w:pageBreakBefore w:val="0"/>
              <w:widowControl w:val="0"/>
              <w:kinsoku/>
              <w:wordWrap/>
              <w:overflowPunct w:val="0"/>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运营期：该</w:t>
            </w:r>
            <w:r>
              <w:rPr>
                <w:rFonts w:hint="eastAsia" w:cs="Times New Roman"/>
                <w:color w:val="auto"/>
                <w:sz w:val="24"/>
                <w:szCs w:val="24"/>
                <w:highlight w:val="none"/>
                <w:lang w:val="en-US" w:eastAsia="zh-CN"/>
              </w:rPr>
              <w:t>项目拟定2名辐射工作人员，均由现有厂区进行调剂，无新增生活污水产生和生活垃圾产生</w:t>
            </w:r>
            <w:r>
              <w:rPr>
                <w:rFonts w:hint="eastAsia" w:ascii="Times New Roman" w:hAnsi="Times New Roman" w:eastAsia="宋体" w:cs="Times New Roman"/>
                <w:color w:val="auto"/>
                <w:sz w:val="24"/>
                <w:szCs w:val="24"/>
                <w:highlight w:val="none"/>
                <w:lang w:val="en-US" w:eastAsia="zh-CN"/>
              </w:rPr>
              <w:t>；危险废物依托厂区危险废物暂存间暂存，委托有资质单位进行处理；</w:t>
            </w:r>
            <w:r>
              <w:rPr>
                <w:rFonts w:hint="default" w:ascii="Times New Roman" w:hAnsi="Times New Roman" w:eastAsia="宋体" w:cs="Times New Roman"/>
                <w:color w:val="auto"/>
                <w:sz w:val="24"/>
                <w:szCs w:val="24"/>
                <w:highlight w:val="none"/>
                <w:lang w:val="en-US" w:eastAsia="zh-CN"/>
              </w:rPr>
              <w:t>X</w:t>
            </w:r>
            <w:r>
              <w:rPr>
                <w:rFonts w:hint="eastAsia" w:ascii="Times New Roman" w:hAnsi="Times New Roman" w:eastAsia="宋体" w:cs="Times New Roman"/>
                <w:color w:val="auto"/>
                <w:sz w:val="24"/>
                <w:szCs w:val="24"/>
                <w:highlight w:val="none"/>
                <w:lang w:val="en-US" w:eastAsia="zh-CN"/>
              </w:rPr>
              <w:t>射线探伤室只要达到标准要求的通风换气次数，则探伤室运行产生的臭氧和氮氧化物对环境空气影响很小，此次评价仅分析探伤室的通风换气次数达标性，并提出排风措施要求。因此，本次非辐射环境影响评价的重点为分析说明危险废物依托暂存的可行性以及分析探伤室轴流风机产生的噪声（等效连续</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声级</w:t>
            </w:r>
            <w:r>
              <w:rPr>
                <w:rFonts w:hint="default" w:ascii="Times New Roman" w:hAnsi="Times New Roman" w:eastAsia="宋体" w:cs="Times New Roman"/>
                <w:color w:val="auto"/>
                <w:sz w:val="24"/>
                <w:szCs w:val="24"/>
                <w:highlight w:val="none"/>
                <w:lang w:val="en-US" w:eastAsia="zh-CN"/>
              </w:rPr>
              <w:t>LAeq</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T</w:t>
            </w:r>
            <w:r>
              <w:rPr>
                <w:rFonts w:hint="eastAsia" w:ascii="Times New Roman" w:hAnsi="Times New Roman" w:eastAsia="宋体" w:cs="Times New Roman"/>
                <w:color w:val="auto"/>
                <w:sz w:val="24"/>
                <w:szCs w:val="24"/>
                <w:highlight w:val="none"/>
                <w:lang w:val="en-US" w:eastAsia="zh-CN"/>
              </w:rPr>
              <w:t xml:space="preserve">）对厂界的影响。 </w:t>
            </w:r>
          </w:p>
          <w:p w14:paraId="39DFCCA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0" w:firstLineChars="200"/>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4、评价范围</w:t>
            </w:r>
          </w:p>
          <w:p w14:paraId="4122C4A6">
            <w:pPr>
              <w:overflowPunct w:val="0"/>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辐射环境：根据本项目特点，结合《辐射环境保护管理导则 核技术利用项目环境影响评价文件的内容和格式》（HJ 10.1-2016）的相关规定，确定本项目辐射环境评价范围为X射线探伤房各侧屏蔽体边界外50m的</w:t>
            </w:r>
            <w:r>
              <w:rPr>
                <w:rFonts w:hint="default" w:ascii="Times New Roman" w:hAnsi="Times New Roman" w:cs="Times New Roman"/>
                <w:color w:val="auto"/>
                <w:sz w:val="24"/>
                <w:szCs w:val="24"/>
                <w:highlight w:val="none"/>
                <w:lang w:val="en-US" w:eastAsia="zh-CN"/>
              </w:rPr>
              <w:t>区域</w:t>
            </w:r>
            <w:r>
              <w:rPr>
                <w:rFonts w:hint="default" w:ascii="Times New Roman" w:hAnsi="Times New Roman" w:cs="Times New Roman"/>
                <w:color w:val="auto"/>
                <w:sz w:val="24"/>
                <w:szCs w:val="24"/>
                <w:highlight w:val="none"/>
              </w:rPr>
              <w:t>。</w:t>
            </w:r>
          </w:p>
          <w:p w14:paraId="4532919A">
            <w:pPr>
              <w:overflowPunct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声环境：本项目属于核技术利用项目，环评类别为报告表；参照《建设项目环境影响报告表编制技术指南（污染影响类）（试行）》的规定，并结合项目实际情况，确定声环境影响评价范围为厂界外50m的区域。</w:t>
            </w:r>
          </w:p>
          <w:p w14:paraId="5019A61C">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0" w:firstLineChars="200"/>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5、保护目标</w:t>
            </w:r>
          </w:p>
          <w:p w14:paraId="74B07389">
            <w:pPr>
              <w:kinsoku w:val="0"/>
              <w:overflowPunct w:val="0"/>
              <w:spacing w:line="360" w:lineRule="auto"/>
              <w:ind w:firstLine="480"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val="zh-CN"/>
              </w:rPr>
              <w:t>（</w:t>
            </w:r>
            <w:r>
              <w:rPr>
                <w:rFonts w:hint="default" w:ascii="Times New Roman" w:hAnsi="Times New Roman" w:cs="Times New Roman"/>
                <w:b/>
                <w:bCs/>
                <w:color w:val="auto"/>
                <w:sz w:val="24"/>
                <w:szCs w:val="24"/>
                <w:highlight w:val="none"/>
              </w:rPr>
              <w:t>1</w:t>
            </w:r>
            <w:r>
              <w:rPr>
                <w:rFonts w:hint="default" w:ascii="Times New Roman" w:hAnsi="Times New Roman" w:cs="Times New Roman"/>
                <w:b/>
                <w:bCs/>
                <w:color w:val="auto"/>
                <w:sz w:val="24"/>
                <w:szCs w:val="24"/>
                <w:highlight w:val="none"/>
                <w:lang w:val="zh-CN"/>
              </w:rPr>
              <w:t>）</w:t>
            </w:r>
            <w:r>
              <w:rPr>
                <w:rFonts w:hint="default" w:ascii="Times New Roman" w:hAnsi="Times New Roman" w:cs="Times New Roman"/>
                <w:b/>
                <w:bCs/>
                <w:color w:val="auto"/>
                <w:sz w:val="24"/>
                <w:szCs w:val="24"/>
                <w:highlight w:val="none"/>
              </w:rPr>
              <w:t>辐射环境保护目标</w:t>
            </w:r>
          </w:p>
          <w:p w14:paraId="2CCC5BCA">
            <w:pPr>
              <w:keepNext w:val="0"/>
              <w:keepLines w:val="0"/>
              <w:pageBreakBefore w:val="0"/>
              <w:widowControl w:val="0"/>
              <w:kinsoku/>
              <w:wordWrap/>
              <w:overflowPunct w:val="0"/>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根据现场调查可知，</w:t>
            </w:r>
            <w:r>
              <w:rPr>
                <w:rFonts w:hint="default" w:ascii="Times New Roman" w:hAnsi="Times New Roman" w:cs="Times New Roman"/>
                <w:color w:val="auto"/>
                <w:spacing w:val="-6"/>
                <w:sz w:val="24"/>
                <w:szCs w:val="24"/>
                <w:highlight w:val="none"/>
              </w:rPr>
              <w:t>本项目X射线探伤房拟建址周围50m范围内均无居民区、学校、医院等环境敏感目标，本项目辐射环境保护目标主要为辐射工作人员及探伤房拟建址周围评价范围内的公众</w:t>
            </w:r>
            <w:r>
              <w:rPr>
                <w:rFonts w:hint="default" w:ascii="Times New Roman" w:hAnsi="Times New Roman" w:cs="Times New Roman"/>
                <w:color w:val="auto"/>
                <w:sz w:val="24"/>
                <w:szCs w:val="24"/>
                <w:highlight w:val="none"/>
              </w:rPr>
              <w:t>。根据计算，项目屏蔽体外辐射剂量率满足要求，项目辐射工作人员和公众年有效剂量满足相应要求，探伤机工作过程对周围环境辐射影响是可接受的。本项目50m范围内主要保护目标具体见表7-1。本项目50m评价范围为操作间、</w:t>
            </w:r>
            <w:r>
              <w:rPr>
                <w:rFonts w:hint="eastAsia" w:cs="Times New Roman"/>
                <w:color w:val="auto"/>
                <w:sz w:val="24"/>
                <w:szCs w:val="24"/>
                <w:highlight w:val="none"/>
                <w:lang w:val="en-US" w:eastAsia="zh-CN"/>
              </w:rPr>
              <w:t>洗片室、评片室、2#车间机加工区</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3#车间机加工区</w:t>
            </w:r>
            <w:r>
              <w:rPr>
                <w:rFonts w:hint="default" w:ascii="Times New Roman" w:hAnsi="Times New Roman" w:cs="Times New Roman"/>
                <w:color w:val="auto"/>
                <w:sz w:val="24"/>
                <w:szCs w:val="24"/>
                <w:highlight w:val="none"/>
              </w:rPr>
              <w:t>、厂区内道路、</w:t>
            </w:r>
            <w:r>
              <w:rPr>
                <w:rFonts w:hint="eastAsia" w:cs="Times New Roman"/>
                <w:color w:val="auto"/>
                <w:sz w:val="24"/>
                <w:szCs w:val="24"/>
                <w:highlight w:val="none"/>
                <w:lang w:val="en-US" w:eastAsia="zh-CN"/>
              </w:rPr>
              <w:t>危废库和漆料库</w:t>
            </w:r>
            <w:r>
              <w:rPr>
                <w:rFonts w:hint="default" w:ascii="Times New Roman" w:hAnsi="Times New Roman" w:cs="Times New Roman"/>
                <w:color w:val="auto"/>
                <w:sz w:val="24"/>
                <w:szCs w:val="24"/>
                <w:highlight w:val="none"/>
              </w:rPr>
              <w:t>等，</w:t>
            </w:r>
            <w:r>
              <w:rPr>
                <w:rFonts w:hint="eastAsia" w:cs="Times New Roman"/>
                <w:color w:val="auto"/>
                <w:sz w:val="24"/>
                <w:szCs w:val="24"/>
                <w:highlight w:val="none"/>
                <w:lang w:val="en-US" w:eastAsia="zh-CN"/>
              </w:rPr>
              <w:t>辐射环境评价范围</w:t>
            </w:r>
            <w:r>
              <w:rPr>
                <w:rFonts w:hint="default" w:ascii="Times New Roman" w:hAnsi="Times New Roman" w:cs="Times New Roman"/>
                <w:color w:val="auto"/>
                <w:sz w:val="24"/>
                <w:szCs w:val="24"/>
                <w:highlight w:val="none"/>
              </w:rPr>
              <w:t>详见图7-1。</w:t>
            </w:r>
          </w:p>
          <w:p w14:paraId="2309982B">
            <w:pPr>
              <w:pStyle w:val="2"/>
              <w:rPr>
                <w:rFonts w:hint="default" w:ascii="Times New Roman" w:hAnsi="Times New Roman" w:cs="Times New Roman"/>
                <w:color w:val="auto"/>
                <w:sz w:val="24"/>
                <w:szCs w:val="24"/>
                <w:highlight w:val="none"/>
              </w:rPr>
            </w:pPr>
          </w:p>
          <w:p w14:paraId="2D3D4FF7">
            <w:pPr>
              <w:rPr>
                <w:rFonts w:hint="default" w:ascii="Times New Roman" w:hAnsi="Times New Roman" w:cs="Times New Roman"/>
                <w:color w:val="auto"/>
                <w:sz w:val="24"/>
                <w:szCs w:val="24"/>
                <w:highlight w:val="none"/>
              </w:rPr>
            </w:pPr>
          </w:p>
          <w:p w14:paraId="3052E876">
            <w:pPr>
              <w:pStyle w:val="2"/>
              <w:rPr>
                <w:rFonts w:hint="default"/>
                <w:color w:val="auto"/>
              </w:rPr>
            </w:pPr>
          </w:p>
          <w:p w14:paraId="1817C9F9">
            <w:pPr>
              <w:pStyle w:val="23"/>
              <w:snapToGrid w:val="0"/>
              <w:spacing w:after="0" w:line="240" w:lineRule="auto"/>
              <w:ind w:left="0" w:leftChars="0" w:firstLine="0" w:firstLineChars="0"/>
              <w:jc w:val="center"/>
              <w:rPr>
                <w:rFonts w:hint="default" w:ascii="Times New Roman" w:hAnsi="Times New Roman" w:cs="Times New Roman"/>
                <w:b/>
                <w:bCs/>
                <w:color w:val="auto"/>
                <w:szCs w:val="21"/>
                <w:highlight w:val="none"/>
                <w:lang w:val="en-US"/>
              </w:rPr>
            </w:pPr>
            <w:r>
              <w:rPr>
                <w:rFonts w:hint="default" w:ascii="Times New Roman" w:hAnsi="Times New Roman" w:cs="Times New Roman"/>
                <w:b/>
                <w:bCs/>
                <w:color w:val="auto"/>
                <w:szCs w:val="21"/>
                <w:highlight w:val="none"/>
                <w:lang w:val="en-US"/>
              </w:rPr>
              <w:t xml:space="preserve">表7-1 </w:t>
            </w:r>
            <w:r>
              <w:rPr>
                <w:rFonts w:hint="eastAsia" w:cs="Times New Roman"/>
                <w:b/>
                <w:bCs/>
                <w:color w:val="auto"/>
                <w:szCs w:val="21"/>
                <w:highlight w:val="none"/>
                <w:lang w:val="en-US" w:eastAsia="zh-CN"/>
              </w:rPr>
              <w:t xml:space="preserve"> </w:t>
            </w:r>
            <w:r>
              <w:rPr>
                <w:rFonts w:hint="default" w:ascii="Times New Roman" w:hAnsi="Times New Roman" w:cs="Times New Roman"/>
                <w:b/>
                <w:bCs/>
                <w:color w:val="auto"/>
                <w:szCs w:val="21"/>
                <w:highlight w:val="none"/>
                <w:lang w:val="en-US"/>
              </w:rPr>
              <w:t>探伤房外50m范围内辐射保护目标</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9"/>
              <w:gridCol w:w="570"/>
              <w:gridCol w:w="2629"/>
              <w:gridCol w:w="1593"/>
              <w:gridCol w:w="701"/>
              <w:gridCol w:w="1490"/>
              <w:gridCol w:w="1113"/>
            </w:tblGrid>
            <w:tr w14:paraId="76F40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8" w:type="dxa"/>
                  <w:vMerge w:val="restart"/>
                  <w:vAlign w:val="center"/>
                </w:tcPr>
                <w:p w14:paraId="02DE8C54">
                  <w:pPr>
                    <w:snapToGrid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项目</w:t>
                  </w:r>
                </w:p>
              </w:tc>
              <w:tc>
                <w:tcPr>
                  <w:tcW w:w="5236" w:type="dxa"/>
                  <w:gridSpan w:val="3"/>
                  <w:vAlign w:val="center"/>
                </w:tcPr>
                <w:p w14:paraId="5425ED4D">
                  <w:pPr>
                    <w:snapToGrid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环境保护目标（50m范围内）</w:t>
                  </w:r>
                </w:p>
              </w:tc>
              <w:tc>
                <w:tcPr>
                  <w:tcW w:w="737" w:type="dxa"/>
                  <w:vMerge w:val="restart"/>
                  <w:vAlign w:val="center"/>
                </w:tcPr>
                <w:p w14:paraId="1212A99D">
                  <w:pPr>
                    <w:snapToGrid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方位</w:t>
                  </w:r>
                </w:p>
              </w:tc>
              <w:tc>
                <w:tcPr>
                  <w:tcW w:w="1578" w:type="dxa"/>
                  <w:vMerge w:val="restart"/>
                  <w:vAlign w:val="center"/>
                </w:tcPr>
                <w:p w14:paraId="048DB823">
                  <w:pPr>
                    <w:snapToGrid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最近距离（m）</w:t>
                  </w:r>
                </w:p>
              </w:tc>
              <w:tc>
                <w:tcPr>
                  <w:tcW w:w="1202" w:type="dxa"/>
                  <w:vMerge w:val="restart"/>
                  <w:vAlign w:val="center"/>
                </w:tcPr>
                <w:p w14:paraId="60839E4B">
                  <w:pPr>
                    <w:snapToGrid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人数</w:t>
                  </w:r>
                </w:p>
              </w:tc>
            </w:tr>
            <w:tr w14:paraId="38498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8" w:type="dxa"/>
                  <w:vMerge w:val="continue"/>
                  <w:vAlign w:val="center"/>
                </w:tcPr>
                <w:p w14:paraId="63407E15">
                  <w:pPr>
                    <w:snapToGrid w:val="0"/>
                    <w:jc w:val="center"/>
                    <w:rPr>
                      <w:rFonts w:hint="default" w:ascii="Times New Roman" w:hAnsi="Times New Roman" w:cs="Times New Roman"/>
                      <w:color w:val="auto"/>
                      <w:highlight w:val="none"/>
                    </w:rPr>
                  </w:pPr>
                </w:p>
              </w:tc>
              <w:tc>
                <w:tcPr>
                  <w:tcW w:w="3491" w:type="dxa"/>
                  <w:gridSpan w:val="2"/>
                  <w:vAlign w:val="center"/>
                </w:tcPr>
                <w:p w14:paraId="695C8BE2">
                  <w:pPr>
                    <w:snapToGrid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周边点位</w:t>
                  </w:r>
                </w:p>
              </w:tc>
              <w:tc>
                <w:tcPr>
                  <w:tcW w:w="1745" w:type="dxa"/>
                  <w:vAlign w:val="center"/>
                </w:tcPr>
                <w:p w14:paraId="0888D621">
                  <w:pPr>
                    <w:snapToGrid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保护目标</w:t>
                  </w:r>
                </w:p>
              </w:tc>
              <w:tc>
                <w:tcPr>
                  <w:tcW w:w="737" w:type="dxa"/>
                  <w:vMerge w:val="continue"/>
                  <w:vAlign w:val="center"/>
                </w:tcPr>
                <w:p w14:paraId="38A1D74E">
                  <w:pPr>
                    <w:snapToGrid w:val="0"/>
                    <w:jc w:val="center"/>
                    <w:rPr>
                      <w:rFonts w:hint="default" w:ascii="Times New Roman" w:hAnsi="Times New Roman" w:cs="Times New Roman"/>
                      <w:color w:val="auto"/>
                      <w:highlight w:val="none"/>
                    </w:rPr>
                  </w:pPr>
                </w:p>
              </w:tc>
              <w:tc>
                <w:tcPr>
                  <w:tcW w:w="1578" w:type="dxa"/>
                  <w:vMerge w:val="continue"/>
                  <w:vAlign w:val="center"/>
                </w:tcPr>
                <w:p w14:paraId="027A047B">
                  <w:pPr>
                    <w:snapToGrid w:val="0"/>
                    <w:jc w:val="center"/>
                    <w:rPr>
                      <w:rFonts w:hint="default" w:ascii="Times New Roman" w:hAnsi="Times New Roman" w:cs="Times New Roman"/>
                      <w:color w:val="auto"/>
                      <w:highlight w:val="none"/>
                    </w:rPr>
                  </w:pPr>
                </w:p>
              </w:tc>
              <w:tc>
                <w:tcPr>
                  <w:tcW w:w="1202" w:type="dxa"/>
                  <w:vMerge w:val="continue"/>
                  <w:vAlign w:val="center"/>
                </w:tcPr>
                <w:p w14:paraId="3A699198">
                  <w:pPr>
                    <w:snapToGrid w:val="0"/>
                    <w:jc w:val="center"/>
                    <w:rPr>
                      <w:rFonts w:hint="default" w:ascii="Times New Roman" w:hAnsi="Times New Roman" w:cs="Times New Roman"/>
                      <w:color w:val="auto"/>
                      <w:highlight w:val="none"/>
                    </w:rPr>
                  </w:pPr>
                </w:p>
              </w:tc>
            </w:tr>
            <w:tr w14:paraId="1AB9E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8" w:type="dxa"/>
                  <w:vMerge w:val="restart"/>
                  <w:vAlign w:val="center"/>
                </w:tcPr>
                <w:p w14:paraId="6ADB8557">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探</w:t>
                  </w:r>
                </w:p>
                <w:p w14:paraId="1656BCC6">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伤</w:t>
                  </w:r>
                </w:p>
                <w:p w14:paraId="72BFB6B6">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房</w:t>
                  </w:r>
                </w:p>
              </w:tc>
              <w:tc>
                <w:tcPr>
                  <w:tcW w:w="602" w:type="dxa"/>
                  <w:vAlign w:val="center"/>
                </w:tcPr>
                <w:p w14:paraId="3F0F960E">
                  <w:pPr>
                    <w:widowControl/>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2889" w:type="dxa"/>
                  <w:vAlign w:val="center"/>
                </w:tcPr>
                <w:p w14:paraId="1E3A34EB">
                  <w:pPr>
                    <w:snapToGrid w:val="0"/>
                    <w:jc w:val="center"/>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操作</w:t>
                  </w:r>
                  <w:r>
                    <w:rPr>
                      <w:rStyle w:val="44"/>
                      <w:rFonts w:hint="eastAsia" w:cs="Times New Roman"/>
                      <w:color w:val="auto"/>
                      <w:highlight w:val="none"/>
                      <w:lang w:val="en-US" w:eastAsia="zh-CN"/>
                    </w:rPr>
                    <w:t>间</w:t>
                  </w:r>
                  <w:r>
                    <w:rPr>
                      <w:rFonts w:hint="default" w:ascii="Times New Roman" w:hAnsi="Times New Roman" w:cs="Times New Roman"/>
                      <w:color w:val="auto"/>
                      <w:highlight w:val="none"/>
                      <w:lang w:val="en-US" w:eastAsia="zh-CN"/>
                    </w:rPr>
                    <w:t>、洗片室、评片室</w:t>
                  </w:r>
                </w:p>
              </w:tc>
              <w:tc>
                <w:tcPr>
                  <w:tcW w:w="1745" w:type="dxa"/>
                  <w:vAlign w:val="center"/>
                </w:tcPr>
                <w:p w14:paraId="267B81D0">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辐射工作人员</w:t>
                  </w:r>
                </w:p>
              </w:tc>
              <w:tc>
                <w:tcPr>
                  <w:tcW w:w="737" w:type="dxa"/>
                  <w:vAlign w:val="center"/>
                </w:tcPr>
                <w:p w14:paraId="736BC237">
                  <w:pPr>
                    <w:snapToGrid w:val="0"/>
                    <w:jc w:val="center"/>
                    <w:rPr>
                      <w:rFonts w:hint="default" w:ascii="Times New Roman" w:hAnsi="Times New Roman" w:cs="Times New Roman"/>
                      <w:color w:val="auto"/>
                      <w:highlight w:val="none"/>
                    </w:rPr>
                  </w:pPr>
                  <w:r>
                    <w:rPr>
                      <w:rFonts w:hint="eastAsia" w:cs="Times New Roman"/>
                      <w:color w:val="auto"/>
                      <w:highlight w:val="none"/>
                      <w:lang w:val="en-US" w:eastAsia="zh-CN"/>
                    </w:rPr>
                    <w:t>东</w:t>
                  </w:r>
                  <w:r>
                    <w:rPr>
                      <w:rFonts w:hint="default" w:ascii="Times New Roman" w:hAnsi="Times New Roman" w:cs="Times New Roman"/>
                      <w:color w:val="auto"/>
                      <w:highlight w:val="none"/>
                    </w:rPr>
                    <w:t>侧</w:t>
                  </w:r>
                </w:p>
              </w:tc>
              <w:tc>
                <w:tcPr>
                  <w:tcW w:w="1578" w:type="dxa"/>
                  <w:vAlign w:val="center"/>
                </w:tcPr>
                <w:p w14:paraId="27F56DE0">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紧邻</w:t>
                  </w:r>
                </w:p>
              </w:tc>
              <w:tc>
                <w:tcPr>
                  <w:tcW w:w="1202" w:type="dxa"/>
                  <w:vAlign w:val="center"/>
                </w:tcPr>
                <w:p w14:paraId="05F81E45">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约2人</w:t>
                  </w:r>
                </w:p>
              </w:tc>
            </w:tr>
            <w:tr w14:paraId="75785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8" w:type="dxa"/>
                  <w:vMerge w:val="continue"/>
                  <w:vAlign w:val="center"/>
                </w:tcPr>
                <w:p w14:paraId="0B4BFB87">
                  <w:pPr>
                    <w:snapToGrid w:val="0"/>
                    <w:jc w:val="center"/>
                    <w:rPr>
                      <w:rFonts w:hint="default" w:ascii="Times New Roman" w:hAnsi="Times New Roman" w:cs="Times New Roman"/>
                      <w:color w:val="auto"/>
                      <w:highlight w:val="none"/>
                    </w:rPr>
                  </w:pPr>
                </w:p>
              </w:tc>
              <w:tc>
                <w:tcPr>
                  <w:tcW w:w="602" w:type="dxa"/>
                  <w:vAlign w:val="center"/>
                </w:tcPr>
                <w:p w14:paraId="3581BCA1">
                  <w:pPr>
                    <w:widowControl/>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2889" w:type="dxa"/>
                  <w:vAlign w:val="center"/>
                </w:tcPr>
                <w:p w14:paraId="22DD1A1C">
                  <w:pPr>
                    <w:snapToGrid w:val="0"/>
                    <w:jc w:val="center"/>
                    <w:rPr>
                      <w:rFonts w:hint="default" w:ascii="Times New Roman" w:hAnsi="Times New Roman" w:cs="Times New Roman"/>
                      <w:color w:val="auto"/>
                      <w:highlight w:val="none"/>
                      <w:lang w:val="en-US"/>
                    </w:rPr>
                  </w:pPr>
                  <w:r>
                    <w:rPr>
                      <w:rFonts w:hint="eastAsia" w:cs="Times New Roman"/>
                      <w:color w:val="auto"/>
                      <w:highlight w:val="none"/>
                      <w:lang w:val="en-US" w:eastAsia="zh-CN"/>
                    </w:rPr>
                    <w:t>2#车间机加工区</w:t>
                  </w:r>
                </w:p>
              </w:tc>
              <w:tc>
                <w:tcPr>
                  <w:tcW w:w="1745" w:type="dxa"/>
                  <w:vAlign w:val="center"/>
                </w:tcPr>
                <w:p w14:paraId="019497B1">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公众</w:t>
                  </w:r>
                </w:p>
              </w:tc>
              <w:tc>
                <w:tcPr>
                  <w:tcW w:w="737" w:type="dxa"/>
                  <w:vAlign w:val="center"/>
                </w:tcPr>
                <w:p w14:paraId="1315CFAE">
                  <w:pPr>
                    <w:snapToGrid w:val="0"/>
                    <w:jc w:val="center"/>
                    <w:rPr>
                      <w:rFonts w:hint="default" w:ascii="Times New Roman" w:hAnsi="Times New Roman" w:cs="Times New Roman"/>
                      <w:color w:val="auto"/>
                      <w:highlight w:val="none"/>
                    </w:rPr>
                  </w:pPr>
                  <w:r>
                    <w:rPr>
                      <w:rFonts w:hint="eastAsia" w:cs="Times New Roman"/>
                      <w:color w:val="auto"/>
                      <w:highlight w:val="none"/>
                      <w:lang w:val="en-US" w:eastAsia="zh-CN"/>
                    </w:rPr>
                    <w:t>南侧</w:t>
                  </w:r>
                </w:p>
              </w:tc>
              <w:tc>
                <w:tcPr>
                  <w:tcW w:w="1578" w:type="dxa"/>
                  <w:vAlign w:val="center"/>
                </w:tcPr>
                <w:p w14:paraId="0BD85284">
                  <w:pPr>
                    <w:snapToGrid w:val="0"/>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8</w:t>
                  </w:r>
                </w:p>
              </w:tc>
              <w:tc>
                <w:tcPr>
                  <w:tcW w:w="1202" w:type="dxa"/>
                  <w:vAlign w:val="center"/>
                </w:tcPr>
                <w:p w14:paraId="7399634F">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约</w:t>
                  </w:r>
                  <w:r>
                    <w:rPr>
                      <w:rFonts w:hint="eastAsia" w:cs="Times New Roman"/>
                      <w:color w:val="auto"/>
                      <w:highlight w:val="none"/>
                      <w:lang w:val="en-US" w:eastAsia="zh-CN"/>
                    </w:rPr>
                    <w:t>3</w:t>
                  </w:r>
                  <w:r>
                    <w:rPr>
                      <w:rFonts w:hint="default" w:ascii="Times New Roman" w:hAnsi="Times New Roman" w:cs="Times New Roman"/>
                      <w:color w:val="auto"/>
                      <w:highlight w:val="none"/>
                    </w:rPr>
                    <w:t>人</w:t>
                  </w:r>
                </w:p>
              </w:tc>
            </w:tr>
            <w:tr w14:paraId="50E11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8" w:type="dxa"/>
                  <w:vMerge w:val="continue"/>
                  <w:vAlign w:val="center"/>
                </w:tcPr>
                <w:p w14:paraId="22B8345E">
                  <w:pPr>
                    <w:snapToGrid w:val="0"/>
                    <w:jc w:val="center"/>
                    <w:rPr>
                      <w:rFonts w:hint="default" w:ascii="Times New Roman" w:hAnsi="Times New Roman" w:cs="Times New Roman"/>
                      <w:color w:val="auto"/>
                      <w:highlight w:val="none"/>
                    </w:rPr>
                  </w:pPr>
                </w:p>
              </w:tc>
              <w:tc>
                <w:tcPr>
                  <w:tcW w:w="602" w:type="dxa"/>
                  <w:vAlign w:val="center"/>
                </w:tcPr>
                <w:p w14:paraId="2022139F">
                  <w:pPr>
                    <w:widowControl/>
                    <w:snapToGrid w:val="0"/>
                    <w:jc w:val="center"/>
                    <w:textAlignment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3</w:t>
                  </w:r>
                </w:p>
              </w:tc>
              <w:tc>
                <w:tcPr>
                  <w:tcW w:w="2889" w:type="dxa"/>
                  <w:vAlign w:val="center"/>
                </w:tcPr>
                <w:p w14:paraId="4217566F">
                  <w:pPr>
                    <w:snapToGrid w:val="0"/>
                    <w:jc w:val="center"/>
                    <w:rPr>
                      <w:rFonts w:hint="default" w:cs="Times New Roman"/>
                      <w:color w:val="auto"/>
                      <w:highlight w:val="none"/>
                      <w:lang w:val="en-US" w:eastAsia="zh-CN"/>
                    </w:rPr>
                  </w:pPr>
                  <w:r>
                    <w:rPr>
                      <w:rFonts w:hint="eastAsia" w:cs="Times New Roman"/>
                      <w:color w:val="auto"/>
                      <w:highlight w:val="none"/>
                      <w:lang w:val="en-US" w:eastAsia="zh-CN"/>
                    </w:rPr>
                    <w:t>2#车间内部走道</w:t>
                  </w:r>
                </w:p>
              </w:tc>
              <w:tc>
                <w:tcPr>
                  <w:tcW w:w="1745" w:type="dxa"/>
                  <w:vAlign w:val="center"/>
                </w:tcPr>
                <w:p w14:paraId="4DCDF468">
                  <w:pPr>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公众</w:t>
                  </w:r>
                </w:p>
              </w:tc>
              <w:tc>
                <w:tcPr>
                  <w:tcW w:w="737" w:type="dxa"/>
                  <w:vAlign w:val="center"/>
                </w:tcPr>
                <w:p w14:paraId="55FF114E">
                  <w:pPr>
                    <w:snapToGrid w:val="0"/>
                    <w:jc w:val="center"/>
                    <w:rPr>
                      <w:rFonts w:hint="eastAsia" w:cs="Times New Roman"/>
                      <w:color w:val="auto"/>
                      <w:highlight w:val="none"/>
                      <w:lang w:val="en-US" w:eastAsia="zh-CN"/>
                    </w:rPr>
                  </w:pPr>
                  <w:r>
                    <w:rPr>
                      <w:rFonts w:hint="eastAsia" w:cs="Times New Roman"/>
                      <w:color w:val="auto"/>
                      <w:highlight w:val="none"/>
                      <w:lang w:val="en-US" w:eastAsia="zh-CN"/>
                    </w:rPr>
                    <w:t>南侧</w:t>
                  </w:r>
                </w:p>
              </w:tc>
              <w:tc>
                <w:tcPr>
                  <w:tcW w:w="1578" w:type="dxa"/>
                  <w:vAlign w:val="center"/>
                </w:tcPr>
                <w:p w14:paraId="6DFCF2FA">
                  <w:pPr>
                    <w:snapToGrid w:val="0"/>
                    <w:jc w:val="center"/>
                    <w:rPr>
                      <w:rFonts w:hint="default" w:cs="Times New Roman"/>
                      <w:color w:val="auto"/>
                      <w:highlight w:val="none"/>
                      <w:lang w:val="en-US" w:eastAsia="zh-CN"/>
                    </w:rPr>
                  </w:pPr>
                  <w:r>
                    <w:rPr>
                      <w:rFonts w:hint="eastAsia" w:cs="Times New Roman"/>
                      <w:color w:val="auto"/>
                      <w:highlight w:val="none"/>
                      <w:lang w:val="en-US" w:eastAsia="zh-CN"/>
                    </w:rPr>
                    <w:t>1</w:t>
                  </w:r>
                </w:p>
              </w:tc>
              <w:tc>
                <w:tcPr>
                  <w:tcW w:w="1202" w:type="dxa"/>
                  <w:vAlign w:val="center"/>
                </w:tcPr>
                <w:p w14:paraId="548E5AD3">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流动人员</w:t>
                  </w:r>
                </w:p>
              </w:tc>
            </w:tr>
            <w:tr w14:paraId="3E338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8" w:type="dxa"/>
                  <w:vMerge w:val="continue"/>
                  <w:vAlign w:val="center"/>
                </w:tcPr>
                <w:p w14:paraId="1E5AB4DB">
                  <w:pPr>
                    <w:snapToGrid w:val="0"/>
                    <w:jc w:val="center"/>
                    <w:rPr>
                      <w:rFonts w:hint="default" w:ascii="Times New Roman" w:hAnsi="Times New Roman" w:cs="Times New Roman"/>
                      <w:color w:val="auto"/>
                      <w:highlight w:val="none"/>
                    </w:rPr>
                  </w:pPr>
                </w:p>
              </w:tc>
              <w:tc>
                <w:tcPr>
                  <w:tcW w:w="602" w:type="dxa"/>
                  <w:vAlign w:val="center"/>
                </w:tcPr>
                <w:p w14:paraId="2378D26A">
                  <w:pPr>
                    <w:widowControl/>
                    <w:snapToGrid w:val="0"/>
                    <w:jc w:val="center"/>
                    <w:textAlignment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4</w:t>
                  </w:r>
                </w:p>
              </w:tc>
              <w:tc>
                <w:tcPr>
                  <w:tcW w:w="2889" w:type="dxa"/>
                  <w:vAlign w:val="center"/>
                </w:tcPr>
                <w:p w14:paraId="79BC9B21">
                  <w:pPr>
                    <w:snapToGrid w:val="0"/>
                    <w:jc w:val="center"/>
                    <w:rPr>
                      <w:rFonts w:hint="eastAsia" w:cs="Times New Roman"/>
                      <w:color w:val="auto"/>
                      <w:highlight w:val="none"/>
                      <w:lang w:val="en-US" w:eastAsia="zh-CN"/>
                    </w:rPr>
                  </w:pPr>
                  <w:r>
                    <w:rPr>
                      <w:rFonts w:hint="eastAsia" w:cs="Times New Roman"/>
                      <w:color w:val="auto"/>
                      <w:highlight w:val="none"/>
                      <w:lang w:val="en-US" w:eastAsia="zh-CN"/>
                    </w:rPr>
                    <w:t>2#车间机加工区</w:t>
                  </w:r>
                </w:p>
              </w:tc>
              <w:tc>
                <w:tcPr>
                  <w:tcW w:w="1745" w:type="dxa"/>
                  <w:vAlign w:val="center"/>
                </w:tcPr>
                <w:p w14:paraId="75452FE7">
                  <w:pPr>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公众</w:t>
                  </w:r>
                </w:p>
              </w:tc>
              <w:tc>
                <w:tcPr>
                  <w:tcW w:w="737" w:type="dxa"/>
                  <w:vAlign w:val="center"/>
                </w:tcPr>
                <w:p w14:paraId="2B46D070">
                  <w:pPr>
                    <w:snapToGrid w:val="0"/>
                    <w:jc w:val="center"/>
                    <w:rPr>
                      <w:rFonts w:hint="default" w:cs="Times New Roman"/>
                      <w:color w:val="auto"/>
                      <w:highlight w:val="none"/>
                      <w:lang w:val="en-US" w:eastAsia="zh-CN"/>
                    </w:rPr>
                  </w:pPr>
                  <w:r>
                    <w:rPr>
                      <w:rFonts w:hint="eastAsia" w:cs="Times New Roman"/>
                      <w:color w:val="auto"/>
                      <w:highlight w:val="none"/>
                      <w:lang w:eastAsia="zh-CN"/>
                    </w:rPr>
                    <w:t>西</w:t>
                  </w:r>
                  <w:r>
                    <w:rPr>
                      <w:rFonts w:hint="default" w:ascii="Times New Roman" w:hAnsi="Times New Roman" w:cs="Times New Roman"/>
                      <w:color w:val="auto"/>
                      <w:highlight w:val="none"/>
                    </w:rPr>
                    <w:t>侧</w:t>
                  </w:r>
                </w:p>
              </w:tc>
              <w:tc>
                <w:tcPr>
                  <w:tcW w:w="1578" w:type="dxa"/>
                  <w:vAlign w:val="center"/>
                </w:tcPr>
                <w:p w14:paraId="251878F9">
                  <w:pPr>
                    <w:snapToGrid w:val="0"/>
                    <w:jc w:val="center"/>
                    <w:rPr>
                      <w:rFonts w:hint="default" w:ascii="Times New Roman" w:hAnsi="Times New Roman" w:cs="Times New Roman"/>
                      <w:color w:val="auto"/>
                      <w:highlight w:val="none"/>
                      <w:lang w:val="en-US"/>
                    </w:rPr>
                  </w:pPr>
                  <w:r>
                    <w:rPr>
                      <w:rFonts w:hint="eastAsia" w:cs="Times New Roman"/>
                      <w:color w:val="auto"/>
                      <w:highlight w:val="none"/>
                      <w:lang w:val="en-US" w:eastAsia="zh-CN"/>
                    </w:rPr>
                    <w:t>25</w:t>
                  </w:r>
                </w:p>
              </w:tc>
              <w:tc>
                <w:tcPr>
                  <w:tcW w:w="1202" w:type="dxa"/>
                  <w:vAlign w:val="center"/>
                </w:tcPr>
                <w:p w14:paraId="437C7C0D">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约</w:t>
                  </w:r>
                  <w:r>
                    <w:rPr>
                      <w:rFonts w:hint="eastAsia" w:cs="Times New Roman"/>
                      <w:color w:val="auto"/>
                      <w:highlight w:val="none"/>
                      <w:lang w:val="en-US" w:eastAsia="zh-CN"/>
                    </w:rPr>
                    <w:t>5</w:t>
                  </w:r>
                  <w:r>
                    <w:rPr>
                      <w:rFonts w:hint="default" w:ascii="Times New Roman" w:hAnsi="Times New Roman" w:cs="Times New Roman"/>
                      <w:color w:val="auto"/>
                      <w:highlight w:val="none"/>
                    </w:rPr>
                    <w:t>人</w:t>
                  </w:r>
                </w:p>
              </w:tc>
            </w:tr>
            <w:tr w14:paraId="2D224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8" w:type="dxa"/>
                  <w:vMerge w:val="continue"/>
                  <w:vAlign w:val="center"/>
                </w:tcPr>
                <w:p w14:paraId="7F5E4381">
                  <w:pPr>
                    <w:snapToGrid w:val="0"/>
                    <w:jc w:val="center"/>
                    <w:rPr>
                      <w:rFonts w:hint="default" w:ascii="Times New Roman" w:hAnsi="Times New Roman" w:cs="Times New Roman"/>
                      <w:color w:val="auto"/>
                      <w:highlight w:val="none"/>
                    </w:rPr>
                  </w:pPr>
                </w:p>
              </w:tc>
              <w:tc>
                <w:tcPr>
                  <w:tcW w:w="602" w:type="dxa"/>
                  <w:vAlign w:val="center"/>
                </w:tcPr>
                <w:p w14:paraId="17F7FA41">
                  <w:pPr>
                    <w:widowControl/>
                    <w:snapToGrid w:val="0"/>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5</w:t>
                  </w:r>
                </w:p>
              </w:tc>
              <w:tc>
                <w:tcPr>
                  <w:tcW w:w="2889" w:type="dxa"/>
                  <w:vAlign w:val="center"/>
                </w:tcPr>
                <w:p w14:paraId="087ACE74">
                  <w:pPr>
                    <w:snapToGrid w:val="0"/>
                    <w:jc w:val="center"/>
                    <w:rPr>
                      <w:rFonts w:hint="eastAsia" w:cs="Times New Roman"/>
                      <w:color w:val="auto"/>
                      <w:highlight w:val="none"/>
                      <w:lang w:val="en-US" w:eastAsia="zh-CN"/>
                    </w:rPr>
                  </w:pPr>
                  <w:r>
                    <w:rPr>
                      <w:rFonts w:hint="eastAsia" w:cs="Times New Roman"/>
                      <w:color w:val="auto"/>
                      <w:highlight w:val="none"/>
                      <w:lang w:val="en-US" w:eastAsia="zh-CN"/>
                    </w:rPr>
                    <w:t>3#车间机加工区</w:t>
                  </w:r>
                </w:p>
              </w:tc>
              <w:tc>
                <w:tcPr>
                  <w:tcW w:w="1745" w:type="dxa"/>
                  <w:vAlign w:val="center"/>
                </w:tcPr>
                <w:p w14:paraId="252A645E">
                  <w:pPr>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公众</w:t>
                  </w:r>
                </w:p>
              </w:tc>
              <w:tc>
                <w:tcPr>
                  <w:tcW w:w="737" w:type="dxa"/>
                  <w:vAlign w:val="center"/>
                </w:tcPr>
                <w:p w14:paraId="77955F44">
                  <w:pPr>
                    <w:snapToGrid w:val="0"/>
                    <w:jc w:val="center"/>
                    <w:rPr>
                      <w:rFonts w:hint="eastAsia" w:cs="Times New Roman"/>
                      <w:color w:val="auto"/>
                      <w:highlight w:val="none"/>
                      <w:lang w:eastAsia="zh-CN"/>
                    </w:rPr>
                  </w:pPr>
                  <w:r>
                    <w:rPr>
                      <w:rFonts w:hint="eastAsia" w:cs="Times New Roman"/>
                      <w:color w:val="auto"/>
                      <w:highlight w:val="none"/>
                      <w:lang w:val="en-US" w:eastAsia="zh-CN"/>
                    </w:rPr>
                    <w:t>南侧</w:t>
                  </w:r>
                </w:p>
              </w:tc>
              <w:tc>
                <w:tcPr>
                  <w:tcW w:w="1578" w:type="dxa"/>
                  <w:vAlign w:val="center"/>
                </w:tcPr>
                <w:p w14:paraId="766F571E">
                  <w:pPr>
                    <w:snapToGrid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45</w:t>
                  </w:r>
                </w:p>
              </w:tc>
              <w:tc>
                <w:tcPr>
                  <w:tcW w:w="1202" w:type="dxa"/>
                  <w:vAlign w:val="center"/>
                </w:tcPr>
                <w:p w14:paraId="1057DAF5">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约</w:t>
                  </w:r>
                  <w:r>
                    <w:rPr>
                      <w:rFonts w:hint="eastAsia" w:cs="Times New Roman"/>
                      <w:color w:val="auto"/>
                      <w:highlight w:val="none"/>
                      <w:lang w:val="en-US" w:eastAsia="zh-CN"/>
                    </w:rPr>
                    <w:t>4</w:t>
                  </w:r>
                  <w:r>
                    <w:rPr>
                      <w:rFonts w:hint="default" w:ascii="Times New Roman" w:hAnsi="Times New Roman" w:cs="Times New Roman"/>
                      <w:color w:val="auto"/>
                      <w:highlight w:val="none"/>
                    </w:rPr>
                    <w:t>人</w:t>
                  </w:r>
                </w:p>
              </w:tc>
            </w:tr>
            <w:tr w14:paraId="2F7ED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8" w:type="dxa"/>
                  <w:vMerge w:val="continue"/>
                  <w:vAlign w:val="center"/>
                </w:tcPr>
                <w:p w14:paraId="1E434827">
                  <w:pPr>
                    <w:snapToGrid w:val="0"/>
                    <w:jc w:val="center"/>
                    <w:rPr>
                      <w:rFonts w:hint="default" w:ascii="Times New Roman" w:hAnsi="Times New Roman" w:cs="Times New Roman"/>
                      <w:color w:val="auto"/>
                      <w:highlight w:val="none"/>
                    </w:rPr>
                  </w:pPr>
                </w:p>
              </w:tc>
              <w:tc>
                <w:tcPr>
                  <w:tcW w:w="602" w:type="dxa"/>
                  <w:vAlign w:val="center"/>
                </w:tcPr>
                <w:p w14:paraId="6FCB2140">
                  <w:pPr>
                    <w:widowControl/>
                    <w:snapToGrid w:val="0"/>
                    <w:jc w:val="center"/>
                    <w:textAlignment w:val="center"/>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6</w:t>
                  </w:r>
                </w:p>
              </w:tc>
              <w:tc>
                <w:tcPr>
                  <w:tcW w:w="2889" w:type="dxa"/>
                  <w:vAlign w:val="center"/>
                </w:tcPr>
                <w:p w14:paraId="78461BE7">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厂区内道路</w:t>
                  </w:r>
                </w:p>
              </w:tc>
              <w:tc>
                <w:tcPr>
                  <w:tcW w:w="1745" w:type="dxa"/>
                  <w:vAlign w:val="center"/>
                </w:tcPr>
                <w:p w14:paraId="0E238628">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公众</w:t>
                  </w:r>
                </w:p>
              </w:tc>
              <w:tc>
                <w:tcPr>
                  <w:tcW w:w="737" w:type="dxa"/>
                  <w:vAlign w:val="center"/>
                </w:tcPr>
                <w:p w14:paraId="6675CD65">
                  <w:pPr>
                    <w:snapToGrid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北侧</w:t>
                  </w:r>
                </w:p>
              </w:tc>
              <w:tc>
                <w:tcPr>
                  <w:tcW w:w="1578" w:type="dxa"/>
                  <w:vAlign w:val="center"/>
                </w:tcPr>
                <w:p w14:paraId="79A1B899">
                  <w:pPr>
                    <w:snapToGrid w:val="0"/>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5</w:t>
                  </w:r>
                </w:p>
              </w:tc>
              <w:tc>
                <w:tcPr>
                  <w:tcW w:w="1202" w:type="dxa"/>
                  <w:vAlign w:val="center"/>
                </w:tcPr>
                <w:p w14:paraId="047FC389">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流动人员</w:t>
                  </w:r>
                </w:p>
              </w:tc>
            </w:tr>
            <w:tr w14:paraId="14BFB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8" w:type="dxa"/>
                  <w:vMerge w:val="continue"/>
                  <w:vAlign w:val="center"/>
                </w:tcPr>
                <w:p w14:paraId="2994D5D6">
                  <w:pPr>
                    <w:snapToGrid w:val="0"/>
                    <w:jc w:val="center"/>
                    <w:rPr>
                      <w:rFonts w:hint="default" w:ascii="Times New Roman" w:hAnsi="Times New Roman" w:cs="Times New Roman"/>
                      <w:color w:val="auto"/>
                      <w:highlight w:val="none"/>
                    </w:rPr>
                  </w:pPr>
                </w:p>
              </w:tc>
              <w:tc>
                <w:tcPr>
                  <w:tcW w:w="602" w:type="dxa"/>
                  <w:vAlign w:val="center"/>
                </w:tcPr>
                <w:p w14:paraId="16F25918">
                  <w:pPr>
                    <w:widowControl/>
                    <w:snapToGrid w:val="0"/>
                    <w:jc w:val="center"/>
                    <w:textAlignment w:val="center"/>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7</w:t>
                  </w:r>
                </w:p>
              </w:tc>
              <w:tc>
                <w:tcPr>
                  <w:tcW w:w="2889" w:type="dxa"/>
                  <w:vAlign w:val="center"/>
                </w:tcPr>
                <w:p w14:paraId="3A07D2E7">
                  <w:pPr>
                    <w:snapToGrid w:val="0"/>
                    <w:jc w:val="center"/>
                    <w:rPr>
                      <w:rFonts w:hint="default" w:ascii="Times New Roman" w:hAnsi="Times New Roman" w:cs="Times New Roman"/>
                      <w:color w:val="auto"/>
                      <w:highlight w:val="none"/>
                      <w:lang w:val="en-US"/>
                    </w:rPr>
                  </w:pPr>
                  <w:r>
                    <w:rPr>
                      <w:rFonts w:hint="eastAsia" w:cs="Times New Roman"/>
                      <w:color w:val="auto"/>
                      <w:highlight w:val="none"/>
                      <w:lang w:val="en-US" w:eastAsia="zh-CN"/>
                    </w:rPr>
                    <w:t>危废库、漆料库、一般固废间</w:t>
                  </w:r>
                </w:p>
              </w:tc>
              <w:tc>
                <w:tcPr>
                  <w:tcW w:w="1745" w:type="dxa"/>
                  <w:vAlign w:val="center"/>
                </w:tcPr>
                <w:p w14:paraId="100EB00B">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公众</w:t>
                  </w:r>
                </w:p>
              </w:tc>
              <w:tc>
                <w:tcPr>
                  <w:tcW w:w="737" w:type="dxa"/>
                  <w:vAlign w:val="center"/>
                </w:tcPr>
                <w:p w14:paraId="7BF5DEC9">
                  <w:pPr>
                    <w:snapToGrid w:val="0"/>
                    <w:jc w:val="center"/>
                    <w:rPr>
                      <w:rFonts w:hint="default" w:ascii="Times New Roman" w:hAnsi="Times New Roman" w:cs="Times New Roman"/>
                      <w:color w:val="auto"/>
                      <w:highlight w:val="none"/>
                    </w:rPr>
                  </w:pPr>
                  <w:r>
                    <w:rPr>
                      <w:rFonts w:hint="eastAsia" w:cs="Times New Roman"/>
                      <w:color w:val="auto"/>
                      <w:highlight w:val="none"/>
                      <w:lang w:val="en-US" w:eastAsia="zh-CN"/>
                    </w:rPr>
                    <w:t>东</w:t>
                  </w:r>
                  <w:r>
                    <w:rPr>
                      <w:rFonts w:hint="default" w:ascii="Times New Roman" w:hAnsi="Times New Roman" w:cs="Times New Roman"/>
                      <w:color w:val="auto"/>
                      <w:highlight w:val="none"/>
                    </w:rPr>
                    <w:t>侧</w:t>
                  </w:r>
                </w:p>
              </w:tc>
              <w:tc>
                <w:tcPr>
                  <w:tcW w:w="1578" w:type="dxa"/>
                  <w:vAlign w:val="center"/>
                </w:tcPr>
                <w:p w14:paraId="6469F3F8">
                  <w:pPr>
                    <w:snapToGrid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35</w:t>
                  </w:r>
                </w:p>
              </w:tc>
              <w:tc>
                <w:tcPr>
                  <w:tcW w:w="1202" w:type="dxa"/>
                  <w:vAlign w:val="center"/>
                </w:tcPr>
                <w:p w14:paraId="28848863">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流动人员</w:t>
                  </w:r>
                </w:p>
              </w:tc>
            </w:tr>
          </w:tbl>
          <w:p w14:paraId="7D96386C">
            <w:pPr>
              <w:kinsoku w:val="0"/>
              <w:overflowPunct w:val="0"/>
              <w:spacing w:line="360" w:lineRule="auto"/>
              <w:ind w:firstLine="480"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val="zh-CN"/>
              </w:rPr>
              <w:t>（</w:t>
            </w:r>
            <w:r>
              <w:rPr>
                <w:rFonts w:hint="default" w:ascii="Times New Roman" w:hAnsi="Times New Roman" w:cs="Times New Roman"/>
                <w:b/>
                <w:bCs/>
                <w:color w:val="auto"/>
                <w:sz w:val="24"/>
                <w:szCs w:val="24"/>
                <w:highlight w:val="none"/>
              </w:rPr>
              <w:t>2</w:t>
            </w:r>
            <w:r>
              <w:rPr>
                <w:rFonts w:hint="default" w:ascii="Times New Roman" w:hAnsi="Times New Roman" w:cs="Times New Roman"/>
                <w:b/>
                <w:bCs/>
                <w:color w:val="auto"/>
                <w:sz w:val="24"/>
                <w:szCs w:val="24"/>
                <w:highlight w:val="none"/>
                <w:lang w:val="zh-CN"/>
              </w:rPr>
              <w:t>）</w:t>
            </w:r>
            <w:r>
              <w:rPr>
                <w:rFonts w:hint="default" w:ascii="Times New Roman" w:hAnsi="Times New Roman" w:cs="Times New Roman"/>
                <w:b/>
                <w:bCs/>
                <w:color w:val="auto"/>
                <w:sz w:val="24"/>
                <w:szCs w:val="24"/>
                <w:highlight w:val="none"/>
              </w:rPr>
              <w:t>声环境保护目标</w:t>
            </w:r>
          </w:p>
          <w:p w14:paraId="5DA5ACA9">
            <w:pPr>
              <w:keepNext w:val="0"/>
              <w:keepLines w:val="0"/>
              <w:pageBreakBefore w:val="0"/>
              <w:widowControl w:val="0"/>
              <w:kinsoku w:val="0"/>
              <w:wordWrap/>
              <w:overflowPunct w:val="0"/>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highlight w:val="none"/>
                <w:lang w:val="en-US" w:eastAsia="zh-CN"/>
              </w:rPr>
              <w:t>安徽泓济环境科技有限公司</w:t>
            </w:r>
            <w:r>
              <w:rPr>
                <w:rFonts w:hint="default" w:ascii="Times New Roman" w:hAnsi="Times New Roman" w:cs="Times New Roman"/>
                <w:color w:val="auto"/>
                <w:sz w:val="24"/>
                <w:szCs w:val="24"/>
                <w:highlight w:val="none"/>
              </w:rPr>
              <w:t>厂界外50m范围内均为工业区，无医院、学校、机关、科研单位、住宅、自然保护区等对噪声敏感的建筑物分布，本</w:t>
            </w:r>
            <w:r>
              <w:rPr>
                <w:rFonts w:hint="default" w:ascii="Times New Roman" w:hAnsi="Times New Roman" w:cs="Times New Roman"/>
                <w:color w:val="auto"/>
                <w:sz w:val="24"/>
                <w:szCs w:val="24"/>
                <w:highlight w:val="none"/>
                <w:lang w:val="zh-CN"/>
              </w:rPr>
              <w:t>评价范围内无声环境保护目标</w:t>
            </w:r>
            <w:r>
              <w:rPr>
                <w:rFonts w:hint="default" w:ascii="Times New Roman" w:hAnsi="Times New Roman" w:cs="Times New Roman"/>
                <w:color w:val="auto"/>
                <w:sz w:val="24"/>
                <w:szCs w:val="24"/>
                <w:highlight w:val="none"/>
              </w:rPr>
              <w:t>。声环境评价范围图见图7-2</w:t>
            </w:r>
            <w:r>
              <w:rPr>
                <w:rFonts w:hint="eastAsia" w:cs="Times New Roman"/>
                <w:color w:val="auto"/>
                <w:sz w:val="24"/>
                <w:szCs w:val="24"/>
                <w:highlight w:val="none"/>
                <w:lang w:eastAsia="zh-CN"/>
              </w:rPr>
              <w:t>。</w:t>
            </w:r>
          </w:p>
          <w:p w14:paraId="2B55FE91">
            <w:pPr>
              <w:rPr>
                <w:rFonts w:hint="default" w:ascii="Times New Roman" w:hAnsi="Times New Roman" w:cs="Times New Roman"/>
                <w:b/>
                <w:bCs/>
                <w:color w:val="auto"/>
                <w:szCs w:val="21"/>
                <w:highlight w:val="none"/>
                <w:lang w:val="en-US"/>
              </w:rPr>
            </w:pPr>
            <w:r>
              <w:rPr>
                <w:color w:val="auto"/>
                <w:sz w:val="21"/>
              </w:rPr>
              <mc:AlternateContent>
                <mc:Choice Requires="wps">
                  <w:drawing>
                    <wp:anchor distT="0" distB="0" distL="114300" distR="114300" simplePos="0" relativeHeight="251837440" behindDoc="0" locked="0" layoutInCell="1" allowOverlap="1">
                      <wp:simplePos x="0" y="0"/>
                      <wp:positionH relativeFrom="column">
                        <wp:posOffset>3489325</wp:posOffset>
                      </wp:positionH>
                      <wp:positionV relativeFrom="paragraph">
                        <wp:posOffset>1306830</wp:posOffset>
                      </wp:positionV>
                      <wp:extent cx="501650" cy="274320"/>
                      <wp:effectExtent l="0" t="0" r="0" b="0"/>
                      <wp:wrapNone/>
                      <wp:docPr id="251" name="矩形 251"/>
                      <wp:cNvGraphicFramePr/>
                      <a:graphic xmlns:a="http://schemas.openxmlformats.org/drawingml/2006/main">
                        <a:graphicData uri="http://schemas.microsoft.com/office/word/2010/wordprocessingShape">
                          <wps:wsp>
                            <wps:cNvSpPr/>
                            <wps:spPr>
                              <a:xfrm>
                                <a:off x="0" y="0"/>
                                <a:ext cx="501650" cy="2743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80F374B">
                                  <w:pPr>
                                    <w:jc w:val="center"/>
                                    <w:rPr>
                                      <w:rFonts w:hint="default" w:eastAsia="宋体"/>
                                      <w:b/>
                                      <w:bCs/>
                                      <w:color w:val="70AD47" w:themeColor="accent6"/>
                                      <w:sz w:val="15"/>
                                      <w:szCs w:val="13"/>
                                      <w:lang w:val="en-US" w:eastAsia="zh-CN"/>
                                      <w14:textFill>
                                        <w14:solidFill>
                                          <w14:schemeClr w14:val="accent6"/>
                                        </w14:solidFill>
                                      </w14:textFill>
                                    </w:rPr>
                                  </w:pPr>
                                  <w:r>
                                    <w:rPr>
                                      <w:rFonts w:hint="eastAsia"/>
                                      <w:b/>
                                      <w:bCs/>
                                      <w:color w:val="70AD47" w:themeColor="accent6"/>
                                      <w:sz w:val="15"/>
                                      <w:szCs w:val="13"/>
                                      <w:lang w:val="en-US" w:eastAsia="zh-CN"/>
                                      <w14:textFill>
                                        <w14:solidFill>
                                          <w14:schemeClr w14:val="accent6"/>
                                        </w14:solidFill>
                                      </w14:textFill>
                                    </w:rPr>
                                    <w:t>走道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4.75pt;margin-top:102.9pt;height:21.6pt;width:39.5pt;z-index:251837440;v-text-anchor:middle;mso-width-relative:page;mso-height-relative:page;" filled="f" stroked="f" coordsize="21600,21600" o:gfxdata="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aTlXU9gAAAALAQAADwAAAAAAAAABACAAAAAiAAAAZHJzL2Rvd25yZXYueG1sUEsBAhQAFAAA&#10;AAgAh07iQA2e0VlhAgAAsAQAAA4AAAAAAAAAAQAgAAAAJwEAAGRycy9lMm9Eb2MueG1sUEsFBgAA&#10;AAAGAAYAWQEAAPoFAAAAAA==&#10;">
                      <v:fill on="f" focussize="0,0"/>
                      <v:stroke on="f" weight="1pt" miterlimit="8" joinstyle="miter"/>
                      <v:imagedata o:title=""/>
                      <o:lock v:ext="edit" aspectratio="f"/>
                      <v:textbox>
                        <w:txbxContent>
                          <w:p w14:paraId="580F374B">
                            <w:pPr>
                              <w:jc w:val="center"/>
                              <w:rPr>
                                <w:rFonts w:hint="default" w:eastAsia="宋体"/>
                                <w:b/>
                                <w:bCs/>
                                <w:color w:val="70AD47" w:themeColor="accent6"/>
                                <w:sz w:val="15"/>
                                <w:szCs w:val="13"/>
                                <w:lang w:val="en-US" w:eastAsia="zh-CN"/>
                                <w14:textFill>
                                  <w14:solidFill>
                                    <w14:schemeClr w14:val="accent6"/>
                                  </w14:solidFill>
                                </w14:textFill>
                              </w:rPr>
                            </w:pPr>
                            <w:r>
                              <w:rPr>
                                <w:rFonts w:hint="eastAsia"/>
                                <w:b/>
                                <w:bCs/>
                                <w:color w:val="70AD47" w:themeColor="accent6"/>
                                <w:sz w:val="15"/>
                                <w:szCs w:val="13"/>
                                <w:lang w:val="en-US" w:eastAsia="zh-CN"/>
                                <w14:textFill>
                                  <w14:solidFill>
                                    <w14:schemeClr w14:val="accent6"/>
                                  </w14:solidFill>
                                </w14:textFill>
                              </w:rPr>
                              <w:t>走道</w:t>
                            </w:r>
                          </w:p>
                        </w:txbxContent>
                      </v:textbox>
                    </v:rect>
                  </w:pict>
                </mc:Fallback>
              </mc:AlternateContent>
            </w:r>
            <w:r>
              <w:rPr>
                <w:rFonts w:hint="default" w:ascii="Times New Roman" w:hAnsi="Times New Roman" w:cs="Times New Roman"/>
                <w:color w:val="auto"/>
              </w:rPr>
              <w:drawing>
                <wp:inline distT="0" distB="0" distL="114300" distR="114300">
                  <wp:extent cx="5553710" cy="3590290"/>
                  <wp:effectExtent l="9525" t="9525" r="18415" b="19685"/>
                  <wp:docPr id="2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2"/>
                          <pic:cNvPicPr>
                            <a:picLocks noChangeAspect="1"/>
                          </pic:cNvPicPr>
                        </pic:nvPicPr>
                        <pic:blipFill>
                          <a:blip r:embed="rId32"/>
                          <a:srcRect l="9561" r="1510"/>
                          <a:stretch>
                            <a:fillRect/>
                          </a:stretch>
                        </pic:blipFill>
                        <pic:spPr>
                          <a:xfrm>
                            <a:off x="0" y="0"/>
                            <a:ext cx="5553710" cy="3590290"/>
                          </a:xfrm>
                          <a:prstGeom prst="rect">
                            <a:avLst/>
                          </a:prstGeom>
                          <a:noFill/>
                          <a:ln>
                            <a:solidFill>
                              <a:schemeClr val="tx1"/>
                            </a:solidFill>
                          </a:ln>
                        </pic:spPr>
                      </pic:pic>
                    </a:graphicData>
                  </a:graphic>
                </wp:inline>
              </w:drawing>
            </w:r>
            <w:r>
              <w:rPr>
                <w:color w:val="auto"/>
                <w:sz w:val="21"/>
              </w:rPr>
              <mc:AlternateContent>
                <mc:Choice Requires="wps">
                  <w:drawing>
                    <wp:anchor distT="0" distB="0" distL="114300" distR="114300" simplePos="0" relativeHeight="251833344" behindDoc="0" locked="0" layoutInCell="1" allowOverlap="1">
                      <wp:simplePos x="0" y="0"/>
                      <wp:positionH relativeFrom="column">
                        <wp:posOffset>4190365</wp:posOffset>
                      </wp:positionH>
                      <wp:positionV relativeFrom="paragraph">
                        <wp:posOffset>1128395</wp:posOffset>
                      </wp:positionV>
                      <wp:extent cx="501650" cy="274320"/>
                      <wp:effectExtent l="0" t="0" r="0" b="0"/>
                      <wp:wrapNone/>
                      <wp:docPr id="247" name="矩形 247"/>
                      <wp:cNvGraphicFramePr/>
                      <a:graphic xmlns:a="http://schemas.openxmlformats.org/drawingml/2006/main">
                        <a:graphicData uri="http://schemas.microsoft.com/office/word/2010/wordprocessingShape">
                          <wps:wsp>
                            <wps:cNvSpPr/>
                            <wps:spPr>
                              <a:xfrm>
                                <a:off x="3920490" y="6826250"/>
                                <a:ext cx="501650" cy="2743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28D863E">
                                  <w:pPr>
                                    <w:jc w:val="center"/>
                                    <w:rPr>
                                      <w:rFonts w:hint="default" w:eastAsia="宋体"/>
                                      <w:color w:val="FF0000"/>
                                      <w:sz w:val="15"/>
                                      <w:szCs w:val="13"/>
                                      <w:lang w:val="en-US" w:eastAsia="zh-CN"/>
                                    </w:rPr>
                                  </w:pPr>
                                  <w:r>
                                    <w:rPr>
                                      <w:rFonts w:hint="eastAsia"/>
                                      <w:color w:val="FF0000"/>
                                      <w:sz w:val="15"/>
                                      <w:szCs w:val="13"/>
                                      <w:lang w:val="en-US" w:eastAsia="zh-CN"/>
                                    </w:rPr>
                                    <w:t>50m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9.95pt;margin-top:88.85pt;height:21.6pt;width:39.5pt;z-index:251833344;v-text-anchor:middle;mso-width-relative:page;mso-height-relative:page;" filled="f" stroked="f" coordsize="21600,21600" o:gfxdata="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7FPZHZAAAACwEAAA8AAAAAAAAAAQAgAAAAIgAAAGRycy9kb3ducmV2&#10;LnhtbFBLAQIUABQAAAAIAIdO4kDRWkEFbQIAALwEAAAOAAAAAAAAAAEAIAAAACgBAABkcnMvZTJv&#10;RG9jLnhtbFBLBQYAAAAABgAGAFkBAAAHBgAAAAA=&#10;">
                      <v:fill on="f" focussize="0,0"/>
                      <v:stroke on="f" weight="1pt" miterlimit="8" joinstyle="miter"/>
                      <v:imagedata o:title=""/>
                      <o:lock v:ext="edit" aspectratio="f"/>
                      <v:textbox>
                        <w:txbxContent>
                          <w:p w14:paraId="728D863E">
                            <w:pPr>
                              <w:jc w:val="center"/>
                              <w:rPr>
                                <w:rFonts w:hint="default" w:eastAsia="宋体"/>
                                <w:color w:val="FF0000"/>
                                <w:sz w:val="15"/>
                                <w:szCs w:val="13"/>
                                <w:lang w:val="en-US" w:eastAsia="zh-CN"/>
                              </w:rPr>
                            </w:pPr>
                            <w:r>
                              <w:rPr>
                                <w:rFonts w:hint="eastAsia"/>
                                <w:color w:val="FF0000"/>
                                <w:sz w:val="15"/>
                                <w:szCs w:val="13"/>
                                <w:lang w:val="en-US" w:eastAsia="zh-CN"/>
                              </w:rPr>
                              <w:t>50m</w:t>
                            </w:r>
                          </w:p>
                        </w:txbxContent>
                      </v:textbox>
                    </v:rect>
                  </w:pict>
                </mc:Fallback>
              </mc:AlternateContent>
            </w:r>
            <w:r>
              <w:rPr>
                <w:color w:val="auto"/>
                <w:sz w:val="21"/>
              </w:rPr>
              <mc:AlternateContent>
                <mc:Choice Requires="wps">
                  <w:drawing>
                    <wp:anchor distT="0" distB="0" distL="114300" distR="114300" simplePos="0" relativeHeight="251832320" behindDoc="0" locked="0" layoutInCell="1" allowOverlap="1">
                      <wp:simplePos x="0" y="0"/>
                      <wp:positionH relativeFrom="column">
                        <wp:posOffset>3954780</wp:posOffset>
                      </wp:positionH>
                      <wp:positionV relativeFrom="paragraph">
                        <wp:posOffset>1238885</wp:posOffset>
                      </wp:positionV>
                      <wp:extent cx="722630" cy="8890"/>
                      <wp:effectExtent l="0" t="29845" r="1270" b="37465"/>
                      <wp:wrapNone/>
                      <wp:docPr id="246" name="直接箭头连接符 246"/>
                      <wp:cNvGraphicFramePr/>
                      <a:graphic xmlns:a="http://schemas.openxmlformats.org/drawingml/2006/main">
                        <a:graphicData uri="http://schemas.microsoft.com/office/word/2010/wordprocessingShape">
                          <wps:wsp>
                            <wps:cNvCnPr/>
                            <wps:spPr>
                              <a:xfrm flipH="1">
                                <a:off x="5078730" y="6659245"/>
                                <a:ext cx="722630" cy="8890"/>
                              </a:xfrm>
                              <a:prstGeom prst="straightConnector1">
                                <a:avLst/>
                              </a:prstGeom>
                              <a:ln>
                                <a:headEnd type="non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11.4pt;margin-top:97.55pt;height:0.7pt;width:56.9pt;z-index:251832320;mso-width-relative:page;mso-height-relative:page;" filled="f" stroked="t" coordsize="21600,21600" o:gfxdata="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vhtzHaAAAACwEAAA8AAAAAAAAAAQAgAAAAIgAAAGRycy9k&#10;b3ducmV2LnhtbFBLAQIUABQAAAAIAIdO4kCAdD7aOQIAADoEAAAOAAAAAAAAAAEAIAAAACkBAABk&#10;cnMvZTJvRG9jLnhtbFBLBQYAAAAABgAGAFkBAADUBQAAAAA=&#10;">
                      <v:fill on="f" focussize="0,0"/>
                      <v:stroke weight="1pt" color="#5B9BD5 [3204]" miterlimit="8" joinstyle="miter" endarrow="block"/>
                      <v:imagedata o:title=""/>
                      <o:lock v:ext="edit" aspectratio="f"/>
                    </v:shape>
                  </w:pict>
                </mc:Fallback>
              </mc:AlternateContent>
            </w:r>
            <w:r>
              <w:rPr>
                <w:color w:val="auto"/>
                <w:sz w:val="21"/>
              </w:rPr>
              <mc:AlternateContent>
                <mc:Choice Requires="wps">
                  <w:drawing>
                    <wp:anchor distT="0" distB="0" distL="114300" distR="114300" simplePos="0" relativeHeight="251834368" behindDoc="0" locked="0" layoutInCell="1" allowOverlap="1">
                      <wp:simplePos x="0" y="0"/>
                      <wp:positionH relativeFrom="column">
                        <wp:posOffset>4016375</wp:posOffset>
                      </wp:positionH>
                      <wp:positionV relativeFrom="paragraph">
                        <wp:posOffset>1102995</wp:posOffset>
                      </wp:positionV>
                      <wp:extent cx="75565" cy="75565"/>
                      <wp:effectExtent l="6350" t="6350" r="13335" b="13335"/>
                      <wp:wrapNone/>
                      <wp:docPr id="248" name="矩形 248"/>
                      <wp:cNvGraphicFramePr/>
                      <a:graphic xmlns:a="http://schemas.openxmlformats.org/drawingml/2006/main">
                        <a:graphicData uri="http://schemas.microsoft.com/office/word/2010/wordprocessingShape">
                          <wps:wsp>
                            <wps:cNvSpPr/>
                            <wps:spPr>
                              <a:xfrm>
                                <a:off x="5191125" y="6578600"/>
                                <a:ext cx="75565" cy="7556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6.25pt;margin-top:86.85pt;height:5.95pt;width:5.95pt;z-index:251834368;v-text-anchor:middle;mso-width-relative:page;mso-height-relative:page;" fillcolor="#5B9BD5 [3204]" filled="t" stroked="t" coordsize="21600,21600" o:gfxdata="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CQx6MXa&#10;AAAACwEAAA8AAAAAAAAAAQAgAAAAIgAAAGRycy9kb3ducmV2LnhtbFBLAQIUABQAAAAIAIdO4kAY&#10;FJo8kAIAACMFAAAOAAAAAAAAAAEAIAAAACkBAABkcnMvZTJvRG9jLnhtbFBLBQYAAAAABgAGAFkB&#10;AAArBgAAAAA=&#10;">
                      <v:fill on="t" focussize="0,0"/>
                      <v:stroke weight="1pt" color="#2E75B6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39488" behindDoc="0" locked="0" layoutInCell="1" allowOverlap="1">
                      <wp:simplePos x="0" y="0"/>
                      <wp:positionH relativeFrom="column">
                        <wp:posOffset>4010025</wp:posOffset>
                      </wp:positionH>
                      <wp:positionV relativeFrom="paragraph">
                        <wp:posOffset>1022350</wp:posOffset>
                      </wp:positionV>
                      <wp:extent cx="501650" cy="274320"/>
                      <wp:effectExtent l="0" t="0" r="0" b="0"/>
                      <wp:wrapNone/>
                      <wp:docPr id="253" name="矩形 253"/>
                      <wp:cNvGraphicFramePr/>
                      <a:graphic xmlns:a="http://schemas.openxmlformats.org/drawingml/2006/main">
                        <a:graphicData uri="http://schemas.microsoft.com/office/word/2010/wordprocessingShape">
                          <wps:wsp>
                            <wps:cNvSpPr/>
                            <wps:spPr>
                              <a:xfrm>
                                <a:off x="0" y="0"/>
                                <a:ext cx="501650" cy="2743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801791B">
                                  <w:pPr>
                                    <w:jc w:val="center"/>
                                    <w:rPr>
                                      <w:rFonts w:hint="default" w:eastAsia="宋体"/>
                                      <w:b/>
                                      <w:bCs/>
                                      <w:color w:val="70AD47" w:themeColor="accent6"/>
                                      <w:sz w:val="13"/>
                                      <w:szCs w:val="11"/>
                                      <w:lang w:val="en-US" w:eastAsia="zh-CN"/>
                                      <w14:textFill>
                                        <w14:solidFill>
                                          <w14:schemeClr w14:val="accent6"/>
                                        </w14:solidFill>
                                      </w14:textFill>
                                    </w:rPr>
                                  </w:pPr>
                                  <w:r>
                                    <w:rPr>
                                      <w:rFonts w:hint="eastAsia"/>
                                      <w:b/>
                                      <w:bCs/>
                                      <w:color w:val="70AD47" w:themeColor="accent6"/>
                                      <w:sz w:val="13"/>
                                      <w:szCs w:val="11"/>
                                      <w:lang w:val="en-US" w:eastAsia="zh-CN"/>
                                      <w14:textFill>
                                        <w14:solidFill>
                                          <w14:schemeClr w14:val="accent6"/>
                                        </w14:solidFill>
                                      </w14:textFill>
                                    </w:rPr>
                                    <w:t>焊工位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5.75pt;margin-top:80.5pt;height:21.6pt;width:39.5pt;z-index:251839488;v-text-anchor:middle;mso-width-relative:page;mso-height-relative:page;" filled="f" stroked="f" coordsize="21600,21600" o:gfxdata="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VMmrHYAAAACwEAAA8AAAAAAAAAAQAgAAAAIgAAAGRycy9kb3ducmV2LnhtbFBLAQIUABQA&#10;AAAIAIdO4kDNh8V5YgIAALAEAAAOAAAAAAAAAAEAIAAAACcBAABkcnMvZTJvRG9jLnhtbFBLBQYA&#10;AAAABgAGAFkBAAD7BQAAAAA=&#10;">
                      <v:fill on="f" focussize="0,0"/>
                      <v:stroke on="f" weight="1pt" miterlimit="8" joinstyle="miter"/>
                      <v:imagedata o:title=""/>
                      <o:lock v:ext="edit" aspectratio="f"/>
                      <v:textbox>
                        <w:txbxContent>
                          <w:p w14:paraId="4801791B">
                            <w:pPr>
                              <w:jc w:val="center"/>
                              <w:rPr>
                                <w:rFonts w:hint="default" w:eastAsia="宋体"/>
                                <w:b/>
                                <w:bCs/>
                                <w:color w:val="70AD47" w:themeColor="accent6"/>
                                <w:sz w:val="13"/>
                                <w:szCs w:val="11"/>
                                <w:lang w:val="en-US" w:eastAsia="zh-CN"/>
                                <w14:textFill>
                                  <w14:solidFill>
                                    <w14:schemeClr w14:val="accent6"/>
                                  </w14:solidFill>
                                </w14:textFill>
                              </w:rPr>
                            </w:pPr>
                            <w:r>
                              <w:rPr>
                                <w:rFonts w:hint="eastAsia"/>
                                <w:b/>
                                <w:bCs/>
                                <w:color w:val="70AD47" w:themeColor="accent6"/>
                                <w:sz w:val="13"/>
                                <w:szCs w:val="11"/>
                                <w:lang w:val="en-US" w:eastAsia="zh-CN"/>
                                <w14:textFill>
                                  <w14:solidFill>
                                    <w14:schemeClr w14:val="accent6"/>
                                  </w14:solidFill>
                                </w14:textFill>
                              </w:rPr>
                              <w:t>焊工位</w:t>
                            </w:r>
                          </w:p>
                        </w:txbxContent>
                      </v:textbox>
                    </v:rect>
                  </w:pict>
                </mc:Fallback>
              </mc:AlternateContent>
            </w:r>
            <w:r>
              <w:rPr>
                <w:color w:val="auto"/>
                <w:sz w:val="21"/>
              </w:rPr>
              <mc:AlternateContent>
                <mc:Choice Requires="wps">
                  <w:drawing>
                    <wp:anchor distT="0" distB="0" distL="114300" distR="114300" simplePos="0" relativeHeight="251831296" behindDoc="0" locked="0" layoutInCell="1" allowOverlap="1">
                      <wp:simplePos x="0" y="0"/>
                      <wp:positionH relativeFrom="column">
                        <wp:posOffset>3946525</wp:posOffset>
                      </wp:positionH>
                      <wp:positionV relativeFrom="paragraph">
                        <wp:posOffset>509270</wp:posOffset>
                      </wp:positionV>
                      <wp:extent cx="1541145" cy="1488440"/>
                      <wp:effectExtent l="19050" t="19050" r="20955" b="35560"/>
                      <wp:wrapNone/>
                      <wp:docPr id="245" name="椭圆 245"/>
                      <wp:cNvGraphicFramePr/>
                      <a:graphic xmlns:a="http://schemas.openxmlformats.org/drawingml/2006/main">
                        <a:graphicData uri="http://schemas.microsoft.com/office/word/2010/wordprocessingShape">
                          <wps:wsp>
                            <wps:cNvSpPr/>
                            <wps:spPr>
                              <a:xfrm>
                                <a:off x="3448050" y="6009005"/>
                                <a:ext cx="1541145" cy="1488440"/>
                              </a:xfrm>
                              <a:prstGeom prst="ellipse">
                                <a:avLst/>
                              </a:prstGeom>
                              <a:noFill/>
                              <a:ln w="38100">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0.75pt;margin-top:40.1pt;height:117.2pt;width:121.35pt;z-index:251831296;v-text-anchor:middle;mso-width-relative:page;mso-height-relative:page;" filled="f" stroked="t" coordsize="21600,21600" o:gfxdata="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KGl8dzZAAAACgEAAA8AAAAAAAAAAQAgAAAA&#10;IgAAAGRycy9kb3ducmV2LnhtbFBLAQIUABQAAAAIAIdO4kDvVgRofAIAAN8EAAAOAAAAAAAAAAEA&#10;IAAAACgBAABkcnMvZTJvRG9jLnhtbFBLBQYAAAAABgAGAFkBAAAWBgAAAAA=&#10;">
                      <v:fill on="f" focussize="0,0"/>
                      <v:stroke weight="3pt" color="#FFC000 [24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840512" behindDoc="0" locked="0" layoutInCell="1" allowOverlap="1">
                      <wp:simplePos x="0" y="0"/>
                      <wp:positionH relativeFrom="column">
                        <wp:posOffset>4375150</wp:posOffset>
                      </wp:positionH>
                      <wp:positionV relativeFrom="paragraph">
                        <wp:posOffset>632460</wp:posOffset>
                      </wp:positionV>
                      <wp:extent cx="631190" cy="274320"/>
                      <wp:effectExtent l="0" t="0" r="0" b="0"/>
                      <wp:wrapNone/>
                      <wp:docPr id="254" name="矩形 254"/>
                      <wp:cNvGraphicFramePr/>
                      <a:graphic xmlns:a="http://schemas.openxmlformats.org/drawingml/2006/main">
                        <a:graphicData uri="http://schemas.microsoft.com/office/word/2010/wordprocessingShape">
                          <wps:wsp>
                            <wps:cNvSpPr/>
                            <wps:spPr>
                              <a:xfrm>
                                <a:off x="0" y="0"/>
                                <a:ext cx="631190" cy="2743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08D0283">
                                  <w:pPr>
                                    <w:jc w:val="center"/>
                                    <w:rPr>
                                      <w:rFonts w:hint="default" w:eastAsia="宋体"/>
                                      <w:b/>
                                      <w:bCs/>
                                      <w:color w:val="70AD47" w:themeColor="accent6"/>
                                      <w:sz w:val="13"/>
                                      <w:szCs w:val="11"/>
                                      <w:lang w:val="en-US" w:eastAsia="zh-CN"/>
                                      <w14:textFill>
                                        <w14:solidFill>
                                          <w14:schemeClr w14:val="accent6"/>
                                        </w14:solidFill>
                                      </w14:textFill>
                                    </w:rPr>
                                  </w:pPr>
                                  <w:r>
                                    <w:rPr>
                                      <w:rFonts w:hint="eastAsia"/>
                                      <w:b/>
                                      <w:bCs/>
                                      <w:color w:val="70AD47" w:themeColor="accent6"/>
                                      <w:sz w:val="13"/>
                                      <w:szCs w:val="11"/>
                                      <w:lang w:val="en-US" w:eastAsia="zh-CN"/>
                                      <w14:textFill>
                                        <w14:solidFill>
                                          <w14:schemeClr w14:val="accent6"/>
                                        </w14:solidFill>
                                      </w14:textFill>
                                    </w:rPr>
                                    <w:t>厂界外空地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4.5pt;margin-top:49.8pt;height:21.6pt;width:49.7pt;z-index:251840512;v-text-anchor:middle;mso-width-relative:page;mso-height-relative:page;" filled="f" stroked="f" coordsize="21600,21600" o:gfxdata="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GWoFxdgAAAAKAQAADwAAAAAAAAABACAAAAAiAAAAZHJzL2Rvd25yZXYueG1sUEsBAhQAFAAA&#10;AAgAh07iQBYVp41hAgAAsAQAAA4AAAAAAAAAAQAgAAAAJwEAAGRycy9lMm9Eb2MueG1sUEsFBgAA&#10;AAAGAAYAWQEAAPoFAAAAAA==&#10;">
                      <v:fill on="f" focussize="0,0"/>
                      <v:stroke on="f" weight="1pt" miterlimit="8" joinstyle="miter"/>
                      <v:imagedata o:title=""/>
                      <o:lock v:ext="edit" aspectratio="f"/>
                      <v:textbox>
                        <w:txbxContent>
                          <w:p w14:paraId="508D0283">
                            <w:pPr>
                              <w:jc w:val="center"/>
                              <w:rPr>
                                <w:rFonts w:hint="default" w:eastAsia="宋体"/>
                                <w:b/>
                                <w:bCs/>
                                <w:color w:val="70AD47" w:themeColor="accent6"/>
                                <w:sz w:val="13"/>
                                <w:szCs w:val="11"/>
                                <w:lang w:val="en-US" w:eastAsia="zh-CN"/>
                                <w14:textFill>
                                  <w14:solidFill>
                                    <w14:schemeClr w14:val="accent6"/>
                                  </w14:solidFill>
                                </w14:textFill>
                              </w:rPr>
                            </w:pPr>
                            <w:r>
                              <w:rPr>
                                <w:rFonts w:hint="eastAsia"/>
                                <w:b/>
                                <w:bCs/>
                                <w:color w:val="70AD47" w:themeColor="accent6"/>
                                <w:sz w:val="13"/>
                                <w:szCs w:val="11"/>
                                <w:lang w:val="en-US" w:eastAsia="zh-CN"/>
                                <w14:textFill>
                                  <w14:solidFill>
                                    <w14:schemeClr w14:val="accent6"/>
                                  </w14:solidFill>
                                </w14:textFill>
                              </w:rPr>
                              <w:t>厂界外空地</w:t>
                            </w:r>
                          </w:p>
                        </w:txbxContent>
                      </v:textbox>
                    </v:rect>
                  </w:pict>
                </mc:Fallback>
              </mc:AlternateContent>
            </w:r>
            <w:r>
              <w:rPr>
                <w:color w:val="auto"/>
                <w:sz w:val="21"/>
              </w:rPr>
              <mc:AlternateContent>
                <mc:Choice Requires="wps">
                  <w:drawing>
                    <wp:anchor distT="0" distB="0" distL="114300" distR="114300" simplePos="0" relativeHeight="251838464" behindDoc="0" locked="0" layoutInCell="1" allowOverlap="1">
                      <wp:simplePos x="0" y="0"/>
                      <wp:positionH relativeFrom="column">
                        <wp:posOffset>4290695</wp:posOffset>
                      </wp:positionH>
                      <wp:positionV relativeFrom="paragraph">
                        <wp:posOffset>1457960</wp:posOffset>
                      </wp:positionV>
                      <wp:extent cx="501650" cy="274320"/>
                      <wp:effectExtent l="0" t="0" r="0" b="0"/>
                      <wp:wrapNone/>
                      <wp:docPr id="252" name="矩形 252"/>
                      <wp:cNvGraphicFramePr/>
                      <a:graphic xmlns:a="http://schemas.openxmlformats.org/drawingml/2006/main">
                        <a:graphicData uri="http://schemas.microsoft.com/office/word/2010/wordprocessingShape">
                          <wps:wsp>
                            <wps:cNvSpPr/>
                            <wps:spPr>
                              <a:xfrm>
                                <a:off x="0" y="0"/>
                                <a:ext cx="501650" cy="2743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2A0097F">
                                  <w:pPr>
                                    <w:jc w:val="center"/>
                                    <w:rPr>
                                      <w:rFonts w:hint="default" w:eastAsia="宋体"/>
                                      <w:b/>
                                      <w:bCs/>
                                      <w:color w:val="70AD47" w:themeColor="accent6"/>
                                      <w:sz w:val="13"/>
                                      <w:szCs w:val="11"/>
                                      <w:lang w:val="en-US" w:eastAsia="zh-CN"/>
                                      <w14:textFill>
                                        <w14:solidFill>
                                          <w14:schemeClr w14:val="accent6"/>
                                        </w14:solidFill>
                                      </w14:textFill>
                                    </w:rPr>
                                  </w:pPr>
                                  <w:r>
                                    <w:rPr>
                                      <w:rFonts w:hint="eastAsia"/>
                                      <w:b/>
                                      <w:bCs/>
                                      <w:color w:val="70AD47" w:themeColor="accent6"/>
                                      <w:sz w:val="13"/>
                                      <w:szCs w:val="11"/>
                                      <w:lang w:val="en-US" w:eastAsia="zh-CN"/>
                                      <w14:textFill>
                                        <w14:solidFill>
                                          <w14:schemeClr w14:val="accent6"/>
                                        </w14:solidFill>
                                      </w14:textFill>
                                    </w:rPr>
                                    <w:t>焊工位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7.85pt;margin-top:114.8pt;height:21.6pt;width:39.5pt;z-index:251838464;v-text-anchor:middle;mso-width-relative:page;mso-height-relative:page;" filled="f" stroked="f" coordsize="21600,21600" o:gfxdata="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rRjvZAAAACwEAAA8AAAAAAAAAAQAgAAAAIgAAAGRycy9kb3ducmV2LnhtbFBLAQIUABQA&#10;AAAIAIdO4kAti89pYQIAALAEAAAOAAAAAAAAAAEAIAAAACgBAABkcnMvZTJvRG9jLnhtbFBLBQYA&#10;AAAABgAGAFkBAAD7BQAAAAA=&#10;">
                      <v:fill on="f" focussize="0,0"/>
                      <v:stroke on="f" weight="1pt" miterlimit="8" joinstyle="miter"/>
                      <v:imagedata o:title=""/>
                      <o:lock v:ext="edit" aspectratio="f"/>
                      <v:textbox>
                        <w:txbxContent>
                          <w:p w14:paraId="42A0097F">
                            <w:pPr>
                              <w:jc w:val="center"/>
                              <w:rPr>
                                <w:rFonts w:hint="default" w:eastAsia="宋体"/>
                                <w:b/>
                                <w:bCs/>
                                <w:color w:val="70AD47" w:themeColor="accent6"/>
                                <w:sz w:val="13"/>
                                <w:szCs w:val="11"/>
                                <w:lang w:val="en-US" w:eastAsia="zh-CN"/>
                                <w14:textFill>
                                  <w14:solidFill>
                                    <w14:schemeClr w14:val="accent6"/>
                                  </w14:solidFill>
                                </w14:textFill>
                              </w:rPr>
                            </w:pPr>
                            <w:r>
                              <w:rPr>
                                <w:rFonts w:hint="eastAsia"/>
                                <w:b/>
                                <w:bCs/>
                                <w:color w:val="70AD47" w:themeColor="accent6"/>
                                <w:sz w:val="13"/>
                                <w:szCs w:val="11"/>
                                <w:lang w:val="en-US" w:eastAsia="zh-CN"/>
                                <w14:textFill>
                                  <w14:solidFill>
                                    <w14:schemeClr w14:val="accent6"/>
                                  </w14:solidFill>
                                </w14:textFill>
                              </w:rPr>
                              <w:t>焊工位</w:t>
                            </w:r>
                          </w:p>
                        </w:txbxContent>
                      </v:textbox>
                    </v:rect>
                  </w:pict>
                </mc:Fallback>
              </mc:AlternateContent>
            </w:r>
            <w:r>
              <w:rPr>
                <w:color w:val="auto"/>
                <w:sz w:val="21"/>
              </w:rPr>
              <mc:AlternateContent>
                <mc:Choice Requires="wps">
                  <w:drawing>
                    <wp:anchor distT="0" distB="0" distL="114300" distR="114300" simplePos="0" relativeHeight="251835392" behindDoc="0" locked="0" layoutInCell="1" allowOverlap="1">
                      <wp:simplePos x="0" y="0"/>
                      <wp:positionH relativeFrom="column">
                        <wp:posOffset>4704080</wp:posOffset>
                      </wp:positionH>
                      <wp:positionV relativeFrom="paragraph">
                        <wp:posOffset>1577975</wp:posOffset>
                      </wp:positionV>
                      <wp:extent cx="75565" cy="75565"/>
                      <wp:effectExtent l="6350" t="6350" r="13335" b="13335"/>
                      <wp:wrapNone/>
                      <wp:docPr id="249" name="矩形 249"/>
                      <wp:cNvGraphicFramePr/>
                      <a:graphic xmlns:a="http://schemas.openxmlformats.org/drawingml/2006/main">
                        <a:graphicData uri="http://schemas.microsoft.com/office/word/2010/wordprocessingShape">
                          <wps:wsp>
                            <wps:cNvSpPr/>
                            <wps:spPr>
                              <a:xfrm>
                                <a:off x="0" y="0"/>
                                <a:ext cx="75565" cy="7556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0.4pt;margin-top:124.25pt;height:5.95pt;width:5.95pt;z-index:251835392;v-text-anchor:middle;mso-width-relative:page;mso-height-relative:page;" fillcolor="#5B9BD5 [3204]" filled="t" stroked="t" coordsize="21600,21600" o:gfxdata="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Ol46fbaAAAACwEAAA8AAAAA&#10;AAAAAQAgAAAAIgAAAGRycy9kb3ducmV2LnhtbFBLAQIUABQAAAAIAIdO4kAWZo+QhAIAABcFAAAO&#10;AAAAAAAAAAEAIAAAACkBAABkcnMvZTJvRG9jLnhtbFBLBQYAAAAABgAGAFkBAAAfBgAAAAA=&#10;">
                      <v:fill on="t" focussize="0,0"/>
                      <v:stroke weight="1pt" color="#2E75B6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30272" behindDoc="0" locked="0" layoutInCell="1" allowOverlap="1">
                      <wp:simplePos x="0" y="0"/>
                      <wp:positionH relativeFrom="column">
                        <wp:posOffset>4668520</wp:posOffset>
                      </wp:positionH>
                      <wp:positionV relativeFrom="paragraph">
                        <wp:posOffset>1072515</wp:posOffset>
                      </wp:positionV>
                      <wp:extent cx="149860" cy="245110"/>
                      <wp:effectExtent l="6350" t="6350" r="15240" b="15240"/>
                      <wp:wrapNone/>
                      <wp:docPr id="222" name="矩形 222"/>
                      <wp:cNvGraphicFramePr/>
                      <a:graphic xmlns:a="http://schemas.openxmlformats.org/drawingml/2006/main">
                        <a:graphicData uri="http://schemas.microsoft.com/office/word/2010/wordprocessingShape">
                          <wps:wsp>
                            <wps:cNvSpPr/>
                            <wps:spPr>
                              <a:xfrm>
                                <a:off x="5734050" y="6536690"/>
                                <a:ext cx="149860" cy="245110"/>
                              </a:xfrm>
                              <a:prstGeom prst="rect">
                                <a:avLst/>
                              </a:prstGeom>
                              <a:solidFill>
                                <a:srgbClr val="7030A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7.6pt;margin-top:84.45pt;height:19.3pt;width:11.8pt;z-index:251830272;v-text-anchor:middle;mso-width-relative:page;mso-height-relative:page;" fillcolor="#7030A0" filled="t" stroked="t" coordsize="21600,21600" o:gfxdata="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IZV&#10;BRfbAAAACwEAAA8AAAAAAAAAAQAgAAAAIgAAAGRycy9kb3ducmV2LnhtbFBLAQIUABQAAAAIAIdO&#10;4kCYSqVhkgIAACUFAAAOAAAAAAAAAAEAIAAAACoBAABkcnMvZTJvRG9jLnhtbFBLBQYAAAAABgAG&#10;AFkBAAAuBgAAAAA=&#10;">
                      <v:fill on="t" focussize="0,0"/>
                      <v:stroke weight="1pt" color="#2E75B6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36416" behindDoc="0" locked="0" layoutInCell="1" allowOverlap="1">
                      <wp:simplePos x="0" y="0"/>
                      <wp:positionH relativeFrom="column">
                        <wp:posOffset>2404110</wp:posOffset>
                      </wp:positionH>
                      <wp:positionV relativeFrom="paragraph">
                        <wp:posOffset>1357630</wp:posOffset>
                      </wp:positionV>
                      <wp:extent cx="2419985" cy="11430"/>
                      <wp:effectExtent l="0" t="28575" r="18415" b="36195"/>
                      <wp:wrapNone/>
                      <wp:docPr id="250" name="直接连接符 250"/>
                      <wp:cNvGraphicFramePr/>
                      <a:graphic xmlns:a="http://schemas.openxmlformats.org/drawingml/2006/main">
                        <a:graphicData uri="http://schemas.microsoft.com/office/word/2010/wordprocessingShape">
                          <wps:wsp>
                            <wps:cNvCnPr/>
                            <wps:spPr>
                              <a:xfrm>
                                <a:off x="5078730" y="6692265"/>
                                <a:ext cx="2419985" cy="11430"/>
                              </a:xfrm>
                              <a:prstGeom prst="line">
                                <a:avLst/>
                              </a:prstGeom>
                              <a:ln w="57150">
                                <a:solidFill>
                                  <a:schemeClr val="accent6"/>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89.3pt;margin-top:106.9pt;height:0.9pt;width:190.55pt;z-index:251836416;mso-width-relative:page;mso-height-relative:page;" filled="f" stroked="t" coordsize="21600,21600" o:gfxdata="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MaJkY2wAAAAsBAAAPAAAAAAAAAAEAIAAAACIAAABkcnMvZG93bnJl&#10;di54bWxQSwECFAAUAAAACACHTuJAxAVOvPoBAADGAwAADgAAAAAAAAABACAAAAAqAQAAZHJzL2Uy&#10;b0RvYy54bWxQSwUGAAAAAAYABgBZAQAAlgUAAAAA&#10;">
                      <v:fill on="f" focussize="0,0"/>
                      <v:stroke weight="4.5pt" color="#70AD47 [3209]" miterlimit="8" joinstyle="miter"/>
                      <v:imagedata o:title=""/>
                      <o:lock v:ext="edit" aspectratio="f"/>
                    </v:line>
                  </w:pict>
                </mc:Fallback>
              </mc:AlternateContent>
            </w:r>
          </w:p>
          <w:p w14:paraId="2D21E854">
            <w:pPr>
              <w:pStyle w:val="2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cs="Times New Roman"/>
                <w:b/>
                <w:bCs/>
                <w:color w:val="auto"/>
                <w:szCs w:val="21"/>
                <w:highlight w:val="none"/>
                <w:lang w:val="en-US"/>
              </w:rPr>
            </w:pPr>
            <w:r>
              <w:rPr>
                <w:rFonts w:hint="default" w:ascii="Times New Roman" w:hAnsi="Times New Roman" w:cs="Times New Roman"/>
                <w:b/>
                <w:bCs/>
                <w:color w:val="auto"/>
                <w:szCs w:val="21"/>
                <w:highlight w:val="none"/>
                <w:lang w:val="en-US"/>
              </w:rPr>
              <w:t>图7-1 辐射环境评价范围及保护目标分布图</w:t>
            </w:r>
          </w:p>
          <w:p w14:paraId="00A72161">
            <w:pPr>
              <w:rPr>
                <w:rFonts w:hint="default" w:ascii="Times New Roman" w:hAnsi="Times New Roman" w:cs="Times New Roman"/>
                <w:b/>
                <w:bCs/>
                <w:color w:val="auto"/>
                <w:szCs w:val="21"/>
                <w:highlight w:val="none"/>
                <w:lang w:val="en-US"/>
              </w:rPr>
            </w:pPr>
          </w:p>
          <w:p w14:paraId="2193A4C7">
            <w:pPr>
              <w:pStyle w:val="2"/>
              <w:ind w:left="0" w:leftChars="0" w:firstLine="0" w:firstLineChars="0"/>
              <w:rPr>
                <w:rFonts w:hint="default" w:ascii="Times New Roman" w:hAnsi="Times New Roman" w:cs="Times New Roman"/>
                <w:b/>
                <w:bCs/>
                <w:color w:val="auto"/>
                <w:szCs w:val="21"/>
                <w:highlight w:val="none"/>
                <w:lang w:val="en-US"/>
              </w:rPr>
            </w:pPr>
          </w:p>
          <w:p w14:paraId="11E0014B">
            <w:pPr>
              <w:rPr>
                <w:rFonts w:hint="default" w:ascii="Times New Roman" w:hAnsi="Times New Roman" w:cs="Times New Roman"/>
                <w:b/>
                <w:bCs/>
                <w:color w:val="auto"/>
                <w:szCs w:val="21"/>
                <w:highlight w:val="none"/>
                <w:lang w:val="en-US"/>
              </w:rPr>
            </w:pPr>
          </w:p>
          <w:p w14:paraId="2182FC95">
            <w:pPr>
              <w:pStyle w:val="2"/>
              <w:ind w:left="0" w:leftChars="0" w:firstLine="0" w:firstLineChars="0"/>
              <w:rPr>
                <w:rFonts w:hint="default" w:ascii="Times New Roman" w:hAnsi="Times New Roman" w:cs="Times New Roman"/>
                <w:b/>
                <w:bCs/>
                <w:color w:val="auto"/>
                <w:szCs w:val="21"/>
                <w:highlight w:val="none"/>
                <w:lang w:val="en-US"/>
              </w:rPr>
            </w:pPr>
          </w:p>
          <w:p w14:paraId="59B93481">
            <w:pPr>
              <w:rPr>
                <w:rFonts w:hint="default" w:ascii="Times New Roman" w:hAnsi="Times New Roman" w:cs="Times New Roman"/>
                <w:b/>
                <w:bCs/>
                <w:color w:val="auto"/>
                <w:szCs w:val="21"/>
                <w:highlight w:val="none"/>
                <w:lang w:val="en-US"/>
              </w:rPr>
            </w:pPr>
          </w:p>
          <w:p w14:paraId="6D829544">
            <w:pPr>
              <w:pStyle w:val="2"/>
              <w:ind w:left="0" w:leftChars="0" w:firstLine="0" w:firstLineChars="0"/>
              <w:rPr>
                <w:rFonts w:hint="default"/>
                <w:color w:val="auto"/>
                <w:lang w:val="en-US"/>
              </w:rPr>
            </w:pPr>
          </w:p>
          <w:p w14:paraId="634E3156">
            <w:pPr>
              <w:rPr>
                <w:rFonts w:hint="default"/>
                <w:color w:val="auto"/>
                <w:lang w:val="en-US"/>
              </w:rPr>
            </w:pPr>
          </w:p>
          <w:p w14:paraId="231130C3">
            <w:pPr>
              <w:rPr>
                <w:rFonts w:hint="default"/>
                <w:color w:val="auto"/>
                <w:lang w:val="en-US"/>
              </w:rPr>
            </w:pPr>
          </w:p>
          <w:p w14:paraId="5B8051CF">
            <w:pPr>
              <w:keepNext w:val="0"/>
              <w:keepLines w:val="0"/>
              <w:pageBreakBefore w:val="0"/>
              <w:widowControl w:val="0"/>
              <w:kinsoku/>
              <w:wordWrap/>
              <w:overflowPunct/>
              <w:topLinePunct w:val="0"/>
              <w:autoSpaceDE/>
              <w:autoSpaceDN/>
              <w:bidi w:val="0"/>
              <w:adjustRightInd/>
              <w:spacing w:line="240" w:lineRule="auto"/>
              <w:jc w:val="left"/>
              <w:textAlignment w:val="auto"/>
              <w:rPr>
                <w:rFonts w:hint="default" w:ascii="Times New Roman" w:hAnsi="Times New Roman" w:cs="Times New Roman"/>
                <w:b/>
                <w:bCs/>
                <w:color w:val="auto"/>
                <w:sz w:val="24"/>
                <w:szCs w:val="24"/>
                <w:highlight w:val="none"/>
              </w:rPr>
            </w:pPr>
            <w:r>
              <w:rPr>
                <w:color w:val="auto"/>
                <w:sz w:val="28"/>
              </w:rPr>
              <mc:AlternateContent>
                <mc:Choice Requires="wps">
                  <w:drawing>
                    <wp:anchor distT="0" distB="0" distL="114300" distR="114300" simplePos="0" relativeHeight="251673600" behindDoc="0" locked="0" layoutInCell="1" allowOverlap="1">
                      <wp:simplePos x="0" y="0"/>
                      <wp:positionH relativeFrom="column">
                        <wp:posOffset>2926715</wp:posOffset>
                      </wp:positionH>
                      <wp:positionV relativeFrom="paragraph">
                        <wp:posOffset>1130935</wp:posOffset>
                      </wp:positionV>
                      <wp:extent cx="1551305" cy="294005"/>
                      <wp:effectExtent l="0" t="0" r="0" b="0"/>
                      <wp:wrapNone/>
                      <wp:docPr id="89" name="矩形 89"/>
                      <wp:cNvGraphicFramePr/>
                      <a:graphic xmlns:a="http://schemas.openxmlformats.org/drawingml/2006/main">
                        <a:graphicData uri="http://schemas.microsoft.com/office/word/2010/wordprocessingShape">
                          <wps:wsp>
                            <wps:cNvSpPr/>
                            <wps:spPr>
                              <a:xfrm rot="21360000">
                                <a:off x="0" y="0"/>
                                <a:ext cx="1551305" cy="2940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43F03A4">
                                  <w:pPr>
                                    <w:jc w:val="center"/>
                                    <w:rPr>
                                      <w:rFonts w:hint="default" w:eastAsiaTheme="minorEastAsia"/>
                                      <w:b/>
                                      <w:bCs/>
                                      <w:color w:val="FFC000"/>
                                      <w:sz w:val="20"/>
                                      <w:szCs w:val="22"/>
                                      <w:lang w:val="en-US" w:eastAsia="zh-CN"/>
                                    </w:rPr>
                                  </w:pPr>
                                  <w:r>
                                    <w:rPr>
                                      <w:rFonts w:hint="eastAsia"/>
                                      <w:b/>
                                      <w:bCs/>
                                      <w:color w:val="FFC000"/>
                                      <w:sz w:val="20"/>
                                      <w:szCs w:val="22"/>
                                      <w:lang w:val="en-US" w:eastAsia="zh-CN"/>
                                    </w:rPr>
                                    <w:t>声环境评价范围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0.45pt;margin-top:89.05pt;height:23.15pt;width:122.15pt;rotation:-262144f;z-index:251673600;v-text-anchor:middle;mso-width-relative:page;mso-height-relative:page;" filled="f" stroked="f" coordsize="21600,21600" o:gfxdata="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AsFOCdoAAAALAQAADwAAAAAAAAABACAAAAAiAAAAZHJzL2Rvd25yZXYueG1s&#10;UEsBAhQAFAAAAAgAh07iQGD8WohoAgAAvgQAAA4AAAAAAAAAAQAgAAAAKQEAAGRycy9lMm9Eb2Mu&#10;eG1sUEsFBgAAAAAGAAYAWQEAAAMGAAAAAA==&#10;">
                      <v:fill on="f" focussize="0,0"/>
                      <v:stroke on="f" weight="1pt" miterlimit="8" joinstyle="miter"/>
                      <v:imagedata o:title=""/>
                      <o:lock v:ext="edit" aspectratio="f"/>
                      <v:textbox>
                        <w:txbxContent>
                          <w:p w14:paraId="643F03A4">
                            <w:pPr>
                              <w:jc w:val="center"/>
                              <w:rPr>
                                <w:rFonts w:hint="default" w:eastAsiaTheme="minorEastAsia"/>
                                <w:b/>
                                <w:bCs/>
                                <w:color w:val="FFC000"/>
                                <w:sz w:val="20"/>
                                <w:szCs w:val="22"/>
                                <w:lang w:val="en-US" w:eastAsia="zh-CN"/>
                              </w:rPr>
                            </w:pPr>
                            <w:r>
                              <w:rPr>
                                <w:rFonts w:hint="eastAsia"/>
                                <w:b/>
                                <w:bCs/>
                                <w:color w:val="FFC000"/>
                                <w:sz w:val="20"/>
                                <w:szCs w:val="22"/>
                                <w:lang w:val="en-US" w:eastAsia="zh-CN"/>
                              </w:rPr>
                              <w:t>声环境评价范围</w:t>
                            </w:r>
                          </w:p>
                        </w:txbxContent>
                      </v:textbox>
                    </v:rect>
                  </w:pict>
                </mc:Fallback>
              </mc:AlternateContent>
            </w:r>
            <w:r>
              <w:rPr>
                <w:color w:val="auto"/>
                <w:sz w:val="28"/>
              </w:rPr>
              <mc:AlternateContent>
                <mc:Choice Requires="wps">
                  <w:drawing>
                    <wp:anchor distT="0" distB="0" distL="114300" distR="114300" simplePos="0" relativeHeight="251675648" behindDoc="0" locked="0" layoutInCell="1" allowOverlap="1">
                      <wp:simplePos x="0" y="0"/>
                      <wp:positionH relativeFrom="column">
                        <wp:posOffset>3742690</wp:posOffset>
                      </wp:positionH>
                      <wp:positionV relativeFrom="paragraph">
                        <wp:posOffset>1404620</wp:posOffset>
                      </wp:positionV>
                      <wp:extent cx="473075" cy="249555"/>
                      <wp:effectExtent l="0" t="0" r="0" b="0"/>
                      <wp:wrapNone/>
                      <wp:docPr id="91" name="矩形 91"/>
                      <wp:cNvGraphicFramePr/>
                      <a:graphic xmlns:a="http://schemas.openxmlformats.org/drawingml/2006/main">
                        <a:graphicData uri="http://schemas.microsoft.com/office/word/2010/wordprocessingShape">
                          <wps:wsp>
                            <wps:cNvSpPr/>
                            <wps:spPr>
                              <a:xfrm rot="21360000">
                                <a:off x="0" y="0"/>
                                <a:ext cx="473075" cy="24955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93D0C62">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50m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4.7pt;margin-top:110.6pt;height:19.65pt;width:37.25pt;rotation:-262144f;z-index:251675648;v-text-anchor:middle;mso-width-relative:page;mso-height-relative:page;" filled="f" stroked="f" coordsize="21600,21600" o:gfxdata="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7sKEzdoAAAALAQAADwAAAAAAAAABACAAAAAiAAAAZHJzL2Rvd25yZXYu&#10;eG1sUEsBAhQAFAAAAAgAh07iQOv0OxdrAgAAvQQAAA4AAAAAAAAAAQAgAAAAKQEAAGRycy9lMm9E&#10;b2MueG1sUEsFBgAAAAAGAAYAWQEAAAYGAAAAAA==&#10;">
                      <v:fill on="f" focussize="0,0"/>
                      <v:stroke on="f" weight="1pt" miterlimit="8" joinstyle="miter"/>
                      <v:imagedata o:title=""/>
                      <o:lock v:ext="edit" aspectratio="f"/>
                      <v:textbox>
                        <w:txbxContent>
                          <w:p w14:paraId="093D0C62">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50m</w:t>
                            </w:r>
                          </w:p>
                        </w:txbxContent>
                      </v:textbox>
                    </v:rect>
                  </w:pict>
                </mc:Fallback>
              </mc:AlternateContent>
            </w: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1456690</wp:posOffset>
                      </wp:positionH>
                      <wp:positionV relativeFrom="paragraph">
                        <wp:posOffset>1355090</wp:posOffset>
                      </wp:positionV>
                      <wp:extent cx="3333750" cy="1683385"/>
                      <wp:effectExtent l="6350" t="6350" r="12700" b="24765"/>
                      <wp:wrapNone/>
                      <wp:docPr id="95" name="任意多边形 95"/>
                      <wp:cNvGraphicFramePr/>
                      <a:graphic xmlns:a="http://schemas.openxmlformats.org/drawingml/2006/main">
                        <a:graphicData uri="http://schemas.microsoft.com/office/word/2010/wordprocessingShape">
                          <wps:wsp>
                            <wps:cNvSpPr/>
                            <wps:spPr>
                              <a:xfrm>
                                <a:off x="2201545" y="6533515"/>
                                <a:ext cx="3333750" cy="1683385"/>
                              </a:xfrm>
                              <a:custGeom>
                                <a:avLst/>
                                <a:gdLst>
                                  <a:gd name="connisteX0" fmla="*/ 490855 w 3333750"/>
                                  <a:gd name="connsiteY0" fmla="*/ 1604010 h 1604010"/>
                                  <a:gd name="connisteX1" fmla="*/ 3026410 w 3333750"/>
                                  <a:gd name="connsiteY1" fmla="*/ 1406525 h 1604010"/>
                                  <a:gd name="connisteX2" fmla="*/ 3084830 w 3333750"/>
                                  <a:gd name="connsiteY2" fmla="*/ 1362710 h 1604010"/>
                                  <a:gd name="connisteX3" fmla="*/ 3209290 w 3333750"/>
                                  <a:gd name="connsiteY3" fmla="*/ 1267460 h 1604010"/>
                                  <a:gd name="connisteX4" fmla="*/ 3282950 w 3333750"/>
                                  <a:gd name="connsiteY4" fmla="*/ 1164590 h 1604010"/>
                                  <a:gd name="connisteX5" fmla="*/ 3333750 w 3333750"/>
                                  <a:gd name="connsiteY5" fmla="*/ 1076960 h 1604010"/>
                                  <a:gd name="connisteX6" fmla="*/ 3282950 w 3333750"/>
                                  <a:gd name="connsiteY6" fmla="*/ 219710 h 1604010"/>
                                  <a:gd name="connisteX7" fmla="*/ 3260725 w 3333750"/>
                                  <a:gd name="connsiteY7" fmla="*/ 153670 h 1604010"/>
                                  <a:gd name="connisteX8" fmla="*/ 3202305 w 3333750"/>
                                  <a:gd name="connsiteY8" fmla="*/ 73025 h 1604010"/>
                                  <a:gd name="connisteX9" fmla="*/ 3114040 w 3333750"/>
                                  <a:gd name="connsiteY9" fmla="*/ 13970 h 1604010"/>
                                  <a:gd name="connisteX10" fmla="*/ 3077210 w 3333750"/>
                                  <a:gd name="connsiteY10" fmla="*/ 6985 h 1604010"/>
                                  <a:gd name="connisteX11" fmla="*/ 3048000 w 3333750"/>
                                  <a:gd name="connsiteY11" fmla="*/ 0 h 1604010"/>
                                  <a:gd name="connisteX12" fmla="*/ 322580 w 3333750"/>
                                  <a:gd name="connsiteY12" fmla="*/ 197485 h 1604010"/>
                                  <a:gd name="connisteX13" fmla="*/ 227330 w 3333750"/>
                                  <a:gd name="connsiteY13" fmla="*/ 197485 h 1604010"/>
                                  <a:gd name="connisteX14" fmla="*/ 117475 w 3333750"/>
                                  <a:gd name="connsiteY14" fmla="*/ 234315 h 1604010"/>
                                  <a:gd name="connisteX15" fmla="*/ 44450 w 3333750"/>
                                  <a:gd name="connsiteY15" fmla="*/ 292735 h 1604010"/>
                                  <a:gd name="connisteX16" fmla="*/ 0 w 3333750"/>
                                  <a:gd name="connsiteY16" fmla="*/ 381000 h 1604010"/>
                                  <a:gd name="connisteX17" fmla="*/ 36830 w 3333750"/>
                                  <a:gd name="connsiteY17" fmla="*/ 1289050 h 1604010"/>
                                  <a:gd name="connisteX18" fmla="*/ 66040 w 3333750"/>
                                  <a:gd name="connsiteY18" fmla="*/ 1362710 h 1604010"/>
                                  <a:gd name="connisteX19" fmla="*/ 161290 w 3333750"/>
                                  <a:gd name="connsiteY19" fmla="*/ 1493520 h 1604010"/>
                                  <a:gd name="connisteX20" fmla="*/ 241935 w 3333750"/>
                                  <a:gd name="connsiteY20" fmla="*/ 1553210 h 1604010"/>
                                  <a:gd name="connisteX21" fmla="*/ 344805 w 3333750"/>
                                  <a:gd name="connsiteY21" fmla="*/ 1588770 h 1604010"/>
                                  <a:gd name="connisteX22" fmla="*/ 490855 w 3333750"/>
                                  <a:gd name="connsiteY22" fmla="*/ 1604010 h 160401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Lst>
                                <a:rect l="l" t="t" r="r" b="b"/>
                                <a:pathLst>
                                  <a:path w="3333750" h="1604010">
                                    <a:moveTo>
                                      <a:pt x="490855" y="1604010"/>
                                    </a:moveTo>
                                    <a:lnTo>
                                      <a:pt x="3026410" y="1406525"/>
                                    </a:lnTo>
                                    <a:lnTo>
                                      <a:pt x="3084830" y="1362710"/>
                                    </a:lnTo>
                                    <a:lnTo>
                                      <a:pt x="3209290" y="1267460"/>
                                    </a:lnTo>
                                    <a:lnTo>
                                      <a:pt x="3282950" y="1164590"/>
                                    </a:lnTo>
                                    <a:lnTo>
                                      <a:pt x="3333750" y="1076960"/>
                                    </a:lnTo>
                                    <a:lnTo>
                                      <a:pt x="3282950" y="219710"/>
                                    </a:lnTo>
                                    <a:lnTo>
                                      <a:pt x="3260725" y="153670"/>
                                    </a:lnTo>
                                    <a:lnTo>
                                      <a:pt x="3202305" y="73025"/>
                                    </a:lnTo>
                                    <a:lnTo>
                                      <a:pt x="3114040" y="13970"/>
                                    </a:lnTo>
                                    <a:lnTo>
                                      <a:pt x="3077210" y="6985"/>
                                    </a:lnTo>
                                    <a:lnTo>
                                      <a:pt x="3048000" y="0"/>
                                    </a:lnTo>
                                    <a:lnTo>
                                      <a:pt x="322580" y="197485"/>
                                    </a:lnTo>
                                    <a:lnTo>
                                      <a:pt x="227330" y="197485"/>
                                    </a:lnTo>
                                    <a:lnTo>
                                      <a:pt x="117475" y="234315"/>
                                    </a:lnTo>
                                    <a:lnTo>
                                      <a:pt x="44450" y="292735"/>
                                    </a:lnTo>
                                    <a:lnTo>
                                      <a:pt x="0" y="381000"/>
                                    </a:lnTo>
                                    <a:lnTo>
                                      <a:pt x="36830" y="1289050"/>
                                    </a:lnTo>
                                    <a:lnTo>
                                      <a:pt x="66040" y="1362710"/>
                                    </a:lnTo>
                                    <a:lnTo>
                                      <a:pt x="161290" y="1493520"/>
                                    </a:lnTo>
                                    <a:lnTo>
                                      <a:pt x="241935" y="1553210"/>
                                    </a:lnTo>
                                    <a:lnTo>
                                      <a:pt x="344805" y="1588770"/>
                                    </a:lnTo>
                                    <a:lnTo>
                                      <a:pt x="490855" y="1604010"/>
                                    </a:lnTo>
                                    <a:close/>
                                  </a:path>
                                </a:pathLst>
                              </a:custGeom>
                              <a:no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14.7pt;margin-top:106.7pt;height:132.55pt;width:262.5pt;z-index:251677696;mso-width-relative:page;mso-height-relative:page;" filled="f" stroked="t" coordsize="3333750,1604010" o:gfxdata="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" path="m490855,1604010l3026410,1406525,3084830,1362710,3209290,1267460,3282950,1164590,3333750,1076960,3282950,219710,3260725,153670,3202305,73025,3114040,13970,3077210,6985,3048000,0,322580,197485,227330,197485,117475,234315,44450,292735,0,381000,36830,1289050,66040,1362710,161290,1493520,241935,1553210,344805,1588770,490855,1604010xe">
                      <v:path o:connectlocs="490855,1683385;3026410,1476127;3084830,1430144;3209290,1330180;3282950,1222220;3333750,1130253;3282950,230582;3260725,161274;3202305,76638;3114040,14661;3077210,7330;3048000,0;322580,207257;227330,207257;117475,245910;44450,307221;0,399853;36830,1352839;66040,1430144;161290,1567427;241935,1630071;344805,1667390;490855,1683385" o:connectangles="0,0,0,0,0,0,0,0,0,0,0,0,0,0,0,0,0,0,0,0,0,0,0"/>
                      <v:fill on="f" focussize="0,0"/>
                      <v:stroke weight="1pt" color="#FFC000 [2404]" miterlimit="8" joinstyle="miter"/>
                      <v:imagedata o:title=""/>
                      <o:lock v:ext="edit" aspectratio="f"/>
                    </v:shape>
                  </w:pict>
                </mc:Fallback>
              </mc:AlternateContent>
            </w:r>
            <w:r>
              <w:rPr>
                <w:color w:val="auto"/>
                <w:sz w:val="28"/>
              </w:rPr>
              <mc:AlternateContent>
                <mc:Choice Requires="wps">
                  <w:drawing>
                    <wp:anchor distT="0" distB="0" distL="114300" distR="114300" simplePos="0" relativeHeight="251674624" behindDoc="0" locked="0" layoutInCell="1" allowOverlap="1">
                      <wp:simplePos x="0" y="0"/>
                      <wp:positionH relativeFrom="column">
                        <wp:posOffset>3801110</wp:posOffset>
                      </wp:positionH>
                      <wp:positionV relativeFrom="paragraph">
                        <wp:posOffset>1397635</wp:posOffset>
                      </wp:positionV>
                      <wp:extent cx="17145" cy="247650"/>
                      <wp:effectExtent l="44450" t="0" r="52705" b="19050"/>
                      <wp:wrapNone/>
                      <wp:docPr id="90" name="直接箭头连接符 90"/>
                      <wp:cNvGraphicFramePr/>
                      <a:graphic xmlns:a="http://schemas.openxmlformats.org/drawingml/2006/main">
                        <a:graphicData uri="http://schemas.microsoft.com/office/word/2010/wordprocessingShape">
                          <wps:wsp>
                            <wps:cNvCnPr/>
                            <wps:spPr>
                              <a:xfrm flipH="1" flipV="1">
                                <a:off x="5118100" y="6531610"/>
                                <a:ext cx="17145" cy="2476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99.3pt;margin-top:110.05pt;height:19.5pt;width:1.35pt;z-index:251674624;mso-width-relative:page;mso-height-relative:page;" filled="f" stroked="t" coordsize="21600,21600" o:gfxdata="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o8&#10;F7XYAAAACwEAAA8AAAAAAAAAAQAgAAAAIgAAAGRycy9kb3ducmV2LnhtbFBLAQIUABQAAAAIAIdO&#10;4kBnYdfcIwIAAAQEAAAOAAAAAAAAAAEAIAAAACcBAABkcnMvZTJvRG9jLnhtbFBLBQYAAAAABgAG&#10;AFkBAAC8BQAAAAA=&#10;">
                      <v:fill on="f" focussize="0,0"/>
                      <v:stroke weight="1pt" color="#FF0000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1699895</wp:posOffset>
                      </wp:positionH>
                      <wp:positionV relativeFrom="paragraph">
                        <wp:posOffset>1608455</wp:posOffset>
                      </wp:positionV>
                      <wp:extent cx="2857500" cy="1153795"/>
                      <wp:effectExtent l="6350" t="6985" r="12700" b="20320"/>
                      <wp:wrapNone/>
                      <wp:docPr id="74" name="任意多边形 74"/>
                      <wp:cNvGraphicFramePr/>
                      <a:graphic xmlns:a="http://schemas.openxmlformats.org/drawingml/2006/main">
                        <a:graphicData uri="http://schemas.microsoft.com/office/word/2010/wordprocessingShape">
                          <wps:wsp>
                            <wps:cNvSpPr/>
                            <wps:spPr>
                              <a:xfrm>
                                <a:off x="2731135" y="6780530"/>
                                <a:ext cx="2857500" cy="1153795"/>
                              </a:xfrm>
                              <a:custGeom>
                                <a:avLst/>
                                <a:gdLst>
                                  <a:gd name="connisteX0" fmla="*/ 0 w 2857500"/>
                                  <a:gd name="connsiteY0" fmla="*/ 211455 h 1153795"/>
                                  <a:gd name="connisteX1" fmla="*/ 42545 w 2857500"/>
                                  <a:gd name="connsiteY1" fmla="*/ 1026795 h 1153795"/>
                                  <a:gd name="connisteX2" fmla="*/ 211455 w 2857500"/>
                                  <a:gd name="connsiteY2" fmla="*/ 1153795 h 1153795"/>
                                  <a:gd name="connisteX3" fmla="*/ 2783205 w 2857500"/>
                                  <a:gd name="connsiteY3" fmla="*/ 963295 h 1153795"/>
                                  <a:gd name="connisteX4" fmla="*/ 2857500 w 2857500"/>
                                  <a:gd name="connsiteY4" fmla="*/ 857250 h 1153795"/>
                                  <a:gd name="connisteX5" fmla="*/ 2814955 w 2857500"/>
                                  <a:gd name="connsiteY5" fmla="*/ 0 h 1153795"/>
                                  <a:gd name="connisteX6" fmla="*/ 0 w 2857500"/>
                                  <a:gd name="connsiteY6" fmla="*/ 211455 h 11537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857500" h="1153795">
                                    <a:moveTo>
                                      <a:pt x="0" y="211455"/>
                                    </a:moveTo>
                                    <a:lnTo>
                                      <a:pt x="42545" y="1026795"/>
                                    </a:lnTo>
                                    <a:lnTo>
                                      <a:pt x="211455" y="1153795"/>
                                    </a:lnTo>
                                    <a:lnTo>
                                      <a:pt x="2783205" y="963295"/>
                                    </a:lnTo>
                                    <a:lnTo>
                                      <a:pt x="2857500" y="857250"/>
                                    </a:lnTo>
                                    <a:lnTo>
                                      <a:pt x="2814955" y="0"/>
                                    </a:lnTo>
                                    <a:lnTo>
                                      <a:pt x="0" y="211455"/>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33.85pt;margin-top:126.65pt;height:90.85pt;width:225pt;z-index:251672576;mso-width-relative:page;mso-height-relative:page;" filled="f" stroked="t" coordsize="2857500,1153795" o:gfxdata="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" path="m0,211455l42545,1026795,211455,1153795,2783205,963295,2857500,857250,2814955,0,0,211455xe">
                      <v:path o:connectlocs="0,211455;42545,1026795;211455,1153795;2783205,963295;2857500,857250;2814955,0;0,211455" o:connectangles="0,0,0,0,0,0,0"/>
                      <v:fill on="f" focussize="0,0"/>
                      <v:stroke weight="1pt" color="#FF0000 [2404]" miterlimit="8" joinstyle="miter"/>
                      <v:imagedata o:title=""/>
                      <o:lock v:ext="edit" aspectratio="f"/>
                    </v:shape>
                  </w:pict>
                </mc:Fallback>
              </mc:AlternateContent>
            </w:r>
            <w:r>
              <w:rPr>
                <w:color w:val="auto"/>
                <w:sz w:val="18"/>
                <w:szCs w:val="16"/>
              </w:rPr>
              <mc:AlternateContent>
                <mc:Choice Requires="wps">
                  <w:drawing>
                    <wp:anchor distT="0" distB="0" distL="114300" distR="114300" simplePos="0" relativeHeight="251852800" behindDoc="0" locked="0" layoutInCell="1" allowOverlap="1">
                      <wp:simplePos x="0" y="0"/>
                      <wp:positionH relativeFrom="column">
                        <wp:posOffset>5548630</wp:posOffset>
                      </wp:positionH>
                      <wp:positionV relativeFrom="paragraph">
                        <wp:posOffset>729615</wp:posOffset>
                      </wp:positionV>
                      <wp:extent cx="6350" cy="149225"/>
                      <wp:effectExtent l="6350" t="0" r="6350" b="3175"/>
                      <wp:wrapNone/>
                      <wp:docPr id="235" name="直接连接符 235"/>
                      <wp:cNvGraphicFramePr/>
                      <a:graphic xmlns:a="http://schemas.openxmlformats.org/drawingml/2006/main">
                        <a:graphicData uri="http://schemas.microsoft.com/office/word/2010/wordprocessingShape">
                          <wps:wsp>
                            <wps:cNvCnPr/>
                            <wps:spPr>
                              <a:xfrm flipV="1">
                                <a:off x="0" y="0"/>
                                <a:ext cx="6350" cy="14922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436.9pt;margin-top:57.45pt;height:11.75pt;width:0.5pt;z-index:251852800;mso-width-relative:page;mso-height-relative:page;" filled="f" stroked="t" coordsize="21600,21600" o:gfxdata="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uSXbzZAAAACwEAAA8AAAAAAAAAAQAgAAAAIgAAAGRycy9kb3ducmV2LnhtbFBLAQIU&#10;ABQAAAAIAIdO4kBfa9pV8gEAAMIDAAAOAAAAAAAAAAEAIAAAACgBAABkcnMvZTJvRG9jLnhtbFBL&#10;BQYAAAAABgAGAFkBAACMBQAAAAA=&#10;">
                      <v:fill on="f" focussize="0,0"/>
                      <v:stroke weight="1pt" color="#FFFF00 [3204]" miterlimit="8" joinstyle="miter"/>
                      <v:imagedata o:title=""/>
                      <o:lock v:ext="edit" aspectratio="f"/>
                    </v:line>
                  </w:pict>
                </mc:Fallback>
              </mc:AlternateContent>
            </w:r>
            <w:r>
              <w:rPr>
                <w:color w:val="auto"/>
                <w:sz w:val="18"/>
                <w:szCs w:val="16"/>
              </w:rPr>
              <mc:AlternateContent>
                <mc:Choice Requires="wps">
                  <w:drawing>
                    <wp:anchor distT="0" distB="0" distL="114300" distR="114300" simplePos="0" relativeHeight="251851776" behindDoc="0" locked="0" layoutInCell="1" allowOverlap="1">
                      <wp:simplePos x="0" y="0"/>
                      <wp:positionH relativeFrom="column">
                        <wp:posOffset>5002530</wp:posOffset>
                      </wp:positionH>
                      <wp:positionV relativeFrom="paragraph">
                        <wp:posOffset>720725</wp:posOffset>
                      </wp:positionV>
                      <wp:extent cx="6350" cy="149225"/>
                      <wp:effectExtent l="6350" t="0" r="6350" b="3175"/>
                      <wp:wrapNone/>
                      <wp:docPr id="217" name="直接连接符 217"/>
                      <wp:cNvGraphicFramePr/>
                      <a:graphic xmlns:a="http://schemas.openxmlformats.org/drawingml/2006/main">
                        <a:graphicData uri="http://schemas.microsoft.com/office/word/2010/wordprocessingShape">
                          <wps:wsp>
                            <wps:cNvCnPr/>
                            <wps:spPr>
                              <a:xfrm flipV="1">
                                <a:off x="0" y="0"/>
                                <a:ext cx="6350" cy="14922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93.9pt;margin-top:56.75pt;height:11.75pt;width:0.5pt;z-index:251851776;mso-width-relative:page;mso-height-relative:page;" filled="f" stroked="t" coordsize="21600,21600" o:gfxdata="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pUSa5dgAAAALAQAADwAAAAAAAAABACAAAAAiAAAAZHJzL2Rvd25yZXYueG1sUEsBAhQA&#10;FAAAAAgAh07iQFO9OIfyAQAAwgMAAA4AAAAAAAAAAQAgAAAAJwEAAGRycy9lMm9Eb2MueG1sUEsF&#10;BgAAAAAGAAYAWQEAAIsFAAAAAA==&#10;">
                      <v:fill on="f" focussize="0,0"/>
                      <v:stroke weight="1pt" color="#FFFF00 [3204]" miterlimit="8" joinstyle="miter"/>
                      <v:imagedata o:title=""/>
                      <o:lock v:ext="edit" aspectratio="f"/>
                    </v:line>
                  </w:pict>
                </mc:Fallback>
              </mc:AlternateContent>
            </w:r>
            <w:r>
              <w:rPr>
                <w:color w:val="auto"/>
                <w:sz w:val="18"/>
                <w:szCs w:val="16"/>
              </w:rPr>
              <mc:AlternateContent>
                <mc:Choice Requires="wps">
                  <w:drawing>
                    <wp:anchor distT="0" distB="0" distL="114300" distR="114300" simplePos="0" relativeHeight="251850752" behindDoc="0" locked="0" layoutInCell="1" allowOverlap="1">
                      <wp:simplePos x="0" y="0"/>
                      <wp:positionH relativeFrom="column">
                        <wp:posOffset>5001260</wp:posOffset>
                      </wp:positionH>
                      <wp:positionV relativeFrom="paragraph">
                        <wp:posOffset>866775</wp:posOffset>
                      </wp:positionV>
                      <wp:extent cx="555625" cy="0"/>
                      <wp:effectExtent l="0" t="6350" r="0" b="6350"/>
                      <wp:wrapNone/>
                      <wp:docPr id="55" name="直接连接符 55"/>
                      <wp:cNvGraphicFramePr/>
                      <a:graphic xmlns:a="http://schemas.openxmlformats.org/drawingml/2006/main">
                        <a:graphicData uri="http://schemas.microsoft.com/office/word/2010/wordprocessingShape">
                          <wps:wsp>
                            <wps:cNvCnPr/>
                            <wps:spPr>
                              <a:xfrm>
                                <a:off x="0" y="0"/>
                                <a:ext cx="555625" cy="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93.8pt;margin-top:68.25pt;height:0pt;width:43.75pt;z-index:251850752;mso-width-relative:page;mso-height-relative:page;" filled="f" stroked="t" coordsize="21600,21600" o:gfxdata="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ZkKcktgA&#10;AAALAQAADwAAAAAAAAABACAAAAAiAAAAZHJzL2Rvd25yZXYueG1sUEsBAhQAFAAAAAgAh07iQBgh&#10;58bmAQAAswMAAA4AAAAAAAAAAQAgAAAAJwEAAGRycy9lMm9Eb2MueG1sUEsFBgAAAAAGAAYAWQEA&#10;AH8FAAAAAA==&#10;">
                      <v:fill on="f" focussize="0,0"/>
                      <v:stroke weight="1pt" color="#FFFF00 [3204]" miterlimit="8" joinstyle="miter"/>
                      <v:imagedata o:title=""/>
                      <o:lock v:ext="edit" aspectratio="f"/>
                    </v:line>
                  </w:pict>
                </mc:Fallback>
              </mc:AlternateContent>
            </w:r>
            <w:r>
              <w:rPr>
                <w:b/>
                <w:bCs/>
                <w:color w:val="auto"/>
                <w:sz w:val="18"/>
                <w:szCs w:val="16"/>
              </w:rPr>
              <mc:AlternateContent>
                <mc:Choice Requires="wps">
                  <w:drawing>
                    <wp:anchor distT="0" distB="0" distL="114300" distR="114300" simplePos="0" relativeHeight="251849728" behindDoc="0" locked="0" layoutInCell="1" allowOverlap="1">
                      <wp:simplePos x="0" y="0"/>
                      <wp:positionH relativeFrom="column">
                        <wp:posOffset>4976495</wp:posOffset>
                      </wp:positionH>
                      <wp:positionV relativeFrom="paragraph">
                        <wp:posOffset>612775</wp:posOffset>
                      </wp:positionV>
                      <wp:extent cx="593725" cy="297180"/>
                      <wp:effectExtent l="0" t="0" r="0" b="0"/>
                      <wp:wrapNone/>
                      <wp:docPr id="14" name="矩形 14"/>
                      <wp:cNvGraphicFramePr/>
                      <a:graphic xmlns:a="http://schemas.openxmlformats.org/drawingml/2006/main">
                        <a:graphicData uri="http://schemas.microsoft.com/office/word/2010/wordprocessingShape">
                          <wps:wsp>
                            <wps:cNvSpPr/>
                            <wps:spPr>
                              <a:xfrm>
                                <a:off x="0" y="0"/>
                                <a:ext cx="593725" cy="2971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93326FD">
                                  <w:pPr>
                                    <w:jc w:val="center"/>
                                    <w:rPr>
                                      <w:rFonts w:hint="default" w:eastAsia="宋体"/>
                                      <w:b/>
                                      <w:bCs/>
                                      <w:color w:val="FFFF00"/>
                                      <w:sz w:val="18"/>
                                      <w:szCs w:val="16"/>
                                      <w:lang w:val="en-US" w:eastAsia="zh-CN"/>
                                    </w:rPr>
                                  </w:pPr>
                                  <w:r>
                                    <w:rPr>
                                      <w:rFonts w:hint="eastAsia"/>
                                      <w:b/>
                                      <w:bCs/>
                                      <w:color w:val="FFFF00"/>
                                      <w:sz w:val="18"/>
                                      <w:szCs w:val="16"/>
                                      <w:lang w:val="en-US" w:eastAsia="zh-CN"/>
                                    </w:rPr>
                                    <w:t>100m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1.85pt;margin-top:48.25pt;height:23.4pt;width:46.75pt;z-index:251849728;v-text-anchor:middle;mso-width-relative:page;mso-height-relative:page;" filled="f" stroked="f" coordsize="21600,21600" o:gfxdata="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4hZss2AAAAAoBAAAPAAAAAAAAAAEAIAAAACIAAABkcnMvZG93bnJldi54bWxQSwECFAAUAAAA&#10;CACHTuJAwK4pE2ACAACuBAAADgAAAAAAAAABACAAAAAnAQAAZHJzL2Uyb0RvYy54bWxQSwUGAAAA&#10;AAYABgBZAQAA+QUAAAAA&#10;">
                      <v:fill on="f" focussize="0,0"/>
                      <v:stroke on="f" weight="1pt" miterlimit="8" joinstyle="miter"/>
                      <v:imagedata o:title=""/>
                      <o:lock v:ext="edit" aspectratio="f"/>
                      <v:textbox>
                        <w:txbxContent>
                          <w:p w14:paraId="693326FD">
                            <w:pPr>
                              <w:jc w:val="center"/>
                              <w:rPr>
                                <w:rFonts w:hint="default" w:eastAsia="宋体"/>
                                <w:b/>
                                <w:bCs/>
                                <w:color w:val="FFFF00"/>
                                <w:sz w:val="18"/>
                                <w:szCs w:val="16"/>
                                <w:lang w:val="en-US" w:eastAsia="zh-CN"/>
                              </w:rPr>
                            </w:pPr>
                            <w:r>
                              <w:rPr>
                                <w:rFonts w:hint="eastAsia"/>
                                <w:b/>
                                <w:bCs/>
                                <w:color w:val="FFFF00"/>
                                <w:sz w:val="18"/>
                                <w:szCs w:val="16"/>
                                <w:lang w:val="en-US" w:eastAsia="zh-CN"/>
                              </w:rPr>
                              <w:t>100m</w:t>
                            </w:r>
                          </w:p>
                        </w:txbxContent>
                      </v:textbox>
                    </v:rect>
                  </w:pict>
                </mc:Fallback>
              </mc:AlternateContent>
            </w:r>
            <w:r>
              <w:rPr>
                <w:rFonts w:hint="default" w:ascii="Times New Roman" w:hAnsi="Times New Roman" w:cs="Times New Roman"/>
                <w:color w:val="auto"/>
                <w:highlight w:val="none"/>
              </w:rPr>
              <w:drawing>
                <wp:anchor distT="0" distB="0" distL="114300" distR="114300" simplePos="0" relativeHeight="251676672" behindDoc="0" locked="0" layoutInCell="1" allowOverlap="1">
                  <wp:simplePos x="0" y="0"/>
                  <wp:positionH relativeFrom="column">
                    <wp:posOffset>5014595</wp:posOffset>
                  </wp:positionH>
                  <wp:positionV relativeFrom="paragraph">
                    <wp:posOffset>206375</wp:posOffset>
                  </wp:positionV>
                  <wp:extent cx="567055" cy="461010"/>
                  <wp:effectExtent l="0" t="0" r="4445" b="15240"/>
                  <wp:wrapNone/>
                  <wp:docPr id="92" name="图片 92" descr="六安风向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六安风向玫瑰图"/>
                          <pic:cNvPicPr>
                            <a:picLocks noChangeAspect="1"/>
                          </pic:cNvPicPr>
                        </pic:nvPicPr>
                        <pic:blipFill>
                          <a:blip r:embed="rId33"/>
                          <a:stretch>
                            <a:fillRect/>
                          </a:stretch>
                        </pic:blipFill>
                        <pic:spPr>
                          <a:xfrm>
                            <a:off x="0" y="0"/>
                            <a:ext cx="567055" cy="461010"/>
                          </a:xfrm>
                          <a:prstGeom prst="rect">
                            <a:avLst/>
                          </a:prstGeom>
                        </pic:spPr>
                      </pic:pic>
                    </a:graphicData>
                  </a:graphic>
                </wp:anchor>
              </w:drawing>
            </w:r>
            <w:r>
              <w:rPr>
                <w:color w:val="auto"/>
              </w:rPr>
              <w:drawing>
                <wp:inline distT="0" distB="0" distL="114300" distR="114300">
                  <wp:extent cx="5584190" cy="4144645"/>
                  <wp:effectExtent l="0" t="0" r="0" b="0"/>
                  <wp:docPr id="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6"/>
                          <pic:cNvPicPr>
                            <a:picLocks noChangeAspect="1"/>
                          </pic:cNvPicPr>
                        </pic:nvPicPr>
                        <pic:blipFill>
                          <a:blip r:embed="rId34"/>
                          <a:srcRect l="6117"/>
                          <a:stretch>
                            <a:fillRect/>
                          </a:stretch>
                        </pic:blipFill>
                        <pic:spPr>
                          <a:xfrm>
                            <a:off x="0" y="0"/>
                            <a:ext cx="5584190" cy="4144645"/>
                          </a:xfrm>
                          <a:prstGeom prst="rect">
                            <a:avLst/>
                          </a:prstGeom>
                          <a:noFill/>
                          <a:ln>
                            <a:solidFill>
                              <a:schemeClr val="tx1"/>
                            </a:solidFill>
                          </a:ln>
                        </pic:spPr>
                      </pic:pic>
                    </a:graphicData>
                  </a:graphic>
                </wp:inline>
              </w:drawing>
            </w:r>
          </w:p>
          <w:p w14:paraId="7D2B24EF">
            <w:pPr>
              <w:pStyle w:val="2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cs="Times New Roman"/>
                <w:b/>
                <w:bCs/>
                <w:color w:val="auto"/>
                <w:szCs w:val="21"/>
                <w:highlight w:val="none"/>
                <w:lang w:val="en-US"/>
              </w:rPr>
            </w:pPr>
            <w:r>
              <w:rPr>
                <w:rFonts w:hint="default" w:ascii="Times New Roman" w:hAnsi="Times New Roman" w:cs="Times New Roman"/>
                <w:b/>
                <w:bCs/>
                <w:color w:val="auto"/>
                <w:szCs w:val="21"/>
                <w:highlight w:val="none"/>
                <w:lang w:val="en-US"/>
              </w:rPr>
              <w:t>图7-2 声环境评价范围图</w:t>
            </w:r>
          </w:p>
          <w:p w14:paraId="0760E81E">
            <w:pPr>
              <w:keepNext w:val="0"/>
              <w:keepLines w:val="0"/>
              <w:pageBreakBefore w:val="0"/>
              <w:widowControl w:val="0"/>
              <w:numPr>
                <w:ilvl w:val="0"/>
                <w:numId w:val="2"/>
              </w:numPr>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评价标准</w:t>
            </w:r>
          </w:p>
          <w:p w14:paraId="4590F72E">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（1）《电离辐射防护与辐射源安全基本标准》（GB 18871-2002）</w:t>
            </w:r>
          </w:p>
          <w:p w14:paraId="7311B120">
            <w:pPr>
              <w:pStyle w:val="109"/>
              <w:keepNext w:val="0"/>
              <w:keepLines w:val="0"/>
              <w:pageBreakBefore w:val="0"/>
              <w:widowControl w:val="0"/>
              <w:kinsoku/>
              <w:wordWrap/>
              <w:overflowPunct/>
              <w:topLinePunct w:val="0"/>
              <w:bidi w:val="0"/>
              <w:adjustRightInd/>
              <w:snapToGrid/>
              <w:ind w:firstLine="482"/>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根据标准</w:t>
            </w:r>
            <w:r>
              <w:rPr>
                <w:rFonts w:hint="default" w:ascii="Times New Roman" w:hAnsi="Times New Roman" w:cs="Times New Roman"/>
                <w:color w:val="auto"/>
                <w:highlight w:val="none"/>
              </w:rPr>
              <w:t>第4.3.2.1款，应对个人受到的正常照射加以限制，以保证本标准6.2.2规定的特殊情况外，由来自各项获准实践的综合照射所致的个人总有效剂量当量和有关器官或组织的总当量剂量不超过附录B（标准的附录B）中规定的相应剂量限值。不应将剂量限值应用于获准实践中的医疗照射。</w:t>
            </w:r>
          </w:p>
          <w:p w14:paraId="5A374351">
            <w:pPr>
              <w:pStyle w:val="109"/>
              <w:keepNext w:val="0"/>
              <w:keepLines w:val="0"/>
              <w:pageBreakBefore w:val="0"/>
              <w:widowControl w:val="0"/>
              <w:kinsoku/>
              <w:wordWrap/>
              <w:overflowPunct/>
              <w:topLinePunct w:val="0"/>
              <w:bidi w:val="0"/>
              <w:adjustRightInd/>
              <w:snapToGrid/>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第B1.1.1.1款，应对任何工作人员的职业照射水平进行控制，使之不超过下述限值：</w:t>
            </w:r>
          </w:p>
          <w:p w14:paraId="6E063E77">
            <w:pPr>
              <w:pStyle w:val="109"/>
              <w:keepNext w:val="0"/>
              <w:keepLines w:val="0"/>
              <w:pageBreakBefore w:val="0"/>
              <w:widowControl w:val="0"/>
              <w:kinsoku/>
              <w:wordWrap/>
              <w:overflowPunct/>
              <w:topLinePunct w:val="0"/>
              <w:bidi w:val="0"/>
              <w:adjustRightInd/>
              <w:snapToGrid/>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a)由审管部门决定的连续5年的年平均有效剂量（但不可作任何追溯性平均），20mSv；</w:t>
            </w:r>
          </w:p>
          <w:p w14:paraId="43AE39E5">
            <w:pPr>
              <w:pStyle w:val="109"/>
              <w:keepNext w:val="0"/>
              <w:keepLines w:val="0"/>
              <w:pageBreakBefore w:val="0"/>
              <w:widowControl w:val="0"/>
              <w:kinsoku/>
              <w:wordWrap/>
              <w:overflowPunct/>
              <w:topLinePunct w:val="0"/>
              <w:bidi w:val="0"/>
              <w:adjustRightInd/>
              <w:snapToGrid/>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第B1.2.1款，实践使公众中有关关键人群组的成员所受到的平均剂量估计值不应超过下述限值：</w:t>
            </w:r>
          </w:p>
          <w:p w14:paraId="179D6821">
            <w:pPr>
              <w:pStyle w:val="109"/>
              <w:keepNext w:val="0"/>
              <w:keepLines w:val="0"/>
              <w:pageBreakBefore w:val="0"/>
              <w:widowControl w:val="0"/>
              <w:kinsoku/>
              <w:wordWrap/>
              <w:overflowPunct/>
              <w:topLinePunct w:val="0"/>
              <w:bidi w:val="0"/>
              <w:adjustRightInd/>
              <w:snapToGrid/>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a)年有效剂量，1mSv；</w:t>
            </w:r>
          </w:p>
          <w:p w14:paraId="324E282E">
            <w:pPr>
              <w:pStyle w:val="109"/>
              <w:keepNext w:val="0"/>
              <w:keepLines w:val="0"/>
              <w:pageBreakBefore w:val="0"/>
              <w:widowControl w:val="0"/>
              <w:kinsoku/>
              <w:wordWrap/>
              <w:overflowPunct/>
              <w:topLinePunct w:val="0"/>
              <w:bidi w:val="0"/>
              <w:adjustRightInd/>
              <w:snapToGrid/>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第11.4.3.2款，剂量约束值通常在公众照射剂量限值10%～30%的范围之内。本项目剂量约束值按照以上原则选取，制定合理，具体如下：</w:t>
            </w:r>
          </w:p>
          <w:p w14:paraId="2F000A3C">
            <w:pPr>
              <w:pStyle w:val="109"/>
              <w:keepNext w:val="0"/>
              <w:keepLines w:val="0"/>
              <w:pageBreakBefore w:val="0"/>
              <w:widowControl w:val="0"/>
              <w:kinsoku/>
              <w:wordWrap/>
              <w:overflowPunct/>
              <w:topLinePunct w:val="0"/>
              <w:bidi w:val="0"/>
              <w:adjustRightInd/>
              <w:snapToGrid/>
              <w:ind w:firstLine="480"/>
              <w:textAlignment w:val="auto"/>
              <w:rPr>
                <w:rFonts w:hint="default" w:ascii="Times New Roman" w:hAnsi="Times New Roman" w:cs="Times New Roman"/>
                <w:color w:val="auto"/>
                <w:highlight w:val="none"/>
              </w:rPr>
            </w:pPr>
            <w:r>
              <w:rPr>
                <w:rFonts w:hint="default" w:ascii="Times New Roman" w:hAnsi="Times New Roman" w:cs="Times New Roman"/>
                <w:bCs/>
                <w:color w:val="auto"/>
                <w:highlight w:val="none"/>
              </w:rPr>
              <w:t>在环境评价中，出于“防护与安全的最优化”原则，对于某单一项目的剂量控制，可以取这个限值的几分之一进行管理，本报告结合实际管理需求，对于辐射工作人员取年有效剂量限值的1/4作为年剂量约束值，即5mSv；对于公众成员取年剂量限值</w:t>
            </w:r>
            <w:r>
              <w:rPr>
                <w:rFonts w:hint="default" w:ascii="Times New Roman" w:hAnsi="Times New Roman" w:cs="Times New Roman"/>
                <w:color w:val="auto"/>
                <w:highlight w:val="none"/>
              </w:rPr>
              <w:t>的1/4作为年剂量约束值，即0.25mSv。</w:t>
            </w:r>
          </w:p>
          <w:p w14:paraId="3FF2E372">
            <w:pPr>
              <w:pStyle w:val="109"/>
              <w:keepNext w:val="0"/>
              <w:keepLines w:val="0"/>
              <w:pageBreakBefore w:val="0"/>
              <w:widowControl w:val="0"/>
              <w:kinsoku/>
              <w:wordWrap/>
              <w:overflowPunct/>
              <w:topLinePunct w:val="0"/>
              <w:bidi w:val="0"/>
              <w:adjustRightInd/>
              <w:snapToGrid/>
              <w:ind w:firstLine="48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确定</w:t>
            </w:r>
            <w:r>
              <w:rPr>
                <w:rFonts w:hint="default" w:ascii="Times New Roman" w:hAnsi="Times New Roman" w:cs="Times New Roman"/>
                <w:color w:val="auto"/>
                <w:highlight w:val="none"/>
                <w:lang w:val="en-US" w:eastAsia="zh-CN"/>
              </w:rPr>
              <w:t>本项目人员</w:t>
            </w:r>
            <w:r>
              <w:rPr>
                <w:rFonts w:hint="default" w:ascii="Times New Roman" w:hAnsi="Times New Roman" w:cs="Times New Roman"/>
                <w:color w:val="auto"/>
                <w:highlight w:val="none"/>
              </w:rPr>
              <w:t>剂量</w:t>
            </w:r>
            <w:r>
              <w:rPr>
                <w:rFonts w:hint="default" w:ascii="Times New Roman" w:hAnsi="Times New Roman" w:cs="Times New Roman"/>
                <w:color w:val="auto"/>
                <w:highlight w:val="none"/>
                <w:lang w:val="en-US" w:eastAsia="zh-CN"/>
              </w:rPr>
              <w:t>限值</w:t>
            </w:r>
            <w:r>
              <w:rPr>
                <w:rFonts w:hint="default" w:ascii="Times New Roman" w:hAnsi="Times New Roman" w:cs="Times New Roman"/>
                <w:color w:val="auto"/>
                <w:highlight w:val="none"/>
              </w:rPr>
              <w:t>执行</w:t>
            </w:r>
            <w:r>
              <w:rPr>
                <w:rFonts w:hint="default" w:ascii="Times New Roman" w:hAnsi="Times New Roman" w:cs="Times New Roman"/>
                <w:color w:val="auto"/>
                <w:highlight w:val="none"/>
                <w:lang w:val="en-US" w:eastAsia="zh-CN"/>
              </w:rPr>
              <w:t>标准</w:t>
            </w:r>
            <w:r>
              <w:rPr>
                <w:rFonts w:hint="default" w:ascii="Times New Roman" w:hAnsi="Times New Roman" w:cs="Times New Roman"/>
                <w:color w:val="auto"/>
                <w:highlight w:val="none"/>
              </w:rPr>
              <w:t>如下</w:t>
            </w:r>
            <w:r>
              <w:rPr>
                <w:rFonts w:hint="default" w:ascii="Times New Roman" w:hAnsi="Times New Roman" w:cs="Times New Roman"/>
                <w:color w:val="auto"/>
                <w:highlight w:val="none"/>
                <w:lang w:eastAsia="zh-CN"/>
              </w:rPr>
              <w:t>：</w:t>
            </w:r>
          </w:p>
          <w:p w14:paraId="1425AD50">
            <w:pPr>
              <w:pStyle w:val="23"/>
              <w:snapToGrid w:val="0"/>
              <w:spacing w:after="0" w:line="240" w:lineRule="auto"/>
              <w:ind w:left="0" w:leftChars="0" w:firstLine="0" w:firstLineChars="0"/>
              <w:jc w:val="center"/>
              <w:rPr>
                <w:rFonts w:hint="default" w:ascii="Times New Roman" w:hAnsi="Times New Roman" w:cs="Times New Roman"/>
                <w:b/>
                <w:bCs/>
                <w:color w:val="auto"/>
                <w:szCs w:val="21"/>
                <w:highlight w:val="none"/>
                <w:lang w:val="en-US"/>
              </w:rPr>
            </w:pPr>
            <w:r>
              <w:rPr>
                <w:rFonts w:hint="default" w:ascii="Times New Roman" w:hAnsi="Times New Roman" w:cs="Times New Roman"/>
                <w:b/>
                <w:bCs/>
                <w:color w:val="auto"/>
                <w:szCs w:val="21"/>
                <w:highlight w:val="none"/>
                <w:lang w:val="en-US"/>
              </w:rPr>
              <w:t>表7-2  人员剂量限值执行标准一览表</w:t>
            </w:r>
          </w:p>
          <w:tbl>
            <w:tblPr>
              <w:tblStyle w:val="36"/>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120"/>
              <w:gridCol w:w="6291"/>
              <w:gridCol w:w="1339"/>
            </w:tblGrid>
            <w:tr w14:paraId="5368BB0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23" w:type="dxa"/>
                  <w:tcBorders>
                    <w:tl2br w:val="nil"/>
                    <w:tr2bl w:val="nil"/>
                  </w:tcBorders>
                  <w:vAlign w:val="center"/>
                </w:tcPr>
                <w:p w14:paraId="7DD25DBB">
                  <w:pPr>
                    <w:snapToGrid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对象</w:t>
                  </w:r>
                </w:p>
              </w:tc>
              <w:tc>
                <w:tcPr>
                  <w:tcW w:w="7050" w:type="dxa"/>
                  <w:tcBorders>
                    <w:tl2br w:val="nil"/>
                    <w:tr2bl w:val="nil"/>
                  </w:tcBorders>
                  <w:vAlign w:val="center"/>
                </w:tcPr>
                <w:p w14:paraId="5F03E51C">
                  <w:pPr>
                    <w:snapToGrid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要求</w:t>
                  </w:r>
                </w:p>
              </w:tc>
              <w:tc>
                <w:tcPr>
                  <w:tcW w:w="1443" w:type="dxa"/>
                  <w:tcBorders>
                    <w:tl2br w:val="nil"/>
                    <w:tr2bl w:val="nil"/>
                  </w:tcBorders>
                  <w:vAlign w:val="center"/>
                </w:tcPr>
                <w:p w14:paraId="578C0772">
                  <w:pPr>
                    <w:snapToGrid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备注</w:t>
                  </w:r>
                </w:p>
              </w:tc>
            </w:tr>
            <w:tr w14:paraId="3FFF1C4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23" w:type="dxa"/>
                  <w:tcBorders>
                    <w:tl2br w:val="nil"/>
                    <w:tr2bl w:val="nil"/>
                  </w:tcBorders>
                  <w:vAlign w:val="center"/>
                </w:tcPr>
                <w:p w14:paraId="63B90D27">
                  <w:pPr>
                    <w:snapToGrid w:val="0"/>
                    <w:jc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职业照射</w:t>
                  </w:r>
                </w:p>
                <w:p w14:paraId="61872B36">
                  <w:pPr>
                    <w:snapToGrid w:val="0"/>
                    <w:jc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剂量限值</w:t>
                  </w:r>
                </w:p>
              </w:tc>
              <w:tc>
                <w:tcPr>
                  <w:tcW w:w="7050" w:type="dxa"/>
                  <w:tcBorders>
                    <w:tl2br w:val="nil"/>
                    <w:tr2bl w:val="nil"/>
                  </w:tcBorders>
                  <w:vAlign w:val="center"/>
                </w:tcPr>
                <w:p w14:paraId="1076DB1D">
                  <w:pPr>
                    <w:snapToGrid w:val="0"/>
                    <w:jc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①由审管部门决定的连续5年的平均有效剂量（但不可作任何追溯性平均），20mSv；②任何一年中的有效剂量，50mSv。</w:t>
                  </w:r>
                </w:p>
              </w:tc>
              <w:tc>
                <w:tcPr>
                  <w:tcW w:w="1443" w:type="dxa"/>
                  <w:vMerge w:val="restart"/>
                  <w:tcBorders>
                    <w:tl2br w:val="nil"/>
                    <w:tr2bl w:val="nil"/>
                  </w:tcBorders>
                  <w:vAlign w:val="center"/>
                </w:tcPr>
                <w:p w14:paraId="24092984">
                  <w:pPr>
                    <w:snapToGrid w:val="0"/>
                    <w:jc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本次评价将管理限值作为评价标准。</w:t>
                  </w:r>
                </w:p>
              </w:tc>
            </w:tr>
            <w:tr w14:paraId="724261C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23" w:type="dxa"/>
                  <w:tcBorders>
                    <w:tl2br w:val="nil"/>
                    <w:tr2bl w:val="nil"/>
                  </w:tcBorders>
                  <w:vAlign w:val="center"/>
                </w:tcPr>
                <w:p w14:paraId="3BB3465B">
                  <w:pPr>
                    <w:snapToGrid w:val="0"/>
                    <w:jc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公众照射</w:t>
                  </w:r>
                </w:p>
                <w:p w14:paraId="5BBDE343">
                  <w:pPr>
                    <w:snapToGrid w:val="0"/>
                    <w:jc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剂量限值</w:t>
                  </w:r>
                </w:p>
              </w:tc>
              <w:tc>
                <w:tcPr>
                  <w:tcW w:w="7050" w:type="dxa"/>
                  <w:tcBorders>
                    <w:tl2br w:val="nil"/>
                    <w:tr2bl w:val="nil"/>
                  </w:tcBorders>
                  <w:vAlign w:val="center"/>
                </w:tcPr>
                <w:p w14:paraId="6FDBFBD3">
                  <w:pPr>
                    <w:snapToGrid w:val="0"/>
                    <w:jc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实践使公众有关关键人群组的成员所受到的平均剂量估计值不应超过下述限值：①年有效剂量，1mSv；②特殊情况下，如果5个连续年的年平均剂量不超过1mSv，则某一单一年份的有效剂量可提高到5mSv。</w:t>
                  </w:r>
                </w:p>
              </w:tc>
              <w:tc>
                <w:tcPr>
                  <w:tcW w:w="1443" w:type="dxa"/>
                  <w:vMerge w:val="continue"/>
                  <w:tcBorders>
                    <w:tl2br w:val="nil"/>
                    <w:tr2bl w:val="nil"/>
                  </w:tcBorders>
                </w:tcPr>
                <w:p w14:paraId="4138E154">
                  <w:pPr>
                    <w:snapToGrid w:val="0"/>
                    <w:jc w:val="center"/>
                    <w:rPr>
                      <w:rFonts w:hint="default" w:ascii="Times New Roman" w:hAnsi="Times New Roman" w:cs="Times New Roman"/>
                      <w:b/>
                      <w:bCs/>
                      <w:color w:val="auto"/>
                      <w:highlight w:val="none"/>
                    </w:rPr>
                  </w:pPr>
                </w:p>
              </w:tc>
            </w:tr>
            <w:tr w14:paraId="72F3ADB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23" w:type="dxa"/>
                  <w:tcBorders>
                    <w:tl2br w:val="nil"/>
                    <w:tr2bl w:val="nil"/>
                  </w:tcBorders>
                  <w:vAlign w:val="center"/>
                </w:tcPr>
                <w:p w14:paraId="34B00517">
                  <w:pPr>
                    <w:snapToGrid w:val="0"/>
                    <w:jc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管理限值</w:t>
                  </w:r>
                </w:p>
              </w:tc>
              <w:tc>
                <w:tcPr>
                  <w:tcW w:w="7050" w:type="dxa"/>
                  <w:tcBorders>
                    <w:tl2br w:val="nil"/>
                    <w:tr2bl w:val="nil"/>
                  </w:tcBorders>
                  <w:vAlign w:val="center"/>
                </w:tcPr>
                <w:p w14:paraId="40A4BCFB">
                  <w:pPr>
                    <w:snapToGrid w:val="0"/>
                    <w:jc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辐射工作人员年有效剂量不超过5mSv，公众成员年有效剂量不超过0.25mSv。</w:t>
                  </w:r>
                </w:p>
              </w:tc>
              <w:tc>
                <w:tcPr>
                  <w:tcW w:w="1443" w:type="dxa"/>
                  <w:vMerge w:val="continue"/>
                  <w:tcBorders>
                    <w:tl2br w:val="nil"/>
                    <w:tr2bl w:val="nil"/>
                  </w:tcBorders>
                </w:tcPr>
                <w:p w14:paraId="6EACBABA">
                  <w:pPr>
                    <w:snapToGrid w:val="0"/>
                    <w:jc w:val="center"/>
                    <w:rPr>
                      <w:rFonts w:hint="default" w:ascii="Times New Roman" w:hAnsi="Times New Roman" w:cs="Times New Roman"/>
                      <w:b/>
                      <w:bCs/>
                      <w:color w:val="auto"/>
                      <w:highlight w:val="none"/>
                    </w:rPr>
                  </w:pPr>
                </w:p>
              </w:tc>
            </w:tr>
          </w:tbl>
          <w:p w14:paraId="7813634D">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（2）《工业探伤放射防护标准》（GBZ117-2022）</w:t>
            </w:r>
          </w:p>
          <w:p w14:paraId="286E8A5F">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本标准规定了X射线和γ射线探伤的放射防护要求。本标准适用于使用600 kV及以下的X射线探伤机和γ射线探伤机进行的探伤工作（包括固定式探伤和移动式探伤），工业CT探伤和非探伤目的同辐射源范围的无损检测参考使用。本标准不适用于加速器和中子探伤机进行的工业探伤工作。</w:t>
            </w:r>
          </w:p>
          <w:p w14:paraId="7D542FDA">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0" w:firstLineChars="200"/>
              <w:textAlignment w:val="auto"/>
              <w:rPr>
                <w:rFonts w:hint="default" w:ascii="Times New Roman" w:hAnsi="Times New Roman" w:cs="Times New Roman"/>
                <w:b/>
                <w:bCs/>
                <w:color w:val="auto"/>
                <w:sz w:val="24"/>
                <w:szCs w:val="24"/>
                <w:highlight w:val="none"/>
              </w:rPr>
            </w:pPr>
            <w:r>
              <w:rPr>
                <w:rFonts w:hint="eastAsia" w:cs="Times New Roman"/>
                <w:b/>
                <w:bCs/>
                <w:color w:val="auto"/>
                <w:sz w:val="24"/>
                <w:szCs w:val="24"/>
                <w:highlight w:val="none"/>
                <w:lang w:val="en-US" w:eastAsia="zh-CN"/>
              </w:rPr>
              <w:t>7、</w:t>
            </w:r>
            <w:r>
              <w:rPr>
                <w:rFonts w:hint="default" w:ascii="Times New Roman" w:hAnsi="Times New Roman" w:cs="Times New Roman"/>
                <w:b/>
                <w:bCs/>
                <w:color w:val="auto"/>
                <w:sz w:val="24"/>
                <w:szCs w:val="24"/>
                <w:highlight w:val="none"/>
              </w:rPr>
              <w:t>使用单位放射防护要求</w:t>
            </w:r>
          </w:p>
          <w:p w14:paraId="5BAE0F03">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.1 开展工业探伤工作的使用单位对放射防护安全应负主体责任。</w:t>
            </w:r>
          </w:p>
          <w:p w14:paraId="44A64322">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.2 应建立放射防护管理组织，明确放射防护管理人员及其职责，建立和实施放射防护管理制度和措施。</w:t>
            </w:r>
          </w:p>
          <w:p w14:paraId="4E725B6B">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.3 应对从事探伤工作的人员按GBZ 128的要求进行个人剂量监测，按GBZ98的要求进行职业健康监护。</w:t>
            </w:r>
          </w:p>
          <w:p w14:paraId="68EE810C">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.4 探伤工作人员正式工作前应取得符合GB/T 9445要求的无损探伤人员资格。</w:t>
            </w:r>
          </w:p>
          <w:p w14:paraId="787CA57F">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.5 应配备辐射剂量率仪和个人剂量报警仪。</w:t>
            </w:r>
          </w:p>
          <w:p w14:paraId="51DB8552">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.6 应制定辐射事故应急预案。</w:t>
            </w:r>
          </w:p>
          <w:p w14:paraId="768D00D5">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0" w:firstLineChars="200"/>
              <w:textAlignment w:val="auto"/>
              <w:rPr>
                <w:rFonts w:hint="default" w:ascii="Times New Roman" w:hAnsi="Times New Roman" w:cs="Times New Roman"/>
                <w:b/>
                <w:bCs/>
                <w:color w:val="auto"/>
                <w:sz w:val="24"/>
                <w:szCs w:val="24"/>
                <w:highlight w:val="none"/>
              </w:rPr>
            </w:pPr>
            <w:r>
              <w:rPr>
                <w:rFonts w:hint="eastAsia" w:cs="Times New Roman"/>
                <w:b/>
                <w:bCs/>
                <w:color w:val="auto"/>
                <w:sz w:val="24"/>
                <w:szCs w:val="24"/>
                <w:highlight w:val="none"/>
                <w:lang w:val="en-US" w:eastAsia="zh-CN"/>
              </w:rPr>
              <w:t>8、</w:t>
            </w:r>
            <w:r>
              <w:rPr>
                <w:rFonts w:hint="default" w:ascii="Times New Roman" w:hAnsi="Times New Roman" w:cs="Times New Roman"/>
                <w:b/>
                <w:bCs/>
                <w:color w:val="auto"/>
                <w:sz w:val="24"/>
                <w:szCs w:val="24"/>
                <w:highlight w:val="none"/>
              </w:rPr>
              <w:t>探伤机的放射防护要求</w:t>
            </w:r>
          </w:p>
          <w:p w14:paraId="35B50282">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.1 X射线探伤机</w:t>
            </w:r>
          </w:p>
          <w:p w14:paraId="4C3BA33A">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.1.1 X射线探伤机在额定工作条件下，距X射线管焦点100 cm处的漏射线所致周围剂量当量率应符合表1的要求（管电压</w:t>
            </w:r>
            <w:r>
              <w:rPr>
                <w:rFonts w:hint="default" w:ascii="Times New Roman" w:hAnsi="Times New Roman" w:cs="Times New Roman"/>
                <w:color w:val="auto"/>
                <w:sz w:val="24"/>
                <w:szCs w:val="24"/>
                <w:highlight w:val="none"/>
                <w:lang w:val="en-US" w:eastAsia="zh-CN"/>
              </w:rPr>
              <w:t>＞200</w:t>
            </w:r>
            <w:r>
              <w:rPr>
                <w:rFonts w:hint="default" w:ascii="Times New Roman" w:hAnsi="Times New Roman" w:cs="Times New Roman"/>
                <w:color w:val="auto"/>
                <w:sz w:val="24"/>
                <w:szCs w:val="24"/>
                <w:highlight w:val="none"/>
              </w:rPr>
              <w:t>kV，漏射线所致周围剂量当量率＜</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mSv/h），在随机文件中应有这些指标的说明。其他放射防护性能应符合GB/T 26837的要求。</w:t>
            </w:r>
          </w:p>
          <w:p w14:paraId="50865016">
            <w:pPr>
              <w:autoSpaceDE w:val="0"/>
              <w:autoSpaceDN w:val="0"/>
              <w:adjustRightInd w:val="0"/>
              <w:snapToGrid w:val="0"/>
              <w:spacing w:line="360" w:lineRule="auto"/>
              <w:ind w:firstLine="480"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6 固定式探伤的放射防护要求</w:t>
            </w:r>
          </w:p>
          <w:p w14:paraId="461261AC">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6.1 探伤室放射防护要求</w:t>
            </w:r>
          </w:p>
          <w:p w14:paraId="12C32C87">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6.1.1 探伤室的设置应充分注意周围的辐射安全，操作室应避开有用线束照射的方向并应与探伤室分开。探伤室的屏蔽墙厚度应充分考虑源项大小、直射、散射、屏蔽物材料和结构等各种因素。无迷路探伤室门的防护性能应不小于同侧墙的防护性能。X射线探伤室的屏蔽计算方法参见GBZ/T 250。</w:t>
            </w:r>
          </w:p>
          <w:p w14:paraId="7A40FA61">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6.1.2 应对探伤工作场所实行分区管理，分区管理应符合GB 18871的要求。</w:t>
            </w:r>
          </w:p>
          <w:p w14:paraId="6757F1C0">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6.1.3 探伤室墙体和门的辐射屏蔽应同时满足：</w:t>
            </w:r>
          </w:p>
          <w:p w14:paraId="52ADD34B">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a) 关注点的周围剂量当量参考控制水平，对放射工作场所，其值应不大于100μSv/周，对公众场所，其值应不大于5μSv/周；</w:t>
            </w:r>
          </w:p>
          <w:p w14:paraId="3F677E79">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b)屏蔽体外30cm处周围剂量当量率参考控制水平应不大于2.5μSv/h。</w:t>
            </w:r>
          </w:p>
          <w:p w14:paraId="35E3C200">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6.1.4 探伤室顶的辐射屏蔽应满足：</w:t>
            </w:r>
          </w:p>
          <w:p w14:paraId="0CA3EFE3">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a) 探伤室上方已建、拟建建筑物或探伤室旁邻近建筑物在自辐射源点到探伤室顶内表面边缘所张立体角区域内时，探伤室顶的辐射屏蔽要求同6.1.3；</w:t>
            </w:r>
          </w:p>
          <w:p w14:paraId="7894BBF2">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b) 对没有人员到达的探伤室顶，探伤室顶外表面30cm处的周围剂量当量率参考控制水平通常可取100μSv/h。</w:t>
            </w:r>
          </w:p>
          <w:p w14:paraId="324D527B">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6.1.5 探伤室应设置门-机联锁装置，应在门（包括人员进出门和探伤工件进出门）关闭后才能进行探伤作业。门-机联锁装置的设置应方便探伤室内部的人员在紧急情况下离开探伤室。在探伤过程中，防护门被意外打开时，应能立刻停止出束或回源。探伤室内有多台探伤装置时，每台装置均应与防护门联锁。</w:t>
            </w:r>
          </w:p>
          <w:p w14:paraId="5BA44EAE">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6.1.6 探伤室门口和内部应同时设有显示“预备”和“照射”状态的指示灯和声音提示装置，并与探伤机联锁。“预备”信号应持续足够长的时间，以确保探伤室内人员安全离开。“预备”信号和“照射”信号应有明显的区别，并且应与该工作场所内使用的其他报警信号有明显区别。在醒目的位置处应有对“照射”和“预备”信号意义的说明。</w:t>
            </w:r>
          </w:p>
          <w:p w14:paraId="0BBEF824">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6.1.7 探伤室内和探伤室出入口应安装监视装置，在</w:t>
            </w:r>
            <w:r>
              <w:rPr>
                <w:rFonts w:hint="eastAsia" w:cs="Times New Roman"/>
                <w:color w:val="auto"/>
                <w:sz w:val="24"/>
                <w:szCs w:val="24"/>
                <w:highlight w:val="none"/>
                <w:lang w:eastAsia="zh-CN"/>
              </w:rPr>
              <w:t>操作室</w:t>
            </w:r>
            <w:r>
              <w:rPr>
                <w:rFonts w:hint="default" w:ascii="Times New Roman" w:hAnsi="Times New Roman" w:cs="Times New Roman"/>
                <w:color w:val="auto"/>
                <w:sz w:val="24"/>
                <w:szCs w:val="24"/>
                <w:highlight w:val="none"/>
              </w:rPr>
              <w:t>的操作台应有专用的监视器，可监视探伤室内人员的活动和探伤设备的运行情况。</w:t>
            </w:r>
          </w:p>
          <w:p w14:paraId="26507F3C">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6.1.8 探伤室防护门上应有符合GB 18871要求的电离辐射警告标志和中文警示说明。</w:t>
            </w:r>
          </w:p>
          <w:p w14:paraId="3703499F">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6.1.9 探伤室内应安装紧急停机按钮或拉绳，确保出现紧急事故时，能立即停止照射。按钮或拉绳的安装，应使人员处在探伤室内任何位置时都不需要穿过主射线束就能够使用。按钮或拉绳应带有标签，标明使用方法。</w:t>
            </w:r>
          </w:p>
          <w:p w14:paraId="0B22D8A3">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6.1.10 探伤室应设置机械通风装置，排风管道外口避免朝向人员活动密集区。每小时有效通风换气次数应不小于3次。</w:t>
            </w:r>
          </w:p>
          <w:p w14:paraId="433C5D2E">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6.1.11 探伤室应配置固定式场所辐射探测报警装置。</w:t>
            </w:r>
          </w:p>
          <w:p w14:paraId="061A723C">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6.2 探伤室探伤操作的放射防护要求</w:t>
            </w:r>
          </w:p>
          <w:p w14:paraId="53DDCC04">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6.2.1 对正常使用的探伤室应检查探伤室防护门-机联锁装置、照射信号指示灯等防护安全措施。</w:t>
            </w:r>
          </w:p>
          <w:p w14:paraId="7760CAF1">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6.2.2 探伤工作人员在进入探伤室时，除佩戴常规个人剂量计外，还应携带个人剂量报警仪和便携式X-γ剂量率仪。当剂量率达到设定的报警阈值报警时，探伤工作人员应立即退出探伤室，同时防止其他人进入探伤室，并立即向辐射防护负责人报告。</w:t>
            </w:r>
          </w:p>
          <w:p w14:paraId="40E208F0">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6.2.3 应定期测量探伤室外周围区域的剂量率水平，包括操作者工作位置和周围毗邻区域人员居留处。测量值应与参考控制水平相比较。当测量值高于参考控制水平时，应终止探伤工作并向辐射防护负责人报告。</w:t>
            </w:r>
          </w:p>
          <w:p w14:paraId="1DD79AFC">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6.2.4 交接班或当班使用便携式X-γ剂量率仪前，应检查是否能正常工作。如发现便携式X-γ剂量率仪不能正常工作，则不应开始探伤工作。</w:t>
            </w:r>
          </w:p>
          <w:p w14:paraId="299792FF">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6.2.5 探伤工作人员应正确使用配备的辐射防护装置，如准直器和附加屏蔽，把潜在的辐射降到最低。</w:t>
            </w:r>
          </w:p>
          <w:p w14:paraId="2A281442">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6.2.6 在每一次照射前，操作人员都应该确认探伤室内部没有人员驻留并关闭防护门。只有在防护门关闭、所有防护与安全装置系统都启动并正常运行的情况下，才能开始探伤工作。</w:t>
            </w:r>
          </w:p>
          <w:p w14:paraId="01C5071E">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6.2.7 开展探伤室设计时未预计到的工作，如工件过大等特殊原因必须开门探伤的，应遵循本标准第7.1条～第7.4条的要求。</w:t>
            </w:r>
          </w:p>
          <w:p w14:paraId="1310906A">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6.3 探伤设施的退役</w:t>
            </w:r>
          </w:p>
          <w:p w14:paraId="59277386">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当工业探伤设施不再使用，应实施退役程序。包括以下内容：</w:t>
            </w:r>
          </w:p>
          <w:p w14:paraId="1F3F67C2">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 X射线发生器应处置至无法使用，或经监管机构批准后，转移给其他已获许可机构。</w:t>
            </w:r>
          </w:p>
          <w:p w14:paraId="5556F094">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f) 清除所有电离辐射警告标志和安全告知。</w:t>
            </w:r>
          </w:p>
          <w:p w14:paraId="790DC49C">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（3）《工业X射线探伤室辐射屏蔽规范》（GBZ/T 250-2014）</w:t>
            </w:r>
          </w:p>
          <w:p w14:paraId="1B4CFA7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本标准规定了工业X射线探伤室辐射屏蔽要求。本标准适用于500kV以下的工业X射线探伤装置的探伤室。</w:t>
            </w:r>
          </w:p>
          <w:p w14:paraId="7E926A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3.1.1 探伤室墙和入口处周围剂量当量率（以下简称剂量率）和每周剂量当量（以下简称周剂量）应满足下列要求：</w:t>
            </w:r>
          </w:p>
          <w:p w14:paraId="09C55C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a）周剂量参考控制水平（H</w:t>
            </w:r>
            <w:r>
              <w:rPr>
                <w:rFonts w:hint="default" w:ascii="Times New Roman" w:hAnsi="Times New Roman" w:cs="Times New Roman"/>
                <w:color w:val="auto"/>
                <w:sz w:val="24"/>
                <w:szCs w:val="24"/>
                <w:highlight w:val="none"/>
                <w:vertAlign w:val="subscript"/>
              </w:rPr>
              <w:t>c</w:t>
            </w:r>
            <w:r>
              <w:rPr>
                <w:rFonts w:hint="default" w:ascii="Times New Roman" w:hAnsi="Times New Roman" w:cs="Times New Roman"/>
                <w:color w:val="auto"/>
                <w:sz w:val="24"/>
                <w:szCs w:val="24"/>
                <w:highlight w:val="none"/>
              </w:rPr>
              <w:t>）和导出剂量率参考控制水平（</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EQ \* jc0 \* hps10 \o(\s\up 9(。),H)</w:instrTex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vertAlign w:val="subscript"/>
              </w:rPr>
              <w:t>c,d</w:t>
            </w:r>
            <w:r>
              <w:rPr>
                <w:rFonts w:hint="default" w:ascii="Times New Roman" w:hAnsi="Times New Roman" w:cs="Times New Roman"/>
                <w:color w:val="auto"/>
                <w:sz w:val="24"/>
                <w:szCs w:val="24"/>
                <w:highlight w:val="none"/>
              </w:rPr>
              <w:t>）：</w:t>
            </w:r>
          </w:p>
          <w:p w14:paraId="19415CD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人员在关注点的周剂量参考控制水平H</w:t>
            </w:r>
            <w:r>
              <w:rPr>
                <w:rFonts w:hint="default" w:ascii="Times New Roman" w:hAnsi="Times New Roman" w:cs="Times New Roman"/>
                <w:color w:val="auto"/>
                <w:sz w:val="24"/>
                <w:szCs w:val="24"/>
                <w:highlight w:val="none"/>
                <w:vertAlign w:val="subscript"/>
              </w:rPr>
              <w:t>c</w:t>
            </w:r>
            <w:r>
              <w:rPr>
                <w:rFonts w:hint="default" w:ascii="Times New Roman" w:hAnsi="Times New Roman" w:cs="Times New Roman"/>
                <w:color w:val="auto"/>
                <w:sz w:val="24"/>
                <w:szCs w:val="24"/>
                <w:highlight w:val="none"/>
              </w:rPr>
              <w:t>如下：</w:t>
            </w:r>
          </w:p>
          <w:p w14:paraId="6E3EFF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职业工作人员：H</w:t>
            </w:r>
            <w:r>
              <w:rPr>
                <w:rFonts w:hint="default" w:ascii="Times New Roman" w:hAnsi="Times New Roman" w:cs="Times New Roman"/>
                <w:color w:val="auto"/>
                <w:sz w:val="24"/>
                <w:szCs w:val="24"/>
                <w:highlight w:val="none"/>
                <w:vertAlign w:val="subscript"/>
              </w:rPr>
              <w:t>c</w:t>
            </w:r>
            <w:r>
              <w:rPr>
                <w:rFonts w:hint="default" w:ascii="Times New Roman" w:hAnsi="Times New Roman" w:cs="Times New Roman"/>
                <w:color w:val="auto"/>
                <w:sz w:val="24"/>
                <w:szCs w:val="24"/>
                <w:highlight w:val="none"/>
              </w:rPr>
              <w:t>≤100μSv/周；</w:t>
            </w:r>
          </w:p>
          <w:p w14:paraId="54B3BED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公众：H</w:t>
            </w:r>
            <w:r>
              <w:rPr>
                <w:rFonts w:hint="default" w:ascii="Times New Roman" w:hAnsi="Times New Roman" w:cs="Times New Roman"/>
                <w:color w:val="auto"/>
                <w:sz w:val="24"/>
                <w:szCs w:val="24"/>
                <w:highlight w:val="none"/>
                <w:vertAlign w:val="subscript"/>
              </w:rPr>
              <w:t>c</w:t>
            </w:r>
            <w:r>
              <w:rPr>
                <w:rFonts w:hint="default" w:ascii="Times New Roman" w:hAnsi="Times New Roman" w:cs="Times New Roman"/>
                <w:color w:val="auto"/>
                <w:sz w:val="24"/>
                <w:szCs w:val="24"/>
                <w:highlight w:val="none"/>
              </w:rPr>
              <w:t>≤5μSv/周。</w:t>
            </w:r>
          </w:p>
          <w:p w14:paraId="6D3FCD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b）关注点最高剂量率参考控制水平</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EQ \* jc0 \* hps10 \o(\s\up 9(。),H)</w:instrTex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vertAlign w:val="subscript"/>
              </w:rPr>
              <w:t>c,max</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EQ \* jc0 \* hps10 \o(\s\up 9(。),H)</w:instrTex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vertAlign w:val="subscript"/>
              </w:rPr>
              <w:t>c,max</w:t>
            </w:r>
            <w:r>
              <w:rPr>
                <w:rFonts w:hint="default" w:ascii="Times New Roman" w:hAnsi="Times New Roman" w:cs="Times New Roman"/>
                <w:color w:val="auto"/>
                <w:sz w:val="24"/>
                <w:szCs w:val="24"/>
                <w:highlight w:val="none"/>
              </w:rPr>
              <w:t>=2.5μSv/h</w:t>
            </w:r>
          </w:p>
          <w:p w14:paraId="22774FA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c）关注点剂量率参考控制水平</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EQ \* jc0 \* hps10 \o(\s\up 9(。),H)</w:instrTex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vertAlign w:val="subscript"/>
              </w:rPr>
              <w:t>c</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EQ \* jc0 \* hps10 \o(\s\up 9(。),H)</w:instrTex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vertAlign w:val="subscript"/>
              </w:rPr>
              <w:t>c</w:t>
            </w:r>
            <w:r>
              <w:rPr>
                <w:rFonts w:hint="default" w:ascii="Times New Roman" w:hAnsi="Times New Roman" w:cs="Times New Roman"/>
                <w:color w:val="auto"/>
                <w:sz w:val="24"/>
                <w:szCs w:val="24"/>
                <w:highlight w:val="none"/>
              </w:rPr>
              <w:t>为上述a)中</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EQ \* jc0 \* hps10 \o(\s\up 9(。),H)</w:instrTex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vertAlign w:val="subscript"/>
              </w:rPr>
              <w:t>c,d</w:t>
            </w:r>
            <w:r>
              <w:rPr>
                <w:rFonts w:hint="default" w:ascii="Times New Roman" w:hAnsi="Times New Roman" w:cs="Times New Roman"/>
                <w:color w:val="auto"/>
                <w:sz w:val="24"/>
                <w:szCs w:val="24"/>
                <w:highlight w:val="none"/>
              </w:rPr>
              <w:t>和b)中的</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EQ \* jc0 \* hps10 \o(\s\up 9(。),H)</w:instrTex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vertAlign w:val="subscript"/>
              </w:rPr>
              <w:t>c,max</w:t>
            </w:r>
            <w:r>
              <w:rPr>
                <w:rFonts w:hint="default" w:ascii="Times New Roman" w:hAnsi="Times New Roman" w:cs="Times New Roman"/>
                <w:color w:val="auto"/>
                <w:sz w:val="24"/>
                <w:szCs w:val="24"/>
                <w:highlight w:val="none"/>
              </w:rPr>
              <w:t>二者的较小者。</w:t>
            </w:r>
          </w:p>
          <w:p w14:paraId="556FB0F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3.1.2 探伤室顶的剂量率参考控制水平应满足下列要求：</w:t>
            </w:r>
          </w:p>
          <w:p w14:paraId="17647D62">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a）探伤室上方已建、拟建建筑物或者探伤室旁邻建筑物在自然辐射源点到探伤室顶内表面边缘所张立体角区域内时，距探伤室顶外表面30cm处和（或）在该立体角区域内的高层建筑物中人员驻留处，辐射屏蔽的剂量参考控制水平同3.1.1。</w:t>
            </w:r>
          </w:p>
          <w:p w14:paraId="0E0CEF2D">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b）除3.1.2 a）的条件外，应考虑下列情况：</w:t>
            </w:r>
          </w:p>
          <w:p w14:paraId="15F681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1）穿过探伤室顶的辐射与室顶上方空气作用产生的散射辐射对探伤室外地面附近公众的照射。该项辐射和穿出探伤室墙的透射辐射在相应关注点的剂量率总和，应按3.1.1 c）的剂量率参考控制水平</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EQ \* jc0 \* hps10 \o(\s\up 9(。),H)</w:instrTex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vertAlign w:val="subscript"/>
              </w:rPr>
              <w:t>c</w:t>
            </w:r>
            <w:r>
              <w:rPr>
                <w:rFonts w:hint="default" w:ascii="Times New Roman" w:hAnsi="Times New Roman" w:cs="Times New Roman"/>
                <w:color w:val="auto"/>
                <w:sz w:val="24"/>
                <w:szCs w:val="24"/>
                <w:highlight w:val="none"/>
              </w:rPr>
              <w:t>（μSv/h）加以控制。</w:t>
            </w:r>
          </w:p>
          <w:p w14:paraId="426EB6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2）对不需要人员到达的探伤室顶，探伤室顶外表面30cm处的剂量率参考控制水平通常可取为100μSv/h。</w:t>
            </w:r>
          </w:p>
          <w:p w14:paraId="0BADB65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3.2</w:t>
            </w:r>
            <w:r>
              <w:rPr>
                <w:rFonts w:hint="eastAsia" w:ascii="Times New Roman" w:hAnsi="Times New Roman" w:eastAsia="宋体" w:cs="Times New Roman"/>
                <w:color w:val="auto"/>
                <w:sz w:val="24"/>
                <w:szCs w:val="24"/>
                <w:highlight w:val="none"/>
                <w:lang w:val="en-US" w:eastAsia="zh-CN"/>
              </w:rPr>
              <w:t xml:space="preserve">需要屏蔽的辐射 </w:t>
            </w:r>
          </w:p>
          <w:p w14:paraId="3C7BE69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3.2.1</w:t>
            </w:r>
            <w:r>
              <w:rPr>
                <w:rFonts w:hint="eastAsia" w:ascii="Times New Roman" w:hAnsi="Times New Roman" w:eastAsia="宋体" w:cs="Times New Roman"/>
                <w:color w:val="auto"/>
                <w:sz w:val="24"/>
                <w:szCs w:val="24"/>
                <w:highlight w:val="none"/>
                <w:lang w:val="en-US" w:eastAsia="zh-CN"/>
              </w:rPr>
              <w:t xml:space="preserve">相应有用线束的整个墙面均考虑有用线束屏蔽，不需考虑进入有用线束区的散射辐射。 </w:t>
            </w:r>
          </w:p>
          <w:p w14:paraId="2B781EA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3.2.2</w:t>
            </w:r>
            <w:r>
              <w:rPr>
                <w:rFonts w:hint="eastAsia" w:ascii="Times New Roman" w:hAnsi="Times New Roman" w:eastAsia="宋体" w:cs="Times New Roman"/>
                <w:color w:val="auto"/>
                <w:sz w:val="24"/>
                <w:szCs w:val="24"/>
                <w:highlight w:val="none"/>
                <w:lang w:val="en-US" w:eastAsia="zh-CN"/>
              </w:rPr>
              <w:t>散射辐射考虑以</w:t>
            </w: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入射探伤工件的</w:t>
            </w:r>
            <w:r>
              <w:rPr>
                <w:rFonts w:hint="default" w:ascii="Times New Roman" w:hAnsi="Times New Roman" w:eastAsia="宋体" w:cs="Times New Roman"/>
                <w:color w:val="auto"/>
                <w:sz w:val="24"/>
                <w:szCs w:val="24"/>
                <w:highlight w:val="none"/>
                <w:lang w:val="en-US" w:eastAsia="zh-CN"/>
              </w:rPr>
              <w:t>90°</w:t>
            </w:r>
            <w:r>
              <w:rPr>
                <w:rFonts w:hint="eastAsia" w:ascii="Times New Roman" w:hAnsi="Times New Roman" w:eastAsia="宋体" w:cs="Times New Roman"/>
                <w:color w:val="auto"/>
                <w:sz w:val="24"/>
                <w:szCs w:val="24"/>
                <w:highlight w:val="none"/>
                <w:lang w:val="en-US" w:eastAsia="zh-CN"/>
              </w:rPr>
              <w:t xml:space="preserve">散射辐射。 </w:t>
            </w:r>
          </w:p>
          <w:p w14:paraId="2130CF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3.2.3</w:t>
            </w:r>
            <w:r>
              <w:rPr>
                <w:rFonts w:hint="eastAsia" w:ascii="Times New Roman" w:hAnsi="Times New Roman" w:eastAsia="宋体" w:cs="Times New Roman"/>
                <w:color w:val="auto"/>
                <w:sz w:val="24"/>
                <w:szCs w:val="24"/>
                <w:highlight w:val="none"/>
                <w:lang w:val="en-US" w:eastAsia="zh-CN"/>
              </w:rPr>
              <w:t xml:space="preserve">当可能存在泄漏辐射和散射辐射的复合作用时，通常分别估算泄漏辐射和各项散射辐射。 </w:t>
            </w:r>
          </w:p>
          <w:p w14:paraId="1611D6B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 xml:space="preserve">3.3其他要求 </w:t>
            </w:r>
          </w:p>
          <w:p w14:paraId="795954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3.3.1</w:t>
            </w:r>
            <w:r>
              <w:rPr>
                <w:rFonts w:hint="eastAsia" w:ascii="Times New Roman" w:hAnsi="Times New Roman" w:eastAsia="宋体" w:cs="Times New Roman"/>
                <w:color w:val="auto"/>
                <w:sz w:val="24"/>
                <w:szCs w:val="24"/>
                <w:highlight w:val="none"/>
                <w:lang w:val="en-US" w:eastAsia="zh-CN"/>
              </w:rPr>
              <w:t xml:space="preserve">探伤房一般应设有人员门和单独的工件门。对于探伤可人工搬运的小型工件探伤房，可以仅设人员门。探伤房人员门立采用迷路形式。 </w:t>
            </w:r>
          </w:p>
          <w:p w14:paraId="5B4222F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3.3.2</w:t>
            </w:r>
            <w:r>
              <w:rPr>
                <w:rFonts w:hint="eastAsia" w:ascii="Times New Roman" w:hAnsi="Times New Roman" w:eastAsia="宋体" w:cs="Times New Roman"/>
                <w:color w:val="auto"/>
                <w:sz w:val="24"/>
                <w:szCs w:val="24"/>
                <w:highlight w:val="none"/>
                <w:lang w:val="en-US" w:eastAsia="zh-CN"/>
              </w:rPr>
              <w:t>探伤装置的</w:t>
            </w:r>
            <w:r>
              <w:rPr>
                <w:rFonts w:hint="eastAsia" w:cs="Times New Roman"/>
                <w:color w:val="auto"/>
                <w:sz w:val="24"/>
                <w:szCs w:val="24"/>
                <w:highlight w:val="none"/>
                <w:lang w:val="en-US" w:eastAsia="zh-CN"/>
              </w:rPr>
              <w:t>操作室</w:t>
            </w:r>
            <w:r>
              <w:rPr>
                <w:rFonts w:hint="eastAsia" w:ascii="Times New Roman" w:hAnsi="Times New Roman" w:eastAsia="宋体" w:cs="Times New Roman"/>
                <w:color w:val="auto"/>
                <w:sz w:val="24"/>
                <w:szCs w:val="24"/>
                <w:highlight w:val="none"/>
                <w:lang w:val="en-US" w:eastAsia="zh-CN"/>
              </w:rPr>
              <w:t>应置于探伤房外，</w:t>
            </w:r>
            <w:r>
              <w:rPr>
                <w:rFonts w:hint="eastAsia" w:cs="Times New Roman"/>
                <w:color w:val="auto"/>
                <w:sz w:val="24"/>
                <w:szCs w:val="24"/>
                <w:highlight w:val="none"/>
                <w:lang w:val="en-US" w:eastAsia="zh-CN"/>
              </w:rPr>
              <w:t>操作室</w:t>
            </w:r>
            <w:r>
              <w:rPr>
                <w:rFonts w:hint="eastAsia" w:ascii="Times New Roman" w:hAnsi="Times New Roman" w:eastAsia="宋体" w:cs="Times New Roman"/>
                <w:color w:val="auto"/>
                <w:sz w:val="24"/>
                <w:szCs w:val="24"/>
                <w:highlight w:val="none"/>
                <w:lang w:val="en-US" w:eastAsia="zh-CN"/>
              </w:rPr>
              <w:t xml:space="preserve">和人员门应避开有用线束照射的方向。 </w:t>
            </w:r>
          </w:p>
          <w:p w14:paraId="485D496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3.3.3</w:t>
            </w:r>
            <w:r>
              <w:rPr>
                <w:rFonts w:hint="eastAsia" w:ascii="Times New Roman" w:hAnsi="Times New Roman" w:eastAsia="宋体" w:cs="Times New Roman"/>
                <w:color w:val="auto"/>
                <w:sz w:val="24"/>
                <w:szCs w:val="24"/>
                <w:highlight w:val="none"/>
                <w:lang w:val="en-US" w:eastAsia="zh-CN"/>
              </w:rPr>
              <w:t xml:space="preserve">屏蔽设计中，应考虑缝隙、管孔和薄弱环节的屏蔽。 </w:t>
            </w:r>
          </w:p>
          <w:p w14:paraId="28A2DC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3.3.4</w:t>
            </w:r>
            <w:r>
              <w:rPr>
                <w:rFonts w:hint="eastAsia" w:ascii="Times New Roman" w:hAnsi="Times New Roman" w:eastAsia="宋体" w:cs="Times New Roman"/>
                <w:color w:val="auto"/>
                <w:sz w:val="24"/>
                <w:szCs w:val="24"/>
                <w:highlight w:val="none"/>
                <w:lang w:val="en-US" w:eastAsia="zh-CN"/>
              </w:rPr>
              <w:t>当探伤房使用多台</w:t>
            </w:r>
            <w:r>
              <w:rPr>
                <w:rFonts w:hint="default" w:ascii="Times New Roman" w:hAnsi="Times New Roman" w:eastAsia="宋体" w:cs="Times New Roman"/>
                <w:color w:val="auto"/>
                <w:sz w:val="24"/>
                <w:szCs w:val="24"/>
                <w:highlight w:val="none"/>
                <w:lang w:val="en-US" w:eastAsia="zh-CN"/>
              </w:rPr>
              <w:t>X</w:t>
            </w:r>
            <w:r>
              <w:rPr>
                <w:rFonts w:hint="eastAsia" w:ascii="Times New Roman" w:hAnsi="Times New Roman" w:eastAsia="宋体" w:cs="Times New Roman"/>
                <w:color w:val="auto"/>
                <w:sz w:val="24"/>
                <w:szCs w:val="24"/>
                <w:highlight w:val="none"/>
                <w:lang w:val="en-US" w:eastAsia="zh-CN"/>
              </w:rPr>
              <w:t xml:space="preserve">射线探伤装置时，按最高管电压和相应该管电压下的常用最大管电流设计屏蔽。 </w:t>
            </w:r>
          </w:p>
          <w:p w14:paraId="3A85E857">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w:t>
            </w:r>
            <w:r>
              <w:rPr>
                <w:rFonts w:hint="default" w:ascii="Times New Roman" w:hAnsi="Times New Roman"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）环境质量标准</w:t>
            </w:r>
          </w:p>
          <w:p w14:paraId="6C9CD48F">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①声环境质量标准</w:t>
            </w:r>
          </w:p>
          <w:p w14:paraId="18D5C602">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项目区声环境质量执行《声环境质量标准》（GB3096-2008）3类标准。</w:t>
            </w:r>
          </w:p>
          <w:p w14:paraId="167DD451">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cs="Times New Roman"/>
                <w:b/>
                <w:bCs/>
                <w:color w:val="auto"/>
                <w:szCs w:val="21"/>
                <w:highlight w:val="none"/>
                <w:lang w:val="zh-CN"/>
              </w:rPr>
            </w:pPr>
            <w:r>
              <w:rPr>
                <w:rFonts w:hint="default" w:ascii="Times New Roman" w:hAnsi="Times New Roman" w:cs="Times New Roman"/>
                <w:b/>
                <w:bCs/>
                <w:color w:val="auto"/>
                <w:szCs w:val="21"/>
                <w:highlight w:val="none"/>
                <w:lang w:val="zh-CN"/>
              </w:rPr>
              <w:t>表7-</w:t>
            </w:r>
            <w:r>
              <w:rPr>
                <w:rFonts w:hint="default" w:ascii="Times New Roman" w:hAnsi="Times New Roman" w:cs="Times New Roman"/>
                <w:b/>
                <w:bCs/>
                <w:color w:val="auto"/>
                <w:szCs w:val="21"/>
                <w:highlight w:val="none"/>
              </w:rPr>
              <w:t>3</w:t>
            </w:r>
            <w:r>
              <w:rPr>
                <w:rFonts w:hint="default" w:ascii="Times New Roman" w:hAnsi="Times New Roman" w:cs="Times New Roman"/>
                <w:b/>
                <w:bCs/>
                <w:color w:val="auto"/>
                <w:szCs w:val="21"/>
                <w:highlight w:val="none"/>
                <w:lang w:val="zh-CN"/>
              </w:rPr>
              <w:t xml:space="preserve"> 声环境质量标准    单位：dB（A）</w:t>
            </w:r>
          </w:p>
          <w:tbl>
            <w:tblPr>
              <w:tblStyle w:val="92"/>
              <w:tblW w:w="5000" w:type="pct"/>
              <w:jc w:val="center"/>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autofit"/>
              <w:tblCellMar>
                <w:top w:w="0" w:type="dxa"/>
                <w:left w:w="0" w:type="dxa"/>
                <w:bottom w:w="0" w:type="dxa"/>
                <w:right w:w="0" w:type="dxa"/>
              </w:tblCellMar>
            </w:tblPr>
            <w:tblGrid>
              <w:gridCol w:w="2238"/>
              <w:gridCol w:w="3464"/>
              <w:gridCol w:w="3048"/>
            </w:tblGrid>
            <w:tr w14:paraId="0A53423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jc w:val="center"/>
              </w:trPr>
              <w:tc>
                <w:tcPr>
                  <w:tcW w:w="2363" w:type="dxa"/>
                  <w:tcBorders>
                    <w:tl2br w:val="nil"/>
                    <w:tr2bl w:val="nil"/>
                  </w:tcBorders>
                  <w:vAlign w:val="center"/>
                </w:tcPr>
                <w:p w14:paraId="4377B231">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cs="Times New Roman" w:eastAsiaTheme="minorEastAsia"/>
                      <w:b/>
                      <w:bCs/>
                      <w:color w:val="auto"/>
                      <w:szCs w:val="21"/>
                      <w:highlight w:val="none"/>
                      <w:lang w:eastAsia="zh-CN"/>
                    </w:rPr>
                  </w:pPr>
                  <w:r>
                    <w:rPr>
                      <w:rFonts w:hint="default" w:ascii="Times New Roman" w:hAnsi="Times New Roman" w:cs="Times New Roman" w:eastAsiaTheme="minorEastAsia"/>
                      <w:b/>
                      <w:bCs/>
                      <w:color w:val="auto"/>
                      <w:spacing w:val="-2"/>
                      <w:szCs w:val="21"/>
                      <w:highlight w:val="none"/>
                      <w:lang w:eastAsia="zh-CN"/>
                    </w:rPr>
                    <w:t>声环境功能区类别</w:t>
                  </w:r>
                </w:p>
              </w:tc>
              <w:tc>
                <w:tcPr>
                  <w:tcW w:w="3663" w:type="dxa"/>
                  <w:tcBorders>
                    <w:tl2br w:val="nil"/>
                    <w:tr2bl w:val="nil"/>
                  </w:tcBorders>
                  <w:vAlign w:val="center"/>
                </w:tcPr>
                <w:p w14:paraId="7F2D3285">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cs="Times New Roman" w:eastAsiaTheme="minorEastAsia"/>
                      <w:b/>
                      <w:bCs/>
                      <w:color w:val="auto"/>
                      <w:szCs w:val="21"/>
                      <w:highlight w:val="none"/>
                      <w:lang w:eastAsia="zh-CN"/>
                    </w:rPr>
                  </w:pPr>
                  <w:r>
                    <w:rPr>
                      <w:rFonts w:hint="default" w:ascii="Times New Roman" w:hAnsi="Times New Roman" w:cs="Times New Roman" w:eastAsiaTheme="minorEastAsia"/>
                      <w:b/>
                      <w:bCs/>
                      <w:color w:val="auto"/>
                      <w:spacing w:val="-4"/>
                      <w:szCs w:val="21"/>
                      <w:highlight w:val="none"/>
                      <w:lang w:eastAsia="zh-CN"/>
                    </w:rPr>
                    <w:t>昼间</w:t>
                  </w:r>
                </w:p>
              </w:tc>
              <w:tc>
                <w:tcPr>
                  <w:tcW w:w="3222" w:type="dxa"/>
                  <w:tcBorders>
                    <w:tl2br w:val="nil"/>
                    <w:tr2bl w:val="nil"/>
                  </w:tcBorders>
                  <w:vAlign w:val="center"/>
                </w:tcPr>
                <w:p w14:paraId="6531B201">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cs="Times New Roman" w:eastAsiaTheme="minorEastAsia"/>
                      <w:b/>
                      <w:bCs/>
                      <w:color w:val="auto"/>
                      <w:szCs w:val="21"/>
                      <w:highlight w:val="none"/>
                      <w:lang w:eastAsia="zh-CN"/>
                    </w:rPr>
                  </w:pPr>
                  <w:r>
                    <w:rPr>
                      <w:rFonts w:hint="default" w:ascii="Times New Roman" w:hAnsi="Times New Roman" w:cs="Times New Roman" w:eastAsiaTheme="minorEastAsia"/>
                      <w:b/>
                      <w:bCs/>
                      <w:color w:val="auto"/>
                      <w:spacing w:val="-6"/>
                      <w:szCs w:val="21"/>
                      <w:highlight w:val="none"/>
                      <w:lang w:eastAsia="zh-CN"/>
                    </w:rPr>
                    <w:t>夜间</w:t>
                  </w:r>
                </w:p>
              </w:tc>
            </w:tr>
            <w:tr w14:paraId="4EAB4F0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jc w:val="center"/>
              </w:trPr>
              <w:tc>
                <w:tcPr>
                  <w:tcW w:w="2363" w:type="dxa"/>
                  <w:tcBorders>
                    <w:tl2br w:val="nil"/>
                    <w:tr2bl w:val="nil"/>
                  </w:tcBorders>
                  <w:vAlign w:val="center"/>
                </w:tcPr>
                <w:p w14:paraId="69BA16A3">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cs="Times New Roman" w:eastAsiaTheme="minorEastAsia"/>
                      <w:color w:val="auto"/>
                      <w:szCs w:val="21"/>
                      <w:highlight w:val="none"/>
                      <w:lang w:eastAsia="zh-CN"/>
                    </w:rPr>
                  </w:pPr>
                  <w:r>
                    <w:rPr>
                      <w:rFonts w:hint="default" w:ascii="Times New Roman" w:hAnsi="Times New Roman" w:cs="Times New Roman" w:eastAsiaTheme="minorEastAsia"/>
                      <w:color w:val="auto"/>
                      <w:spacing w:val="-5"/>
                      <w:szCs w:val="21"/>
                      <w:highlight w:val="none"/>
                      <w:lang w:eastAsia="zh-CN"/>
                    </w:rPr>
                    <w:t>3类</w:t>
                  </w:r>
                </w:p>
              </w:tc>
              <w:tc>
                <w:tcPr>
                  <w:tcW w:w="3663" w:type="dxa"/>
                  <w:tcBorders>
                    <w:tl2br w:val="nil"/>
                    <w:tr2bl w:val="nil"/>
                  </w:tcBorders>
                  <w:vAlign w:val="center"/>
                </w:tcPr>
                <w:p w14:paraId="28ED5936">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cs="Times New Roman" w:eastAsiaTheme="minorEastAsia"/>
                      <w:color w:val="auto"/>
                      <w:szCs w:val="21"/>
                      <w:highlight w:val="none"/>
                      <w:lang w:eastAsia="zh-CN"/>
                    </w:rPr>
                  </w:pPr>
                  <w:r>
                    <w:rPr>
                      <w:rFonts w:hint="default" w:ascii="Times New Roman" w:hAnsi="Times New Roman" w:eastAsia="Times New Roman" w:cs="Times New Roman"/>
                      <w:color w:val="auto"/>
                      <w:spacing w:val="-2"/>
                      <w:szCs w:val="21"/>
                      <w:highlight w:val="none"/>
                      <w:lang w:eastAsia="zh-CN"/>
                    </w:rPr>
                    <w:t>6</w:t>
                  </w:r>
                  <w:r>
                    <w:rPr>
                      <w:rFonts w:hint="default" w:ascii="Times New Roman" w:hAnsi="Times New Roman" w:cs="Times New Roman" w:eastAsiaTheme="minorEastAsia"/>
                      <w:color w:val="auto"/>
                      <w:spacing w:val="-2"/>
                      <w:szCs w:val="21"/>
                      <w:highlight w:val="none"/>
                      <w:lang w:eastAsia="zh-CN"/>
                    </w:rPr>
                    <w:t>5</w:t>
                  </w:r>
                </w:p>
              </w:tc>
              <w:tc>
                <w:tcPr>
                  <w:tcW w:w="3222" w:type="dxa"/>
                  <w:tcBorders>
                    <w:tl2br w:val="nil"/>
                    <w:tr2bl w:val="nil"/>
                  </w:tcBorders>
                  <w:vAlign w:val="center"/>
                </w:tcPr>
                <w:p w14:paraId="2354C601">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cs="Times New Roman" w:eastAsiaTheme="minorEastAsia"/>
                      <w:color w:val="auto"/>
                      <w:szCs w:val="21"/>
                      <w:highlight w:val="none"/>
                      <w:lang w:eastAsia="zh-CN"/>
                    </w:rPr>
                  </w:pPr>
                  <w:r>
                    <w:rPr>
                      <w:rFonts w:hint="default" w:ascii="Times New Roman" w:hAnsi="Times New Roman" w:cs="Times New Roman" w:eastAsiaTheme="minorEastAsia"/>
                      <w:color w:val="auto"/>
                      <w:spacing w:val="-3"/>
                      <w:szCs w:val="21"/>
                      <w:highlight w:val="none"/>
                      <w:lang w:eastAsia="zh-CN"/>
                    </w:rPr>
                    <w:t>55</w:t>
                  </w:r>
                </w:p>
              </w:tc>
            </w:tr>
          </w:tbl>
          <w:p w14:paraId="4D29EAA9">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②大气环境质量标准</w:t>
            </w:r>
          </w:p>
          <w:p w14:paraId="3DBAFA14">
            <w:pPr>
              <w:keepNext w:val="0"/>
              <w:keepLines w:val="0"/>
              <w:widowControl/>
              <w:suppressLineNumbers w:val="0"/>
              <w:spacing w:line="360" w:lineRule="auto"/>
              <w:ind w:firstLine="480" w:firstLineChars="200"/>
              <w:jc w:val="left"/>
              <w:rPr>
                <w:color w:val="auto"/>
              </w:rPr>
            </w:pPr>
            <w:r>
              <w:rPr>
                <w:rFonts w:hint="eastAsia" w:ascii="宋体" w:hAnsi="宋体" w:eastAsia="宋体" w:cs="宋体"/>
                <w:color w:val="auto"/>
                <w:kern w:val="0"/>
                <w:sz w:val="24"/>
                <w:szCs w:val="24"/>
                <w:lang w:val="en-US" w:eastAsia="zh-CN" w:bidi="ar"/>
              </w:rPr>
              <w:t>项目区环境空气质量执行《环境空气质量标准》（</w:t>
            </w:r>
            <w:r>
              <w:rPr>
                <w:rFonts w:hint="default" w:ascii="Times New Roman" w:hAnsi="Times New Roman" w:eastAsia="宋体" w:cs="Times New Roman"/>
                <w:color w:val="auto"/>
                <w:kern w:val="0"/>
                <w:sz w:val="24"/>
                <w:szCs w:val="24"/>
                <w:lang w:val="en-US" w:eastAsia="zh-CN" w:bidi="ar"/>
              </w:rPr>
              <w:t>GB3095-2012</w:t>
            </w:r>
            <w:r>
              <w:rPr>
                <w:rFonts w:hint="eastAsia" w:ascii="宋体" w:hAnsi="宋体" w:eastAsia="宋体" w:cs="宋体"/>
                <w:color w:val="auto"/>
                <w:kern w:val="0"/>
                <w:sz w:val="24"/>
                <w:szCs w:val="24"/>
                <w:lang w:val="en-US" w:eastAsia="zh-CN" w:bidi="ar"/>
              </w:rPr>
              <w:t>）中二级标准。</w:t>
            </w:r>
          </w:p>
          <w:p w14:paraId="2BEDCEFF">
            <w:pPr>
              <w:pStyle w:val="119"/>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kern w:val="0"/>
                <w:sz w:val="21"/>
                <w:szCs w:val="18"/>
                <w:highlight w:val="none"/>
              </w:rPr>
            </w:pPr>
            <w:r>
              <w:rPr>
                <w:rFonts w:hint="default" w:ascii="Times New Roman" w:hAnsi="Times New Roman" w:eastAsia="宋体" w:cs="Times New Roman"/>
                <w:b/>
                <w:bCs/>
                <w:color w:val="auto"/>
                <w:kern w:val="0"/>
                <w:sz w:val="21"/>
                <w:szCs w:val="18"/>
                <w:highlight w:val="none"/>
              </w:rPr>
              <w:t>表</w:t>
            </w:r>
            <w:r>
              <w:rPr>
                <w:rFonts w:hint="eastAsia" w:ascii="Times New Roman" w:hAnsi="Times New Roman" w:cs="Times New Roman"/>
                <w:b/>
                <w:bCs/>
                <w:color w:val="auto"/>
                <w:kern w:val="0"/>
                <w:sz w:val="21"/>
                <w:szCs w:val="18"/>
                <w:highlight w:val="none"/>
                <w:lang w:val="en-US" w:eastAsia="zh-CN"/>
              </w:rPr>
              <w:t>7-4</w:t>
            </w:r>
            <w:r>
              <w:rPr>
                <w:rFonts w:hint="default" w:ascii="Times New Roman" w:hAnsi="Times New Roman" w:eastAsia="宋体" w:cs="Times New Roman"/>
                <w:b/>
                <w:bCs/>
                <w:color w:val="auto"/>
                <w:kern w:val="0"/>
                <w:sz w:val="21"/>
                <w:szCs w:val="18"/>
                <w:highlight w:val="none"/>
              </w:rPr>
              <w:t xml:space="preserve">  环境空气质量标准          单位：</w:t>
            </w:r>
            <w:r>
              <w:rPr>
                <w:rFonts w:hint="default" w:ascii="Times New Roman" w:hAnsi="Times New Roman" w:eastAsia="宋体" w:cs="Times New Roman"/>
                <w:color w:val="auto"/>
                <w:sz w:val="21"/>
                <w:szCs w:val="18"/>
                <w:highlight w:val="none"/>
              </w:rPr>
              <w:t>mg/Nm</w:t>
            </w:r>
            <w:r>
              <w:rPr>
                <w:rFonts w:hint="default" w:ascii="Times New Roman" w:hAnsi="Times New Roman" w:eastAsia="宋体" w:cs="Times New Roman"/>
                <w:color w:val="auto"/>
                <w:sz w:val="21"/>
                <w:szCs w:val="18"/>
                <w:highlight w:val="none"/>
                <w:vertAlign w:val="superscript"/>
              </w:rPr>
              <w:t>3</w:t>
            </w:r>
          </w:p>
          <w:tbl>
            <w:tblPr>
              <w:tblStyle w:val="3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6"/>
              <w:gridCol w:w="2458"/>
              <w:gridCol w:w="1826"/>
              <w:gridCol w:w="2073"/>
            </w:tblGrid>
            <w:tr w14:paraId="33885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4" w:type="pct"/>
                  <w:noWrap w:val="0"/>
                  <w:vAlign w:val="center"/>
                </w:tcPr>
                <w:p w14:paraId="4B5801BB">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b/>
                      <w:bCs/>
                      <w:color w:val="auto"/>
                      <w:spacing w:val="-2"/>
                      <w:szCs w:val="21"/>
                      <w:highlight w:val="none"/>
                      <w:lang w:eastAsia="zh-CN"/>
                    </w:rPr>
                  </w:pPr>
                  <w:r>
                    <w:rPr>
                      <w:rFonts w:hint="default" w:ascii="Times New Roman" w:hAnsi="Times New Roman" w:eastAsia="Times New Roman" w:cs="Times New Roman"/>
                      <w:b/>
                      <w:bCs/>
                      <w:color w:val="auto"/>
                      <w:spacing w:val="-2"/>
                      <w:szCs w:val="21"/>
                      <w:highlight w:val="none"/>
                      <w:lang w:eastAsia="zh-CN"/>
                    </w:rPr>
                    <w:t>执行标准</w:t>
                  </w:r>
                </w:p>
              </w:tc>
              <w:tc>
                <w:tcPr>
                  <w:tcW w:w="1405" w:type="pct"/>
                  <w:noWrap w:val="0"/>
                  <w:vAlign w:val="center"/>
                </w:tcPr>
                <w:p w14:paraId="51237472">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b/>
                      <w:bCs/>
                      <w:color w:val="auto"/>
                      <w:spacing w:val="-2"/>
                      <w:szCs w:val="21"/>
                      <w:highlight w:val="none"/>
                      <w:lang w:eastAsia="zh-CN"/>
                    </w:rPr>
                  </w:pPr>
                  <w:r>
                    <w:rPr>
                      <w:rFonts w:hint="default" w:ascii="Times New Roman" w:hAnsi="Times New Roman" w:eastAsia="Times New Roman" w:cs="Times New Roman"/>
                      <w:b/>
                      <w:bCs/>
                      <w:color w:val="auto"/>
                      <w:spacing w:val="-2"/>
                      <w:szCs w:val="21"/>
                      <w:highlight w:val="none"/>
                      <w:lang w:eastAsia="zh-CN"/>
                    </w:rPr>
                    <w:t>污染物名称</w:t>
                  </w:r>
                </w:p>
              </w:tc>
              <w:tc>
                <w:tcPr>
                  <w:tcW w:w="1044" w:type="pct"/>
                  <w:noWrap w:val="0"/>
                  <w:vAlign w:val="center"/>
                </w:tcPr>
                <w:p w14:paraId="59DA1AF7">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b/>
                      <w:bCs/>
                      <w:color w:val="auto"/>
                      <w:spacing w:val="-2"/>
                      <w:szCs w:val="21"/>
                      <w:highlight w:val="none"/>
                      <w:lang w:eastAsia="zh-CN"/>
                    </w:rPr>
                  </w:pPr>
                  <w:r>
                    <w:rPr>
                      <w:rFonts w:hint="default" w:ascii="Times New Roman" w:hAnsi="Times New Roman" w:eastAsia="Times New Roman" w:cs="Times New Roman"/>
                      <w:b/>
                      <w:bCs/>
                      <w:color w:val="auto"/>
                      <w:spacing w:val="-2"/>
                      <w:szCs w:val="21"/>
                      <w:highlight w:val="none"/>
                      <w:lang w:eastAsia="zh-CN"/>
                    </w:rPr>
                    <w:t>取时间</w:t>
                  </w:r>
                </w:p>
              </w:tc>
              <w:tc>
                <w:tcPr>
                  <w:tcW w:w="1185" w:type="pct"/>
                  <w:noWrap w:val="0"/>
                  <w:vAlign w:val="center"/>
                </w:tcPr>
                <w:p w14:paraId="056BB2ED">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b/>
                      <w:bCs/>
                      <w:color w:val="auto"/>
                      <w:spacing w:val="-2"/>
                      <w:szCs w:val="21"/>
                      <w:highlight w:val="none"/>
                      <w:lang w:eastAsia="zh-CN"/>
                    </w:rPr>
                  </w:pPr>
                  <w:r>
                    <w:rPr>
                      <w:rFonts w:hint="default" w:ascii="Times New Roman" w:hAnsi="Times New Roman" w:eastAsia="Times New Roman" w:cs="Times New Roman"/>
                      <w:b/>
                      <w:bCs/>
                      <w:color w:val="auto"/>
                      <w:spacing w:val="-2"/>
                      <w:szCs w:val="21"/>
                      <w:highlight w:val="none"/>
                      <w:lang w:eastAsia="zh-CN"/>
                    </w:rPr>
                    <w:t>浓度限值</w:t>
                  </w:r>
                </w:p>
              </w:tc>
            </w:tr>
            <w:tr w14:paraId="65166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 w:hRule="atLeast"/>
                <w:jc w:val="center"/>
              </w:trPr>
              <w:tc>
                <w:tcPr>
                  <w:tcW w:w="1364" w:type="pct"/>
                  <w:vMerge w:val="restart"/>
                  <w:noWrap w:val="0"/>
                  <w:vAlign w:val="center"/>
                </w:tcPr>
                <w:p w14:paraId="14B1431F">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《环境空气质量标准》（GB3095-2012）</w:t>
                  </w:r>
                </w:p>
              </w:tc>
              <w:tc>
                <w:tcPr>
                  <w:tcW w:w="1405" w:type="pct"/>
                  <w:vMerge w:val="restart"/>
                  <w:noWrap w:val="0"/>
                  <w:vAlign w:val="center"/>
                </w:tcPr>
                <w:p w14:paraId="015C6260">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二氧化硫（SO</w:t>
                  </w:r>
                  <w:r>
                    <w:rPr>
                      <w:rFonts w:hint="default" w:ascii="Times New Roman" w:hAnsi="Times New Roman" w:eastAsia="Times New Roman" w:cs="Times New Roman"/>
                      <w:color w:val="auto"/>
                      <w:spacing w:val="-2"/>
                      <w:szCs w:val="21"/>
                      <w:highlight w:val="none"/>
                      <w:vertAlign w:val="subscript"/>
                      <w:lang w:eastAsia="zh-CN"/>
                    </w:rPr>
                    <w:t>2</w:t>
                  </w:r>
                  <w:r>
                    <w:rPr>
                      <w:rFonts w:hint="default" w:ascii="Times New Roman" w:hAnsi="Times New Roman" w:eastAsia="Times New Roman" w:cs="Times New Roman"/>
                      <w:color w:val="auto"/>
                      <w:spacing w:val="-2"/>
                      <w:szCs w:val="21"/>
                      <w:highlight w:val="none"/>
                      <w:lang w:eastAsia="zh-CN"/>
                    </w:rPr>
                    <w:t>）</w:t>
                  </w:r>
                </w:p>
              </w:tc>
              <w:tc>
                <w:tcPr>
                  <w:tcW w:w="1044" w:type="pct"/>
                  <w:noWrap w:val="0"/>
                  <w:vAlign w:val="center"/>
                </w:tcPr>
                <w:p w14:paraId="466627BB">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年平均</w:t>
                  </w:r>
                </w:p>
              </w:tc>
              <w:tc>
                <w:tcPr>
                  <w:tcW w:w="1185" w:type="pct"/>
                  <w:noWrap w:val="0"/>
                  <w:vAlign w:val="center"/>
                </w:tcPr>
                <w:p w14:paraId="4E6A0C69">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0.06</w:t>
                  </w:r>
                </w:p>
              </w:tc>
            </w:tr>
            <w:tr w14:paraId="71129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 w:hRule="atLeast"/>
                <w:jc w:val="center"/>
              </w:trPr>
              <w:tc>
                <w:tcPr>
                  <w:tcW w:w="1364" w:type="pct"/>
                  <w:vMerge w:val="continue"/>
                  <w:noWrap w:val="0"/>
                  <w:vAlign w:val="center"/>
                </w:tcPr>
                <w:p w14:paraId="23F7123A">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continue"/>
                  <w:noWrap w:val="0"/>
                  <w:vAlign w:val="center"/>
                </w:tcPr>
                <w:p w14:paraId="480C6925">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044" w:type="pct"/>
                  <w:noWrap w:val="0"/>
                  <w:vAlign w:val="center"/>
                </w:tcPr>
                <w:p w14:paraId="57C11BCE">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日平均</w:t>
                  </w:r>
                </w:p>
              </w:tc>
              <w:tc>
                <w:tcPr>
                  <w:tcW w:w="1185" w:type="pct"/>
                  <w:noWrap w:val="0"/>
                  <w:vAlign w:val="center"/>
                </w:tcPr>
                <w:p w14:paraId="4BA42F52">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0.15</w:t>
                  </w:r>
                </w:p>
              </w:tc>
            </w:tr>
            <w:tr w14:paraId="47374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364" w:type="pct"/>
                  <w:vMerge w:val="continue"/>
                  <w:noWrap w:val="0"/>
                  <w:vAlign w:val="center"/>
                </w:tcPr>
                <w:p w14:paraId="66C5BB58">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continue"/>
                  <w:noWrap w:val="0"/>
                  <w:vAlign w:val="center"/>
                </w:tcPr>
                <w:p w14:paraId="43C10334">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044" w:type="pct"/>
                  <w:noWrap w:val="0"/>
                  <w:vAlign w:val="center"/>
                </w:tcPr>
                <w:p w14:paraId="00506A3C">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1小时平均</w:t>
                  </w:r>
                </w:p>
              </w:tc>
              <w:tc>
                <w:tcPr>
                  <w:tcW w:w="1185" w:type="pct"/>
                  <w:noWrap w:val="0"/>
                  <w:vAlign w:val="center"/>
                </w:tcPr>
                <w:p w14:paraId="26883CBA">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0.50</w:t>
                  </w:r>
                </w:p>
              </w:tc>
            </w:tr>
            <w:tr w14:paraId="4A684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364" w:type="pct"/>
                  <w:vMerge w:val="continue"/>
                  <w:noWrap w:val="0"/>
                  <w:vAlign w:val="center"/>
                </w:tcPr>
                <w:p w14:paraId="53E54754">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restart"/>
                  <w:noWrap w:val="0"/>
                  <w:vAlign w:val="center"/>
                </w:tcPr>
                <w:p w14:paraId="66E977EC">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二氧化氮（NO</w:t>
                  </w:r>
                  <w:r>
                    <w:rPr>
                      <w:rFonts w:hint="default" w:ascii="Times New Roman" w:hAnsi="Times New Roman" w:eastAsia="Times New Roman" w:cs="Times New Roman"/>
                      <w:color w:val="auto"/>
                      <w:spacing w:val="-2"/>
                      <w:szCs w:val="21"/>
                      <w:highlight w:val="none"/>
                      <w:vertAlign w:val="subscript"/>
                      <w:lang w:eastAsia="zh-CN"/>
                    </w:rPr>
                    <w:t>2</w:t>
                  </w:r>
                  <w:r>
                    <w:rPr>
                      <w:rFonts w:hint="default" w:ascii="Times New Roman" w:hAnsi="Times New Roman" w:eastAsia="Times New Roman" w:cs="Times New Roman"/>
                      <w:color w:val="auto"/>
                      <w:spacing w:val="-2"/>
                      <w:szCs w:val="21"/>
                      <w:highlight w:val="none"/>
                      <w:lang w:eastAsia="zh-CN"/>
                    </w:rPr>
                    <w:t>）</w:t>
                  </w:r>
                </w:p>
              </w:tc>
              <w:tc>
                <w:tcPr>
                  <w:tcW w:w="1044" w:type="pct"/>
                  <w:noWrap w:val="0"/>
                  <w:vAlign w:val="center"/>
                </w:tcPr>
                <w:p w14:paraId="26E226D4">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年平均</w:t>
                  </w:r>
                </w:p>
              </w:tc>
              <w:tc>
                <w:tcPr>
                  <w:tcW w:w="1185" w:type="pct"/>
                  <w:noWrap w:val="0"/>
                  <w:vAlign w:val="center"/>
                </w:tcPr>
                <w:p w14:paraId="7CCA1450">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0.04</w:t>
                  </w:r>
                </w:p>
              </w:tc>
            </w:tr>
            <w:tr w14:paraId="131C4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364" w:type="pct"/>
                  <w:vMerge w:val="continue"/>
                  <w:noWrap w:val="0"/>
                  <w:vAlign w:val="center"/>
                </w:tcPr>
                <w:p w14:paraId="51830608">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continue"/>
                  <w:noWrap w:val="0"/>
                  <w:vAlign w:val="center"/>
                </w:tcPr>
                <w:p w14:paraId="1C003D54">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044" w:type="pct"/>
                  <w:noWrap w:val="0"/>
                  <w:vAlign w:val="center"/>
                </w:tcPr>
                <w:p w14:paraId="09F08143">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日平均</w:t>
                  </w:r>
                </w:p>
              </w:tc>
              <w:tc>
                <w:tcPr>
                  <w:tcW w:w="1185" w:type="pct"/>
                  <w:noWrap w:val="0"/>
                  <w:vAlign w:val="center"/>
                </w:tcPr>
                <w:p w14:paraId="125FEFFB">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0.08</w:t>
                  </w:r>
                </w:p>
              </w:tc>
            </w:tr>
            <w:tr w14:paraId="1899A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364" w:type="pct"/>
                  <w:vMerge w:val="continue"/>
                  <w:noWrap w:val="0"/>
                  <w:vAlign w:val="center"/>
                </w:tcPr>
                <w:p w14:paraId="77CD5EBD">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continue"/>
                  <w:noWrap w:val="0"/>
                  <w:vAlign w:val="center"/>
                </w:tcPr>
                <w:p w14:paraId="5F59D22C">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044" w:type="pct"/>
                  <w:noWrap w:val="0"/>
                  <w:vAlign w:val="center"/>
                </w:tcPr>
                <w:p w14:paraId="091F5CA4">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1小时平均</w:t>
                  </w:r>
                </w:p>
              </w:tc>
              <w:tc>
                <w:tcPr>
                  <w:tcW w:w="1185" w:type="pct"/>
                  <w:noWrap w:val="0"/>
                  <w:vAlign w:val="center"/>
                </w:tcPr>
                <w:p w14:paraId="21D48308">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0.2</w:t>
                  </w:r>
                </w:p>
              </w:tc>
            </w:tr>
            <w:tr w14:paraId="544BE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364" w:type="pct"/>
                  <w:vMerge w:val="continue"/>
                  <w:noWrap w:val="0"/>
                  <w:vAlign w:val="center"/>
                </w:tcPr>
                <w:p w14:paraId="5D7CCA80">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restart"/>
                  <w:noWrap w:val="0"/>
                  <w:vAlign w:val="center"/>
                </w:tcPr>
                <w:p w14:paraId="3984F195">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一氧化碳（CO）</w:t>
                  </w:r>
                </w:p>
              </w:tc>
              <w:tc>
                <w:tcPr>
                  <w:tcW w:w="1044" w:type="pct"/>
                  <w:noWrap w:val="0"/>
                  <w:vAlign w:val="center"/>
                </w:tcPr>
                <w:p w14:paraId="54496B06">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日平均</w:t>
                  </w:r>
                </w:p>
              </w:tc>
              <w:tc>
                <w:tcPr>
                  <w:tcW w:w="1185" w:type="pct"/>
                  <w:noWrap w:val="0"/>
                  <w:vAlign w:val="center"/>
                </w:tcPr>
                <w:p w14:paraId="6E235744">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val="en-US" w:eastAsia="zh-CN"/>
                    </w:rPr>
                    <w:t>4</w:t>
                  </w:r>
                </w:p>
              </w:tc>
            </w:tr>
            <w:tr w14:paraId="3E88C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364" w:type="pct"/>
                  <w:vMerge w:val="continue"/>
                  <w:noWrap w:val="0"/>
                  <w:vAlign w:val="center"/>
                </w:tcPr>
                <w:p w14:paraId="0C6453C4">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continue"/>
                  <w:noWrap w:val="0"/>
                  <w:vAlign w:val="center"/>
                </w:tcPr>
                <w:p w14:paraId="06056EA8">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044" w:type="pct"/>
                  <w:noWrap w:val="0"/>
                  <w:vAlign w:val="center"/>
                </w:tcPr>
                <w:p w14:paraId="6F35884E">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1小时平均</w:t>
                  </w:r>
                </w:p>
              </w:tc>
              <w:tc>
                <w:tcPr>
                  <w:tcW w:w="1185" w:type="pct"/>
                  <w:noWrap w:val="0"/>
                  <w:vAlign w:val="center"/>
                </w:tcPr>
                <w:p w14:paraId="5032A920">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val="en-US" w:eastAsia="zh-CN"/>
                    </w:rPr>
                  </w:pPr>
                  <w:r>
                    <w:rPr>
                      <w:rFonts w:hint="default" w:ascii="Times New Roman" w:hAnsi="Times New Roman" w:eastAsia="Times New Roman" w:cs="Times New Roman"/>
                      <w:color w:val="auto"/>
                      <w:spacing w:val="-2"/>
                      <w:szCs w:val="21"/>
                      <w:highlight w:val="none"/>
                      <w:lang w:val="en-US" w:eastAsia="zh-CN"/>
                    </w:rPr>
                    <w:t>10</w:t>
                  </w:r>
                </w:p>
              </w:tc>
            </w:tr>
            <w:tr w14:paraId="70E9F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364" w:type="pct"/>
                  <w:vMerge w:val="continue"/>
                  <w:noWrap w:val="0"/>
                  <w:vAlign w:val="center"/>
                </w:tcPr>
                <w:p w14:paraId="73478FED">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restart"/>
                  <w:noWrap w:val="0"/>
                  <w:vAlign w:val="center"/>
                </w:tcPr>
                <w:p w14:paraId="3673D1EE">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臭氧（O</w:t>
                  </w:r>
                  <w:r>
                    <w:rPr>
                      <w:rFonts w:hint="default" w:ascii="Times New Roman" w:hAnsi="Times New Roman" w:eastAsia="Times New Roman" w:cs="Times New Roman"/>
                      <w:color w:val="auto"/>
                      <w:spacing w:val="-2"/>
                      <w:szCs w:val="21"/>
                      <w:highlight w:val="none"/>
                      <w:vertAlign w:val="subscript"/>
                      <w:lang w:eastAsia="zh-CN"/>
                    </w:rPr>
                    <w:t>3</w:t>
                  </w:r>
                  <w:r>
                    <w:rPr>
                      <w:rFonts w:hint="default" w:ascii="Times New Roman" w:hAnsi="Times New Roman" w:eastAsia="Times New Roman" w:cs="Times New Roman"/>
                      <w:color w:val="auto"/>
                      <w:spacing w:val="-2"/>
                      <w:szCs w:val="21"/>
                      <w:highlight w:val="none"/>
                      <w:lang w:eastAsia="zh-CN"/>
                    </w:rPr>
                    <w:t>）</w:t>
                  </w:r>
                </w:p>
              </w:tc>
              <w:tc>
                <w:tcPr>
                  <w:tcW w:w="1044" w:type="pct"/>
                  <w:noWrap w:val="0"/>
                  <w:vAlign w:val="center"/>
                </w:tcPr>
                <w:p w14:paraId="3E289E2C">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日最大8小时平均</w:t>
                  </w:r>
                </w:p>
              </w:tc>
              <w:tc>
                <w:tcPr>
                  <w:tcW w:w="1185" w:type="pct"/>
                  <w:noWrap w:val="0"/>
                  <w:vAlign w:val="center"/>
                </w:tcPr>
                <w:p w14:paraId="3F184408">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0.16</w:t>
                  </w:r>
                </w:p>
              </w:tc>
            </w:tr>
            <w:tr w14:paraId="32B8C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364" w:type="pct"/>
                  <w:vMerge w:val="continue"/>
                  <w:noWrap w:val="0"/>
                  <w:vAlign w:val="center"/>
                </w:tcPr>
                <w:p w14:paraId="5F290D32">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continue"/>
                  <w:noWrap w:val="0"/>
                  <w:vAlign w:val="center"/>
                </w:tcPr>
                <w:p w14:paraId="7A40B144">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044" w:type="pct"/>
                  <w:noWrap w:val="0"/>
                  <w:vAlign w:val="center"/>
                </w:tcPr>
                <w:p w14:paraId="0E1D6557">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1小时平均</w:t>
                  </w:r>
                </w:p>
              </w:tc>
              <w:tc>
                <w:tcPr>
                  <w:tcW w:w="1185" w:type="pct"/>
                  <w:noWrap w:val="0"/>
                  <w:vAlign w:val="center"/>
                </w:tcPr>
                <w:p w14:paraId="79DD9835">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0.2</w:t>
                  </w:r>
                </w:p>
              </w:tc>
            </w:tr>
            <w:tr w14:paraId="6E821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364" w:type="pct"/>
                  <w:vMerge w:val="continue"/>
                  <w:noWrap w:val="0"/>
                  <w:vAlign w:val="center"/>
                </w:tcPr>
                <w:p w14:paraId="1239B99E">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restart"/>
                  <w:noWrap w:val="0"/>
                  <w:vAlign w:val="center"/>
                </w:tcPr>
                <w:p w14:paraId="5E3D0BE2">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可吸入颗粒物（</w:t>
                  </w:r>
                  <w:r>
                    <w:rPr>
                      <w:rFonts w:hint="default" w:ascii="Times New Roman" w:hAnsi="Times New Roman" w:eastAsia="Times New Roman" w:cs="Times New Roman"/>
                      <w:color w:val="auto"/>
                      <w:spacing w:val="-2"/>
                      <w:szCs w:val="21"/>
                      <w:highlight w:val="none"/>
                      <w:lang w:val="en-US" w:eastAsia="zh-CN"/>
                    </w:rPr>
                    <w:t>P</w:t>
                  </w:r>
                  <w:r>
                    <w:rPr>
                      <w:rFonts w:hint="default" w:ascii="Times New Roman" w:hAnsi="Times New Roman" w:eastAsia="Times New Roman" w:cs="Times New Roman"/>
                      <w:color w:val="auto"/>
                      <w:spacing w:val="-2"/>
                      <w:szCs w:val="21"/>
                      <w:highlight w:val="none"/>
                      <w:lang w:eastAsia="zh-CN"/>
                    </w:rPr>
                    <w:t>M</w:t>
                  </w:r>
                  <w:r>
                    <w:rPr>
                      <w:rFonts w:hint="default" w:ascii="Times New Roman" w:hAnsi="Times New Roman" w:eastAsia="Times New Roman" w:cs="Times New Roman"/>
                      <w:color w:val="auto"/>
                      <w:spacing w:val="-2"/>
                      <w:szCs w:val="21"/>
                      <w:highlight w:val="none"/>
                      <w:vertAlign w:val="subscript"/>
                      <w:lang w:eastAsia="zh-CN"/>
                    </w:rPr>
                    <w:t>10</w:t>
                  </w:r>
                  <w:r>
                    <w:rPr>
                      <w:rFonts w:hint="default" w:ascii="Times New Roman" w:hAnsi="Times New Roman" w:eastAsia="Times New Roman" w:cs="Times New Roman"/>
                      <w:color w:val="auto"/>
                      <w:spacing w:val="-2"/>
                      <w:szCs w:val="21"/>
                      <w:highlight w:val="none"/>
                      <w:lang w:eastAsia="zh-CN"/>
                    </w:rPr>
                    <w:t>）</w:t>
                  </w:r>
                </w:p>
              </w:tc>
              <w:tc>
                <w:tcPr>
                  <w:tcW w:w="1044" w:type="pct"/>
                  <w:noWrap w:val="0"/>
                  <w:vAlign w:val="center"/>
                </w:tcPr>
                <w:p w14:paraId="5E2801EF">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年平均</w:t>
                  </w:r>
                </w:p>
              </w:tc>
              <w:tc>
                <w:tcPr>
                  <w:tcW w:w="1185" w:type="pct"/>
                  <w:noWrap w:val="0"/>
                  <w:vAlign w:val="center"/>
                </w:tcPr>
                <w:p w14:paraId="36C87E22">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0.07</w:t>
                  </w:r>
                </w:p>
              </w:tc>
            </w:tr>
            <w:tr w14:paraId="0BCEC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364" w:type="pct"/>
                  <w:vMerge w:val="continue"/>
                  <w:noWrap w:val="0"/>
                  <w:vAlign w:val="center"/>
                </w:tcPr>
                <w:p w14:paraId="61C86510">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continue"/>
                  <w:noWrap w:val="0"/>
                  <w:vAlign w:val="center"/>
                </w:tcPr>
                <w:p w14:paraId="7F10F35F">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044" w:type="pct"/>
                  <w:noWrap w:val="0"/>
                  <w:vAlign w:val="center"/>
                </w:tcPr>
                <w:p w14:paraId="14967F6F">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日平均</w:t>
                  </w:r>
                </w:p>
              </w:tc>
              <w:tc>
                <w:tcPr>
                  <w:tcW w:w="1185" w:type="pct"/>
                  <w:noWrap w:val="0"/>
                  <w:vAlign w:val="center"/>
                </w:tcPr>
                <w:p w14:paraId="27E942EF">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0.15</w:t>
                  </w:r>
                </w:p>
              </w:tc>
            </w:tr>
            <w:tr w14:paraId="51E75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364" w:type="pct"/>
                  <w:vMerge w:val="continue"/>
                  <w:noWrap w:val="0"/>
                  <w:vAlign w:val="center"/>
                </w:tcPr>
                <w:p w14:paraId="7E0C4A2B">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restart"/>
                  <w:noWrap w:val="0"/>
                  <w:vAlign w:val="center"/>
                </w:tcPr>
                <w:p w14:paraId="0EF1C46A">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可吸入颗粒物（</w:t>
                  </w:r>
                  <w:r>
                    <w:rPr>
                      <w:rFonts w:hint="default" w:ascii="Times New Roman" w:hAnsi="Times New Roman" w:eastAsia="Times New Roman" w:cs="Times New Roman"/>
                      <w:color w:val="auto"/>
                      <w:spacing w:val="-2"/>
                      <w:szCs w:val="21"/>
                      <w:highlight w:val="none"/>
                      <w:lang w:val="en-US" w:eastAsia="zh-CN"/>
                    </w:rPr>
                    <w:t>P</w:t>
                  </w:r>
                  <w:r>
                    <w:rPr>
                      <w:rFonts w:hint="default" w:ascii="Times New Roman" w:hAnsi="Times New Roman" w:eastAsia="Times New Roman" w:cs="Times New Roman"/>
                      <w:color w:val="auto"/>
                      <w:spacing w:val="-2"/>
                      <w:szCs w:val="21"/>
                      <w:highlight w:val="none"/>
                      <w:lang w:eastAsia="zh-CN"/>
                    </w:rPr>
                    <w:t>M</w:t>
                  </w:r>
                  <w:r>
                    <w:rPr>
                      <w:rFonts w:hint="default" w:ascii="Times New Roman" w:hAnsi="Times New Roman" w:eastAsia="Times New Roman" w:cs="Times New Roman"/>
                      <w:color w:val="auto"/>
                      <w:spacing w:val="-2"/>
                      <w:szCs w:val="21"/>
                      <w:highlight w:val="none"/>
                      <w:vertAlign w:val="subscript"/>
                      <w:lang w:eastAsia="zh-CN"/>
                    </w:rPr>
                    <w:t>2.5</w:t>
                  </w:r>
                  <w:r>
                    <w:rPr>
                      <w:rFonts w:hint="default" w:ascii="Times New Roman" w:hAnsi="Times New Roman" w:eastAsia="Times New Roman" w:cs="Times New Roman"/>
                      <w:color w:val="auto"/>
                      <w:spacing w:val="-2"/>
                      <w:szCs w:val="21"/>
                      <w:highlight w:val="none"/>
                      <w:lang w:eastAsia="zh-CN"/>
                    </w:rPr>
                    <w:t>）</w:t>
                  </w:r>
                </w:p>
              </w:tc>
              <w:tc>
                <w:tcPr>
                  <w:tcW w:w="1044" w:type="pct"/>
                  <w:noWrap w:val="0"/>
                  <w:vAlign w:val="center"/>
                </w:tcPr>
                <w:p w14:paraId="2C48748F">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年平均</w:t>
                  </w:r>
                </w:p>
              </w:tc>
              <w:tc>
                <w:tcPr>
                  <w:tcW w:w="1185" w:type="pct"/>
                  <w:noWrap w:val="0"/>
                  <w:vAlign w:val="center"/>
                </w:tcPr>
                <w:p w14:paraId="4CB596D1">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0.035</w:t>
                  </w:r>
                </w:p>
              </w:tc>
            </w:tr>
            <w:tr w14:paraId="56F31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364" w:type="pct"/>
                  <w:vMerge w:val="continue"/>
                  <w:noWrap w:val="0"/>
                  <w:vAlign w:val="center"/>
                </w:tcPr>
                <w:p w14:paraId="60CB0659">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continue"/>
                  <w:noWrap w:val="0"/>
                  <w:vAlign w:val="center"/>
                </w:tcPr>
                <w:p w14:paraId="668263DB">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044" w:type="pct"/>
                  <w:noWrap w:val="0"/>
                  <w:vAlign w:val="center"/>
                </w:tcPr>
                <w:p w14:paraId="088DA8AD">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日平均</w:t>
                  </w:r>
                </w:p>
              </w:tc>
              <w:tc>
                <w:tcPr>
                  <w:tcW w:w="1185" w:type="pct"/>
                  <w:noWrap w:val="0"/>
                  <w:vAlign w:val="center"/>
                </w:tcPr>
                <w:p w14:paraId="555DEF38">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0.075</w:t>
                  </w:r>
                </w:p>
              </w:tc>
            </w:tr>
            <w:tr w14:paraId="7EA06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364" w:type="pct"/>
                  <w:vMerge w:val="continue"/>
                  <w:noWrap w:val="0"/>
                  <w:vAlign w:val="center"/>
                </w:tcPr>
                <w:p w14:paraId="711B8C85">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restart"/>
                  <w:noWrap w:val="0"/>
                  <w:vAlign w:val="center"/>
                </w:tcPr>
                <w:p w14:paraId="7491D508">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val="en-US" w:eastAsia="zh-CN"/>
                    </w:rPr>
                    <w:t>总悬浮颗粒物（TSP）</w:t>
                  </w:r>
                </w:p>
              </w:tc>
              <w:tc>
                <w:tcPr>
                  <w:tcW w:w="1044" w:type="pct"/>
                  <w:noWrap w:val="0"/>
                  <w:vAlign w:val="center"/>
                </w:tcPr>
                <w:p w14:paraId="6FDEE449">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年平均</w:t>
                  </w:r>
                </w:p>
              </w:tc>
              <w:tc>
                <w:tcPr>
                  <w:tcW w:w="1185" w:type="pct"/>
                  <w:noWrap w:val="0"/>
                  <w:vAlign w:val="center"/>
                </w:tcPr>
                <w:p w14:paraId="21D983DD">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val="en-US" w:eastAsia="zh-CN"/>
                    </w:rPr>
                    <w:t>0.2</w:t>
                  </w:r>
                </w:p>
              </w:tc>
            </w:tr>
            <w:tr w14:paraId="526FB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364" w:type="pct"/>
                  <w:vMerge w:val="continue"/>
                  <w:noWrap w:val="0"/>
                  <w:vAlign w:val="center"/>
                </w:tcPr>
                <w:p w14:paraId="52161C4E">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405" w:type="pct"/>
                  <w:vMerge w:val="continue"/>
                  <w:noWrap w:val="0"/>
                  <w:vAlign w:val="center"/>
                </w:tcPr>
                <w:p w14:paraId="3DD38846">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p>
              </w:tc>
              <w:tc>
                <w:tcPr>
                  <w:tcW w:w="1044" w:type="pct"/>
                  <w:noWrap w:val="0"/>
                  <w:vAlign w:val="center"/>
                </w:tcPr>
                <w:p w14:paraId="3F456536">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日平均</w:t>
                  </w:r>
                </w:p>
              </w:tc>
              <w:tc>
                <w:tcPr>
                  <w:tcW w:w="1185" w:type="pct"/>
                  <w:noWrap w:val="0"/>
                  <w:vAlign w:val="center"/>
                </w:tcPr>
                <w:p w14:paraId="047C8530">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val="en-US" w:eastAsia="zh-CN"/>
                    </w:rPr>
                    <w:t>0.3</w:t>
                  </w:r>
                </w:p>
              </w:tc>
            </w:tr>
          </w:tbl>
          <w:p w14:paraId="7CCD62B0">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③水环境质量标准</w:t>
            </w:r>
          </w:p>
          <w:p w14:paraId="6FFDE86F">
            <w:pPr>
              <w:keepNext w:val="0"/>
              <w:keepLines w:val="0"/>
              <w:widowControl/>
              <w:suppressLineNumbers w:val="0"/>
              <w:spacing w:line="360" w:lineRule="auto"/>
              <w:ind w:firstLine="480" w:firstLineChars="200"/>
              <w:jc w:val="left"/>
              <w:rPr>
                <w:rFonts w:hint="default" w:ascii="宋体" w:hAnsi="宋体" w:eastAsia="宋体" w:cs="宋体"/>
                <w:color w:val="auto"/>
                <w:kern w:val="0"/>
                <w:sz w:val="24"/>
                <w:szCs w:val="24"/>
                <w:lang w:val="zh-CN" w:eastAsia="zh-CN" w:bidi="ar"/>
              </w:rPr>
            </w:pPr>
            <w:r>
              <w:rPr>
                <w:rFonts w:hint="eastAsia" w:ascii="宋体" w:hAnsi="宋体" w:eastAsia="宋体" w:cs="宋体"/>
                <w:color w:val="auto"/>
                <w:kern w:val="0"/>
                <w:sz w:val="24"/>
                <w:szCs w:val="24"/>
                <w:highlight w:val="none"/>
                <w:lang w:val="en-US" w:eastAsia="zh-CN" w:bidi="ar"/>
              </w:rPr>
              <w:t>项目地表水淠河水质执</w:t>
            </w:r>
            <w:r>
              <w:rPr>
                <w:rFonts w:hint="eastAsia" w:ascii="宋体" w:hAnsi="宋体" w:eastAsia="宋体" w:cs="宋体"/>
                <w:color w:val="auto"/>
                <w:kern w:val="0"/>
                <w:sz w:val="24"/>
                <w:szCs w:val="24"/>
                <w:lang w:val="en-US" w:eastAsia="zh-CN" w:bidi="ar"/>
              </w:rPr>
              <w:t>行《地表水环境质量标准》（</w:t>
            </w:r>
            <w:r>
              <w:rPr>
                <w:rFonts w:hint="default" w:ascii="Times New Roman" w:hAnsi="Times New Roman" w:eastAsia="宋体" w:cs="Times New Roman"/>
                <w:color w:val="auto"/>
                <w:kern w:val="0"/>
                <w:sz w:val="24"/>
                <w:szCs w:val="24"/>
                <w:lang w:val="en-US" w:eastAsia="zh-CN" w:bidi="ar"/>
              </w:rPr>
              <w:t>GB3838-2002</w:t>
            </w:r>
            <w:r>
              <w:rPr>
                <w:rFonts w:hint="eastAsia" w:ascii="宋体" w:hAnsi="宋体" w:eastAsia="宋体" w:cs="宋体"/>
                <w:color w:val="auto"/>
                <w:kern w:val="0"/>
                <w:sz w:val="24"/>
                <w:szCs w:val="24"/>
                <w:lang w:val="en-US" w:eastAsia="zh-CN" w:bidi="ar"/>
              </w:rPr>
              <w:t>）中</w:t>
            </w:r>
            <w:r>
              <w:rPr>
                <w:rFonts w:hint="default" w:ascii="Times New Roman" w:hAnsi="Times New Roman" w:eastAsia="宋体" w:cs="Times New Roman"/>
                <w:color w:val="auto"/>
                <w:kern w:val="0"/>
                <w:sz w:val="24"/>
                <w:szCs w:val="24"/>
                <w:lang w:val="en-US" w:eastAsia="zh-CN" w:bidi="ar"/>
              </w:rPr>
              <w:t>Ⅲ</w:t>
            </w:r>
            <w:r>
              <w:rPr>
                <w:rFonts w:hint="eastAsia" w:ascii="宋体" w:hAnsi="宋体" w:eastAsia="宋体" w:cs="宋体"/>
                <w:color w:val="auto"/>
                <w:kern w:val="0"/>
                <w:sz w:val="24"/>
                <w:szCs w:val="24"/>
                <w:lang w:val="en-US" w:eastAsia="zh-CN" w:bidi="ar"/>
              </w:rPr>
              <w:t>类标准</w:t>
            </w:r>
            <w:r>
              <w:rPr>
                <w:rFonts w:hint="default" w:ascii="宋体" w:hAnsi="宋体" w:eastAsia="宋体" w:cs="宋体"/>
                <w:color w:val="auto"/>
                <w:kern w:val="0"/>
                <w:sz w:val="24"/>
                <w:szCs w:val="24"/>
                <w:lang w:val="zh-CN" w:eastAsia="zh-CN" w:bidi="ar"/>
              </w:rPr>
              <w:t>，具体标准值详见</w:t>
            </w:r>
            <w:r>
              <w:rPr>
                <w:rFonts w:hint="default" w:ascii="宋体" w:hAnsi="宋体" w:eastAsia="宋体" w:cs="宋体"/>
                <w:color w:val="auto"/>
                <w:kern w:val="0"/>
                <w:sz w:val="24"/>
                <w:szCs w:val="24"/>
                <w:lang w:val="en-US" w:eastAsia="zh-CN" w:bidi="ar"/>
              </w:rPr>
              <w:t>下表</w:t>
            </w:r>
            <w:r>
              <w:rPr>
                <w:rFonts w:hint="default" w:ascii="宋体" w:hAnsi="宋体" w:eastAsia="宋体" w:cs="宋体"/>
                <w:color w:val="auto"/>
                <w:kern w:val="0"/>
                <w:sz w:val="24"/>
                <w:szCs w:val="24"/>
                <w:lang w:val="zh-CN" w:eastAsia="zh-CN" w:bidi="ar"/>
              </w:rPr>
              <w:t>所示。</w:t>
            </w:r>
          </w:p>
          <w:p w14:paraId="657968DF">
            <w:pPr>
              <w:pStyle w:val="119"/>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表</w:t>
            </w:r>
            <w:r>
              <w:rPr>
                <w:rFonts w:hint="eastAsia" w:ascii="Times New Roman" w:hAnsi="Times New Roman" w:cs="Times New Roman"/>
                <w:color w:val="auto"/>
                <w:sz w:val="21"/>
                <w:szCs w:val="18"/>
                <w:highlight w:val="none"/>
                <w:lang w:val="en-US" w:eastAsia="zh-CN"/>
              </w:rPr>
              <w:t>7-5</w:t>
            </w:r>
            <w:r>
              <w:rPr>
                <w:rFonts w:hint="default" w:ascii="Times New Roman" w:hAnsi="Times New Roman" w:eastAsia="宋体" w:cs="Times New Roman"/>
                <w:color w:val="auto"/>
                <w:sz w:val="21"/>
                <w:szCs w:val="18"/>
                <w:highlight w:val="none"/>
              </w:rPr>
              <w:t xml:space="preserve">  地表水环境质量评价标准      单位：mg/L，pH无量纲</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83"/>
              <w:gridCol w:w="782"/>
              <w:gridCol w:w="1053"/>
              <w:gridCol w:w="1106"/>
              <w:gridCol w:w="1072"/>
              <w:gridCol w:w="646"/>
              <w:gridCol w:w="1200"/>
            </w:tblGrid>
            <w:tr w14:paraId="5A876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8" w:type="pct"/>
                  <w:noWrap w:val="0"/>
                  <w:vAlign w:val="center"/>
                </w:tcPr>
                <w:p w14:paraId="145679E8">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b/>
                      <w:bCs/>
                      <w:color w:val="auto"/>
                      <w:spacing w:val="-2"/>
                      <w:szCs w:val="21"/>
                      <w:highlight w:val="none"/>
                      <w:lang w:eastAsia="zh-CN"/>
                    </w:rPr>
                  </w:pPr>
                  <w:r>
                    <w:rPr>
                      <w:rFonts w:hint="default" w:ascii="Times New Roman" w:hAnsi="Times New Roman" w:eastAsia="Times New Roman" w:cs="Times New Roman"/>
                      <w:b/>
                      <w:bCs/>
                      <w:color w:val="auto"/>
                      <w:spacing w:val="-2"/>
                      <w:szCs w:val="21"/>
                      <w:highlight w:val="none"/>
                      <w:lang w:val="zh-CN" w:eastAsia="zh-CN"/>
                    </w:rPr>
                    <w:t>水质项目</w:t>
                  </w:r>
                </w:p>
              </w:tc>
              <w:tc>
                <w:tcPr>
                  <w:tcW w:w="447" w:type="pct"/>
                  <w:noWrap w:val="0"/>
                  <w:vAlign w:val="center"/>
                </w:tcPr>
                <w:p w14:paraId="347B0385">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b/>
                      <w:bCs/>
                      <w:color w:val="auto"/>
                      <w:spacing w:val="-2"/>
                      <w:szCs w:val="21"/>
                      <w:highlight w:val="none"/>
                      <w:lang w:eastAsia="zh-CN"/>
                    </w:rPr>
                  </w:pPr>
                  <w:r>
                    <w:rPr>
                      <w:rFonts w:hint="default" w:ascii="Times New Roman" w:hAnsi="Times New Roman" w:eastAsia="Times New Roman" w:cs="Times New Roman"/>
                      <w:b/>
                      <w:bCs/>
                      <w:color w:val="auto"/>
                      <w:spacing w:val="-2"/>
                      <w:szCs w:val="21"/>
                      <w:highlight w:val="none"/>
                      <w:lang w:eastAsia="zh-CN"/>
                    </w:rPr>
                    <w:t>pH</w:t>
                  </w:r>
                </w:p>
              </w:tc>
              <w:tc>
                <w:tcPr>
                  <w:tcW w:w="602" w:type="pct"/>
                  <w:noWrap w:val="0"/>
                  <w:vAlign w:val="center"/>
                </w:tcPr>
                <w:p w14:paraId="2D939CBD">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b/>
                      <w:bCs/>
                      <w:color w:val="auto"/>
                      <w:spacing w:val="-2"/>
                      <w:szCs w:val="21"/>
                      <w:highlight w:val="none"/>
                      <w:lang w:eastAsia="zh-CN"/>
                    </w:rPr>
                  </w:pPr>
                  <w:r>
                    <w:rPr>
                      <w:rFonts w:hint="default" w:ascii="Times New Roman" w:hAnsi="Times New Roman" w:eastAsia="Times New Roman" w:cs="Times New Roman"/>
                      <w:b/>
                      <w:bCs/>
                      <w:color w:val="auto"/>
                      <w:spacing w:val="-2"/>
                      <w:szCs w:val="21"/>
                      <w:highlight w:val="none"/>
                      <w:lang w:val="zh-CN" w:eastAsia="zh-CN"/>
                    </w:rPr>
                    <w:t>NH</w:t>
                  </w:r>
                  <w:r>
                    <w:rPr>
                      <w:rFonts w:hint="default" w:ascii="Times New Roman" w:hAnsi="Times New Roman" w:eastAsia="Times New Roman" w:cs="Times New Roman"/>
                      <w:b/>
                      <w:bCs/>
                      <w:color w:val="auto"/>
                      <w:spacing w:val="-2"/>
                      <w:szCs w:val="21"/>
                      <w:highlight w:val="none"/>
                      <w:vertAlign w:val="subscript"/>
                      <w:lang w:val="zh-CN" w:eastAsia="zh-CN"/>
                    </w:rPr>
                    <w:t>3</w:t>
                  </w:r>
                  <w:r>
                    <w:rPr>
                      <w:rFonts w:hint="default" w:ascii="Times New Roman" w:hAnsi="Times New Roman" w:eastAsia="Times New Roman" w:cs="Times New Roman"/>
                      <w:b/>
                      <w:bCs/>
                      <w:color w:val="auto"/>
                      <w:spacing w:val="-2"/>
                      <w:szCs w:val="21"/>
                      <w:highlight w:val="none"/>
                      <w:lang w:val="zh-CN" w:eastAsia="zh-CN"/>
                    </w:rPr>
                    <w:t>-N</w:t>
                  </w:r>
                </w:p>
              </w:tc>
              <w:tc>
                <w:tcPr>
                  <w:tcW w:w="632" w:type="pct"/>
                  <w:noWrap w:val="0"/>
                  <w:vAlign w:val="center"/>
                </w:tcPr>
                <w:p w14:paraId="3D6924E0">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b/>
                      <w:bCs/>
                      <w:color w:val="auto"/>
                      <w:spacing w:val="-2"/>
                      <w:szCs w:val="21"/>
                      <w:highlight w:val="none"/>
                      <w:lang w:eastAsia="zh-CN"/>
                    </w:rPr>
                  </w:pPr>
                  <w:r>
                    <w:rPr>
                      <w:rFonts w:hint="default" w:ascii="Times New Roman" w:hAnsi="Times New Roman" w:eastAsia="Times New Roman" w:cs="Times New Roman"/>
                      <w:b/>
                      <w:bCs/>
                      <w:color w:val="auto"/>
                      <w:spacing w:val="-2"/>
                      <w:szCs w:val="21"/>
                      <w:highlight w:val="none"/>
                      <w:lang w:eastAsia="zh-CN"/>
                    </w:rPr>
                    <w:t>COD</w:t>
                  </w:r>
                </w:p>
              </w:tc>
              <w:tc>
                <w:tcPr>
                  <w:tcW w:w="613" w:type="pct"/>
                  <w:noWrap w:val="0"/>
                  <w:vAlign w:val="center"/>
                </w:tcPr>
                <w:p w14:paraId="076F6D36">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b/>
                      <w:bCs/>
                      <w:color w:val="auto"/>
                      <w:spacing w:val="-2"/>
                      <w:szCs w:val="21"/>
                      <w:highlight w:val="none"/>
                      <w:lang w:eastAsia="zh-CN"/>
                    </w:rPr>
                  </w:pPr>
                  <w:r>
                    <w:rPr>
                      <w:rFonts w:hint="default" w:ascii="Times New Roman" w:hAnsi="Times New Roman" w:eastAsia="Times New Roman" w:cs="Times New Roman"/>
                      <w:b/>
                      <w:bCs/>
                      <w:color w:val="auto"/>
                      <w:spacing w:val="-2"/>
                      <w:szCs w:val="21"/>
                      <w:highlight w:val="none"/>
                      <w:lang w:eastAsia="zh-CN"/>
                    </w:rPr>
                    <w:t>BOD</w:t>
                  </w:r>
                  <w:r>
                    <w:rPr>
                      <w:rFonts w:hint="default" w:ascii="Times New Roman" w:hAnsi="Times New Roman" w:eastAsia="Times New Roman" w:cs="Times New Roman"/>
                      <w:b/>
                      <w:bCs/>
                      <w:color w:val="auto"/>
                      <w:spacing w:val="-2"/>
                      <w:szCs w:val="21"/>
                      <w:highlight w:val="none"/>
                      <w:vertAlign w:val="subscript"/>
                      <w:lang w:eastAsia="zh-CN"/>
                    </w:rPr>
                    <w:t>5</w:t>
                  </w:r>
                </w:p>
              </w:tc>
              <w:tc>
                <w:tcPr>
                  <w:tcW w:w="369" w:type="pct"/>
                  <w:noWrap w:val="0"/>
                  <w:vAlign w:val="center"/>
                </w:tcPr>
                <w:p w14:paraId="77F93BD8">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b/>
                      <w:bCs/>
                      <w:color w:val="auto"/>
                      <w:spacing w:val="-2"/>
                      <w:szCs w:val="21"/>
                      <w:highlight w:val="none"/>
                      <w:lang w:eastAsia="zh-CN"/>
                    </w:rPr>
                  </w:pPr>
                  <w:r>
                    <w:rPr>
                      <w:rFonts w:hint="default" w:ascii="Times New Roman" w:hAnsi="Times New Roman" w:eastAsia="Times New Roman" w:cs="Times New Roman"/>
                      <w:b/>
                      <w:bCs/>
                      <w:color w:val="auto"/>
                      <w:spacing w:val="-2"/>
                      <w:szCs w:val="21"/>
                      <w:highlight w:val="none"/>
                      <w:lang w:eastAsia="zh-CN"/>
                    </w:rPr>
                    <w:t>TP</w:t>
                  </w:r>
                </w:p>
              </w:tc>
              <w:tc>
                <w:tcPr>
                  <w:tcW w:w="686" w:type="pct"/>
                  <w:noWrap w:val="0"/>
                  <w:vAlign w:val="center"/>
                </w:tcPr>
                <w:p w14:paraId="31AF5A85">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b/>
                      <w:bCs/>
                      <w:color w:val="auto"/>
                      <w:spacing w:val="-2"/>
                      <w:szCs w:val="21"/>
                      <w:highlight w:val="none"/>
                      <w:lang w:val="en-US" w:eastAsia="zh-CN"/>
                    </w:rPr>
                  </w:pPr>
                  <w:r>
                    <w:rPr>
                      <w:rFonts w:hint="default" w:ascii="Times New Roman" w:hAnsi="Times New Roman" w:eastAsia="Times New Roman" w:cs="Times New Roman"/>
                      <w:b/>
                      <w:bCs/>
                      <w:color w:val="auto"/>
                      <w:spacing w:val="-2"/>
                      <w:szCs w:val="21"/>
                      <w:highlight w:val="none"/>
                      <w:lang w:val="en-US" w:eastAsia="zh-CN"/>
                    </w:rPr>
                    <w:t>TN</w:t>
                  </w:r>
                </w:p>
              </w:tc>
            </w:tr>
            <w:tr w14:paraId="1046D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8" w:type="pct"/>
                  <w:noWrap w:val="0"/>
                  <w:vAlign w:val="center"/>
                </w:tcPr>
                <w:p w14:paraId="14F868BF">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val="zh-CN" w:eastAsia="zh-CN"/>
                    </w:rPr>
                    <w:t>GB3838-2002</w:t>
                  </w:r>
                  <w:r>
                    <w:rPr>
                      <w:rFonts w:hint="default" w:ascii="Times New Roman" w:hAnsi="Times New Roman" w:eastAsia="Times New Roman" w:cs="Times New Roman"/>
                      <w:color w:val="auto"/>
                      <w:spacing w:val="-2"/>
                      <w:szCs w:val="21"/>
                      <w:highlight w:val="none"/>
                      <w:lang w:val="en-US" w:eastAsia="zh-CN"/>
                    </w:rPr>
                    <w:t xml:space="preserve"> </w:t>
                  </w:r>
                  <w:r>
                    <w:rPr>
                      <w:rFonts w:hint="default" w:ascii="Times New Roman" w:hAnsi="Times New Roman" w:eastAsia="Times New Roman" w:cs="Times New Roman"/>
                      <w:color w:val="auto"/>
                      <w:spacing w:val="-2"/>
                      <w:szCs w:val="21"/>
                      <w:highlight w:val="none"/>
                      <w:lang w:eastAsia="zh-CN"/>
                    </w:rPr>
                    <w:t>III类标准</w:t>
                  </w:r>
                </w:p>
              </w:tc>
              <w:tc>
                <w:tcPr>
                  <w:tcW w:w="447" w:type="pct"/>
                  <w:noWrap w:val="0"/>
                  <w:vAlign w:val="center"/>
                </w:tcPr>
                <w:p w14:paraId="0599E50D">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6~9</w:t>
                  </w:r>
                </w:p>
              </w:tc>
              <w:tc>
                <w:tcPr>
                  <w:tcW w:w="602" w:type="pct"/>
                  <w:noWrap w:val="0"/>
                  <w:vAlign w:val="center"/>
                </w:tcPr>
                <w:p w14:paraId="41F69C9A">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1.0</w:t>
                  </w:r>
                </w:p>
              </w:tc>
              <w:tc>
                <w:tcPr>
                  <w:tcW w:w="632" w:type="pct"/>
                  <w:noWrap w:val="0"/>
                  <w:vAlign w:val="center"/>
                </w:tcPr>
                <w:p w14:paraId="4C9645F3">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20</w:t>
                  </w:r>
                </w:p>
              </w:tc>
              <w:tc>
                <w:tcPr>
                  <w:tcW w:w="613" w:type="pct"/>
                  <w:noWrap w:val="0"/>
                  <w:vAlign w:val="center"/>
                </w:tcPr>
                <w:p w14:paraId="520D5A22">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4</w:t>
                  </w:r>
                </w:p>
              </w:tc>
              <w:tc>
                <w:tcPr>
                  <w:tcW w:w="369" w:type="pct"/>
                  <w:noWrap w:val="0"/>
                  <w:vAlign w:val="center"/>
                </w:tcPr>
                <w:p w14:paraId="762B60E5">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0.2</w:t>
                  </w:r>
                </w:p>
              </w:tc>
              <w:tc>
                <w:tcPr>
                  <w:tcW w:w="686" w:type="pct"/>
                  <w:noWrap w:val="0"/>
                  <w:vAlign w:val="center"/>
                </w:tcPr>
                <w:p w14:paraId="7F617529">
                  <w:pPr>
                    <w:keepNext w:val="0"/>
                    <w:keepLines w:val="0"/>
                    <w:pageBreakBefore w:val="0"/>
                    <w:widowControl w:val="0"/>
                    <w:kinsoku/>
                    <w:wordWrap/>
                    <w:overflowPunct/>
                    <w:topLinePunct w:val="0"/>
                    <w:bidi w:val="0"/>
                    <w:adjustRightInd/>
                    <w:snapToGrid/>
                    <w:jc w:val="center"/>
                    <w:textAlignment w:val="auto"/>
                    <w:rPr>
                      <w:rFonts w:hint="default" w:ascii="Times New Roman" w:hAnsi="Times New Roman" w:eastAsia="Times New Roman" w:cs="Times New Roman"/>
                      <w:color w:val="auto"/>
                      <w:spacing w:val="-2"/>
                      <w:szCs w:val="21"/>
                      <w:highlight w:val="none"/>
                      <w:lang w:val="en-US" w:eastAsia="zh-CN"/>
                    </w:rPr>
                  </w:pPr>
                  <w:r>
                    <w:rPr>
                      <w:rFonts w:hint="default" w:ascii="Times New Roman" w:hAnsi="Times New Roman" w:eastAsia="Times New Roman" w:cs="Times New Roman"/>
                      <w:color w:val="auto"/>
                      <w:spacing w:val="-2"/>
                      <w:szCs w:val="21"/>
                      <w:highlight w:val="none"/>
                      <w:lang w:val="en-US" w:eastAsia="zh-CN"/>
                    </w:rPr>
                    <w:t>1.0</w:t>
                  </w:r>
                </w:p>
              </w:tc>
            </w:tr>
          </w:tbl>
          <w:p w14:paraId="35EC3985">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（5）污染物排放标准</w:t>
            </w:r>
          </w:p>
          <w:p w14:paraId="6E5FE608">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cs="Times New Roman"/>
                <w:b/>
                <w:bCs/>
                <w:color w:val="auto"/>
                <w:sz w:val="24"/>
                <w:szCs w:val="24"/>
                <w:highlight w:val="none"/>
              </w:rPr>
            </w:pPr>
            <w:r>
              <w:rPr>
                <w:rFonts w:hint="eastAsia" w:cs="Times New Roman"/>
                <w:b/>
                <w:bCs/>
                <w:color w:val="auto"/>
                <w:sz w:val="24"/>
                <w:szCs w:val="24"/>
                <w:highlight w:val="none"/>
                <w:lang w:val="en-US" w:eastAsia="zh-CN"/>
              </w:rPr>
              <w:t>①</w:t>
            </w:r>
            <w:r>
              <w:rPr>
                <w:rFonts w:hint="default" w:ascii="Times New Roman" w:hAnsi="Times New Roman" w:cs="Times New Roman"/>
                <w:b/>
                <w:bCs/>
                <w:color w:val="auto"/>
                <w:sz w:val="24"/>
                <w:szCs w:val="24"/>
                <w:highlight w:val="none"/>
              </w:rPr>
              <w:t>噪声</w:t>
            </w:r>
          </w:p>
          <w:p w14:paraId="0409A5ED">
            <w:pPr>
              <w:keepNext w:val="0"/>
              <w:keepLines w:val="0"/>
              <w:pageBreakBefore w:val="0"/>
              <w:widowControl w:val="0"/>
              <w:kinsoku/>
              <w:wordWrap/>
              <w:overflowPunct/>
              <w:topLinePunct w:val="0"/>
              <w:bidi w:val="0"/>
              <w:adjustRightInd/>
              <w:snapToGrid/>
              <w:spacing w:line="360" w:lineRule="auto"/>
              <w:ind w:firstLine="508" w:firstLineChars="200"/>
              <w:textAlignment w:val="auto"/>
              <w:rPr>
                <w:rFonts w:hint="default" w:ascii="Times New Roman" w:hAnsi="Times New Roman" w:cs="Times New Roman"/>
                <w:color w:val="auto"/>
                <w:sz w:val="24"/>
                <w:szCs w:val="24"/>
                <w:highlight w:val="none"/>
              </w:rPr>
            </w:pPr>
            <w:r>
              <w:rPr>
                <w:rFonts w:hint="eastAsia" w:cs="Times New Roman"/>
                <w:snapToGrid w:val="0"/>
                <w:color w:val="auto"/>
                <w:spacing w:val="7"/>
                <w:kern w:val="0"/>
                <w:sz w:val="24"/>
                <w:szCs w:val="24"/>
                <w:highlight w:val="none"/>
                <w:lang w:val="en-US" w:eastAsia="zh-CN"/>
              </w:rPr>
              <w:t>根据项目区域声功能区划和大厂区项目批复要求，</w:t>
            </w:r>
            <w:r>
              <w:rPr>
                <w:rFonts w:hint="default" w:ascii="Times New Roman" w:hAnsi="Times New Roman" w:cs="Times New Roman"/>
                <w:snapToGrid w:val="0"/>
                <w:color w:val="auto"/>
                <w:spacing w:val="7"/>
                <w:kern w:val="0"/>
                <w:sz w:val="24"/>
                <w:szCs w:val="24"/>
                <w:highlight w:val="none"/>
              </w:rPr>
              <w:t>本项目施工期场界噪声执行《建筑施工场界环境噪声排放标准》（GB12523-2011）标准；</w:t>
            </w:r>
            <w:r>
              <w:rPr>
                <w:rFonts w:hint="default" w:ascii="Times New Roman" w:hAnsi="Times New Roman" w:cs="Times New Roman"/>
                <w:color w:val="auto"/>
                <w:sz w:val="24"/>
                <w:szCs w:val="24"/>
                <w:highlight w:val="none"/>
              </w:rPr>
              <w:t>项目运行期</w:t>
            </w:r>
            <w:r>
              <w:rPr>
                <w:rFonts w:hint="eastAsia" w:ascii="Times New Roman" w:hAnsi="Times New Roman" w:cs="Times New Roman"/>
                <w:color w:val="auto"/>
                <w:sz w:val="24"/>
                <w:szCs w:val="24"/>
                <w:highlight w:val="none"/>
                <w:lang w:val="en-US" w:eastAsia="zh-CN"/>
              </w:rPr>
              <w:t>厂</w:t>
            </w:r>
            <w:r>
              <w:rPr>
                <w:rFonts w:hint="default" w:ascii="Times New Roman" w:hAnsi="Times New Roman" w:cs="Times New Roman"/>
                <w:color w:val="auto"/>
                <w:sz w:val="24"/>
                <w:szCs w:val="24"/>
                <w:highlight w:val="none"/>
              </w:rPr>
              <w:t>界噪声排放执行《工业企业厂界环境噪声排放标准》（GB 12348-2008）中3类标准，详见下表。</w:t>
            </w:r>
          </w:p>
          <w:p w14:paraId="2351FFC3">
            <w:pPr>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表7-</w:t>
            </w:r>
            <w:r>
              <w:rPr>
                <w:rFonts w:hint="eastAsia" w:cs="Times New Roman"/>
                <w:b/>
                <w:bCs/>
                <w:color w:val="auto"/>
                <w:szCs w:val="21"/>
                <w:highlight w:val="none"/>
                <w:lang w:val="en-US" w:eastAsia="zh-CN"/>
              </w:rPr>
              <w:t>6</w:t>
            </w:r>
            <w:r>
              <w:rPr>
                <w:rFonts w:hint="default" w:ascii="Times New Roman" w:hAnsi="Times New Roman" w:cs="Times New Roman"/>
                <w:b/>
                <w:bCs/>
                <w:color w:val="auto"/>
                <w:szCs w:val="21"/>
                <w:highlight w:val="none"/>
              </w:rPr>
              <w:t xml:space="preserve"> 噪声排放标准    </w:t>
            </w:r>
            <w:r>
              <w:rPr>
                <w:rFonts w:hint="default" w:ascii="Times New Roman" w:hAnsi="Times New Roman" w:cs="Times New Roman"/>
                <w:b/>
                <w:bCs/>
                <w:color w:val="auto"/>
                <w:szCs w:val="21"/>
                <w:highlight w:val="none"/>
                <w:lang w:val="zh-CN"/>
              </w:rPr>
              <w:t xml:space="preserve"> 单位：dB（A）</w:t>
            </w:r>
          </w:p>
          <w:tbl>
            <w:tblPr>
              <w:tblStyle w:val="92"/>
              <w:tblW w:w="4995"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793"/>
              <w:gridCol w:w="4742"/>
              <w:gridCol w:w="849"/>
              <w:gridCol w:w="713"/>
              <w:gridCol w:w="639"/>
            </w:tblGrid>
            <w:tr w14:paraId="5656AE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026" w:type="pct"/>
                  <w:tcBorders>
                    <w:tl2br w:val="nil"/>
                    <w:tr2bl w:val="nil"/>
                  </w:tcBorders>
                  <w:vAlign w:val="center"/>
                </w:tcPr>
                <w:p w14:paraId="3BF9BC0B">
                  <w:pPr>
                    <w:snapToGrid w:val="0"/>
                    <w:jc w:val="center"/>
                    <w:rPr>
                      <w:rFonts w:hint="default" w:ascii="Times New Roman" w:hAnsi="Times New Roman" w:cs="Times New Roman" w:eastAsiaTheme="minorEastAsia"/>
                      <w:b/>
                      <w:bCs/>
                      <w:color w:val="auto"/>
                      <w:spacing w:val="-2"/>
                      <w:szCs w:val="21"/>
                      <w:highlight w:val="none"/>
                      <w:lang w:eastAsia="en-US"/>
                    </w:rPr>
                  </w:pPr>
                  <w:r>
                    <w:rPr>
                      <w:rFonts w:hint="default" w:ascii="Times New Roman" w:hAnsi="Times New Roman" w:cs="Times New Roman" w:eastAsiaTheme="minorEastAsia"/>
                      <w:b/>
                      <w:bCs/>
                      <w:color w:val="auto"/>
                      <w:spacing w:val="-2"/>
                      <w:szCs w:val="21"/>
                      <w:highlight w:val="none"/>
                      <w:lang w:eastAsia="en-US"/>
                    </w:rPr>
                    <w:t>时段</w:t>
                  </w:r>
                </w:p>
              </w:tc>
              <w:tc>
                <w:tcPr>
                  <w:tcW w:w="2713" w:type="pct"/>
                  <w:tcBorders>
                    <w:tl2br w:val="nil"/>
                    <w:tr2bl w:val="nil"/>
                  </w:tcBorders>
                  <w:vAlign w:val="center"/>
                </w:tcPr>
                <w:p w14:paraId="3E569A19">
                  <w:pPr>
                    <w:snapToGrid w:val="0"/>
                    <w:jc w:val="center"/>
                    <w:rPr>
                      <w:rFonts w:hint="default" w:ascii="Times New Roman" w:hAnsi="Times New Roman" w:cs="Times New Roman" w:eastAsiaTheme="minorEastAsia"/>
                      <w:b/>
                      <w:bCs/>
                      <w:color w:val="auto"/>
                      <w:szCs w:val="21"/>
                      <w:highlight w:val="none"/>
                      <w:lang w:eastAsia="en-US"/>
                    </w:rPr>
                  </w:pPr>
                  <w:r>
                    <w:rPr>
                      <w:rFonts w:hint="default" w:ascii="Times New Roman" w:hAnsi="Times New Roman" w:cs="Times New Roman" w:eastAsiaTheme="minorEastAsia"/>
                      <w:b/>
                      <w:bCs/>
                      <w:color w:val="auto"/>
                      <w:spacing w:val="-2"/>
                      <w:szCs w:val="21"/>
                      <w:highlight w:val="none"/>
                      <w:lang w:eastAsia="en-US"/>
                    </w:rPr>
                    <w:t>标准</w:t>
                  </w:r>
                </w:p>
              </w:tc>
              <w:tc>
                <w:tcPr>
                  <w:tcW w:w="486" w:type="pct"/>
                  <w:tcBorders>
                    <w:tl2br w:val="nil"/>
                    <w:tr2bl w:val="nil"/>
                  </w:tcBorders>
                  <w:vAlign w:val="center"/>
                </w:tcPr>
                <w:p w14:paraId="205137BB">
                  <w:pPr>
                    <w:snapToGrid w:val="0"/>
                    <w:jc w:val="center"/>
                    <w:rPr>
                      <w:rFonts w:hint="default" w:ascii="Times New Roman" w:hAnsi="Times New Roman" w:cs="Times New Roman" w:eastAsiaTheme="minorEastAsia"/>
                      <w:b/>
                      <w:bCs/>
                      <w:color w:val="auto"/>
                      <w:szCs w:val="21"/>
                      <w:highlight w:val="none"/>
                      <w:lang w:eastAsia="en-US"/>
                    </w:rPr>
                  </w:pPr>
                  <w:r>
                    <w:rPr>
                      <w:rFonts w:hint="default" w:ascii="Times New Roman" w:hAnsi="Times New Roman" w:cs="Times New Roman" w:eastAsiaTheme="minorEastAsia"/>
                      <w:b/>
                      <w:bCs/>
                      <w:color w:val="auto"/>
                      <w:spacing w:val="-2"/>
                      <w:szCs w:val="21"/>
                      <w:highlight w:val="none"/>
                      <w:lang w:eastAsia="en-US"/>
                    </w:rPr>
                    <w:t>类别</w:t>
                  </w:r>
                </w:p>
              </w:tc>
              <w:tc>
                <w:tcPr>
                  <w:tcW w:w="408" w:type="pct"/>
                  <w:tcBorders>
                    <w:tl2br w:val="nil"/>
                    <w:tr2bl w:val="nil"/>
                  </w:tcBorders>
                  <w:vAlign w:val="center"/>
                </w:tcPr>
                <w:p w14:paraId="78C301FD">
                  <w:pPr>
                    <w:snapToGrid w:val="0"/>
                    <w:jc w:val="center"/>
                    <w:rPr>
                      <w:rFonts w:hint="default" w:ascii="Times New Roman" w:hAnsi="Times New Roman" w:cs="Times New Roman" w:eastAsiaTheme="minorEastAsia"/>
                      <w:b/>
                      <w:bCs/>
                      <w:color w:val="auto"/>
                      <w:szCs w:val="21"/>
                      <w:highlight w:val="none"/>
                      <w:lang w:eastAsia="en-US"/>
                    </w:rPr>
                  </w:pPr>
                  <w:r>
                    <w:rPr>
                      <w:rFonts w:hint="default" w:ascii="Times New Roman" w:hAnsi="Times New Roman" w:cs="Times New Roman" w:eastAsiaTheme="minorEastAsia"/>
                      <w:b/>
                      <w:bCs/>
                      <w:color w:val="auto"/>
                      <w:spacing w:val="-2"/>
                      <w:szCs w:val="21"/>
                      <w:highlight w:val="none"/>
                      <w:lang w:eastAsia="en-US"/>
                    </w:rPr>
                    <w:t>昼间</w:t>
                  </w:r>
                </w:p>
              </w:tc>
              <w:tc>
                <w:tcPr>
                  <w:tcW w:w="365" w:type="pct"/>
                  <w:tcBorders>
                    <w:tl2br w:val="nil"/>
                    <w:tr2bl w:val="nil"/>
                  </w:tcBorders>
                  <w:vAlign w:val="center"/>
                </w:tcPr>
                <w:p w14:paraId="3A7B6721">
                  <w:pPr>
                    <w:snapToGrid w:val="0"/>
                    <w:jc w:val="center"/>
                    <w:rPr>
                      <w:rFonts w:hint="default" w:ascii="Times New Roman" w:hAnsi="Times New Roman" w:cs="Times New Roman" w:eastAsiaTheme="minorEastAsia"/>
                      <w:b/>
                      <w:bCs/>
                      <w:color w:val="auto"/>
                      <w:szCs w:val="21"/>
                      <w:highlight w:val="none"/>
                      <w:lang w:eastAsia="en-US"/>
                    </w:rPr>
                  </w:pPr>
                  <w:r>
                    <w:rPr>
                      <w:rFonts w:hint="default" w:ascii="Times New Roman" w:hAnsi="Times New Roman" w:cs="Times New Roman" w:eastAsiaTheme="minorEastAsia"/>
                      <w:b/>
                      <w:bCs/>
                      <w:color w:val="auto"/>
                      <w:spacing w:val="-3"/>
                      <w:szCs w:val="21"/>
                      <w:highlight w:val="none"/>
                      <w:lang w:eastAsia="en-US"/>
                    </w:rPr>
                    <w:t>夜间</w:t>
                  </w:r>
                </w:p>
              </w:tc>
            </w:tr>
            <w:tr w14:paraId="7BEDAE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26" w:type="pct"/>
                  <w:tcBorders>
                    <w:tl2br w:val="nil"/>
                    <w:tr2bl w:val="nil"/>
                  </w:tcBorders>
                  <w:vAlign w:val="center"/>
                </w:tcPr>
                <w:p w14:paraId="5D4AA23A">
                  <w:pPr>
                    <w:snapToGrid w:val="0"/>
                    <w:jc w:val="center"/>
                    <w:rPr>
                      <w:rFonts w:hint="default" w:ascii="Times New Roman" w:hAnsi="Times New Roman" w:cs="Times New Roman" w:eastAsiaTheme="minorEastAsia"/>
                      <w:color w:val="auto"/>
                      <w:spacing w:val="-5"/>
                      <w:szCs w:val="21"/>
                      <w:highlight w:val="none"/>
                      <w:lang w:eastAsia="en-US"/>
                    </w:rPr>
                  </w:pPr>
                  <w:r>
                    <w:rPr>
                      <w:rFonts w:hint="default" w:ascii="Times New Roman" w:hAnsi="Times New Roman" w:cs="Times New Roman" w:eastAsiaTheme="minorEastAsia"/>
                      <w:color w:val="auto"/>
                      <w:spacing w:val="-5"/>
                      <w:szCs w:val="21"/>
                      <w:highlight w:val="none"/>
                      <w:lang w:eastAsia="en-US"/>
                    </w:rPr>
                    <w:t>施工期</w:t>
                  </w:r>
                </w:p>
              </w:tc>
              <w:tc>
                <w:tcPr>
                  <w:tcW w:w="2713" w:type="pct"/>
                  <w:tcBorders>
                    <w:tl2br w:val="nil"/>
                    <w:tr2bl w:val="nil"/>
                  </w:tcBorders>
                  <w:vAlign w:val="center"/>
                </w:tcPr>
                <w:p w14:paraId="60DE90CE">
                  <w:pPr>
                    <w:snapToGrid w:val="0"/>
                    <w:jc w:val="center"/>
                    <w:rPr>
                      <w:rFonts w:hint="default" w:ascii="Times New Roman" w:hAnsi="Times New Roman" w:eastAsia="Times New Roman" w:cs="Times New Roman"/>
                      <w:color w:val="auto"/>
                      <w:szCs w:val="21"/>
                      <w:highlight w:val="none"/>
                      <w:lang w:eastAsia="zh-CN"/>
                    </w:rPr>
                  </w:pPr>
                  <w:r>
                    <w:rPr>
                      <w:rFonts w:hint="default" w:ascii="Times New Roman" w:hAnsi="Times New Roman" w:cs="Times New Roman" w:eastAsiaTheme="minorEastAsia"/>
                      <w:color w:val="auto"/>
                      <w:spacing w:val="-5"/>
                      <w:szCs w:val="21"/>
                      <w:highlight w:val="none"/>
                      <w:lang w:eastAsia="zh-CN"/>
                    </w:rPr>
                    <w:t>《建筑施工场界环境噪声排放标准》（GB12523-2011）</w:t>
                  </w:r>
                </w:p>
              </w:tc>
              <w:tc>
                <w:tcPr>
                  <w:tcW w:w="486" w:type="pct"/>
                  <w:tcBorders>
                    <w:tl2br w:val="nil"/>
                    <w:tr2bl w:val="nil"/>
                  </w:tcBorders>
                  <w:vAlign w:val="center"/>
                </w:tcPr>
                <w:p w14:paraId="702488F4">
                  <w:pPr>
                    <w:snapToGrid w:val="0"/>
                    <w:jc w:val="center"/>
                    <w:rPr>
                      <w:rFonts w:hint="default" w:ascii="Times New Roman" w:hAnsi="Times New Roman" w:cs="Times New Roman" w:eastAsiaTheme="minorEastAsia"/>
                      <w:color w:val="auto"/>
                      <w:szCs w:val="21"/>
                      <w:highlight w:val="none"/>
                      <w:lang w:eastAsia="en-US"/>
                    </w:rPr>
                  </w:pPr>
                  <w:r>
                    <w:rPr>
                      <w:rFonts w:hint="default" w:ascii="Times New Roman" w:hAnsi="Times New Roman" w:cs="Times New Roman" w:eastAsiaTheme="minorEastAsia"/>
                      <w:color w:val="auto"/>
                      <w:spacing w:val="-5"/>
                      <w:szCs w:val="21"/>
                      <w:highlight w:val="none"/>
                      <w:lang w:eastAsia="en-US"/>
                    </w:rPr>
                    <w:t>/</w:t>
                  </w:r>
                </w:p>
              </w:tc>
              <w:tc>
                <w:tcPr>
                  <w:tcW w:w="408" w:type="pct"/>
                  <w:tcBorders>
                    <w:tl2br w:val="nil"/>
                    <w:tr2bl w:val="nil"/>
                  </w:tcBorders>
                  <w:vAlign w:val="center"/>
                </w:tcPr>
                <w:p w14:paraId="6808EF5C">
                  <w:pPr>
                    <w:snapToGrid w:val="0"/>
                    <w:jc w:val="center"/>
                    <w:rPr>
                      <w:rFonts w:hint="default" w:ascii="Times New Roman" w:hAnsi="Times New Roman" w:cs="Times New Roman" w:eastAsiaTheme="minorEastAsia"/>
                      <w:color w:val="auto"/>
                      <w:szCs w:val="21"/>
                      <w:highlight w:val="none"/>
                      <w:lang w:eastAsia="en-US"/>
                    </w:rPr>
                  </w:pPr>
                  <w:r>
                    <w:rPr>
                      <w:rFonts w:hint="default" w:ascii="Times New Roman" w:hAnsi="Times New Roman" w:cs="Times New Roman" w:eastAsiaTheme="minorEastAsia"/>
                      <w:color w:val="auto"/>
                      <w:spacing w:val="-2"/>
                      <w:szCs w:val="21"/>
                      <w:highlight w:val="none"/>
                      <w:lang w:eastAsia="en-US"/>
                    </w:rPr>
                    <w:t>70</w:t>
                  </w:r>
                </w:p>
              </w:tc>
              <w:tc>
                <w:tcPr>
                  <w:tcW w:w="365" w:type="pct"/>
                  <w:tcBorders>
                    <w:tl2br w:val="nil"/>
                    <w:tr2bl w:val="nil"/>
                  </w:tcBorders>
                  <w:vAlign w:val="center"/>
                </w:tcPr>
                <w:p w14:paraId="6697A21A">
                  <w:pPr>
                    <w:snapToGrid w:val="0"/>
                    <w:jc w:val="center"/>
                    <w:rPr>
                      <w:rFonts w:hint="default" w:ascii="Times New Roman" w:hAnsi="Times New Roman" w:cs="Times New Roman" w:eastAsiaTheme="minorEastAsia"/>
                      <w:color w:val="auto"/>
                      <w:szCs w:val="21"/>
                      <w:highlight w:val="none"/>
                      <w:lang w:eastAsia="en-US"/>
                    </w:rPr>
                  </w:pPr>
                  <w:r>
                    <w:rPr>
                      <w:rFonts w:hint="default" w:ascii="Times New Roman" w:hAnsi="Times New Roman" w:eastAsia="Times New Roman" w:cs="Times New Roman"/>
                      <w:color w:val="auto"/>
                      <w:spacing w:val="-3"/>
                      <w:szCs w:val="21"/>
                      <w:highlight w:val="none"/>
                      <w:lang w:eastAsia="en-US"/>
                    </w:rPr>
                    <w:t>5</w:t>
                  </w:r>
                  <w:r>
                    <w:rPr>
                      <w:rFonts w:hint="default" w:ascii="Times New Roman" w:hAnsi="Times New Roman" w:cs="Times New Roman" w:eastAsiaTheme="minorEastAsia"/>
                      <w:color w:val="auto"/>
                      <w:spacing w:val="-3"/>
                      <w:szCs w:val="21"/>
                      <w:highlight w:val="none"/>
                      <w:lang w:eastAsia="en-US"/>
                    </w:rPr>
                    <w:t>5</w:t>
                  </w:r>
                </w:p>
              </w:tc>
            </w:tr>
            <w:tr w14:paraId="6A2D0A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26" w:type="pct"/>
                  <w:tcBorders>
                    <w:tl2br w:val="nil"/>
                    <w:tr2bl w:val="nil"/>
                  </w:tcBorders>
                  <w:vAlign w:val="center"/>
                </w:tcPr>
                <w:p w14:paraId="5B95BFEF">
                  <w:pPr>
                    <w:snapToGrid w:val="0"/>
                    <w:jc w:val="center"/>
                    <w:rPr>
                      <w:rFonts w:hint="default" w:ascii="Times New Roman" w:hAnsi="Times New Roman" w:cs="Times New Roman" w:eastAsiaTheme="minorEastAsia"/>
                      <w:color w:val="auto"/>
                      <w:spacing w:val="-5"/>
                      <w:szCs w:val="21"/>
                      <w:highlight w:val="none"/>
                      <w:lang w:eastAsia="en-US"/>
                    </w:rPr>
                  </w:pPr>
                  <w:r>
                    <w:rPr>
                      <w:rFonts w:hint="default" w:ascii="Times New Roman" w:hAnsi="Times New Roman" w:cs="Times New Roman" w:eastAsiaTheme="minorEastAsia"/>
                      <w:color w:val="auto"/>
                      <w:spacing w:val="-5"/>
                      <w:szCs w:val="21"/>
                      <w:highlight w:val="none"/>
                      <w:lang w:eastAsia="en-US"/>
                    </w:rPr>
                    <w:t>运行期</w:t>
                  </w:r>
                </w:p>
              </w:tc>
              <w:tc>
                <w:tcPr>
                  <w:tcW w:w="2713" w:type="pct"/>
                  <w:tcBorders>
                    <w:tl2br w:val="nil"/>
                    <w:tr2bl w:val="nil"/>
                  </w:tcBorders>
                  <w:vAlign w:val="center"/>
                </w:tcPr>
                <w:p w14:paraId="71077C76">
                  <w:pPr>
                    <w:snapToGrid w:val="0"/>
                    <w:jc w:val="center"/>
                    <w:rPr>
                      <w:rFonts w:hint="default" w:ascii="Times New Roman" w:hAnsi="Times New Roman" w:cs="Times New Roman" w:eastAsiaTheme="minorEastAsia"/>
                      <w:color w:val="auto"/>
                      <w:spacing w:val="-5"/>
                      <w:szCs w:val="21"/>
                      <w:highlight w:val="none"/>
                      <w:lang w:eastAsia="zh-CN"/>
                    </w:rPr>
                  </w:pPr>
                  <w:r>
                    <w:rPr>
                      <w:rFonts w:hint="default" w:ascii="Times New Roman" w:hAnsi="Times New Roman" w:cs="Times New Roman" w:eastAsiaTheme="minorEastAsia"/>
                      <w:color w:val="auto"/>
                      <w:spacing w:val="-5"/>
                      <w:szCs w:val="21"/>
                      <w:highlight w:val="none"/>
                      <w:lang w:eastAsia="zh-CN"/>
                    </w:rPr>
                    <w:t>《工业企业厂界环境噪声排放标准》</w:t>
                  </w:r>
                  <w:r>
                    <w:rPr>
                      <w:rFonts w:hint="default" w:ascii="Times New Roman" w:hAnsi="Times New Roman" w:cs="Times New Roman" w:eastAsiaTheme="minorEastAsia"/>
                      <w:color w:val="auto"/>
                      <w:spacing w:val="39"/>
                      <w:szCs w:val="21"/>
                      <w:highlight w:val="none"/>
                      <w:lang w:eastAsia="zh-CN"/>
                    </w:rPr>
                    <w:t xml:space="preserve"> </w:t>
                  </w:r>
                  <w:r>
                    <w:rPr>
                      <w:rFonts w:hint="default" w:ascii="Times New Roman" w:hAnsi="Times New Roman" w:eastAsia="Times New Roman" w:cs="Times New Roman"/>
                      <w:color w:val="auto"/>
                      <w:spacing w:val="-5"/>
                      <w:szCs w:val="21"/>
                      <w:highlight w:val="none"/>
                      <w:lang w:eastAsia="zh-CN"/>
                    </w:rPr>
                    <w:t>(GB12348-2008)</w:t>
                  </w:r>
                </w:p>
              </w:tc>
              <w:tc>
                <w:tcPr>
                  <w:tcW w:w="486" w:type="pct"/>
                  <w:tcBorders>
                    <w:tl2br w:val="nil"/>
                    <w:tr2bl w:val="nil"/>
                  </w:tcBorders>
                  <w:vAlign w:val="center"/>
                </w:tcPr>
                <w:p w14:paraId="18E69AD7">
                  <w:pPr>
                    <w:snapToGrid w:val="0"/>
                    <w:jc w:val="center"/>
                    <w:rPr>
                      <w:rFonts w:hint="default" w:ascii="Times New Roman" w:hAnsi="Times New Roman" w:cs="Times New Roman" w:eastAsiaTheme="minorEastAsia"/>
                      <w:color w:val="auto"/>
                      <w:spacing w:val="-5"/>
                      <w:szCs w:val="21"/>
                      <w:highlight w:val="none"/>
                      <w:lang w:eastAsia="zh-CN"/>
                    </w:rPr>
                  </w:pPr>
                  <w:r>
                    <w:rPr>
                      <w:rFonts w:hint="default" w:ascii="Times New Roman" w:hAnsi="Times New Roman" w:cs="Times New Roman" w:eastAsiaTheme="minorEastAsia"/>
                      <w:color w:val="auto"/>
                      <w:spacing w:val="-5"/>
                      <w:szCs w:val="21"/>
                      <w:highlight w:val="none"/>
                      <w:lang w:eastAsia="zh-CN"/>
                    </w:rPr>
                    <w:t>3类</w:t>
                  </w:r>
                </w:p>
              </w:tc>
              <w:tc>
                <w:tcPr>
                  <w:tcW w:w="408" w:type="pct"/>
                  <w:tcBorders>
                    <w:tl2br w:val="nil"/>
                    <w:tr2bl w:val="nil"/>
                  </w:tcBorders>
                  <w:vAlign w:val="center"/>
                </w:tcPr>
                <w:p w14:paraId="21516900">
                  <w:pPr>
                    <w:snapToGrid w:val="0"/>
                    <w:jc w:val="center"/>
                    <w:rPr>
                      <w:rFonts w:hint="default" w:ascii="Times New Roman" w:hAnsi="Times New Roman" w:eastAsia="Times New Roman" w:cs="Times New Roman"/>
                      <w:color w:val="auto"/>
                      <w:spacing w:val="-2"/>
                      <w:szCs w:val="21"/>
                      <w:highlight w:val="none"/>
                      <w:lang w:eastAsia="zh-CN"/>
                    </w:rPr>
                  </w:pPr>
                  <w:r>
                    <w:rPr>
                      <w:rFonts w:hint="default" w:ascii="Times New Roman" w:hAnsi="Times New Roman" w:eastAsia="Times New Roman" w:cs="Times New Roman"/>
                      <w:color w:val="auto"/>
                      <w:spacing w:val="-2"/>
                      <w:szCs w:val="21"/>
                      <w:highlight w:val="none"/>
                      <w:lang w:eastAsia="zh-CN"/>
                    </w:rPr>
                    <w:t>6</w:t>
                  </w:r>
                  <w:r>
                    <w:rPr>
                      <w:rFonts w:hint="default" w:ascii="Times New Roman" w:hAnsi="Times New Roman" w:cs="Times New Roman" w:eastAsiaTheme="minorEastAsia"/>
                      <w:color w:val="auto"/>
                      <w:spacing w:val="-2"/>
                      <w:szCs w:val="21"/>
                      <w:highlight w:val="none"/>
                      <w:lang w:eastAsia="zh-CN"/>
                    </w:rPr>
                    <w:t>5</w:t>
                  </w:r>
                </w:p>
              </w:tc>
              <w:tc>
                <w:tcPr>
                  <w:tcW w:w="365" w:type="pct"/>
                  <w:tcBorders>
                    <w:tl2br w:val="nil"/>
                    <w:tr2bl w:val="nil"/>
                  </w:tcBorders>
                  <w:vAlign w:val="center"/>
                </w:tcPr>
                <w:p w14:paraId="19776580">
                  <w:pPr>
                    <w:snapToGrid w:val="0"/>
                    <w:jc w:val="center"/>
                    <w:rPr>
                      <w:rFonts w:hint="default" w:ascii="Times New Roman" w:hAnsi="Times New Roman" w:eastAsia="Times New Roman" w:cs="Times New Roman"/>
                      <w:color w:val="auto"/>
                      <w:spacing w:val="-3"/>
                      <w:szCs w:val="21"/>
                      <w:highlight w:val="none"/>
                      <w:lang w:eastAsia="zh-CN"/>
                    </w:rPr>
                  </w:pPr>
                  <w:r>
                    <w:rPr>
                      <w:rFonts w:hint="default" w:ascii="Times New Roman" w:hAnsi="Times New Roman" w:eastAsia="Times New Roman" w:cs="Times New Roman"/>
                      <w:color w:val="auto"/>
                      <w:spacing w:val="-3"/>
                      <w:szCs w:val="21"/>
                      <w:highlight w:val="none"/>
                      <w:lang w:eastAsia="zh-CN"/>
                    </w:rPr>
                    <w:t>5</w:t>
                  </w:r>
                  <w:r>
                    <w:rPr>
                      <w:rFonts w:hint="default" w:ascii="Times New Roman" w:hAnsi="Times New Roman" w:cs="Times New Roman" w:eastAsiaTheme="minorEastAsia"/>
                      <w:color w:val="auto"/>
                      <w:spacing w:val="-3"/>
                      <w:szCs w:val="21"/>
                      <w:highlight w:val="none"/>
                      <w:lang w:eastAsia="zh-CN"/>
                    </w:rPr>
                    <w:t>5</w:t>
                  </w:r>
                </w:p>
              </w:tc>
            </w:tr>
          </w:tbl>
          <w:p w14:paraId="383CEA51">
            <w:pPr>
              <w:autoSpaceDE w:val="0"/>
              <w:autoSpaceDN w:val="0"/>
              <w:adjustRightInd w:val="0"/>
              <w:snapToGrid w:val="0"/>
              <w:spacing w:line="360" w:lineRule="auto"/>
              <w:ind w:firstLine="480" w:firstLineChars="200"/>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②废水</w:t>
            </w:r>
          </w:p>
          <w:p w14:paraId="63D54B85">
            <w:pPr>
              <w:keepNext w:val="0"/>
              <w:keepLines w:val="0"/>
              <w:pageBreakBefore w:val="0"/>
              <w:widowControl w:val="0"/>
              <w:kinsoku/>
              <w:wordWrap/>
              <w:overflowPunct/>
              <w:topLinePunct w:val="0"/>
              <w:bidi w:val="0"/>
              <w:adjustRightInd/>
              <w:snapToGrid/>
              <w:spacing w:line="360" w:lineRule="auto"/>
              <w:ind w:firstLine="508" w:firstLineChars="200"/>
              <w:textAlignment w:val="auto"/>
              <w:rPr>
                <w:rFonts w:hint="eastAsia" w:ascii="Times New Roman" w:hAnsi="Times New Roman" w:eastAsia="宋体" w:cs="Times New Roman"/>
                <w:snapToGrid w:val="0"/>
                <w:color w:val="auto"/>
                <w:spacing w:val="7"/>
                <w:kern w:val="0"/>
                <w:sz w:val="24"/>
                <w:szCs w:val="24"/>
                <w:highlight w:val="none"/>
                <w:lang w:val="en-US" w:eastAsia="zh-CN"/>
              </w:rPr>
            </w:pPr>
            <w:r>
              <w:rPr>
                <w:rFonts w:hint="eastAsia" w:cs="Times New Roman"/>
                <w:snapToGrid w:val="0"/>
                <w:color w:val="auto"/>
                <w:spacing w:val="7"/>
                <w:kern w:val="0"/>
                <w:sz w:val="24"/>
                <w:szCs w:val="24"/>
                <w:highlight w:val="none"/>
                <w:lang w:val="en-US" w:eastAsia="zh-CN"/>
              </w:rPr>
              <w:t>本</w:t>
            </w:r>
            <w:r>
              <w:rPr>
                <w:rFonts w:hint="eastAsia" w:ascii="Times New Roman" w:hAnsi="Times New Roman" w:eastAsia="宋体" w:cs="Times New Roman"/>
                <w:snapToGrid w:val="0"/>
                <w:color w:val="auto"/>
                <w:spacing w:val="7"/>
                <w:kern w:val="0"/>
                <w:sz w:val="24"/>
                <w:szCs w:val="24"/>
                <w:highlight w:val="none"/>
                <w:lang w:val="en-US" w:eastAsia="zh-CN"/>
              </w:rPr>
              <w:t>项目</w:t>
            </w:r>
            <w:r>
              <w:rPr>
                <w:rFonts w:hint="eastAsia" w:cs="Times New Roman"/>
                <w:snapToGrid w:val="0"/>
                <w:color w:val="auto"/>
                <w:spacing w:val="7"/>
                <w:kern w:val="0"/>
                <w:sz w:val="24"/>
                <w:szCs w:val="24"/>
                <w:highlight w:val="none"/>
                <w:lang w:val="en-US" w:eastAsia="zh-CN"/>
              </w:rPr>
              <w:t>拟定的2名辐射工作人员，均由现有厂区进行调剂，不新增劳动定员，无新增生活污水排放。</w:t>
            </w:r>
          </w:p>
          <w:p w14:paraId="0BED79C4">
            <w:pPr>
              <w:autoSpaceDE w:val="0"/>
              <w:autoSpaceDN w:val="0"/>
              <w:adjustRightInd w:val="0"/>
              <w:snapToGrid w:val="0"/>
              <w:spacing w:line="360" w:lineRule="auto"/>
              <w:ind w:firstLine="480" w:firstLineChars="200"/>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③废气</w:t>
            </w:r>
          </w:p>
          <w:p w14:paraId="65FDAC07">
            <w:pPr>
              <w:keepNext w:val="0"/>
              <w:keepLines w:val="0"/>
              <w:pageBreakBefore w:val="0"/>
              <w:widowControl w:val="0"/>
              <w:kinsoku/>
              <w:wordWrap/>
              <w:overflowPunct/>
              <w:topLinePunct w:val="0"/>
              <w:bidi w:val="0"/>
              <w:adjustRightInd/>
              <w:snapToGrid/>
              <w:spacing w:line="360" w:lineRule="auto"/>
              <w:ind w:firstLine="508" w:firstLineChars="200"/>
              <w:textAlignment w:val="auto"/>
              <w:rPr>
                <w:rFonts w:hint="eastAsia" w:ascii="宋体" w:hAnsi="宋体" w:eastAsia="宋体" w:cs="宋体"/>
                <w:b/>
                <w:bCs/>
                <w:color w:val="auto"/>
                <w:kern w:val="0"/>
                <w:sz w:val="21"/>
                <w:szCs w:val="21"/>
                <w:lang w:val="en-US" w:eastAsia="zh-CN" w:bidi="ar"/>
              </w:rPr>
            </w:pPr>
            <w:r>
              <w:rPr>
                <w:rFonts w:hint="eastAsia" w:ascii="Times New Roman" w:hAnsi="Times New Roman" w:eastAsia="宋体" w:cs="Times New Roman"/>
                <w:snapToGrid w:val="0"/>
                <w:color w:val="auto"/>
                <w:spacing w:val="7"/>
                <w:kern w:val="0"/>
                <w:sz w:val="24"/>
                <w:szCs w:val="24"/>
                <w:highlight w:val="none"/>
                <w:lang w:val="en-US" w:eastAsia="zh-CN"/>
              </w:rPr>
              <w:t>施工期颗粒物排放执行《大气污染物综合排放标准》（GB16297-1996）中厂界无组织排放监控浓度限值。</w:t>
            </w:r>
          </w:p>
          <w:p w14:paraId="5A0D897E">
            <w:pPr>
              <w:keepNext w:val="0"/>
              <w:keepLines w:val="0"/>
              <w:widowControl/>
              <w:suppressLineNumbers w:val="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表7-</w:t>
            </w:r>
            <w:r>
              <w:rPr>
                <w:rFonts w:hint="default" w:ascii="Times New Roman" w:hAnsi="Times New Roman" w:cs="Times New Roman"/>
                <w:b/>
                <w:bCs/>
                <w:color w:val="auto"/>
                <w:kern w:val="0"/>
                <w:sz w:val="21"/>
                <w:szCs w:val="21"/>
                <w:lang w:val="en-US" w:eastAsia="zh-CN" w:bidi="ar"/>
              </w:rPr>
              <w:t>7</w:t>
            </w:r>
            <w:r>
              <w:rPr>
                <w:rFonts w:hint="default" w:ascii="Times New Roman" w:hAnsi="Times New Roman" w:eastAsia="宋体" w:cs="Times New Roman"/>
                <w:b/>
                <w:bCs/>
                <w:color w:val="auto"/>
                <w:kern w:val="0"/>
                <w:sz w:val="21"/>
                <w:szCs w:val="21"/>
                <w:lang w:val="en-US" w:eastAsia="zh-CN" w:bidi="ar"/>
              </w:rPr>
              <w:t xml:space="preserve"> 施工期大气污染排放标准</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4"/>
              <w:gridCol w:w="2351"/>
              <w:gridCol w:w="4160"/>
            </w:tblGrid>
            <w:tr w14:paraId="09879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7" w:type="pct"/>
                </w:tcPr>
                <w:p w14:paraId="62A58492">
                  <w:pPr>
                    <w:widowControl/>
                    <w:spacing w:line="240" w:lineRule="auto"/>
                    <w:ind w:firstLine="0" w:firstLineChars="0"/>
                    <w:jc w:val="center"/>
                    <w:rPr>
                      <w:rFonts w:hint="eastAsia" w:ascii="Times New Roman" w:hAnsi="Times New Roman" w:eastAsia="宋体" w:cs="Times New Roman"/>
                      <w:b/>
                      <w:bCs w:val="0"/>
                      <w:color w:val="auto"/>
                      <w:kern w:val="0"/>
                      <w:sz w:val="21"/>
                      <w:szCs w:val="21"/>
                      <w:lang w:val="en-US" w:eastAsia="zh-CN"/>
                    </w:rPr>
                  </w:pPr>
                  <w:r>
                    <w:rPr>
                      <w:rFonts w:hint="eastAsia" w:ascii="Times New Roman" w:hAnsi="Times New Roman" w:eastAsia="宋体" w:cs="Times New Roman"/>
                      <w:b/>
                      <w:bCs w:val="0"/>
                      <w:color w:val="auto"/>
                      <w:kern w:val="0"/>
                      <w:sz w:val="21"/>
                      <w:szCs w:val="21"/>
                      <w:lang w:val="en-US" w:eastAsia="zh-CN"/>
                    </w:rPr>
                    <w:t>污染物</w:t>
                  </w:r>
                </w:p>
              </w:tc>
              <w:tc>
                <w:tcPr>
                  <w:tcW w:w="1344" w:type="pct"/>
                </w:tcPr>
                <w:p w14:paraId="17101B3D">
                  <w:pPr>
                    <w:widowControl/>
                    <w:spacing w:line="240" w:lineRule="auto"/>
                    <w:ind w:firstLine="0" w:firstLineChars="0"/>
                    <w:jc w:val="center"/>
                    <w:rPr>
                      <w:rFonts w:hint="eastAsia" w:ascii="Times New Roman" w:hAnsi="Times New Roman" w:eastAsia="宋体" w:cs="Times New Roman"/>
                      <w:b/>
                      <w:bCs w:val="0"/>
                      <w:color w:val="auto"/>
                      <w:kern w:val="0"/>
                      <w:sz w:val="21"/>
                      <w:szCs w:val="21"/>
                      <w:lang w:val="en-US" w:eastAsia="zh-CN"/>
                    </w:rPr>
                  </w:pPr>
                  <w:r>
                    <w:rPr>
                      <w:rFonts w:hint="eastAsia" w:ascii="Times New Roman" w:hAnsi="Times New Roman" w:eastAsia="宋体" w:cs="Times New Roman"/>
                      <w:b/>
                      <w:bCs w:val="0"/>
                      <w:color w:val="auto"/>
                      <w:kern w:val="0"/>
                      <w:sz w:val="21"/>
                      <w:szCs w:val="21"/>
                      <w:lang w:val="en-US" w:eastAsia="zh-CN"/>
                    </w:rPr>
                    <w:t>监控点</w:t>
                  </w:r>
                </w:p>
              </w:tc>
              <w:tc>
                <w:tcPr>
                  <w:tcW w:w="2377" w:type="pct"/>
                </w:tcPr>
                <w:p w14:paraId="1607A92E">
                  <w:pPr>
                    <w:widowControl/>
                    <w:spacing w:line="240" w:lineRule="auto"/>
                    <w:ind w:firstLine="0" w:firstLineChars="0"/>
                    <w:jc w:val="center"/>
                    <w:rPr>
                      <w:rFonts w:hint="eastAsia" w:ascii="Times New Roman" w:hAnsi="Times New Roman" w:eastAsia="宋体" w:cs="Times New Roman"/>
                      <w:b/>
                      <w:bCs w:val="0"/>
                      <w:color w:val="auto"/>
                      <w:kern w:val="0"/>
                      <w:sz w:val="21"/>
                      <w:szCs w:val="21"/>
                      <w:lang w:val="en-US" w:eastAsia="zh-CN"/>
                    </w:rPr>
                  </w:pPr>
                  <w:r>
                    <w:rPr>
                      <w:rFonts w:hint="eastAsia" w:ascii="Times New Roman" w:hAnsi="Times New Roman" w:eastAsia="宋体" w:cs="Times New Roman"/>
                      <w:b/>
                      <w:bCs w:val="0"/>
                      <w:color w:val="auto"/>
                      <w:kern w:val="0"/>
                      <w:sz w:val="21"/>
                      <w:szCs w:val="21"/>
                      <w:lang w:val="en-US" w:eastAsia="zh-CN"/>
                    </w:rPr>
                    <w:t>厂界无组织排放浓度限值（</w:t>
                  </w:r>
                  <w:r>
                    <w:rPr>
                      <w:rFonts w:hint="default" w:ascii="Times New Roman" w:hAnsi="Times New Roman" w:eastAsia="宋体" w:cs="Times New Roman"/>
                      <w:b/>
                      <w:bCs w:val="0"/>
                      <w:color w:val="auto"/>
                      <w:kern w:val="0"/>
                      <w:sz w:val="21"/>
                      <w:szCs w:val="21"/>
                      <w:lang w:val="en-US" w:eastAsia="zh-CN"/>
                    </w:rPr>
                    <w:t>mg/m</w:t>
                  </w:r>
                  <w:r>
                    <w:rPr>
                      <w:rFonts w:hint="default" w:ascii="Times New Roman" w:hAnsi="Times New Roman" w:eastAsia="宋体" w:cs="Times New Roman"/>
                      <w:b/>
                      <w:bCs w:val="0"/>
                      <w:color w:val="auto"/>
                      <w:kern w:val="0"/>
                      <w:sz w:val="21"/>
                      <w:szCs w:val="21"/>
                      <w:vertAlign w:val="superscript"/>
                      <w:lang w:val="en-US" w:eastAsia="zh-CN"/>
                    </w:rPr>
                    <w:t>3</w:t>
                  </w:r>
                  <w:r>
                    <w:rPr>
                      <w:rFonts w:hint="eastAsia" w:ascii="Times New Roman" w:hAnsi="Times New Roman" w:eastAsia="宋体" w:cs="Times New Roman"/>
                      <w:b/>
                      <w:bCs w:val="0"/>
                      <w:color w:val="auto"/>
                      <w:kern w:val="0"/>
                      <w:sz w:val="21"/>
                      <w:szCs w:val="21"/>
                      <w:lang w:val="en-US" w:eastAsia="zh-CN"/>
                    </w:rPr>
                    <w:t>）</w:t>
                  </w:r>
                </w:p>
              </w:tc>
            </w:tr>
            <w:tr w14:paraId="436B1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7" w:type="pct"/>
                </w:tcPr>
                <w:p w14:paraId="49FE8C00">
                  <w:pPr>
                    <w:widowControl/>
                    <w:spacing w:line="240" w:lineRule="auto"/>
                    <w:ind w:firstLine="0" w:firstLineChars="0"/>
                    <w:jc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颗粒物</w:t>
                  </w:r>
                </w:p>
              </w:tc>
              <w:tc>
                <w:tcPr>
                  <w:tcW w:w="1344" w:type="pct"/>
                </w:tcPr>
                <w:p w14:paraId="39C70E5F">
                  <w:pPr>
                    <w:widowControl/>
                    <w:spacing w:line="240" w:lineRule="auto"/>
                    <w:ind w:firstLine="0" w:firstLineChars="0"/>
                    <w:jc w:val="center"/>
                    <w:rPr>
                      <w:rFonts w:hint="eastAsia"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 xml:space="preserve">周界外浓度最高点 </w:t>
                  </w:r>
                </w:p>
              </w:tc>
              <w:tc>
                <w:tcPr>
                  <w:tcW w:w="2377" w:type="pct"/>
                </w:tcPr>
                <w:p w14:paraId="6D291591">
                  <w:pPr>
                    <w:widowControl/>
                    <w:spacing w:line="240" w:lineRule="auto"/>
                    <w:ind w:firstLine="0" w:firstLineChars="0"/>
                    <w:jc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1.0</w:t>
                  </w:r>
                </w:p>
              </w:tc>
            </w:tr>
          </w:tbl>
          <w:p w14:paraId="78D0E886">
            <w:pPr>
              <w:autoSpaceDE w:val="0"/>
              <w:autoSpaceDN w:val="0"/>
              <w:adjustRightInd w:val="0"/>
              <w:snapToGrid w:val="0"/>
              <w:spacing w:line="360" w:lineRule="auto"/>
              <w:ind w:firstLine="480"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w:t>
            </w:r>
            <w:r>
              <w:rPr>
                <w:rFonts w:hint="default" w:ascii="Times New Roman" w:hAnsi="Times New Roman" w:cs="Times New Roman"/>
                <w:b/>
                <w:bCs/>
                <w:color w:val="auto"/>
                <w:sz w:val="24"/>
                <w:szCs w:val="24"/>
                <w:highlight w:val="none"/>
                <w:lang w:val="en-US" w:eastAsia="zh-CN"/>
              </w:rPr>
              <w:t>6</w:t>
            </w:r>
            <w:r>
              <w:rPr>
                <w:rFonts w:hint="default" w:ascii="Times New Roman" w:hAnsi="Times New Roman" w:cs="Times New Roman"/>
                <w:b/>
                <w:bCs/>
                <w:color w:val="auto"/>
                <w:sz w:val="24"/>
                <w:szCs w:val="24"/>
                <w:highlight w:val="none"/>
              </w:rPr>
              <w:t>）固体废弃物标准</w:t>
            </w:r>
          </w:p>
          <w:p w14:paraId="22AB2882">
            <w:pPr>
              <w:snapToGrid w:val="0"/>
              <w:spacing w:line="360" w:lineRule="auto"/>
              <w:ind w:firstLine="480" w:firstLineChars="200"/>
              <w:rPr>
                <w:rFonts w:hint="eastAsia"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本项目</w:t>
            </w:r>
            <w:r>
              <w:rPr>
                <w:rFonts w:hint="default" w:ascii="Times New Roman" w:hAnsi="Times New Roman" w:cs="Times New Roman"/>
                <w:color w:val="auto"/>
                <w:sz w:val="24"/>
                <w:szCs w:val="24"/>
                <w:highlight w:val="none"/>
              </w:rPr>
              <w:t>危险废物贮存执行</w:t>
            </w:r>
            <w:r>
              <w:rPr>
                <w:rFonts w:hint="default" w:ascii="Times New Roman" w:hAnsi="Times New Roman" w:cs="Times New Roman"/>
                <w:snapToGrid w:val="0"/>
                <w:color w:val="auto"/>
                <w:spacing w:val="7"/>
                <w:kern w:val="0"/>
                <w:sz w:val="24"/>
                <w:szCs w:val="24"/>
                <w:highlight w:val="none"/>
              </w:rPr>
              <w:t>《危险废物贮存污染控制标准》（GB18597-2023）</w:t>
            </w:r>
            <w:r>
              <w:rPr>
                <w:rFonts w:hint="default" w:ascii="Times New Roman" w:hAnsi="Times New Roman" w:cs="Times New Roman"/>
                <w:color w:val="auto"/>
                <w:sz w:val="24"/>
                <w:szCs w:val="24"/>
                <w:highlight w:val="none"/>
              </w:rPr>
              <w:t>中的有关规定</w:t>
            </w:r>
            <w:r>
              <w:rPr>
                <w:rFonts w:hint="eastAsia" w:cs="Times New Roman"/>
                <w:color w:val="auto"/>
                <w:sz w:val="24"/>
                <w:szCs w:val="24"/>
                <w:highlight w:val="none"/>
                <w:lang w:eastAsia="zh-CN"/>
              </w:rPr>
              <w:t>。</w:t>
            </w:r>
          </w:p>
          <w:p w14:paraId="2B8B95E2">
            <w:pPr>
              <w:pStyle w:val="2"/>
              <w:ind w:left="0" w:leftChars="0" w:firstLine="0" w:firstLineChars="0"/>
              <w:rPr>
                <w:rFonts w:hint="eastAsia" w:cs="Times New Roman"/>
                <w:color w:val="auto"/>
                <w:sz w:val="24"/>
                <w:szCs w:val="24"/>
                <w:highlight w:val="none"/>
                <w:lang w:eastAsia="zh-CN"/>
              </w:rPr>
            </w:pPr>
          </w:p>
          <w:p w14:paraId="4F056F43">
            <w:pPr>
              <w:rPr>
                <w:rFonts w:hint="eastAsia" w:cs="Times New Roman"/>
                <w:color w:val="auto"/>
                <w:sz w:val="24"/>
                <w:szCs w:val="24"/>
                <w:highlight w:val="none"/>
                <w:lang w:eastAsia="zh-CN"/>
              </w:rPr>
            </w:pPr>
          </w:p>
          <w:p w14:paraId="3279E2FB">
            <w:pPr>
              <w:pStyle w:val="2"/>
              <w:ind w:left="0" w:leftChars="0" w:firstLine="0" w:firstLineChars="0"/>
              <w:rPr>
                <w:rFonts w:hint="eastAsia" w:cs="Times New Roman"/>
                <w:color w:val="auto"/>
                <w:sz w:val="24"/>
                <w:szCs w:val="24"/>
                <w:highlight w:val="none"/>
                <w:lang w:eastAsia="zh-CN"/>
              </w:rPr>
            </w:pPr>
          </w:p>
          <w:p w14:paraId="6F9E762F">
            <w:pPr>
              <w:rPr>
                <w:rFonts w:hint="default"/>
                <w:color w:val="auto"/>
              </w:rPr>
            </w:pPr>
          </w:p>
        </w:tc>
      </w:tr>
      <w:bookmarkEnd w:id="54"/>
      <w:bookmarkEnd w:id="55"/>
      <w:bookmarkEnd w:id="56"/>
      <w:bookmarkEnd w:id="57"/>
      <w:bookmarkEnd w:id="58"/>
      <w:bookmarkEnd w:id="59"/>
    </w:tbl>
    <w:p w14:paraId="77BC7B23">
      <w:pPr>
        <w:pStyle w:val="12"/>
        <w:rPr>
          <w:color w:val="auto"/>
          <w:highlight w:val="none"/>
        </w:rPr>
        <w:sectPr>
          <w:pgSz w:w="11907" w:h="16840"/>
          <w:pgMar w:top="1383" w:right="1576" w:bottom="1327" w:left="1576" w:header="1134" w:footer="964" w:gutter="0"/>
          <w:pgBorders>
            <w:top w:val="none" w:sz="0" w:space="0"/>
            <w:left w:val="none" w:sz="0" w:space="0"/>
            <w:bottom w:val="none" w:sz="0" w:space="0"/>
            <w:right w:val="none" w:sz="0" w:space="0"/>
          </w:pgBorders>
          <w:cols w:space="720" w:num="1"/>
          <w:docGrid w:type="linesAndChars" w:linePitch="312" w:charSpace="0"/>
        </w:sectPr>
      </w:pPr>
    </w:p>
    <w:p w14:paraId="298EB166">
      <w:pPr>
        <w:pStyle w:val="3"/>
        <w:spacing w:before="0" w:after="0" w:line="360" w:lineRule="auto"/>
        <w:rPr>
          <w:color w:val="auto"/>
          <w:sz w:val="28"/>
          <w:szCs w:val="28"/>
          <w:highlight w:val="none"/>
        </w:rPr>
      </w:pPr>
      <w:bookmarkStart w:id="63" w:name="_Toc5152"/>
      <w:r>
        <w:rPr>
          <w:color w:val="auto"/>
          <w:sz w:val="28"/>
          <w:szCs w:val="28"/>
          <w:highlight w:val="none"/>
        </w:rPr>
        <w:t>表8 环境质量和辐射现状</w:t>
      </w:r>
      <w:bookmarkEnd w:id="63"/>
    </w:p>
    <w:tbl>
      <w:tblPr>
        <w:tblStyle w:val="35"/>
        <w:tblW w:w="85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3"/>
      </w:tblGrid>
      <w:tr w14:paraId="1EFF9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49" w:hRule="atLeast"/>
          <w:jc w:val="center"/>
        </w:trPr>
        <w:tc>
          <w:tcPr>
            <w:tcW w:w="8523" w:type="dxa"/>
            <w:tcBorders>
              <w:top w:val="single" w:color="auto" w:sz="4" w:space="0"/>
              <w:left w:val="single" w:color="auto" w:sz="4" w:space="0"/>
              <w:bottom w:val="single" w:color="auto" w:sz="4" w:space="0"/>
              <w:right w:val="single" w:color="auto" w:sz="4" w:space="0"/>
            </w:tcBorders>
          </w:tcPr>
          <w:p w14:paraId="79C1A0A9">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ind w:firstLine="480" w:firstLineChars="200"/>
              <w:textAlignment w:val="auto"/>
              <w:rPr>
                <w:b/>
                <w:bCs/>
                <w:color w:val="auto"/>
                <w:sz w:val="24"/>
                <w:szCs w:val="24"/>
                <w:highlight w:val="none"/>
              </w:rPr>
            </w:pPr>
            <w:bookmarkStart w:id="64" w:name="_Toc36829699"/>
            <w:bookmarkStart w:id="65" w:name="_Toc66001571"/>
            <w:bookmarkStart w:id="66" w:name="_Toc3812"/>
            <w:bookmarkStart w:id="67" w:name="_Toc9309"/>
            <w:bookmarkStart w:id="68" w:name="_Toc17920"/>
            <w:bookmarkStart w:id="69" w:name="_Toc66010005"/>
            <w:r>
              <w:rPr>
                <w:rFonts w:hint="eastAsia"/>
                <w:b/>
                <w:bCs/>
                <w:color w:val="auto"/>
                <w:sz w:val="24"/>
                <w:szCs w:val="24"/>
                <w:highlight w:val="none"/>
              </w:rPr>
              <w:t>1、项目地理位置及场所位置</w:t>
            </w:r>
            <w:bookmarkEnd w:id="64"/>
            <w:bookmarkEnd w:id="65"/>
            <w:bookmarkEnd w:id="66"/>
            <w:bookmarkEnd w:id="67"/>
            <w:bookmarkEnd w:id="68"/>
            <w:bookmarkEnd w:id="69"/>
          </w:p>
          <w:p w14:paraId="191AD34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szCs w:val="24"/>
                <w:highlight w:val="none"/>
                <w:lang w:eastAsia="zh-CN"/>
              </w:rPr>
              <w:t>安徽泓济环境科技有限公司</w:t>
            </w:r>
            <w:r>
              <w:rPr>
                <w:rFonts w:hint="default" w:ascii="Times New Roman" w:hAnsi="Times New Roman" w:eastAsia="宋体" w:cs="Times New Roman"/>
                <w:color w:val="auto"/>
                <w:sz w:val="24"/>
                <w:highlight w:val="none"/>
                <w:lang w:eastAsia="zh-CN"/>
              </w:rPr>
              <w:t>位于安徽六安金安经济开发区长淮路666号，厂区北侧为安徽人和智能制造有限公司；西侧紧邻一元大道，隔路为安徽新中天光学材料科技有限公司、安徽捷成包装制品有限公司；南侧紧邻长淮路，隔路为空地；东侧</w:t>
            </w:r>
            <w:r>
              <w:rPr>
                <w:rFonts w:hint="default" w:ascii="Times New Roman" w:hAnsi="Times New Roman" w:eastAsia="宋体" w:cs="Times New Roman"/>
                <w:color w:val="auto"/>
                <w:sz w:val="24"/>
                <w:highlight w:val="none"/>
                <w:lang w:val="en-US" w:eastAsia="zh-CN"/>
              </w:rPr>
              <w:t>现状为</w:t>
            </w:r>
            <w:r>
              <w:rPr>
                <w:rFonts w:hint="default" w:ascii="Times New Roman" w:hAnsi="Times New Roman" w:eastAsia="宋体" w:cs="Times New Roman"/>
                <w:color w:val="auto"/>
                <w:sz w:val="24"/>
                <w:highlight w:val="none"/>
                <w:lang w:eastAsia="zh-CN"/>
              </w:rPr>
              <w:t>空地。</w:t>
            </w:r>
          </w:p>
          <w:p w14:paraId="6E3AF1DC">
            <w:pPr>
              <w:snapToGrid w:val="0"/>
              <w:spacing w:line="360" w:lineRule="auto"/>
              <w:ind w:firstLine="480" w:firstLineChars="200"/>
              <w:rPr>
                <w:color w:val="auto"/>
                <w:sz w:val="24"/>
                <w:szCs w:val="24"/>
                <w:highlight w:val="none"/>
              </w:rPr>
            </w:pPr>
            <w:r>
              <w:rPr>
                <w:rFonts w:hint="eastAsia"/>
                <w:color w:val="auto"/>
                <w:sz w:val="24"/>
                <w:szCs w:val="24"/>
                <w:highlight w:val="none"/>
              </w:rPr>
              <w:t>本项目探伤</w:t>
            </w:r>
            <w:r>
              <w:rPr>
                <w:rFonts w:hint="eastAsia"/>
                <w:color w:val="auto"/>
                <w:sz w:val="24"/>
                <w:szCs w:val="24"/>
                <w:highlight w:val="none"/>
                <w:lang w:val="en-US" w:eastAsia="zh-CN"/>
              </w:rPr>
              <w:t>房</w:t>
            </w:r>
            <w:r>
              <w:rPr>
                <w:rFonts w:hint="eastAsia"/>
                <w:color w:val="auto"/>
                <w:sz w:val="24"/>
                <w:szCs w:val="24"/>
                <w:highlight w:val="none"/>
              </w:rPr>
              <w:t>建设地点位于公司</w:t>
            </w:r>
            <w:r>
              <w:rPr>
                <w:rFonts w:hint="eastAsia"/>
                <w:color w:val="auto"/>
                <w:sz w:val="24"/>
                <w:szCs w:val="24"/>
                <w:highlight w:val="none"/>
                <w:lang w:val="en-US" w:eastAsia="zh-CN"/>
              </w:rPr>
              <w:t>现状2#生产车间内东北角</w:t>
            </w:r>
            <w:r>
              <w:rPr>
                <w:rFonts w:hint="eastAsia"/>
                <w:color w:val="auto"/>
                <w:sz w:val="24"/>
                <w:szCs w:val="24"/>
                <w:highlight w:val="none"/>
              </w:rPr>
              <w:t>。</w:t>
            </w:r>
            <w:r>
              <w:rPr>
                <w:rFonts w:hint="eastAsia"/>
                <w:color w:val="auto"/>
                <w:sz w:val="24"/>
                <w:szCs w:val="24"/>
                <w:highlight w:val="none"/>
                <w:lang w:val="en-US" w:eastAsia="zh-CN"/>
              </w:rPr>
              <w:t>本项目</w:t>
            </w:r>
            <w:r>
              <w:rPr>
                <w:rFonts w:hint="eastAsia"/>
                <w:color w:val="auto"/>
                <w:sz w:val="24"/>
                <w:szCs w:val="24"/>
                <w:highlight w:val="none"/>
              </w:rPr>
              <w:t>整体由</w:t>
            </w:r>
            <w:r>
              <w:rPr>
                <w:rFonts w:hint="eastAsia"/>
                <w:color w:val="auto"/>
                <w:sz w:val="24"/>
                <w:szCs w:val="24"/>
                <w:highlight w:val="none"/>
                <w:lang w:val="en-US" w:eastAsia="zh-CN"/>
              </w:rPr>
              <w:t>探伤房</w:t>
            </w:r>
            <w:r>
              <w:rPr>
                <w:rFonts w:hint="eastAsia"/>
                <w:color w:val="auto"/>
                <w:sz w:val="24"/>
                <w:szCs w:val="24"/>
                <w:highlight w:val="none"/>
              </w:rPr>
              <w:t>、操作</w:t>
            </w:r>
            <w:r>
              <w:rPr>
                <w:rFonts w:hint="eastAsia"/>
                <w:color w:val="auto"/>
                <w:sz w:val="24"/>
                <w:szCs w:val="24"/>
                <w:highlight w:val="none"/>
                <w:lang w:val="en-US" w:eastAsia="zh-CN"/>
              </w:rPr>
              <w:t>间</w:t>
            </w:r>
            <w:r>
              <w:rPr>
                <w:rFonts w:hint="eastAsia"/>
                <w:color w:val="auto"/>
                <w:sz w:val="24"/>
                <w:szCs w:val="24"/>
                <w:highlight w:val="none"/>
              </w:rPr>
              <w:t>、评片室和</w:t>
            </w:r>
            <w:r>
              <w:rPr>
                <w:rFonts w:hint="eastAsia"/>
                <w:color w:val="auto"/>
                <w:sz w:val="24"/>
                <w:szCs w:val="24"/>
                <w:highlight w:val="none"/>
                <w:lang w:val="en-US" w:eastAsia="zh-CN"/>
              </w:rPr>
              <w:t>洗片室</w:t>
            </w:r>
            <w:r>
              <w:rPr>
                <w:rFonts w:hint="eastAsia"/>
                <w:color w:val="auto"/>
                <w:sz w:val="24"/>
                <w:szCs w:val="24"/>
                <w:highlight w:val="none"/>
              </w:rPr>
              <w:t>组成。探伤机布置于</w:t>
            </w:r>
            <w:r>
              <w:rPr>
                <w:rFonts w:hint="eastAsia"/>
                <w:color w:val="auto"/>
                <w:sz w:val="24"/>
                <w:szCs w:val="24"/>
                <w:highlight w:val="none"/>
                <w:lang w:val="en-US" w:eastAsia="zh-CN"/>
              </w:rPr>
              <w:t>探伤房</w:t>
            </w:r>
            <w:r>
              <w:rPr>
                <w:rFonts w:hint="eastAsia"/>
                <w:color w:val="auto"/>
                <w:sz w:val="24"/>
                <w:szCs w:val="24"/>
                <w:highlight w:val="none"/>
              </w:rPr>
              <w:t>内，</w:t>
            </w:r>
            <w:r>
              <w:rPr>
                <w:rFonts w:hint="eastAsia"/>
                <w:color w:val="auto"/>
                <w:sz w:val="24"/>
                <w:szCs w:val="24"/>
                <w:highlight w:val="none"/>
                <w:lang w:val="en-US" w:eastAsia="zh-CN"/>
              </w:rPr>
              <w:t>探伤房</w:t>
            </w:r>
            <w:r>
              <w:rPr>
                <w:rFonts w:hint="eastAsia"/>
                <w:color w:val="auto"/>
                <w:sz w:val="24"/>
                <w:szCs w:val="24"/>
                <w:highlight w:val="none"/>
              </w:rPr>
              <w:t>北侧</w:t>
            </w:r>
            <w:r>
              <w:rPr>
                <w:rFonts w:hint="eastAsia"/>
                <w:color w:val="auto"/>
                <w:sz w:val="24"/>
                <w:szCs w:val="24"/>
                <w:highlight w:val="none"/>
                <w:lang w:eastAsia="zh-CN"/>
              </w:rPr>
              <w:t>为</w:t>
            </w:r>
            <w:r>
              <w:rPr>
                <w:rFonts w:hint="eastAsia"/>
                <w:color w:val="auto"/>
                <w:sz w:val="24"/>
                <w:szCs w:val="24"/>
                <w:highlight w:val="none"/>
                <w:lang w:val="en-US" w:eastAsia="zh-CN"/>
              </w:rPr>
              <w:t>车间外围道路</w:t>
            </w:r>
            <w:r>
              <w:rPr>
                <w:rFonts w:hint="eastAsia"/>
                <w:color w:val="auto"/>
                <w:sz w:val="24"/>
                <w:szCs w:val="24"/>
                <w:highlight w:val="none"/>
              </w:rPr>
              <w:t>；</w:t>
            </w:r>
            <w:r>
              <w:rPr>
                <w:rFonts w:hint="eastAsia"/>
                <w:color w:val="auto"/>
                <w:sz w:val="24"/>
                <w:szCs w:val="24"/>
                <w:highlight w:val="none"/>
                <w:lang w:val="en-US" w:eastAsia="zh-CN"/>
              </w:rPr>
              <w:t>探伤房</w:t>
            </w:r>
            <w:r>
              <w:rPr>
                <w:rFonts w:hint="eastAsia"/>
                <w:color w:val="auto"/>
                <w:sz w:val="24"/>
                <w:szCs w:val="24"/>
                <w:highlight w:val="none"/>
              </w:rPr>
              <w:t>东侧为操作</w:t>
            </w:r>
            <w:r>
              <w:rPr>
                <w:rFonts w:hint="eastAsia"/>
                <w:color w:val="auto"/>
                <w:sz w:val="24"/>
                <w:szCs w:val="24"/>
                <w:highlight w:val="none"/>
                <w:lang w:val="en-US" w:eastAsia="zh-CN"/>
              </w:rPr>
              <w:t>间</w:t>
            </w:r>
            <w:r>
              <w:rPr>
                <w:rFonts w:hint="eastAsia"/>
                <w:color w:val="auto"/>
                <w:sz w:val="24"/>
                <w:szCs w:val="24"/>
                <w:highlight w:val="none"/>
              </w:rPr>
              <w:t>、评片室和</w:t>
            </w:r>
            <w:r>
              <w:rPr>
                <w:rFonts w:hint="eastAsia"/>
                <w:color w:val="auto"/>
                <w:sz w:val="24"/>
                <w:szCs w:val="24"/>
                <w:highlight w:val="none"/>
                <w:lang w:val="en-US" w:eastAsia="zh-CN"/>
              </w:rPr>
              <w:t>洗片室，以及厂区外空旷道路</w:t>
            </w:r>
            <w:r>
              <w:rPr>
                <w:rFonts w:hint="eastAsia"/>
                <w:color w:val="auto"/>
                <w:sz w:val="24"/>
                <w:szCs w:val="24"/>
                <w:highlight w:val="none"/>
                <w:lang w:eastAsia="zh-CN"/>
              </w:rPr>
              <w:t>，</w:t>
            </w:r>
            <w:r>
              <w:rPr>
                <w:rFonts w:hint="eastAsia"/>
                <w:color w:val="auto"/>
                <w:sz w:val="24"/>
                <w:szCs w:val="24"/>
                <w:highlight w:val="none"/>
              </w:rPr>
              <w:t>再往东为</w:t>
            </w:r>
            <w:r>
              <w:rPr>
                <w:rFonts w:hint="eastAsia"/>
                <w:color w:val="auto"/>
                <w:sz w:val="24"/>
                <w:szCs w:val="24"/>
                <w:highlight w:val="none"/>
                <w:lang w:val="en-US" w:eastAsia="zh-CN"/>
              </w:rPr>
              <w:t>油漆库、危废库和一般固废间</w:t>
            </w:r>
            <w:r>
              <w:rPr>
                <w:rFonts w:hint="eastAsia"/>
                <w:color w:val="auto"/>
                <w:sz w:val="24"/>
                <w:szCs w:val="24"/>
                <w:highlight w:val="none"/>
              </w:rPr>
              <w:t>；</w:t>
            </w:r>
            <w:r>
              <w:rPr>
                <w:rFonts w:hint="eastAsia"/>
                <w:color w:val="auto"/>
                <w:sz w:val="24"/>
                <w:szCs w:val="24"/>
                <w:highlight w:val="none"/>
                <w:lang w:val="en-US" w:eastAsia="zh-CN"/>
              </w:rPr>
              <w:t>探伤房</w:t>
            </w:r>
            <w:r>
              <w:rPr>
                <w:rFonts w:hint="eastAsia"/>
                <w:color w:val="auto"/>
                <w:sz w:val="24"/>
                <w:szCs w:val="24"/>
                <w:highlight w:val="none"/>
              </w:rPr>
              <w:t>南侧</w:t>
            </w:r>
            <w:r>
              <w:rPr>
                <w:rFonts w:hint="eastAsia"/>
                <w:color w:val="auto"/>
                <w:sz w:val="24"/>
                <w:szCs w:val="24"/>
                <w:highlight w:val="none"/>
                <w:lang w:val="en-US" w:eastAsia="zh-CN"/>
              </w:rPr>
              <w:t>防护门外紧邻车间内走道，再往南侧为2#生产车间机加工操作工位</w:t>
            </w:r>
            <w:r>
              <w:rPr>
                <w:rFonts w:hint="eastAsia"/>
                <w:color w:val="auto"/>
                <w:sz w:val="24"/>
                <w:szCs w:val="24"/>
                <w:highlight w:val="none"/>
              </w:rPr>
              <w:t>，再往南</w:t>
            </w:r>
            <w:r>
              <w:rPr>
                <w:rFonts w:hint="eastAsia"/>
                <w:color w:val="auto"/>
                <w:sz w:val="24"/>
                <w:szCs w:val="24"/>
                <w:highlight w:val="none"/>
                <w:lang w:val="en-US" w:eastAsia="zh-CN"/>
              </w:rPr>
              <w:t>隔厂区道路为3#生产车间</w:t>
            </w:r>
            <w:r>
              <w:rPr>
                <w:rFonts w:hint="eastAsia"/>
                <w:color w:val="auto"/>
                <w:sz w:val="24"/>
                <w:szCs w:val="24"/>
                <w:highlight w:val="none"/>
              </w:rPr>
              <w:t>；</w:t>
            </w:r>
            <w:r>
              <w:rPr>
                <w:rFonts w:hint="eastAsia"/>
                <w:color w:val="auto"/>
                <w:sz w:val="24"/>
                <w:szCs w:val="24"/>
                <w:highlight w:val="none"/>
                <w:lang w:val="en-US" w:eastAsia="zh-CN"/>
              </w:rPr>
              <w:t>探伤房</w:t>
            </w:r>
            <w:r>
              <w:rPr>
                <w:rFonts w:hint="eastAsia"/>
                <w:color w:val="auto"/>
                <w:sz w:val="24"/>
                <w:szCs w:val="24"/>
                <w:highlight w:val="none"/>
              </w:rPr>
              <w:t>西侧为</w:t>
            </w:r>
            <w:r>
              <w:rPr>
                <w:rFonts w:hint="eastAsia"/>
                <w:color w:val="auto"/>
                <w:sz w:val="24"/>
                <w:szCs w:val="24"/>
                <w:highlight w:val="none"/>
                <w:lang w:val="en-US" w:eastAsia="zh-CN"/>
              </w:rPr>
              <w:t>2#生产车间机加工操作工位；探伤房</w:t>
            </w:r>
            <w:r>
              <w:rPr>
                <w:rFonts w:hint="eastAsia"/>
                <w:color w:val="auto"/>
                <w:sz w:val="24"/>
                <w:szCs w:val="24"/>
                <w:highlight w:val="none"/>
                <w:lang w:val="en-GB" w:eastAsia="zh-CN"/>
              </w:rPr>
              <w:t>底板以下为土壤层，顶棚以上为不上人的临空</w:t>
            </w:r>
            <w:r>
              <w:rPr>
                <w:rFonts w:hint="eastAsia"/>
                <w:color w:val="auto"/>
                <w:sz w:val="24"/>
                <w:szCs w:val="24"/>
                <w:highlight w:val="none"/>
              </w:rPr>
              <w:t>。</w:t>
            </w:r>
          </w:p>
          <w:p w14:paraId="7DB681EA">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ind w:firstLine="480" w:firstLineChars="200"/>
              <w:textAlignment w:val="auto"/>
              <w:rPr>
                <w:rFonts w:eastAsia="宋体"/>
                <w:b/>
                <w:color w:val="auto"/>
                <w:sz w:val="24"/>
                <w:szCs w:val="24"/>
                <w:highlight w:val="none"/>
              </w:rPr>
            </w:pPr>
            <w:r>
              <w:rPr>
                <w:rFonts w:hint="eastAsia"/>
                <w:b/>
                <w:color w:val="auto"/>
                <w:sz w:val="24"/>
                <w:szCs w:val="24"/>
                <w:highlight w:val="none"/>
              </w:rPr>
              <w:t>2、</w:t>
            </w:r>
            <w:r>
              <w:rPr>
                <w:rFonts w:eastAsia="宋体"/>
                <w:b/>
                <w:color w:val="auto"/>
                <w:sz w:val="24"/>
                <w:szCs w:val="24"/>
                <w:highlight w:val="none"/>
              </w:rPr>
              <w:t>辐射环境现状</w:t>
            </w:r>
            <w:r>
              <w:rPr>
                <w:rFonts w:hint="eastAsia" w:eastAsia="宋体"/>
                <w:b/>
                <w:color w:val="auto"/>
                <w:sz w:val="24"/>
                <w:szCs w:val="24"/>
                <w:highlight w:val="none"/>
              </w:rPr>
              <w:t>和声环境现状</w:t>
            </w:r>
            <w:r>
              <w:rPr>
                <w:rFonts w:eastAsia="宋体"/>
                <w:b/>
                <w:color w:val="auto"/>
                <w:sz w:val="24"/>
                <w:szCs w:val="24"/>
                <w:highlight w:val="none"/>
              </w:rPr>
              <w:t>监测</w:t>
            </w:r>
          </w:p>
          <w:p w14:paraId="28E43E2C">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ind w:firstLine="480" w:firstLineChars="200"/>
              <w:textAlignment w:val="auto"/>
              <w:rPr>
                <w:rFonts w:eastAsia="宋体"/>
                <w:b/>
                <w:color w:val="auto"/>
                <w:sz w:val="24"/>
                <w:szCs w:val="24"/>
                <w:highlight w:val="none"/>
              </w:rPr>
            </w:pPr>
            <w:bookmarkStart w:id="70" w:name="_Toc28525629"/>
            <w:bookmarkStart w:id="71" w:name="_Toc28511242"/>
            <w:bookmarkStart w:id="72" w:name="_Toc46061444"/>
            <w:bookmarkStart w:id="73" w:name="_Toc17214247"/>
            <w:bookmarkStart w:id="74" w:name="_Toc26465"/>
            <w:r>
              <w:rPr>
                <w:rFonts w:hint="eastAsia"/>
                <w:b/>
                <w:color w:val="auto"/>
                <w:sz w:val="24"/>
                <w:szCs w:val="24"/>
                <w:highlight w:val="none"/>
                <w:lang w:val="en-US" w:eastAsia="zh-CN"/>
              </w:rPr>
              <w:t>2</w:t>
            </w:r>
            <w:r>
              <w:rPr>
                <w:rFonts w:eastAsia="宋体"/>
                <w:b/>
                <w:color w:val="auto"/>
                <w:sz w:val="24"/>
                <w:szCs w:val="24"/>
                <w:highlight w:val="none"/>
              </w:rPr>
              <w:t>.1</w:t>
            </w:r>
            <w:r>
              <w:rPr>
                <w:rFonts w:hint="eastAsia"/>
                <w:b/>
                <w:color w:val="auto"/>
                <w:sz w:val="24"/>
                <w:szCs w:val="24"/>
                <w:highlight w:val="none"/>
                <w:lang w:eastAsia="zh-CN"/>
              </w:rPr>
              <w:t>、</w:t>
            </w:r>
            <w:r>
              <w:rPr>
                <w:rFonts w:eastAsia="宋体"/>
                <w:b/>
                <w:color w:val="auto"/>
                <w:sz w:val="24"/>
                <w:szCs w:val="24"/>
                <w:highlight w:val="none"/>
              </w:rPr>
              <w:t>监测方案</w:t>
            </w:r>
            <w:bookmarkEnd w:id="70"/>
            <w:bookmarkEnd w:id="71"/>
            <w:bookmarkEnd w:id="72"/>
            <w:bookmarkEnd w:id="73"/>
            <w:bookmarkEnd w:id="74"/>
          </w:p>
          <w:p w14:paraId="0823FA17">
            <w:pPr>
              <w:snapToGrid w:val="0"/>
              <w:spacing w:line="360" w:lineRule="auto"/>
              <w:ind w:firstLine="480" w:firstLineChars="200"/>
              <w:rPr>
                <w:rFonts w:hint="eastAsia"/>
                <w:color w:val="auto"/>
                <w:sz w:val="24"/>
                <w:szCs w:val="24"/>
                <w:highlight w:val="none"/>
                <w:lang w:val="zh-CN" w:eastAsia="zh-CN"/>
              </w:rPr>
            </w:pPr>
            <w:r>
              <w:rPr>
                <w:rFonts w:hint="eastAsia"/>
                <w:color w:val="auto"/>
                <w:sz w:val="24"/>
                <w:szCs w:val="24"/>
                <w:highlight w:val="none"/>
                <w:lang w:val="zh-CN" w:eastAsia="zh-CN"/>
              </w:rPr>
              <w:t>为掌握项目所在地的辐射环境现状</w:t>
            </w:r>
            <w:r>
              <w:rPr>
                <w:rFonts w:hint="eastAsia"/>
                <w:color w:val="auto"/>
                <w:sz w:val="24"/>
                <w:szCs w:val="24"/>
                <w:highlight w:val="none"/>
                <w:lang w:val="en-US" w:eastAsia="zh-CN"/>
              </w:rPr>
              <w:t>和声环境现状</w:t>
            </w:r>
            <w:r>
              <w:rPr>
                <w:rFonts w:hint="eastAsia"/>
                <w:color w:val="auto"/>
                <w:sz w:val="24"/>
                <w:szCs w:val="24"/>
                <w:highlight w:val="none"/>
                <w:lang w:val="zh-CN" w:eastAsia="zh-CN"/>
              </w:rPr>
              <w:t>，</w:t>
            </w:r>
            <w:r>
              <w:rPr>
                <w:rFonts w:hint="eastAsia"/>
                <w:color w:val="auto"/>
                <w:sz w:val="24"/>
                <w:szCs w:val="24"/>
                <w:highlight w:val="none"/>
                <w:lang w:val="en-US" w:eastAsia="zh-CN"/>
              </w:rPr>
              <w:t>评价单位委托安徽澳林检测技术有限公司</w:t>
            </w:r>
            <w:r>
              <w:rPr>
                <w:rFonts w:hint="eastAsia"/>
                <w:color w:val="auto"/>
                <w:sz w:val="24"/>
                <w:szCs w:val="24"/>
                <w:highlight w:val="none"/>
                <w:lang w:val="zh-CN" w:eastAsia="zh-CN"/>
              </w:rPr>
              <w:t>于</w:t>
            </w:r>
            <w:r>
              <w:rPr>
                <w:rFonts w:hint="eastAsia"/>
                <w:color w:val="auto"/>
                <w:sz w:val="24"/>
                <w:szCs w:val="24"/>
                <w:highlight w:val="none"/>
                <w:lang w:val="en-US" w:eastAsia="zh-CN"/>
              </w:rPr>
              <w:t>2024</w:t>
            </w:r>
            <w:r>
              <w:rPr>
                <w:rFonts w:hint="eastAsia"/>
                <w:color w:val="auto"/>
                <w:sz w:val="24"/>
                <w:szCs w:val="24"/>
                <w:highlight w:val="none"/>
                <w:lang w:val="zh-CN" w:eastAsia="zh-CN"/>
              </w:rPr>
              <w:t>年</w:t>
            </w:r>
            <w:r>
              <w:rPr>
                <w:rFonts w:hint="eastAsia"/>
                <w:color w:val="auto"/>
                <w:sz w:val="24"/>
                <w:szCs w:val="24"/>
                <w:highlight w:val="none"/>
                <w:lang w:val="en-US" w:eastAsia="zh-CN"/>
              </w:rPr>
              <w:t>4</w:t>
            </w:r>
            <w:r>
              <w:rPr>
                <w:rFonts w:hint="eastAsia"/>
                <w:color w:val="auto"/>
                <w:sz w:val="24"/>
                <w:szCs w:val="24"/>
                <w:highlight w:val="none"/>
                <w:lang w:val="zh-CN" w:eastAsia="zh-CN"/>
              </w:rPr>
              <w:t>月</w:t>
            </w:r>
            <w:r>
              <w:rPr>
                <w:rFonts w:hint="eastAsia"/>
                <w:color w:val="auto"/>
                <w:sz w:val="24"/>
                <w:szCs w:val="24"/>
                <w:highlight w:val="none"/>
                <w:lang w:val="en-US" w:eastAsia="zh-CN"/>
              </w:rPr>
              <w:t>30</w:t>
            </w:r>
            <w:r>
              <w:rPr>
                <w:rFonts w:hint="eastAsia"/>
                <w:color w:val="auto"/>
                <w:sz w:val="24"/>
                <w:szCs w:val="24"/>
                <w:highlight w:val="none"/>
                <w:lang w:val="zh-CN" w:eastAsia="zh-CN"/>
              </w:rPr>
              <w:t>日</w:t>
            </w:r>
            <w:r>
              <w:rPr>
                <w:rFonts w:hint="eastAsia"/>
                <w:color w:val="auto"/>
                <w:sz w:val="24"/>
                <w:szCs w:val="24"/>
                <w:highlight w:val="none"/>
                <w:lang w:val="en-US" w:eastAsia="zh-CN"/>
              </w:rPr>
              <w:t>和2024年5月1日共计2天</w:t>
            </w:r>
            <w:r>
              <w:rPr>
                <w:rFonts w:hint="eastAsia"/>
                <w:color w:val="auto"/>
                <w:sz w:val="24"/>
                <w:szCs w:val="24"/>
                <w:highlight w:val="none"/>
                <w:lang w:val="zh-CN" w:eastAsia="zh-CN"/>
              </w:rPr>
              <w:t>对</w:t>
            </w:r>
            <w:r>
              <w:rPr>
                <w:rFonts w:hint="eastAsia"/>
                <w:color w:val="auto"/>
                <w:sz w:val="24"/>
                <w:szCs w:val="24"/>
                <w:highlight w:val="none"/>
                <w:lang w:val="en-US" w:eastAsia="zh-CN"/>
              </w:rPr>
              <w:t>拟建场址</w:t>
            </w:r>
            <w:r>
              <w:rPr>
                <w:rFonts w:hint="eastAsia"/>
                <w:color w:val="auto"/>
                <w:sz w:val="24"/>
                <w:szCs w:val="24"/>
                <w:highlight w:val="none"/>
                <w:lang w:val="zh-CN" w:eastAsia="zh-CN"/>
              </w:rPr>
              <w:t>周围辐射环境现状</w:t>
            </w:r>
            <w:r>
              <w:rPr>
                <w:rFonts w:hint="eastAsia"/>
                <w:color w:val="auto"/>
                <w:sz w:val="24"/>
                <w:szCs w:val="24"/>
                <w:highlight w:val="none"/>
                <w:lang w:val="en-US" w:eastAsia="zh-CN"/>
              </w:rPr>
              <w:t>和声环境现状</w:t>
            </w:r>
            <w:r>
              <w:rPr>
                <w:rFonts w:hint="eastAsia"/>
                <w:color w:val="auto"/>
                <w:sz w:val="24"/>
                <w:szCs w:val="24"/>
                <w:highlight w:val="none"/>
                <w:lang w:val="zh-CN" w:eastAsia="zh-CN"/>
              </w:rPr>
              <w:t>本底展开监测，监测报告见附件</w:t>
            </w:r>
            <w:r>
              <w:rPr>
                <w:rFonts w:hint="eastAsia"/>
                <w:color w:val="auto"/>
                <w:sz w:val="24"/>
                <w:szCs w:val="24"/>
                <w:highlight w:val="none"/>
                <w:lang w:val="en-US" w:eastAsia="zh-CN"/>
              </w:rPr>
              <w:t>10</w:t>
            </w:r>
            <w:r>
              <w:rPr>
                <w:rFonts w:hint="eastAsia"/>
                <w:color w:val="auto"/>
                <w:sz w:val="24"/>
                <w:szCs w:val="24"/>
                <w:highlight w:val="none"/>
                <w:lang w:val="zh-CN" w:eastAsia="zh-CN"/>
              </w:rPr>
              <w:t>。</w:t>
            </w:r>
          </w:p>
          <w:p w14:paraId="00510DE2">
            <w:pPr>
              <w:snapToGrid w:val="0"/>
              <w:spacing w:line="360" w:lineRule="auto"/>
              <w:ind w:firstLine="480" w:firstLineChars="200"/>
              <w:rPr>
                <w:color w:val="auto"/>
                <w:sz w:val="24"/>
                <w:szCs w:val="24"/>
                <w:highlight w:val="none"/>
                <w:lang w:val="zh-CN"/>
              </w:rPr>
            </w:pPr>
            <w:r>
              <w:rPr>
                <w:rFonts w:hint="eastAsia"/>
                <w:color w:val="auto"/>
                <w:sz w:val="24"/>
                <w:szCs w:val="24"/>
                <w:highlight w:val="none"/>
                <w:lang w:val="zh-CN"/>
              </w:rPr>
              <w:t>（</w:t>
            </w:r>
            <w:r>
              <w:rPr>
                <w:rFonts w:hint="eastAsia"/>
                <w:color w:val="auto"/>
                <w:sz w:val="24"/>
                <w:szCs w:val="24"/>
                <w:highlight w:val="none"/>
              </w:rPr>
              <w:t>1</w:t>
            </w:r>
            <w:r>
              <w:rPr>
                <w:rFonts w:hint="eastAsia"/>
                <w:color w:val="auto"/>
                <w:sz w:val="24"/>
                <w:szCs w:val="24"/>
                <w:highlight w:val="none"/>
                <w:lang w:val="zh-CN"/>
              </w:rPr>
              <w:t>）</w:t>
            </w:r>
            <w:r>
              <w:rPr>
                <w:color w:val="auto"/>
                <w:sz w:val="24"/>
                <w:szCs w:val="24"/>
                <w:highlight w:val="none"/>
                <w:lang w:val="zh-CN"/>
              </w:rPr>
              <w:t>环境现状评价对象</w:t>
            </w:r>
          </w:p>
          <w:p w14:paraId="50795633">
            <w:pPr>
              <w:snapToGrid w:val="0"/>
              <w:spacing w:line="360" w:lineRule="auto"/>
              <w:ind w:firstLine="480" w:firstLineChars="200"/>
              <w:rPr>
                <w:color w:val="auto"/>
                <w:sz w:val="24"/>
                <w:szCs w:val="24"/>
                <w:highlight w:val="none"/>
                <w:lang w:val="zh-CN"/>
              </w:rPr>
            </w:pPr>
            <w:r>
              <w:rPr>
                <w:color w:val="auto"/>
                <w:sz w:val="24"/>
                <w:szCs w:val="24"/>
                <w:highlight w:val="none"/>
                <w:lang w:val="zh-CN"/>
              </w:rPr>
              <w:t>本项目</w:t>
            </w:r>
            <w:r>
              <w:rPr>
                <w:rFonts w:hint="eastAsia"/>
                <w:color w:val="auto"/>
                <w:sz w:val="24"/>
                <w:szCs w:val="24"/>
                <w:highlight w:val="none"/>
              </w:rPr>
              <w:t>探伤房</w:t>
            </w:r>
            <w:r>
              <w:rPr>
                <w:color w:val="auto"/>
                <w:sz w:val="24"/>
                <w:szCs w:val="24"/>
                <w:highlight w:val="none"/>
                <w:lang w:val="zh-CN"/>
              </w:rPr>
              <w:t>拟建区域及周围辐射环境现状</w:t>
            </w:r>
            <w:r>
              <w:rPr>
                <w:rFonts w:hint="eastAsia"/>
                <w:color w:val="auto"/>
                <w:sz w:val="24"/>
                <w:szCs w:val="24"/>
                <w:highlight w:val="none"/>
              </w:rPr>
              <w:t>和声环境现状</w:t>
            </w:r>
            <w:r>
              <w:rPr>
                <w:color w:val="auto"/>
                <w:sz w:val="24"/>
                <w:szCs w:val="24"/>
                <w:highlight w:val="none"/>
                <w:lang w:val="zh-CN"/>
              </w:rPr>
              <w:t>。</w:t>
            </w:r>
          </w:p>
          <w:p w14:paraId="1B75D524">
            <w:pPr>
              <w:snapToGrid w:val="0"/>
              <w:spacing w:line="360" w:lineRule="auto"/>
              <w:ind w:firstLine="480" w:firstLineChars="200"/>
              <w:rPr>
                <w:color w:val="auto"/>
                <w:sz w:val="24"/>
                <w:szCs w:val="24"/>
                <w:highlight w:val="none"/>
                <w:lang w:val="zh-CN"/>
              </w:rPr>
            </w:pPr>
            <w:r>
              <w:rPr>
                <w:rFonts w:hint="eastAsia"/>
                <w:color w:val="auto"/>
                <w:sz w:val="24"/>
                <w:szCs w:val="24"/>
                <w:highlight w:val="none"/>
                <w:lang w:val="zh-CN"/>
              </w:rPr>
              <w:t>（</w:t>
            </w:r>
            <w:r>
              <w:rPr>
                <w:rFonts w:hint="eastAsia"/>
                <w:color w:val="auto"/>
                <w:sz w:val="24"/>
                <w:szCs w:val="24"/>
                <w:highlight w:val="none"/>
              </w:rPr>
              <w:t>2</w:t>
            </w:r>
            <w:r>
              <w:rPr>
                <w:rFonts w:hint="eastAsia"/>
                <w:color w:val="auto"/>
                <w:sz w:val="24"/>
                <w:szCs w:val="24"/>
                <w:highlight w:val="none"/>
                <w:lang w:val="zh-CN"/>
              </w:rPr>
              <w:t>）</w:t>
            </w:r>
            <w:r>
              <w:rPr>
                <w:color w:val="auto"/>
                <w:sz w:val="24"/>
                <w:szCs w:val="24"/>
                <w:highlight w:val="none"/>
                <w:lang w:val="zh-CN"/>
              </w:rPr>
              <w:t>监测因子</w:t>
            </w:r>
          </w:p>
          <w:p w14:paraId="40B6038B">
            <w:pPr>
              <w:snapToGrid w:val="0"/>
              <w:spacing w:line="360" w:lineRule="auto"/>
              <w:ind w:firstLine="480" w:firstLineChars="200"/>
              <w:rPr>
                <w:color w:val="auto"/>
                <w:sz w:val="24"/>
                <w:szCs w:val="24"/>
                <w:highlight w:val="none"/>
                <w:lang w:val="zh-CN"/>
              </w:rPr>
            </w:pPr>
            <w:r>
              <w:rPr>
                <w:color w:val="auto"/>
                <w:sz w:val="24"/>
                <w:szCs w:val="24"/>
                <w:highlight w:val="none"/>
                <w:lang w:val="zh-CN"/>
              </w:rPr>
              <w:t>γ</w:t>
            </w:r>
            <w:r>
              <w:rPr>
                <w:rFonts w:hint="eastAsia"/>
                <w:color w:val="auto"/>
                <w:sz w:val="24"/>
                <w:szCs w:val="24"/>
                <w:highlight w:val="none"/>
              </w:rPr>
              <w:t>辐射</w:t>
            </w:r>
            <w:r>
              <w:rPr>
                <w:color w:val="auto"/>
                <w:sz w:val="24"/>
                <w:szCs w:val="24"/>
                <w:highlight w:val="none"/>
                <w:lang w:val="zh-CN"/>
              </w:rPr>
              <w:t>空气吸收剂量率</w:t>
            </w:r>
            <w:r>
              <w:rPr>
                <w:rFonts w:hint="eastAsia"/>
                <w:color w:val="auto"/>
                <w:sz w:val="24"/>
                <w:szCs w:val="24"/>
                <w:highlight w:val="none"/>
                <w:lang w:val="zh-CN"/>
              </w:rPr>
              <w:t>、</w:t>
            </w:r>
            <w:r>
              <w:rPr>
                <w:rFonts w:hint="eastAsia"/>
                <w:color w:val="auto"/>
                <w:sz w:val="24"/>
                <w:szCs w:val="24"/>
                <w:highlight w:val="none"/>
              </w:rPr>
              <w:t>等效连续A声级</w:t>
            </w:r>
            <w:r>
              <w:rPr>
                <w:color w:val="auto"/>
                <w:sz w:val="24"/>
                <w:szCs w:val="24"/>
                <w:highlight w:val="none"/>
                <w:lang w:val="zh-CN"/>
              </w:rPr>
              <w:t>。</w:t>
            </w:r>
          </w:p>
          <w:p w14:paraId="352C8523">
            <w:pPr>
              <w:snapToGrid w:val="0"/>
              <w:spacing w:line="360" w:lineRule="auto"/>
              <w:ind w:firstLine="480" w:firstLineChars="200"/>
              <w:rPr>
                <w:color w:val="auto"/>
                <w:sz w:val="24"/>
                <w:szCs w:val="24"/>
                <w:highlight w:val="none"/>
                <w:lang w:val="zh-CN"/>
              </w:rPr>
            </w:pPr>
            <w:r>
              <w:rPr>
                <w:rFonts w:hint="eastAsia"/>
                <w:color w:val="auto"/>
                <w:sz w:val="24"/>
                <w:szCs w:val="24"/>
                <w:highlight w:val="none"/>
                <w:lang w:val="zh-CN"/>
              </w:rPr>
              <w:t>（</w:t>
            </w:r>
            <w:r>
              <w:rPr>
                <w:rFonts w:hint="eastAsia"/>
                <w:color w:val="auto"/>
                <w:sz w:val="24"/>
                <w:szCs w:val="24"/>
                <w:highlight w:val="none"/>
              </w:rPr>
              <w:t>3</w:t>
            </w:r>
            <w:r>
              <w:rPr>
                <w:rFonts w:hint="eastAsia"/>
                <w:color w:val="auto"/>
                <w:sz w:val="24"/>
                <w:szCs w:val="24"/>
                <w:highlight w:val="none"/>
                <w:lang w:val="zh-CN"/>
              </w:rPr>
              <w:t>）</w:t>
            </w:r>
            <w:r>
              <w:rPr>
                <w:color w:val="auto"/>
                <w:sz w:val="24"/>
                <w:szCs w:val="24"/>
                <w:highlight w:val="none"/>
                <w:lang w:val="zh-CN"/>
              </w:rPr>
              <w:t>监测点位</w:t>
            </w:r>
          </w:p>
          <w:p w14:paraId="1D9709A8">
            <w:pPr>
              <w:snapToGrid w:val="0"/>
              <w:spacing w:line="360" w:lineRule="auto"/>
              <w:ind w:firstLine="480" w:firstLineChars="200"/>
              <w:rPr>
                <w:color w:val="auto"/>
                <w:sz w:val="24"/>
                <w:szCs w:val="24"/>
                <w:highlight w:val="none"/>
                <w:lang w:val="zh-CN"/>
              </w:rPr>
            </w:pPr>
            <w:r>
              <w:rPr>
                <w:color w:val="auto"/>
                <w:sz w:val="24"/>
                <w:szCs w:val="24"/>
                <w:highlight w:val="none"/>
                <w:lang w:val="zh-CN"/>
              </w:rPr>
              <w:t>参照</w:t>
            </w:r>
            <w:r>
              <w:rPr>
                <w:rFonts w:hint="eastAsia"/>
                <w:color w:val="auto"/>
                <w:sz w:val="24"/>
                <w:szCs w:val="24"/>
                <w:highlight w:val="none"/>
                <w:lang w:val="zh-CN"/>
              </w:rPr>
              <w:t>《环境γ辐射剂量率测量技术规范》（HJ 1157-2021）、</w:t>
            </w:r>
            <w:r>
              <w:rPr>
                <w:color w:val="auto"/>
                <w:sz w:val="24"/>
                <w:szCs w:val="24"/>
                <w:highlight w:val="none"/>
                <w:lang w:val="zh-CN"/>
              </w:rPr>
              <w:t>《声环境质量标准》（GB3096-2008）中的方法布设监测点</w:t>
            </w:r>
            <w:r>
              <w:rPr>
                <w:rFonts w:hint="eastAsia"/>
                <w:color w:val="auto"/>
                <w:sz w:val="24"/>
                <w:szCs w:val="24"/>
                <w:highlight w:val="none"/>
                <w:lang w:val="zh-CN"/>
              </w:rPr>
              <w:t>。根据</w:t>
            </w:r>
            <w:r>
              <w:rPr>
                <w:rFonts w:hint="eastAsia"/>
                <w:color w:val="auto"/>
                <w:sz w:val="24"/>
                <w:szCs w:val="24"/>
                <w:highlight w:val="none"/>
              </w:rPr>
              <w:t>拟建探伤房</w:t>
            </w:r>
            <w:r>
              <w:rPr>
                <w:rFonts w:hint="eastAsia"/>
                <w:color w:val="auto"/>
                <w:sz w:val="24"/>
                <w:szCs w:val="24"/>
                <w:highlight w:val="none"/>
                <w:lang w:val="zh-CN"/>
              </w:rPr>
              <w:t>周围环境现状，</w:t>
            </w:r>
            <w:r>
              <w:rPr>
                <w:rFonts w:hint="eastAsia"/>
                <w:color w:val="auto"/>
                <w:sz w:val="24"/>
                <w:szCs w:val="24"/>
                <w:highlight w:val="none"/>
              </w:rPr>
              <w:t>辐射</w:t>
            </w:r>
            <w:r>
              <w:rPr>
                <w:rFonts w:hint="eastAsia"/>
                <w:color w:val="auto"/>
                <w:sz w:val="24"/>
                <w:szCs w:val="24"/>
                <w:highlight w:val="none"/>
                <w:lang w:val="zh-CN"/>
              </w:rPr>
              <w:t>监测点位的选取覆盖</w:t>
            </w:r>
            <w:r>
              <w:rPr>
                <w:rFonts w:hint="eastAsia"/>
                <w:color w:val="auto"/>
                <w:sz w:val="24"/>
                <w:szCs w:val="24"/>
                <w:highlight w:val="none"/>
              </w:rPr>
              <w:t>探伤房建设</w:t>
            </w:r>
            <w:r>
              <w:rPr>
                <w:rFonts w:hint="eastAsia"/>
                <w:color w:val="auto"/>
                <w:sz w:val="24"/>
                <w:szCs w:val="24"/>
                <w:highlight w:val="none"/>
                <w:lang w:val="zh-CN"/>
              </w:rPr>
              <w:t>区域及周围50m公众人员工作区域；对于声环境，在</w:t>
            </w:r>
            <w:r>
              <w:rPr>
                <w:rFonts w:hint="eastAsia"/>
                <w:color w:val="auto"/>
                <w:sz w:val="24"/>
                <w:szCs w:val="24"/>
                <w:highlight w:val="none"/>
              </w:rPr>
              <w:t>四周厂</w:t>
            </w:r>
            <w:r>
              <w:rPr>
                <w:rFonts w:hint="eastAsia"/>
                <w:color w:val="auto"/>
                <w:sz w:val="24"/>
                <w:szCs w:val="24"/>
                <w:highlight w:val="none"/>
                <w:lang w:val="zh-CN"/>
              </w:rPr>
              <w:t>界</w:t>
            </w:r>
            <w:r>
              <w:rPr>
                <w:rFonts w:hint="eastAsia"/>
                <w:color w:val="auto"/>
                <w:sz w:val="24"/>
                <w:szCs w:val="24"/>
                <w:highlight w:val="none"/>
              </w:rPr>
              <w:t>外1m</w:t>
            </w:r>
            <w:r>
              <w:rPr>
                <w:rFonts w:hint="eastAsia"/>
                <w:color w:val="auto"/>
                <w:sz w:val="24"/>
                <w:szCs w:val="24"/>
                <w:highlight w:val="none"/>
                <w:lang w:val="zh-CN"/>
              </w:rPr>
              <w:t>进行布点。</w:t>
            </w:r>
          </w:p>
          <w:p w14:paraId="7BDD3862">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ind w:firstLine="480" w:firstLineChars="200"/>
              <w:textAlignment w:val="auto"/>
              <w:rPr>
                <w:rFonts w:eastAsia="宋体"/>
                <w:b/>
                <w:color w:val="auto"/>
                <w:sz w:val="24"/>
                <w:szCs w:val="24"/>
                <w:highlight w:val="none"/>
              </w:rPr>
            </w:pPr>
            <w:bookmarkStart w:id="75" w:name="_Toc16063"/>
            <w:r>
              <w:rPr>
                <w:rFonts w:hint="eastAsia" w:eastAsia="宋体"/>
                <w:b/>
                <w:color w:val="auto"/>
                <w:sz w:val="24"/>
                <w:szCs w:val="24"/>
                <w:highlight w:val="none"/>
              </w:rPr>
              <w:t>2.2</w:t>
            </w:r>
            <w:bookmarkEnd w:id="75"/>
            <w:r>
              <w:rPr>
                <w:rFonts w:hint="eastAsia"/>
                <w:b/>
                <w:color w:val="auto"/>
                <w:sz w:val="24"/>
                <w:szCs w:val="24"/>
                <w:highlight w:val="none"/>
                <w:lang w:eastAsia="zh-CN"/>
              </w:rPr>
              <w:t>、</w:t>
            </w:r>
            <w:r>
              <w:rPr>
                <w:rFonts w:hint="eastAsia" w:eastAsia="宋体"/>
                <w:b/>
                <w:color w:val="auto"/>
                <w:sz w:val="24"/>
                <w:szCs w:val="24"/>
                <w:highlight w:val="none"/>
              </w:rPr>
              <w:t>质量保证措施</w:t>
            </w:r>
          </w:p>
          <w:p w14:paraId="743CF22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rFonts w:hint="eastAsia"/>
                <w:color w:val="auto"/>
                <w:sz w:val="24"/>
                <w:szCs w:val="24"/>
                <w:highlight w:val="none"/>
                <w:lang w:val="zh-CN"/>
              </w:rPr>
              <w:t>（</w:t>
            </w:r>
            <w:r>
              <w:rPr>
                <w:rFonts w:hint="eastAsia"/>
                <w:color w:val="auto"/>
                <w:sz w:val="24"/>
                <w:szCs w:val="24"/>
                <w:highlight w:val="none"/>
              </w:rPr>
              <w:t>1</w:t>
            </w:r>
            <w:r>
              <w:rPr>
                <w:rFonts w:hint="eastAsia"/>
                <w:color w:val="auto"/>
                <w:sz w:val="24"/>
                <w:szCs w:val="24"/>
                <w:highlight w:val="none"/>
                <w:lang w:val="zh-CN"/>
              </w:rPr>
              <w:t>）</w:t>
            </w:r>
            <w:r>
              <w:rPr>
                <w:color w:val="auto"/>
                <w:sz w:val="24"/>
                <w:szCs w:val="24"/>
                <w:highlight w:val="none"/>
                <w:lang w:val="zh-CN"/>
              </w:rPr>
              <w:t>监测单位</w:t>
            </w:r>
          </w:p>
          <w:p w14:paraId="744610A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color w:val="auto"/>
                <w:sz w:val="24"/>
                <w:szCs w:val="24"/>
                <w:highlight w:val="none"/>
                <w:lang w:val="zh-CN"/>
              </w:rPr>
              <w:t>本次评价由</w:t>
            </w:r>
            <w:r>
              <w:rPr>
                <w:rFonts w:hint="eastAsia"/>
                <w:color w:val="auto"/>
                <w:sz w:val="24"/>
                <w:szCs w:val="24"/>
                <w:highlight w:val="none"/>
                <w:lang w:val="en-US" w:eastAsia="zh-CN"/>
              </w:rPr>
              <w:t>安徽澳林检测技术有限公司</w:t>
            </w:r>
            <w:r>
              <w:rPr>
                <w:color w:val="auto"/>
                <w:sz w:val="24"/>
                <w:szCs w:val="24"/>
                <w:highlight w:val="none"/>
                <w:lang w:val="zh-CN"/>
              </w:rPr>
              <w:t>开展监测</w:t>
            </w:r>
            <w:r>
              <w:rPr>
                <w:rFonts w:hint="eastAsia"/>
                <w:color w:val="auto"/>
                <w:sz w:val="24"/>
                <w:szCs w:val="24"/>
                <w:highlight w:val="none"/>
                <w:lang w:val="zh-CN"/>
              </w:rPr>
              <w:t>，</w:t>
            </w:r>
            <w:r>
              <w:rPr>
                <w:rFonts w:hint="eastAsia"/>
                <w:color w:val="auto"/>
                <w:sz w:val="24"/>
                <w:szCs w:val="24"/>
                <w:highlight w:val="none"/>
                <w:lang w:val="en-US" w:eastAsia="zh-CN"/>
              </w:rPr>
              <w:t>辐射检测资质证书项目详见附件11。</w:t>
            </w:r>
          </w:p>
          <w:p w14:paraId="3AB738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（2）</w:t>
            </w:r>
            <w:r>
              <w:rPr>
                <w:rFonts w:hint="eastAsia"/>
                <w:color w:val="auto"/>
                <w:sz w:val="24"/>
                <w:szCs w:val="24"/>
                <w:highlight w:val="none"/>
                <w:lang w:val="zh-CN"/>
              </w:rPr>
              <w:t>质量保证措施</w:t>
            </w:r>
          </w:p>
          <w:p w14:paraId="06DFDC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rFonts w:hint="eastAsia"/>
                <w:color w:val="auto"/>
                <w:sz w:val="24"/>
                <w:szCs w:val="24"/>
                <w:highlight w:val="none"/>
                <w:lang w:val="zh-CN"/>
              </w:rPr>
              <w:t>1）检测机构通过中国国家认证认可监督委员会资质认定。</w:t>
            </w:r>
          </w:p>
          <w:p w14:paraId="69BD6B2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rFonts w:hint="eastAsia"/>
                <w:color w:val="auto"/>
                <w:sz w:val="24"/>
                <w:szCs w:val="24"/>
                <w:highlight w:val="none"/>
                <w:lang w:val="zh-CN"/>
              </w:rPr>
              <w:t>2）合理布设监测点位，保证各监测点位布设的科学性和可比性。</w:t>
            </w:r>
          </w:p>
          <w:p w14:paraId="65A2B3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rFonts w:hint="eastAsia"/>
                <w:color w:val="auto"/>
                <w:sz w:val="24"/>
                <w:szCs w:val="24"/>
                <w:highlight w:val="none"/>
                <w:lang w:val="zh-CN"/>
              </w:rPr>
              <w:t>3）监测方法采用国家有关部门颁布的标准。</w:t>
            </w:r>
          </w:p>
          <w:p w14:paraId="22C6552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color w:val="auto"/>
                <w:sz w:val="24"/>
                <w:szCs w:val="24"/>
                <w:highlight w:val="none"/>
                <w:lang w:val="en-US" w:eastAsia="zh-CN"/>
              </w:rPr>
            </w:pPr>
            <w:r>
              <w:rPr>
                <w:rFonts w:hint="eastAsia"/>
                <w:color w:val="auto"/>
                <w:sz w:val="24"/>
                <w:szCs w:val="24"/>
                <w:highlight w:val="none"/>
                <w:lang w:val="zh-CN"/>
              </w:rPr>
              <w:t>4）监测仪器每年按规定定期经计量部门检定校准，合格后方可使用，</w:t>
            </w:r>
            <w:r>
              <w:rPr>
                <w:rFonts w:hint="eastAsia"/>
                <w:color w:val="auto"/>
                <w:sz w:val="24"/>
                <w:szCs w:val="24"/>
                <w:highlight w:val="none"/>
                <w:lang w:val="en-US" w:eastAsia="zh-CN"/>
              </w:rPr>
              <w:t>检测仪器校准证书详见附件13。</w:t>
            </w:r>
          </w:p>
          <w:p w14:paraId="4749622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rFonts w:hint="eastAsia"/>
                <w:color w:val="auto"/>
                <w:sz w:val="24"/>
                <w:szCs w:val="24"/>
                <w:highlight w:val="none"/>
                <w:lang w:val="zh-CN"/>
              </w:rPr>
              <w:t>5）通过人员比对、方法比对、设备比对、标准物质比对、与其它实验室比对等方式开展质量控制。</w:t>
            </w:r>
          </w:p>
          <w:p w14:paraId="766EA7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rFonts w:hint="eastAsia"/>
                <w:color w:val="auto"/>
                <w:sz w:val="24"/>
                <w:szCs w:val="24"/>
                <w:highlight w:val="none"/>
                <w:lang w:val="zh-CN"/>
              </w:rPr>
              <w:t>6）监测人员均参加监测单位组织的职业技能培训并考核合格</w:t>
            </w:r>
            <w:r>
              <w:rPr>
                <w:rFonts w:hint="eastAsia"/>
                <w:color w:val="auto"/>
                <w:sz w:val="24"/>
                <w:szCs w:val="24"/>
                <w:highlight w:val="none"/>
                <w:lang w:val="en-US" w:eastAsia="zh-CN"/>
              </w:rPr>
              <w:t>后上岗</w:t>
            </w:r>
            <w:r>
              <w:rPr>
                <w:rFonts w:hint="eastAsia"/>
                <w:color w:val="auto"/>
                <w:sz w:val="24"/>
                <w:szCs w:val="24"/>
                <w:highlight w:val="none"/>
                <w:lang w:val="zh-CN"/>
              </w:rPr>
              <w:t>，每次监测至少2名监</w:t>
            </w:r>
            <w:r>
              <w:rPr>
                <w:rFonts w:hint="eastAsia"/>
                <w:color w:val="auto"/>
                <w:sz w:val="24"/>
                <w:szCs w:val="24"/>
                <w:highlight w:val="none"/>
                <w:lang w:val="zh-CN" w:eastAsia="zh-CN"/>
              </w:rPr>
              <w:t>测人员，</w:t>
            </w:r>
            <w:r>
              <w:rPr>
                <w:rFonts w:hint="eastAsia"/>
                <w:color w:val="auto"/>
                <w:sz w:val="24"/>
                <w:szCs w:val="24"/>
                <w:highlight w:val="none"/>
                <w:lang w:val="en-US" w:eastAsia="zh-CN"/>
              </w:rPr>
              <w:t>人员上岗证详见附件12。</w:t>
            </w:r>
          </w:p>
          <w:p w14:paraId="4D41AD9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rFonts w:hint="eastAsia"/>
                <w:color w:val="auto"/>
                <w:sz w:val="24"/>
                <w:szCs w:val="24"/>
                <w:highlight w:val="none"/>
                <w:lang w:val="zh-CN"/>
              </w:rPr>
              <w:t>7）每次测量前、后均检查仪器的工作状态是否良好。</w:t>
            </w:r>
          </w:p>
          <w:p w14:paraId="4D4EBD7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rFonts w:hint="eastAsia"/>
                <w:color w:val="auto"/>
                <w:sz w:val="24"/>
                <w:szCs w:val="24"/>
                <w:highlight w:val="none"/>
                <w:lang w:val="zh-CN"/>
              </w:rPr>
              <w:t>8）由专业人员按操作规程操作仪器，并做好记录。</w:t>
            </w:r>
          </w:p>
          <w:p w14:paraId="3457D0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rFonts w:hint="eastAsia"/>
                <w:color w:val="auto"/>
                <w:sz w:val="24"/>
                <w:szCs w:val="24"/>
                <w:highlight w:val="none"/>
                <w:lang w:val="zh-CN"/>
              </w:rPr>
              <w:t>9）监测报告严格实行三级审核制度。</w:t>
            </w:r>
          </w:p>
          <w:p w14:paraId="2F736E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rFonts w:hint="eastAsia"/>
                <w:color w:val="auto"/>
                <w:sz w:val="24"/>
                <w:szCs w:val="24"/>
                <w:highlight w:val="none"/>
              </w:rPr>
              <w:t>（3）</w:t>
            </w:r>
            <w:r>
              <w:rPr>
                <w:color w:val="auto"/>
                <w:sz w:val="24"/>
                <w:szCs w:val="24"/>
                <w:highlight w:val="none"/>
                <w:lang w:val="zh-CN"/>
              </w:rPr>
              <w:t>监测仪器</w:t>
            </w:r>
          </w:p>
          <w:p w14:paraId="2FA08B87">
            <w:pPr>
              <w:snapToGrid w:val="0"/>
              <w:spacing w:line="360" w:lineRule="auto"/>
              <w:ind w:firstLine="480" w:firstLineChars="200"/>
              <w:rPr>
                <w:color w:val="auto"/>
                <w:sz w:val="24"/>
                <w:szCs w:val="24"/>
                <w:highlight w:val="none"/>
                <w:lang w:val="zh-CN"/>
              </w:rPr>
            </w:pPr>
            <w:r>
              <w:rPr>
                <w:color w:val="auto"/>
                <w:sz w:val="24"/>
                <w:szCs w:val="24"/>
                <w:highlight w:val="none"/>
                <w:lang w:val="zh-CN"/>
              </w:rPr>
              <w:t>主要技术参数详见表8-</w:t>
            </w:r>
            <w:r>
              <w:rPr>
                <w:rFonts w:hint="eastAsia"/>
                <w:color w:val="auto"/>
                <w:sz w:val="24"/>
                <w:szCs w:val="24"/>
                <w:highlight w:val="none"/>
              </w:rPr>
              <w:t>1</w:t>
            </w:r>
            <w:r>
              <w:rPr>
                <w:color w:val="auto"/>
                <w:sz w:val="24"/>
                <w:szCs w:val="24"/>
                <w:highlight w:val="none"/>
                <w:lang w:val="zh-CN"/>
              </w:rPr>
              <w:t>。</w:t>
            </w:r>
          </w:p>
          <w:p w14:paraId="20191964">
            <w:pPr>
              <w:snapToGrid w:val="0"/>
              <w:ind w:firstLine="420" w:firstLineChars="200"/>
              <w:jc w:val="center"/>
              <w:rPr>
                <w:b/>
                <w:color w:val="auto"/>
                <w:szCs w:val="21"/>
                <w:highlight w:val="none"/>
              </w:rPr>
            </w:pPr>
            <w:bookmarkStart w:id="76" w:name="_Toc2661"/>
            <w:bookmarkStart w:id="77" w:name="_Toc9016"/>
            <w:bookmarkStart w:id="78" w:name="_Toc12879"/>
            <w:r>
              <w:rPr>
                <w:b/>
                <w:color w:val="auto"/>
                <w:szCs w:val="21"/>
                <w:highlight w:val="none"/>
              </w:rPr>
              <w:t>表8-</w:t>
            </w:r>
            <w:r>
              <w:rPr>
                <w:rFonts w:hint="eastAsia"/>
                <w:b/>
                <w:color w:val="auto"/>
                <w:szCs w:val="21"/>
                <w:highlight w:val="none"/>
              </w:rPr>
              <w:t>1</w:t>
            </w:r>
            <w:r>
              <w:rPr>
                <w:b/>
                <w:color w:val="auto"/>
                <w:szCs w:val="21"/>
                <w:highlight w:val="none"/>
              </w:rPr>
              <w:t xml:space="preserve"> </w:t>
            </w:r>
            <w:r>
              <w:rPr>
                <w:rFonts w:hint="eastAsia"/>
                <w:b/>
                <w:color w:val="auto"/>
                <w:szCs w:val="21"/>
                <w:highlight w:val="none"/>
                <w:lang w:val="en-US" w:eastAsia="zh-CN"/>
              </w:rPr>
              <w:t>本项目</w:t>
            </w:r>
            <w:r>
              <w:rPr>
                <w:b/>
                <w:color w:val="auto"/>
                <w:szCs w:val="21"/>
                <w:highlight w:val="none"/>
              </w:rPr>
              <w:t>监测仪器主要技术参数一览表</w:t>
            </w:r>
            <w:bookmarkEnd w:id="76"/>
            <w:bookmarkEnd w:id="77"/>
            <w:bookmarkEnd w:id="78"/>
          </w:p>
          <w:tbl>
            <w:tblPr>
              <w:tblStyle w:val="35"/>
              <w:tblW w:w="4993"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236"/>
              <w:gridCol w:w="1736"/>
              <w:gridCol w:w="2008"/>
              <w:gridCol w:w="3310"/>
            </w:tblGrid>
            <w:tr w14:paraId="0BBF881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37" w:type="dxa"/>
                  <w:vMerge w:val="restart"/>
                  <w:tcBorders>
                    <w:tl2br w:val="nil"/>
                    <w:tr2bl w:val="nil"/>
                  </w:tcBorders>
                  <w:vAlign w:val="center"/>
                </w:tcPr>
                <w:p w14:paraId="55694AA3">
                  <w:pPr>
                    <w:pStyle w:val="95"/>
                    <w:spacing w:line="240" w:lineRule="auto"/>
                    <w:ind w:firstLine="0" w:firstLineChars="0"/>
                    <w:jc w:val="center"/>
                    <w:rPr>
                      <w:rFonts w:eastAsia="宋体" w:cs="Times New Roman"/>
                      <w:b/>
                      <w:color w:val="auto"/>
                      <w:sz w:val="21"/>
                      <w:highlight w:val="none"/>
                    </w:rPr>
                  </w:pPr>
                  <w:r>
                    <w:rPr>
                      <w:rFonts w:eastAsia="宋体" w:cs="Times New Roman"/>
                      <w:b/>
                      <w:color w:val="auto"/>
                      <w:sz w:val="21"/>
                      <w:highlight w:val="none"/>
                    </w:rPr>
                    <w:t>设备</w:t>
                  </w:r>
                </w:p>
                <w:p w14:paraId="2E6FB9C8">
                  <w:pPr>
                    <w:pStyle w:val="95"/>
                    <w:spacing w:line="240" w:lineRule="auto"/>
                    <w:ind w:firstLine="0" w:firstLineChars="0"/>
                    <w:jc w:val="center"/>
                    <w:rPr>
                      <w:rFonts w:eastAsia="宋体" w:cs="Times New Roman"/>
                      <w:b/>
                      <w:color w:val="auto"/>
                      <w:sz w:val="21"/>
                      <w:highlight w:val="none"/>
                    </w:rPr>
                  </w:pPr>
                  <w:r>
                    <w:rPr>
                      <w:rFonts w:eastAsia="宋体" w:cs="Times New Roman"/>
                      <w:b/>
                      <w:color w:val="auto"/>
                      <w:sz w:val="21"/>
                      <w:highlight w:val="none"/>
                    </w:rPr>
                    <w:t>名称</w:t>
                  </w:r>
                </w:p>
              </w:tc>
              <w:tc>
                <w:tcPr>
                  <w:tcW w:w="7055" w:type="dxa"/>
                  <w:gridSpan w:val="3"/>
                  <w:tcBorders>
                    <w:tl2br w:val="nil"/>
                    <w:tr2bl w:val="nil"/>
                  </w:tcBorders>
                  <w:vAlign w:val="center"/>
                </w:tcPr>
                <w:p w14:paraId="6709C627">
                  <w:pPr>
                    <w:pStyle w:val="95"/>
                    <w:spacing w:line="240" w:lineRule="auto"/>
                    <w:ind w:firstLine="422"/>
                    <w:jc w:val="center"/>
                    <w:rPr>
                      <w:rFonts w:eastAsia="宋体" w:cs="Times New Roman"/>
                      <w:b/>
                      <w:color w:val="auto"/>
                      <w:sz w:val="21"/>
                      <w:highlight w:val="none"/>
                    </w:rPr>
                  </w:pPr>
                  <w:bookmarkStart w:id="79" w:name="_Toc509304891"/>
                  <w:bookmarkStart w:id="80" w:name="_Toc517693406"/>
                  <w:bookmarkStart w:id="81" w:name="_Toc485996433"/>
                  <w:r>
                    <w:rPr>
                      <w:rFonts w:eastAsia="宋体" w:cs="Times New Roman"/>
                      <w:b/>
                      <w:color w:val="auto"/>
                      <w:sz w:val="21"/>
                      <w:highlight w:val="none"/>
                    </w:rPr>
                    <w:t>监测设备</w:t>
                  </w:r>
                  <w:bookmarkEnd w:id="79"/>
                  <w:bookmarkEnd w:id="80"/>
                  <w:bookmarkEnd w:id="81"/>
                </w:p>
              </w:tc>
            </w:tr>
            <w:tr w14:paraId="27E09AA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37" w:type="dxa"/>
                  <w:vMerge w:val="continue"/>
                  <w:tcBorders>
                    <w:tl2br w:val="nil"/>
                    <w:tr2bl w:val="nil"/>
                  </w:tcBorders>
                  <w:vAlign w:val="center"/>
                </w:tcPr>
                <w:p w14:paraId="78D4EF5B">
                  <w:pPr>
                    <w:pStyle w:val="95"/>
                    <w:spacing w:line="240" w:lineRule="auto"/>
                    <w:ind w:firstLine="422"/>
                    <w:jc w:val="center"/>
                    <w:rPr>
                      <w:rFonts w:eastAsia="宋体" w:cs="Times New Roman"/>
                      <w:b/>
                      <w:color w:val="auto"/>
                      <w:sz w:val="21"/>
                      <w:highlight w:val="none"/>
                    </w:rPr>
                  </w:pPr>
                </w:p>
              </w:tc>
              <w:tc>
                <w:tcPr>
                  <w:tcW w:w="1736" w:type="dxa"/>
                  <w:tcBorders>
                    <w:tl2br w:val="nil"/>
                    <w:tr2bl w:val="nil"/>
                  </w:tcBorders>
                  <w:vAlign w:val="center"/>
                </w:tcPr>
                <w:p w14:paraId="611D521C">
                  <w:pPr>
                    <w:pStyle w:val="95"/>
                    <w:spacing w:line="240" w:lineRule="auto"/>
                    <w:ind w:firstLine="0" w:firstLineChars="0"/>
                    <w:jc w:val="center"/>
                    <w:rPr>
                      <w:rFonts w:eastAsia="宋体" w:cs="Times New Roman"/>
                      <w:b/>
                      <w:color w:val="auto"/>
                      <w:sz w:val="21"/>
                      <w:highlight w:val="none"/>
                    </w:rPr>
                  </w:pPr>
                  <w:bookmarkStart w:id="82" w:name="_Toc517693409"/>
                  <w:bookmarkStart w:id="83" w:name="_Toc509304894"/>
                  <w:bookmarkStart w:id="84" w:name="_Toc485996436"/>
                  <w:r>
                    <w:rPr>
                      <w:rFonts w:eastAsia="宋体" w:cs="Times New Roman"/>
                      <w:b/>
                      <w:color w:val="auto"/>
                      <w:sz w:val="21"/>
                      <w:highlight w:val="none"/>
                    </w:rPr>
                    <w:t>设备型号及仪器编号</w:t>
                  </w:r>
                  <w:bookmarkEnd w:id="82"/>
                  <w:bookmarkEnd w:id="83"/>
                  <w:bookmarkEnd w:id="84"/>
                </w:p>
              </w:tc>
              <w:tc>
                <w:tcPr>
                  <w:tcW w:w="2008" w:type="dxa"/>
                  <w:tcBorders>
                    <w:tl2br w:val="nil"/>
                    <w:tr2bl w:val="nil"/>
                  </w:tcBorders>
                  <w:vAlign w:val="center"/>
                </w:tcPr>
                <w:p w14:paraId="4294F05D">
                  <w:pPr>
                    <w:pStyle w:val="95"/>
                    <w:spacing w:line="240" w:lineRule="auto"/>
                    <w:ind w:firstLine="0" w:firstLineChars="0"/>
                    <w:jc w:val="center"/>
                    <w:rPr>
                      <w:rFonts w:eastAsia="宋体" w:cs="Times New Roman"/>
                      <w:b/>
                      <w:color w:val="auto"/>
                      <w:sz w:val="21"/>
                      <w:highlight w:val="none"/>
                    </w:rPr>
                  </w:pPr>
                  <w:r>
                    <w:rPr>
                      <w:rFonts w:eastAsia="宋体" w:cs="Times New Roman"/>
                      <w:b/>
                      <w:color w:val="auto"/>
                      <w:sz w:val="21"/>
                      <w:highlight w:val="none"/>
                    </w:rPr>
                    <w:t>设备参数</w:t>
                  </w:r>
                </w:p>
              </w:tc>
              <w:tc>
                <w:tcPr>
                  <w:tcW w:w="3311" w:type="dxa"/>
                  <w:tcBorders>
                    <w:tl2br w:val="nil"/>
                    <w:tr2bl w:val="nil"/>
                  </w:tcBorders>
                  <w:vAlign w:val="center"/>
                </w:tcPr>
                <w:p w14:paraId="307D4E11">
                  <w:pPr>
                    <w:pStyle w:val="95"/>
                    <w:spacing w:line="240" w:lineRule="auto"/>
                    <w:ind w:firstLine="0" w:firstLineChars="0"/>
                    <w:jc w:val="center"/>
                    <w:rPr>
                      <w:rFonts w:eastAsia="宋体" w:cs="Times New Roman"/>
                      <w:b/>
                      <w:color w:val="auto"/>
                      <w:sz w:val="21"/>
                      <w:highlight w:val="none"/>
                    </w:rPr>
                  </w:pPr>
                  <w:bookmarkStart w:id="85" w:name="_Toc485996438"/>
                  <w:bookmarkStart w:id="86" w:name="_Toc509304896"/>
                  <w:bookmarkStart w:id="87" w:name="_Toc517693411"/>
                  <w:r>
                    <w:rPr>
                      <w:rFonts w:eastAsia="宋体" w:cs="Times New Roman"/>
                      <w:b/>
                      <w:color w:val="auto"/>
                      <w:sz w:val="21"/>
                      <w:highlight w:val="none"/>
                    </w:rPr>
                    <w:t>检定/校准情况</w:t>
                  </w:r>
                  <w:bookmarkEnd w:id="85"/>
                  <w:bookmarkEnd w:id="86"/>
                  <w:bookmarkEnd w:id="87"/>
                </w:p>
              </w:tc>
            </w:tr>
            <w:tr w14:paraId="1C90373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37" w:type="dxa"/>
                  <w:tcBorders>
                    <w:tl2br w:val="nil"/>
                    <w:tr2bl w:val="nil"/>
                  </w:tcBorders>
                  <w:vAlign w:val="center"/>
                </w:tcPr>
                <w:p w14:paraId="321DD1EF">
                  <w:pPr>
                    <w:pStyle w:val="95"/>
                    <w:spacing w:line="240" w:lineRule="auto"/>
                    <w:ind w:firstLine="0" w:firstLineChars="0"/>
                    <w:jc w:val="center"/>
                    <w:rPr>
                      <w:rFonts w:eastAsia="宋体" w:cs="Times New Roman"/>
                      <w:color w:val="auto"/>
                      <w:sz w:val="21"/>
                      <w:highlight w:val="none"/>
                    </w:rPr>
                  </w:pPr>
                  <w:r>
                    <w:rPr>
                      <w:rFonts w:hint="eastAsia" w:eastAsia="宋体" w:cs="Times New Roman"/>
                      <w:color w:val="auto"/>
                      <w:sz w:val="21"/>
                      <w:highlight w:val="none"/>
                    </w:rPr>
                    <w:t>环境监测用X、</w:t>
                  </w:r>
                  <w:r>
                    <w:rPr>
                      <w:rFonts w:eastAsia="宋体" w:cs="Times New Roman"/>
                      <w:color w:val="auto"/>
                      <w:sz w:val="21"/>
                      <w:highlight w:val="none"/>
                    </w:rPr>
                    <w:t>γ</w:t>
                  </w:r>
                  <w:r>
                    <w:rPr>
                      <w:rFonts w:hint="eastAsia" w:eastAsia="宋体" w:cs="Times New Roman"/>
                      <w:color w:val="auto"/>
                      <w:sz w:val="21"/>
                      <w:highlight w:val="none"/>
                    </w:rPr>
                    <w:t>辐射空气比释动能率</w:t>
                  </w:r>
                  <w:r>
                    <w:rPr>
                      <w:rFonts w:eastAsia="宋体" w:cs="Times New Roman"/>
                      <w:color w:val="auto"/>
                      <w:sz w:val="21"/>
                      <w:highlight w:val="none"/>
                    </w:rPr>
                    <w:t>仪</w:t>
                  </w:r>
                </w:p>
              </w:tc>
              <w:tc>
                <w:tcPr>
                  <w:tcW w:w="1736" w:type="dxa"/>
                  <w:tcBorders>
                    <w:tl2br w:val="nil"/>
                    <w:tr2bl w:val="nil"/>
                  </w:tcBorders>
                  <w:vAlign w:val="center"/>
                </w:tcPr>
                <w:p w14:paraId="333C1EB2">
                  <w:pPr>
                    <w:pStyle w:val="95"/>
                    <w:spacing w:line="240" w:lineRule="auto"/>
                    <w:ind w:firstLine="0" w:firstLineChars="0"/>
                    <w:jc w:val="center"/>
                    <w:rPr>
                      <w:rFonts w:eastAsia="宋体" w:cs="Times New Roman"/>
                      <w:color w:val="auto"/>
                      <w:sz w:val="21"/>
                      <w:highlight w:val="none"/>
                    </w:rPr>
                  </w:pPr>
                  <w:r>
                    <w:rPr>
                      <w:rFonts w:eastAsia="宋体" w:cs="Times New Roman"/>
                      <w:color w:val="auto"/>
                      <w:sz w:val="21"/>
                      <w:highlight w:val="none"/>
                    </w:rPr>
                    <w:t>型号：</w:t>
                  </w:r>
                  <w:r>
                    <w:rPr>
                      <w:rFonts w:hint="eastAsia" w:eastAsia="宋体" w:cs="Times New Roman"/>
                      <w:color w:val="auto"/>
                      <w:sz w:val="21"/>
                      <w:highlight w:val="none"/>
                    </w:rPr>
                    <w:t>FD-3013H</w:t>
                  </w:r>
                </w:p>
                <w:p w14:paraId="65A2DDF8">
                  <w:pPr>
                    <w:pStyle w:val="95"/>
                    <w:spacing w:line="240" w:lineRule="auto"/>
                    <w:ind w:firstLine="0" w:firstLineChars="0"/>
                    <w:jc w:val="center"/>
                    <w:rPr>
                      <w:rFonts w:hint="default" w:eastAsia="宋体" w:cs="Times New Roman"/>
                      <w:color w:val="auto"/>
                      <w:sz w:val="21"/>
                      <w:highlight w:val="none"/>
                      <w:lang w:val="en-US" w:eastAsia="zh-CN"/>
                    </w:rPr>
                  </w:pPr>
                  <w:r>
                    <w:rPr>
                      <w:rFonts w:eastAsia="宋体" w:cs="Times New Roman"/>
                      <w:color w:val="auto"/>
                      <w:sz w:val="21"/>
                      <w:highlight w:val="none"/>
                    </w:rPr>
                    <w:t>编号：</w:t>
                  </w:r>
                  <w:r>
                    <w:rPr>
                      <w:rFonts w:hint="eastAsia" w:eastAsia="宋体" w:cs="Times New Roman"/>
                      <w:color w:val="auto"/>
                      <w:sz w:val="21"/>
                      <w:highlight w:val="none"/>
                      <w:lang w:val="en-US" w:eastAsia="zh-CN"/>
                    </w:rPr>
                    <w:t>ALJC-SW-009</w:t>
                  </w:r>
                </w:p>
              </w:tc>
              <w:tc>
                <w:tcPr>
                  <w:tcW w:w="2008" w:type="dxa"/>
                  <w:tcBorders>
                    <w:tl2br w:val="nil"/>
                    <w:tr2bl w:val="nil"/>
                  </w:tcBorders>
                  <w:vAlign w:val="center"/>
                </w:tcPr>
                <w:p w14:paraId="6D403284">
                  <w:pPr>
                    <w:pStyle w:val="95"/>
                    <w:spacing w:line="240" w:lineRule="auto"/>
                    <w:ind w:firstLine="0" w:firstLineChars="0"/>
                    <w:jc w:val="center"/>
                    <w:rPr>
                      <w:rFonts w:eastAsia="宋体" w:cs="Times New Roman"/>
                      <w:color w:val="auto"/>
                      <w:sz w:val="21"/>
                      <w:highlight w:val="none"/>
                    </w:rPr>
                  </w:pPr>
                  <w:r>
                    <w:rPr>
                      <w:rFonts w:eastAsia="宋体" w:cs="Times New Roman"/>
                      <w:color w:val="auto"/>
                      <w:sz w:val="21"/>
                      <w:highlight w:val="none"/>
                    </w:rPr>
                    <w:t>测量范围：</w:t>
                  </w:r>
                </w:p>
                <w:p w14:paraId="12406BAB">
                  <w:pPr>
                    <w:pStyle w:val="95"/>
                    <w:spacing w:line="240" w:lineRule="auto"/>
                    <w:ind w:firstLine="0" w:firstLineChars="0"/>
                    <w:jc w:val="center"/>
                    <w:rPr>
                      <w:rFonts w:eastAsia="宋体" w:cs="Times New Roman"/>
                      <w:color w:val="auto"/>
                      <w:sz w:val="21"/>
                      <w:highlight w:val="none"/>
                    </w:rPr>
                  </w:pPr>
                  <w:r>
                    <w:rPr>
                      <w:rFonts w:hint="eastAsia" w:eastAsia="宋体" w:cs="Times New Roman"/>
                      <w:color w:val="auto"/>
                      <w:sz w:val="21"/>
                      <w:highlight w:val="none"/>
                    </w:rPr>
                    <w:t>0.01</w:t>
                  </w:r>
                  <w:r>
                    <w:rPr>
                      <w:rFonts w:eastAsia="宋体" w:cs="Times New Roman"/>
                      <w:color w:val="auto"/>
                      <w:sz w:val="21"/>
                      <w:highlight w:val="none"/>
                    </w:rPr>
                    <w:t>μSv/h~</w:t>
                  </w:r>
                  <w:r>
                    <w:rPr>
                      <w:rFonts w:hint="eastAsia" w:eastAsia="宋体" w:cs="Times New Roman"/>
                      <w:color w:val="auto"/>
                      <w:sz w:val="21"/>
                      <w:highlight w:val="none"/>
                    </w:rPr>
                    <w:t>200</w:t>
                  </w:r>
                  <w:r>
                    <w:rPr>
                      <w:rFonts w:eastAsia="宋体" w:cs="Times New Roman"/>
                      <w:color w:val="auto"/>
                      <w:sz w:val="21"/>
                      <w:highlight w:val="none"/>
                    </w:rPr>
                    <w:t>μSv/h</w:t>
                  </w:r>
                </w:p>
                <w:p w14:paraId="06946812">
                  <w:pPr>
                    <w:pStyle w:val="95"/>
                    <w:spacing w:line="240" w:lineRule="auto"/>
                    <w:ind w:firstLine="0" w:firstLineChars="0"/>
                    <w:jc w:val="center"/>
                    <w:rPr>
                      <w:rFonts w:eastAsia="宋体" w:cs="Times New Roman"/>
                      <w:color w:val="auto"/>
                      <w:sz w:val="21"/>
                      <w:highlight w:val="none"/>
                    </w:rPr>
                  </w:pPr>
                  <w:r>
                    <w:rPr>
                      <w:rFonts w:eastAsia="宋体" w:cs="Times New Roman"/>
                      <w:color w:val="auto"/>
                      <w:sz w:val="21"/>
                      <w:highlight w:val="none"/>
                    </w:rPr>
                    <w:t>能量响应范围：</w:t>
                  </w:r>
                  <w:r>
                    <w:rPr>
                      <w:rFonts w:hint="eastAsia" w:eastAsia="宋体" w:cs="Times New Roman"/>
                      <w:color w:val="auto"/>
                      <w:sz w:val="21"/>
                      <w:highlight w:val="none"/>
                      <w:lang w:val="en-US" w:eastAsia="zh-CN"/>
                    </w:rPr>
                    <w:t>6</w:t>
                  </w:r>
                  <w:r>
                    <w:rPr>
                      <w:rFonts w:hint="eastAsia" w:eastAsia="宋体" w:cs="Times New Roman"/>
                      <w:color w:val="auto"/>
                      <w:sz w:val="21"/>
                      <w:highlight w:val="none"/>
                    </w:rPr>
                    <w:t>0</w:t>
                  </w:r>
                  <w:r>
                    <w:rPr>
                      <w:rFonts w:eastAsia="宋体" w:cs="Times New Roman"/>
                      <w:color w:val="auto"/>
                      <w:sz w:val="21"/>
                      <w:highlight w:val="none"/>
                    </w:rPr>
                    <w:t>keV~</w:t>
                  </w:r>
                  <w:r>
                    <w:rPr>
                      <w:rFonts w:hint="eastAsia" w:eastAsia="宋体" w:cs="Times New Roman"/>
                      <w:color w:val="auto"/>
                      <w:sz w:val="21"/>
                      <w:highlight w:val="none"/>
                    </w:rPr>
                    <w:t>3.0</w:t>
                  </w:r>
                  <w:r>
                    <w:rPr>
                      <w:rFonts w:eastAsia="宋体" w:cs="Times New Roman"/>
                      <w:color w:val="auto"/>
                      <w:sz w:val="21"/>
                      <w:highlight w:val="none"/>
                    </w:rPr>
                    <w:t>MeV</w:t>
                  </w:r>
                </w:p>
              </w:tc>
              <w:tc>
                <w:tcPr>
                  <w:tcW w:w="3311" w:type="dxa"/>
                  <w:tcBorders>
                    <w:tl2br w:val="nil"/>
                    <w:tr2bl w:val="nil"/>
                  </w:tcBorders>
                  <w:vAlign w:val="center"/>
                </w:tcPr>
                <w:p w14:paraId="1E696F6D">
                  <w:pPr>
                    <w:pStyle w:val="95"/>
                    <w:spacing w:line="240" w:lineRule="auto"/>
                    <w:ind w:firstLine="0" w:firstLineChars="0"/>
                    <w:jc w:val="center"/>
                    <w:rPr>
                      <w:rFonts w:eastAsia="宋体" w:cs="Times New Roman"/>
                      <w:color w:val="auto"/>
                      <w:sz w:val="21"/>
                      <w:highlight w:val="none"/>
                    </w:rPr>
                  </w:pPr>
                  <w:r>
                    <w:rPr>
                      <w:rFonts w:eastAsia="宋体" w:cs="Times New Roman"/>
                      <w:color w:val="auto"/>
                      <w:sz w:val="21"/>
                      <w:highlight w:val="none"/>
                    </w:rPr>
                    <w:t>检定单位：</w:t>
                  </w:r>
                  <w:r>
                    <w:rPr>
                      <w:rFonts w:hint="eastAsia" w:eastAsia="宋体" w:cs="Times New Roman"/>
                      <w:color w:val="auto"/>
                      <w:sz w:val="21"/>
                      <w:highlight w:val="none"/>
                    </w:rPr>
                    <w:t>上海市计量测试技术研究院华东国家计量测试中心</w:t>
                  </w:r>
                </w:p>
                <w:p w14:paraId="51300D60">
                  <w:pPr>
                    <w:pStyle w:val="95"/>
                    <w:spacing w:line="240" w:lineRule="auto"/>
                    <w:ind w:firstLine="0" w:firstLineChars="0"/>
                    <w:jc w:val="center"/>
                    <w:rPr>
                      <w:rFonts w:hint="default" w:eastAsia="宋体" w:cs="Times New Roman"/>
                      <w:color w:val="auto"/>
                      <w:sz w:val="21"/>
                      <w:highlight w:val="none"/>
                      <w:lang w:val="en-US" w:eastAsia="zh-CN"/>
                    </w:rPr>
                  </w:pPr>
                  <w:r>
                    <w:rPr>
                      <w:rFonts w:eastAsia="宋体" w:cs="Times New Roman"/>
                      <w:color w:val="auto"/>
                      <w:sz w:val="21"/>
                      <w:highlight w:val="none"/>
                    </w:rPr>
                    <w:t>证书编号：</w:t>
                  </w:r>
                  <w:r>
                    <w:rPr>
                      <w:rFonts w:hint="eastAsia" w:eastAsia="宋体" w:cs="Times New Roman"/>
                      <w:color w:val="auto"/>
                      <w:sz w:val="21"/>
                      <w:highlight w:val="none"/>
                      <w:lang w:val="en-US" w:eastAsia="zh-CN"/>
                    </w:rPr>
                    <w:t>000459＋000565</w:t>
                  </w:r>
                </w:p>
                <w:p w14:paraId="747DFD25">
                  <w:pPr>
                    <w:pStyle w:val="95"/>
                    <w:spacing w:line="240" w:lineRule="auto"/>
                    <w:ind w:firstLine="0" w:firstLineChars="0"/>
                    <w:jc w:val="center"/>
                    <w:rPr>
                      <w:rFonts w:eastAsia="宋体" w:cs="Times New Roman"/>
                      <w:color w:val="auto"/>
                      <w:sz w:val="21"/>
                      <w:highlight w:val="none"/>
                    </w:rPr>
                  </w:pPr>
                  <w:r>
                    <w:rPr>
                      <w:rFonts w:eastAsia="宋体" w:cs="Times New Roman"/>
                      <w:color w:val="auto"/>
                      <w:sz w:val="21"/>
                      <w:highlight w:val="none"/>
                    </w:rPr>
                    <w:t>有效期限：202</w:t>
                  </w:r>
                  <w:r>
                    <w:rPr>
                      <w:rFonts w:hint="eastAsia" w:eastAsia="宋体" w:cs="Times New Roman"/>
                      <w:color w:val="auto"/>
                      <w:sz w:val="21"/>
                      <w:highlight w:val="none"/>
                    </w:rPr>
                    <w:t>3</w:t>
                  </w:r>
                  <w:r>
                    <w:rPr>
                      <w:rFonts w:eastAsia="宋体" w:cs="Times New Roman"/>
                      <w:color w:val="auto"/>
                      <w:sz w:val="21"/>
                      <w:highlight w:val="none"/>
                    </w:rPr>
                    <w:t>.0</w:t>
                  </w:r>
                  <w:r>
                    <w:rPr>
                      <w:rFonts w:hint="eastAsia" w:eastAsia="宋体" w:cs="Times New Roman"/>
                      <w:color w:val="auto"/>
                      <w:sz w:val="21"/>
                      <w:highlight w:val="none"/>
                      <w:lang w:val="en-US" w:eastAsia="zh-CN"/>
                    </w:rPr>
                    <w:t>8</w:t>
                  </w:r>
                  <w:r>
                    <w:rPr>
                      <w:rFonts w:eastAsia="宋体" w:cs="Times New Roman"/>
                      <w:color w:val="auto"/>
                      <w:sz w:val="21"/>
                      <w:highlight w:val="none"/>
                    </w:rPr>
                    <w:t>.</w:t>
                  </w:r>
                  <w:r>
                    <w:rPr>
                      <w:rFonts w:hint="eastAsia" w:eastAsia="宋体" w:cs="Times New Roman"/>
                      <w:color w:val="auto"/>
                      <w:sz w:val="21"/>
                      <w:highlight w:val="none"/>
                      <w:lang w:val="en-US" w:eastAsia="zh-CN"/>
                    </w:rPr>
                    <w:t>2</w:t>
                  </w:r>
                  <w:r>
                    <w:rPr>
                      <w:rFonts w:hint="eastAsia" w:eastAsia="宋体" w:cs="Times New Roman"/>
                      <w:color w:val="auto"/>
                      <w:sz w:val="21"/>
                      <w:highlight w:val="none"/>
                    </w:rPr>
                    <w:t>2</w:t>
                  </w:r>
                  <w:r>
                    <w:rPr>
                      <w:rFonts w:eastAsia="宋体" w:cs="Times New Roman"/>
                      <w:color w:val="auto"/>
                      <w:sz w:val="21"/>
                      <w:highlight w:val="none"/>
                    </w:rPr>
                    <w:t>-202</w:t>
                  </w:r>
                  <w:r>
                    <w:rPr>
                      <w:rFonts w:hint="eastAsia" w:eastAsia="宋体" w:cs="Times New Roman"/>
                      <w:color w:val="auto"/>
                      <w:sz w:val="21"/>
                      <w:highlight w:val="none"/>
                    </w:rPr>
                    <w:t>4</w:t>
                  </w:r>
                  <w:r>
                    <w:rPr>
                      <w:rFonts w:eastAsia="宋体" w:cs="Times New Roman"/>
                      <w:color w:val="auto"/>
                      <w:sz w:val="21"/>
                      <w:highlight w:val="none"/>
                    </w:rPr>
                    <w:t>.0</w:t>
                  </w:r>
                  <w:r>
                    <w:rPr>
                      <w:rFonts w:hint="eastAsia" w:eastAsia="宋体" w:cs="Times New Roman"/>
                      <w:color w:val="auto"/>
                      <w:sz w:val="21"/>
                      <w:highlight w:val="none"/>
                      <w:lang w:val="en-US" w:eastAsia="zh-CN"/>
                    </w:rPr>
                    <w:t>8</w:t>
                  </w:r>
                  <w:r>
                    <w:rPr>
                      <w:rFonts w:eastAsia="宋体" w:cs="Times New Roman"/>
                      <w:color w:val="auto"/>
                      <w:sz w:val="21"/>
                      <w:highlight w:val="none"/>
                    </w:rPr>
                    <w:t>.</w:t>
                  </w:r>
                  <w:r>
                    <w:rPr>
                      <w:rFonts w:hint="eastAsia" w:eastAsia="宋体" w:cs="Times New Roman"/>
                      <w:color w:val="auto"/>
                      <w:sz w:val="21"/>
                      <w:highlight w:val="none"/>
                      <w:lang w:val="en-US" w:eastAsia="zh-CN"/>
                    </w:rPr>
                    <w:t>2</w:t>
                  </w:r>
                  <w:r>
                    <w:rPr>
                      <w:rFonts w:hint="eastAsia" w:eastAsia="宋体" w:cs="Times New Roman"/>
                      <w:color w:val="auto"/>
                      <w:sz w:val="21"/>
                      <w:highlight w:val="none"/>
                    </w:rPr>
                    <w:t>1</w:t>
                  </w:r>
                </w:p>
              </w:tc>
            </w:tr>
            <w:tr w14:paraId="676776C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12" w:hRule="atLeast"/>
                <w:jc w:val="center"/>
              </w:trPr>
              <w:tc>
                <w:tcPr>
                  <w:tcW w:w="1237" w:type="dxa"/>
                  <w:tcBorders>
                    <w:tl2br w:val="nil"/>
                    <w:tr2bl w:val="nil"/>
                  </w:tcBorders>
                  <w:vAlign w:val="center"/>
                </w:tcPr>
                <w:p w14:paraId="42BAF7F9">
                  <w:pPr>
                    <w:pStyle w:val="95"/>
                    <w:spacing w:line="240" w:lineRule="auto"/>
                    <w:ind w:firstLine="0" w:firstLineChars="0"/>
                    <w:jc w:val="center"/>
                    <w:rPr>
                      <w:rFonts w:eastAsia="宋体" w:cs="Times New Roman"/>
                      <w:color w:val="auto"/>
                      <w:sz w:val="21"/>
                      <w:highlight w:val="none"/>
                    </w:rPr>
                  </w:pPr>
                  <w:r>
                    <w:rPr>
                      <w:rFonts w:hint="eastAsia" w:eastAsia="宋体" w:cs="Times New Roman"/>
                      <w:color w:val="auto"/>
                      <w:sz w:val="21"/>
                      <w:highlight w:val="none"/>
                    </w:rPr>
                    <w:t>多功能</w:t>
                  </w:r>
                  <w:r>
                    <w:rPr>
                      <w:rFonts w:eastAsia="宋体" w:cs="Times New Roman"/>
                      <w:color w:val="auto"/>
                      <w:sz w:val="21"/>
                      <w:highlight w:val="none"/>
                    </w:rPr>
                    <w:t>声级计</w:t>
                  </w:r>
                </w:p>
              </w:tc>
              <w:tc>
                <w:tcPr>
                  <w:tcW w:w="1736" w:type="dxa"/>
                  <w:tcBorders>
                    <w:tl2br w:val="nil"/>
                    <w:tr2bl w:val="nil"/>
                  </w:tcBorders>
                  <w:vAlign w:val="center"/>
                </w:tcPr>
                <w:p w14:paraId="1955537C">
                  <w:pPr>
                    <w:pStyle w:val="95"/>
                    <w:spacing w:line="240" w:lineRule="auto"/>
                    <w:ind w:firstLine="0" w:firstLineChars="0"/>
                    <w:jc w:val="center"/>
                    <w:rPr>
                      <w:rFonts w:eastAsia="宋体" w:cs="Times New Roman"/>
                      <w:color w:val="auto"/>
                      <w:sz w:val="21"/>
                      <w:highlight w:val="none"/>
                    </w:rPr>
                  </w:pPr>
                  <w:r>
                    <w:rPr>
                      <w:rFonts w:hint="eastAsia" w:eastAsia="宋体" w:cs="Times New Roman"/>
                      <w:color w:val="auto"/>
                      <w:sz w:val="21"/>
                      <w:highlight w:val="none"/>
                    </w:rPr>
                    <w:t>型号：</w:t>
                  </w:r>
                  <w:r>
                    <w:rPr>
                      <w:rFonts w:eastAsia="宋体" w:cs="Times New Roman"/>
                      <w:color w:val="auto"/>
                      <w:sz w:val="21"/>
                      <w:highlight w:val="none"/>
                    </w:rPr>
                    <w:t>AWA56</w:t>
                  </w:r>
                  <w:r>
                    <w:rPr>
                      <w:rFonts w:hint="eastAsia" w:eastAsia="宋体" w:cs="Times New Roman"/>
                      <w:color w:val="auto"/>
                      <w:sz w:val="21"/>
                      <w:highlight w:val="none"/>
                    </w:rPr>
                    <w:t>88</w:t>
                  </w:r>
                </w:p>
                <w:p w14:paraId="028FAE38">
                  <w:pPr>
                    <w:pStyle w:val="95"/>
                    <w:spacing w:line="240" w:lineRule="auto"/>
                    <w:ind w:firstLine="0" w:firstLineChars="0"/>
                    <w:jc w:val="center"/>
                    <w:rPr>
                      <w:rFonts w:hint="default" w:eastAsia="宋体" w:cs="Times New Roman"/>
                      <w:color w:val="auto"/>
                      <w:sz w:val="21"/>
                      <w:highlight w:val="none"/>
                      <w:lang w:val="en-US"/>
                    </w:rPr>
                  </w:pPr>
                  <w:r>
                    <w:rPr>
                      <w:rFonts w:hint="eastAsia" w:eastAsia="宋体" w:cs="Times New Roman"/>
                      <w:color w:val="auto"/>
                      <w:sz w:val="21"/>
                      <w:highlight w:val="none"/>
                    </w:rPr>
                    <w:t>编号：</w:t>
                  </w:r>
                  <w:r>
                    <w:rPr>
                      <w:rFonts w:hint="eastAsia" w:eastAsia="宋体" w:cs="Times New Roman"/>
                      <w:color w:val="auto"/>
                      <w:sz w:val="21"/>
                      <w:highlight w:val="none"/>
                      <w:lang w:val="en-US" w:eastAsia="zh-CN"/>
                    </w:rPr>
                    <w:t>ALJC-SW-090</w:t>
                  </w:r>
                </w:p>
              </w:tc>
              <w:tc>
                <w:tcPr>
                  <w:tcW w:w="2008" w:type="dxa"/>
                  <w:tcBorders>
                    <w:tl2br w:val="nil"/>
                    <w:tr2bl w:val="nil"/>
                  </w:tcBorders>
                  <w:vAlign w:val="center"/>
                </w:tcPr>
                <w:p w14:paraId="6C8C7895">
                  <w:pPr>
                    <w:pStyle w:val="95"/>
                    <w:spacing w:line="240" w:lineRule="auto"/>
                    <w:ind w:firstLine="0" w:firstLineChars="0"/>
                    <w:jc w:val="center"/>
                    <w:rPr>
                      <w:rFonts w:eastAsia="宋体" w:cs="Times New Roman"/>
                      <w:color w:val="auto"/>
                      <w:sz w:val="21"/>
                      <w:highlight w:val="none"/>
                      <w:lang w:val="zh-CN"/>
                    </w:rPr>
                  </w:pPr>
                  <w:r>
                    <w:rPr>
                      <w:rFonts w:eastAsia="宋体" w:cs="Times New Roman"/>
                      <w:color w:val="auto"/>
                      <w:sz w:val="21"/>
                      <w:highlight w:val="none"/>
                      <w:lang w:val="zh-CN"/>
                    </w:rPr>
                    <w:t>频率范围：20Hz~12.5kHz</w:t>
                  </w:r>
                </w:p>
                <w:p w14:paraId="4448B2FD">
                  <w:pPr>
                    <w:pStyle w:val="95"/>
                    <w:spacing w:line="240" w:lineRule="auto"/>
                    <w:ind w:firstLine="0" w:firstLineChars="0"/>
                    <w:jc w:val="center"/>
                    <w:rPr>
                      <w:rFonts w:eastAsia="宋体" w:cs="Times New Roman"/>
                      <w:color w:val="auto"/>
                      <w:sz w:val="21"/>
                      <w:highlight w:val="none"/>
                      <w:lang w:val="zh-CN"/>
                    </w:rPr>
                  </w:pPr>
                  <w:r>
                    <w:rPr>
                      <w:rFonts w:eastAsia="宋体" w:cs="Times New Roman"/>
                      <w:color w:val="auto"/>
                      <w:sz w:val="21"/>
                      <w:highlight w:val="none"/>
                      <w:lang w:val="zh-CN"/>
                    </w:rPr>
                    <w:t>测量范围：</w:t>
                  </w:r>
                  <w:r>
                    <w:rPr>
                      <w:rFonts w:hint="eastAsia" w:eastAsia="宋体" w:cs="Times New Roman"/>
                      <w:color w:val="auto"/>
                      <w:sz w:val="21"/>
                      <w:highlight w:val="none"/>
                    </w:rPr>
                    <w:t>2</w:t>
                  </w:r>
                  <w:r>
                    <w:rPr>
                      <w:rFonts w:hint="eastAsia" w:eastAsia="宋体" w:cs="Times New Roman"/>
                      <w:color w:val="auto"/>
                      <w:sz w:val="21"/>
                      <w:highlight w:val="none"/>
                      <w:lang w:val="en-US" w:eastAsia="zh-CN"/>
                    </w:rPr>
                    <w:t>7</w:t>
                  </w:r>
                  <w:r>
                    <w:rPr>
                      <w:rFonts w:eastAsia="宋体" w:cs="Times New Roman"/>
                      <w:color w:val="auto"/>
                      <w:sz w:val="21"/>
                      <w:highlight w:val="none"/>
                      <w:lang w:val="zh-CN"/>
                    </w:rPr>
                    <w:t>dBA~13</w:t>
                  </w:r>
                  <w:r>
                    <w:rPr>
                      <w:rFonts w:hint="eastAsia" w:eastAsia="宋体" w:cs="Times New Roman"/>
                      <w:color w:val="auto"/>
                      <w:sz w:val="21"/>
                      <w:highlight w:val="none"/>
                      <w:lang w:val="en-US" w:eastAsia="zh-CN"/>
                    </w:rPr>
                    <w:t>2</w:t>
                  </w:r>
                  <w:r>
                    <w:rPr>
                      <w:rFonts w:eastAsia="宋体" w:cs="Times New Roman"/>
                      <w:color w:val="auto"/>
                      <w:sz w:val="21"/>
                      <w:highlight w:val="none"/>
                      <w:lang w:val="zh-CN"/>
                    </w:rPr>
                    <w:t>dBA</w:t>
                  </w:r>
                </w:p>
              </w:tc>
              <w:tc>
                <w:tcPr>
                  <w:tcW w:w="3311" w:type="dxa"/>
                  <w:tcBorders>
                    <w:tl2br w:val="nil"/>
                    <w:tr2bl w:val="nil"/>
                  </w:tcBorders>
                  <w:vAlign w:val="center"/>
                </w:tcPr>
                <w:p w14:paraId="321D0A2B">
                  <w:pPr>
                    <w:pStyle w:val="95"/>
                    <w:spacing w:line="240" w:lineRule="auto"/>
                    <w:ind w:firstLine="0" w:firstLineChars="0"/>
                    <w:jc w:val="center"/>
                    <w:rPr>
                      <w:rFonts w:eastAsia="宋体" w:cs="Times New Roman"/>
                      <w:color w:val="auto"/>
                      <w:sz w:val="21"/>
                      <w:highlight w:val="none"/>
                    </w:rPr>
                  </w:pPr>
                  <w:r>
                    <w:rPr>
                      <w:rFonts w:eastAsia="宋体" w:cs="Times New Roman"/>
                      <w:color w:val="auto"/>
                      <w:sz w:val="21"/>
                      <w:highlight w:val="none"/>
                    </w:rPr>
                    <w:t>检定单位：安徽省计量科学研究院</w:t>
                  </w:r>
                </w:p>
                <w:p w14:paraId="72196654">
                  <w:pPr>
                    <w:pStyle w:val="95"/>
                    <w:spacing w:line="240" w:lineRule="auto"/>
                    <w:ind w:firstLine="0" w:firstLineChars="0"/>
                    <w:jc w:val="center"/>
                    <w:rPr>
                      <w:rFonts w:eastAsia="宋体" w:cs="Times New Roman"/>
                      <w:color w:val="auto"/>
                      <w:sz w:val="21"/>
                      <w:highlight w:val="none"/>
                    </w:rPr>
                  </w:pPr>
                  <w:r>
                    <w:rPr>
                      <w:rFonts w:eastAsia="宋体" w:cs="Times New Roman"/>
                      <w:color w:val="auto"/>
                      <w:sz w:val="21"/>
                      <w:highlight w:val="none"/>
                    </w:rPr>
                    <w:t>证书编号：LX202</w:t>
                  </w:r>
                  <w:r>
                    <w:rPr>
                      <w:rFonts w:hint="eastAsia" w:eastAsia="宋体" w:cs="Times New Roman"/>
                      <w:color w:val="auto"/>
                      <w:sz w:val="21"/>
                      <w:highlight w:val="none"/>
                    </w:rPr>
                    <w:t>3</w:t>
                  </w:r>
                  <w:r>
                    <w:rPr>
                      <w:rFonts w:eastAsia="宋体" w:cs="Times New Roman"/>
                      <w:color w:val="auto"/>
                      <w:sz w:val="21"/>
                      <w:highlight w:val="none"/>
                    </w:rPr>
                    <w:t>B-0</w:t>
                  </w:r>
                  <w:r>
                    <w:rPr>
                      <w:rFonts w:hint="eastAsia" w:eastAsia="宋体" w:cs="Times New Roman"/>
                      <w:color w:val="auto"/>
                      <w:sz w:val="21"/>
                      <w:highlight w:val="none"/>
                    </w:rPr>
                    <w:t>00143</w:t>
                  </w:r>
                </w:p>
                <w:p w14:paraId="5F44AE38">
                  <w:pPr>
                    <w:pStyle w:val="95"/>
                    <w:spacing w:line="240" w:lineRule="auto"/>
                    <w:ind w:firstLine="0" w:firstLineChars="0"/>
                    <w:jc w:val="center"/>
                    <w:rPr>
                      <w:rFonts w:hint="default" w:eastAsia="宋体" w:cs="Times New Roman"/>
                      <w:color w:val="auto"/>
                      <w:sz w:val="21"/>
                      <w:highlight w:val="none"/>
                      <w:lang w:val="en-US" w:eastAsia="zh-CN"/>
                    </w:rPr>
                  </w:pPr>
                  <w:r>
                    <w:rPr>
                      <w:rFonts w:eastAsia="宋体" w:cs="Times New Roman"/>
                      <w:color w:val="auto"/>
                      <w:sz w:val="21"/>
                      <w:highlight w:val="none"/>
                    </w:rPr>
                    <w:t>有效期日期：202</w:t>
                  </w:r>
                  <w:r>
                    <w:rPr>
                      <w:rFonts w:hint="eastAsia" w:eastAsia="宋体" w:cs="Times New Roman"/>
                      <w:color w:val="auto"/>
                      <w:sz w:val="21"/>
                      <w:highlight w:val="none"/>
                    </w:rPr>
                    <w:t>3</w:t>
                  </w:r>
                  <w:r>
                    <w:rPr>
                      <w:rFonts w:eastAsia="宋体" w:cs="Times New Roman"/>
                      <w:color w:val="auto"/>
                      <w:sz w:val="21"/>
                      <w:highlight w:val="none"/>
                    </w:rPr>
                    <w:t>.</w:t>
                  </w:r>
                  <w:r>
                    <w:rPr>
                      <w:rFonts w:hint="eastAsia" w:eastAsia="宋体" w:cs="Times New Roman"/>
                      <w:color w:val="auto"/>
                      <w:sz w:val="21"/>
                      <w:highlight w:val="none"/>
                      <w:lang w:val="en-US" w:eastAsia="zh-CN"/>
                    </w:rPr>
                    <w:t>11</w:t>
                  </w:r>
                  <w:r>
                    <w:rPr>
                      <w:rFonts w:eastAsia="宋体" w:cs="Times New Roman"/>
                      <w:color w:val="auto"/>
                      <w:sz w:val="21"/>
                      <w:highlight w:val="none"/>
                    </w:rPr>
                    <w:t>.</w:t>
                  </w:r>
                  <w:r>
                    <w:rPr>
                      <w:rFonts w:hint="eastAsia" w:eastAsia="宋体" w:cs="Times New Roman"/>
                      <w:color w:val="auto"/>
                      <w:sz w:val="21"/>
                      <w:highlight w:val="none"/>
                      <w:lang w:val="en-US" w:eastAsia="zh-CN"/>
                    </w:rPr>
                    <w:t>6</w:t>
                  </w:r>
                  <w:r>
                    <w:rPr>
                      <w:rFonts w:eastAsia="宋体" w:cs="Times New Roman"/>
                      <w:color w:val="auto"/>
                      <w:sz w:val="21"/>
                      <w:highlight w:val="none"/>
                    </w:rPr>
                    <w:t>-202</w:t>
                  </w:r>
                  <w:r>
                    <w:rPr>
                      <w:rFonts w:hint="eastAsia" w:eastAsia="宋体" w:cs="Times New Roman"/>
                      <w:color w:val="auto"/>
                      <w:sz w:val="21"/>
                      <w:highlight w:val="none"/>
                    </w:rPr>
                    <w:t>4</w:t>
                  </w:r>
                  <w:r>
                    <w:rPr>
                      <w:rFonts w:eastAsia="宋体" w:cs="Times New Roman"/>
                      <w:color w:val="auto"/>
                      <w:sz w:val="21"/>
                      <w:highlight w:val="none"/>
                    </w:rPr>
                    <w:t>.</w:t>
                  </w:r>
                  <w:r>
                    <w:rPr>
                      <w:rFonts w:hint="eastAsia" w:eastAsia="宋体" w:cs="Times New Roman"/>
                      <w:color w:val="auto"/>
                      <w:sz w:val="21"/>
                      <w:highlight w:val="none"/>
                      <w:lang w:val="en-US" w:eastAsia="zh-CN"/>
                    </w:rPr>
                    <w:t>11</w:t>
                  </w:r>
                  <w:r>
                    <w:rPr>
                      <w:rFonts w:eastAsia="宋体" w:cs="Times New Roman"/>
                      <w:color w:val="auto"/>
                      <w:sz w:val="21"/>
                      <w:highlight w:val="none"/>
                    </w:rPr>
                    <w:t>.</w:t>
                  </w:r>
                  <w:r>
                    <w:rPr>
                      <w:rFonts w:hint="eastAsia" w:eastAsia="宋体" w:cs="Times New Roman"/>
                      <w:color w:val="auto"/>
                      <w:sz w:val="21"/>
                      <w:highlight w:val="none"/>
                      <w:lang w:val="en-US" w:eastAsia="zh-CN"/>
                    </w:rPr>
                    <w:t>5</w:t>
                  </w:r>
                </w:p>
              </w:tc>
            </w:tr>
            <w:tr w14:paraId="23E121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37" w:type="dxa"/>
                  <w:tcBorders>
                    <w:tl2br w:val="nil"/>
                    <w:tr2bl w:val="nil"/>
                  </w:tcBorders>
                  <w:vAlign w:val="center"/>
                </w:tcPr>
                <w:p w14:paraId="0B924F6B">
                  <w:pPr>
                    <w:pStyle w:val="95"/>
                    <w:spacing w:line="240" w:lineRule="auto"/>
                    <w:ind w:firstLine="0" w:firstLineChars="0"/>
                    <w:jc w:val="center"/>
                    <w:rPr>
                      <w:rFonts w:hint="default" w:eastAsia="宋体" w:cs="Times New Roman"/>
                      <w:color w:val="auto"/>
                      <w:sz w:val="21"/>
                      <w:highlight w:val="none"/>
                      <w:lang w:val="en-US" w:eastAsia="zh-CN"/>
                    </w:rPr>
                  </w:pPr>
                  <w:r>
                    <w:rPr>
                      <w:rFonts w:hint="eastAsia" w:eastAsia="宋体" w:cs="Times New Roman"/>
                      <w:color w:val="auto"/>
                      <w:sz w:val="21"/>
                      <w:highlight w:val="none"/>
                      <w:lang w:val="en-US" w:eastAsia="zh-CN"/>
                    </w:rPr>
                    <w:t>声校准器</w:t>
                  </w:r>
                </w:p>
              </w:tc>
              <w:tc>
                <w:tcPr>
                  <w:tcW w:w="1736" w:type="dxa"/>
                  <w:tcBorders>
                    <w:tl2br w:val="nil"/>
                    <w:tr2bl w:val="nil"/>
                  </w:tcBorders>
                  <w:vAlign w:val="center"/>
                </w:tcPr>
                <w:p w14:paraId="3FC26381">
                  <w:pPr>
                    <w:pStyle w:val="95"/>
                    <w:spacing w:line="240" w:lineRule="auto"/>
                    <w:ind w:firstLine="0" w:firstLineChars="0"/>
                    <w:jc w:val="center"/>
                    <w:rPr>
                      <w:rFonts w:hint="default" w:eastAsia="宋体" w:cs="Times New Roman"/>
                      <w:color w:val="auto"/>
                      <w:sz w:val="21"/>
                      <w:highlight w:val="none"/>
                      <w:lang w:val="en-US" w:eastAsia="zh-CN"/>
                    </w:rPr>
                  </w:pPr>
                  <w:r>
                    <w:rPr>
                      <w:rFonts w:hint="eastAsia" w:eastAsia="宋体" w:cs="Times New Roman"/>
                      <w:color w:val="auto"/>
                      <w:sz w:val="21"/>
                      <w:highlight w:val="none"/>
                    </w:rPr>
                    <w:t>型号：</w:t>
                  </w:r>
                  <w:r>
                    <w:rPr>
                      <w:rFonts w:eastAsia="宋体" w:cs="Times New Roman"/>
                      <w:color w:val="auto"/>
                      <w:sz w:val="21"/>
                      <w:highlight w:val="none"/>
                    </w:rPr>
                    <w:t>AWA</w:t>
                  </w:r>
                  <w:r>
                    <w:rPr>
                      <w:rFonts w:hint="eastAsia" w:eastAsia="宋体" w:cs="Times New Roman"/>
                      <w:color w:val="auto"/>
                      <w:sz w:val="21"/>
                      <w:highlight w:val="none"/>
                      <w:lang w:val="en-US" w:eastAsia="zh-CN"/>
                    </w:rPr>
                    <w:t>6021A</w:t>
                  </w:r>
                </w:p>
                <w:p w14:paraId="448A42B3">
                  <w:pPr>
                    <w:pStyle w:val="95"/>
                    <w:spacing w:line="240" w:lineRule="auto"/>
                    <w:ind w:firstLine="0" w:firstLineChars="0"/>
                    <w:jc w:val="center"/>
                    <w:rPr>
                      <w:rFonts w:hint="default" w:eastAsia="宋体" w:cs="Times New Roman"/>
                      <w:color w:val="auto"/>
                      <w:sz w:val="21"/>
                      <w:highlight w:val="none"/>
                      <w:lang w:val="en-US" w:eastAsia="zh-CN"/>
                    </w:rPr>
                  </w:pPr>
                  <w:r>
                    <w:rPr>
                      <w:rFonts w:hint="eastAsia" w:eastAsia="宋体" w:cs="Times New Roman"/>
                      <w:color w:val="auto"/>
                      <w:sz w:val="21"/>
                      <w:highlight w:val="none"/>
                    </w:rPr>
                    <w:t>编号：</w:t>
                  </w:r>
                  <w:r>
                    <w:rPr>
                      <w:rFonts w:hint="eastAsia" w:eastAsia="宋体" w:cs="Times New Roman"/>
                      <w:color w:val="auto"/>
                      <w:sz w:val="21"/>
                      <w:highlight w:val="none"/>
                      <w:lang w:val="en-US" w:eastAsia="zh-CN"/>
                    </w:rPr>
                    <w:t>ALJC-SW-030</w:t>
                  </w:r>
                </w:p>
              </w:tc>
              <w:tc>
                <w:tcPr>
                  <w:tcW w:w="2008" w:type="dxa"/>
                  <w:tcBorders>
                    <w:tl2br w:val="nil"/>
                    <w:tr2bl w:val="nil"/>
                  </w:tcBorders>
                  <w:vAlign w:val="center"/>
                </w:tcPr>
                <w:p w14:paraId="23B18986">
                  <w:pPr>
                    <w:pStyle w:val="95"/>
                    <w:spacing w:line="240" w:lineRule="auto"/>
                    <w:ind w:firstLine="0" w:firstLineChars="0"/>
                    <w:jc w:val="center"/>
                    <w:rPr>
                      <w:rFonts w:hint="eastAsia" w:eastAsia="宋体" w:cs="Times New Roman"/>
                      <w:color w:val="auto"/>
                      <w:sz w:val="21"/>
                      <w:highlight w:val="none"/>
                      <w:lang w:val="en-US" w:eastAsia="zh-CN"/>
                    </w:rPr>
                  </w:pPr>
                  <w:r>
                    <w:rPr>
                      <w:rFonts w:hint="eastAsia" w:eastAsia="宋体" w:cs="Times New Roman"/>
                      <w:color w:val="auto"/>
                      <w:sz w:val="21"/>
                      <w:highlight w:val="none"/>
                      <w:lang w:val="en-US" w:eastAsia="zh-CN"/>
                    </w:rPr>
                    <w:t>/</w:t>
                  </w:r>
                </w:p>
              </w:tc>
              <w:tc>
                <w:tcPr>
                  <w:tcW w:w="3311" w:type="dxa"/>
                  <w:tcBorders>
                    <w:tl2br w:val="nil"/>
                    <w:tr2bl w:val="nil"/>
                  </w:tcBorders>
                  <w:vAlign w:val="center"/>
                </w:tcPr>
                <w:p w14:paraId="7C41FD1F">
                  <w:pPr>
                    <w:pStyle w:val="95"/>
                    <w:spacing w:line="240" w:lineRule="auto"/>
                    <w:ind w:firstLine="0" w:firstLineChars="0"/>
                    <w:jc w:val="center"/>
                    <w:rPr>
                      <w:rFonts w:hint="default" w:eastAsia="宋体" w:cs="Times New Roman"/>
                      <w:color w:val="auto"/>
                      <w:sz w:val="21"/>
                      <w:highlight w:val="none"/>
                      <w:lang w:val="en-US"/>
                    </w:rPr>
                  </w:pPr>
                  <w:r>
                    <w:rPr>
                      <w:rFonts w:eastAsia="宋体" w:cs="Times New Roman"/>
                      <w:color w:val="auto"/>
                      <w:sz w:val="21"/>
                      <w:highlight w:val="none"/>
                    </w:rPr>
                    <w:t>有效期日期：202</w:t>
                  </w:r>
                  <w:r>
                    <w:rPr>
                      <w:rFonts w:hint="eastAsia" w:eastAsia="宋体" w:cs="Times New Roman"/>
                      <w:color w:val="auto"/>
                      <w:sz w:val="21"/>
                      <w:highlight w:val="none"/>
                    </w:rPr>
                    <w:t>3</w:t>
                  </w:r>
                  <w:r>
                    <w:rPr>
                      <w:rFonts w:eastAsia="宋体" w:cs="Times New Roman"/>
                      <w:color w:val="auto"/>
                      <w:sz w:val="21"/>
                      <w:highlight w:val="none"/>
                    </w:rPr>
                    <w:t>.</w:t>
                  </w:r>
                  <w:r>
                    <w:rPr>
                      <w:rFonts w:hint="eastAsia" w:eastAsia="宋体" w:cs="Times New Roman"/>
                      <w:color w:val="auto"/>
                      <w:sz w:val="21"/>
                      <w:highlight w:val="none"/>
                      <w:lang w:val="en-US" w:eastAsia="zh-CN"/>
                    </w:rPr>
                    <w:t>8.21</w:t>
                  </w:r>
                  <w:r>
                    <w:rPr>
                      <w:rFonts w:eastAsia="宋体" w:cs="Times New Roman"/>
                      <w:color w:val="auto"/>
                      <w:sz w:val="21"/>
                      <w:highlight w:val="none"/>
                    </w:rPr>
                    <w:t>-202</w:t>
                  </w:r>
                  <w:r>
                    <w:rPr>
                      <w:rFonts w:hint="eastAsia" w:eastAsia="宋体" w:cs="Times New Roman"/>
                      <w:color w:val="auto"/>
                      <w:sz w:val="21"/>
                      <w:highlight w:val="none"/>
                    </w:rPr>
                    <w:t>4</w:t>
                  </w:r>
                  <w:r>
                    <w:rPr>
                      <w:rFonts w:eastAsia="宋体" w:cs="Times New Roman"/>
                      <w:color w:val="auto"/>
                      <w:sz w:val="21"/>
                      <w:highlight w:val="none"/>
                    </w:rPr>
                    <w:t>.</w:t>
                  </w:r>
                  <w:r>
                    <w:rPr>
                      <w:rFonts w:hint="eastAsia" w:eastAsia="宋体" w:cs="Times New Roman"/>
                      <w:color w:val="auto"/>
                      <w:sz w:val="21"/>
                      <w:highlight w:val="none"/>
                      <w:lang w:val="en-US" w:eastAsia="zh-CN"/>
                    </w:rPr>
                    <w:t>8.20</w:t>
                  </w:r>
                </w:p>
              </w:tc>
            </w:tr>
          </w:tbl>
          <w:p w14:paraId="253D5674">
            <w:pPr>
              <w:snapToGrid w:val="0"/>
              <w:spacing w:line="360" w:lineRule="auto"/>
              <w:ind w:firstLine="480" w:firstLineChars="200"/>
              <w:rPr>
                <w:color w:val="auto"/>
                <w:sz w:val="24"/>
                <w:szCs w:val="24"/>
                <w:highlight w:val="none"/>
                <w:lang w:val="zh-CN"/>
              </w:rPr>
            </w:pPr>
            <w:r>
              <w:rPr>
                <w:rFonts w:hint="eastAsia"/>
                <w:color w:val="auto"/>
                <w:sz w:val="24"/>
                <w:szCs w:val="24"/>
                <w:highlight w:val="none"/>
              </w:rPr>
              <w:t>（4）</w:t>
            </w:r>
            <w:r>
              <w:rPr>
                <w:color w:val="auto"/>
                <w:sz w:val="24"/>
                <w:szCs w:val="24"/>
                <w:highlight w:val="none"/>
                <w:lang w:val="zh-CN"/>
              </w:rPr>
              <w:t>监测方法</w:t>
            </w:r>
          </w:p>
          <w:p w14:paraId="1E84E526">
            <w:pPr>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color w:val="auto"/>
                <w:sz w:val="24"/>
                <w:szCs w:val="24"/>
                <w:highlight w:val="none"/>
                <w:lang w:val="zh-CN"/>
              </w:rPr>
              <w:t>依据</w:t>
            </w:r>
            <w:r>
              <w:rPr>
                <w:rFonts w:hint="eastAsia"/>
                <w:color w:val="auto"/>
                <w:sz w:val="24"/>
                <w:szCs w:val="24"/>
                <w:highlight w:val="none"/>
                <w:lang w:val="zh-CN"/>
              </w:rPr>
              <w:t>《环境γ辐射剂量率测量技术规范》（HJ 1157-2021）、</w:t>
            </w:r>
            <w:r>
              <w:rPr>
                <w:color w:val="auto"/>
                <w:sz w:val="24"/>
                <w:szCs w:val="24"/>
                <w:highlight w:val="none"/>
                <w:lang w:val="zh-CN"/>
              </w:rPr>
              <w:t>《声环境质量标准》（GB3096-2008）</w:t>
            </w:r>
            <w:r>
              <w:rPr>
                <w:rFonts w:hint="eastAsia"/>
                <w:color w:val="auto"/>
                <w:sz w:val="24"/>
                <w:szCs w:val="24"/>
                <w:highlight w:val="none"/>
                <w:lang w:val="zh-CN"/>
              </w:rPr>
              <w:t>中</w:t>
            </w:r>
            <w:r>
              <w:rPr>
                <w:color w:val="auto"/>
                <w:sz w:val="24"/>
                <w:szCs w:val="24"/>
                <w:highlight w:val="none"/>
                <w:lang w:val="zh-CN"/>
              </w:rPr>
              <w:t>的要求和方法进行现场测量。</w:t>
            </w:r>
          </w:p>
          <w:p w14:paraId="3100F2E5">
            <w:pPr>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rFonts w:hint="eastAsia"/>
                <w:color w:val="auto"/>
                <w:sz w:val="24"/>
                <w:szCs w:val="24"/>
                <w:highlight w:val="none"/>
              </w:rPr>
              <w:t>（5）</w:t>
            </w:r>
            <w:r>
              <w:rPr>
                <w:color w:val="auto"/>
                <w:sz w:val="24"/>
                <w:szCs w:val="24"/>
                <w:highlight w:val="none"/>
                <w:lang w:val="zh-CN"/>
              </w:rPr>
              <w:t>监测人员</w:t>
            </w:r>
          </w:p>
          <w:p w14:paraId="5FF1A4F8">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color w:val="auto"/>
                <w:sz w:val="24"/>
                <w:szCs w:val="24"/>
                <w:highlight w:val="none"/>
                <w:lang w:val="en-US" w:eastAsia="zh-CN"/>
              </w:rPr>
            </w:pPr>
            <w:r>
              <w:rPr>
                <w:strike w:val="0"/>
                <w:color w:val="auto"/>
                <w:sz w:val="24"/>
                <w:szCs w:val="24"/>
                <w:highlight w:val="none"/>
                <w:lang w:val="zh-CN"/>
              </w:rPr>
              <w:t>监测人员</w:t>
            </w:r>
            <w:r>
              <w:rPr>
                <w:rFonts w:hint="eastAsia"/>
                <w:strike w:val="0"/>
                <w:color w:val="auto"/>
                <w:sz w:val="24"/>
                <w:szCs w:val="24"/>
                <w:highlight w:val="none"/>
                <w:lang w:val="zh-CN"/>
              </w:rPr>
              <w:t>参加监测单位组织的职业技能培训并考核合格</w:t>
            </w:r>
            <w:r>
              <w:rPr>
                <w:rFonts w:hint="eastAsia"/>
                <w:strike w:val="0"/>
                <w:color w:val="auto"/>
                <w:sz w:val="24"/>
                <w:szCs w:val="24"/>
                <w:highlight w:val="none"/>
                <w:lang w:val="en-US" w:eastAsia="zh-CN"/>
              </w:rPr>
              <w:t>后</w:t>
            </w:r>
            <w:r>
              <w:rPr>
                <w:strike w:val="0"/>
                <w:color w:val="auto"/>
                <w:sz w:val="24"/>
                <w:szCs w:val="24"/>
                <w:highlight w:val="none"/>
                <w:lang w:val="zh-CN"/>
              </w:rPr>
              <w:t>上岗</w:t>
            </w:r>
            <w:r>
              <w:rPr>
                <w:color w:val="auto"/>
                <w:sz w:val="24"/>
                <w:szCs w:val="24"/>
                <w:highlight w:val="none"/>
                <w:lang w:val="zh-CN"/>
              </w:rPr>
              <w:t>，按操作规程操作仪器，并做好记录。</w:t>
            </w:r>
          </w:p>
          <w:p w14:paraId="43102671">
            <w:pPr>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zh-CN"/>
              </w:rPr>
            </w:pPr>
            <w:r>
              <w:rPr>
                <w:rFonts w:hint="eastAsia"/>
                <w:color w:val="auto"/>
                <w:sz w:val="24"/>
                <w:szCs w:val="24"/>
                <w:highlight w:val="none"/>
              </w:rPr>
              <w:t>（6）</w:t>
            </w:r>
            <w:r>
              <w:rPr>
                <w:color w:val="auto"/>
                <w:sz w:val="24"/>
                <w:szCs w:val="24"/>
                <w:highlight w:val="none"/>
                <w:lang w:val="zh-CN"/>
              </w:rPr>
              <w:t>报告审核</w:t>
            </w:r>
          </w:p>
          <w:p w14:paraId="3C047810">
            <w:pPr>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highlight w:val="none"/>
              </w:rPr>
            </w:pPr>
            <w:r>
              <w:rPr>
                <w:color w:val="auto"/>
                <w:sz w:val="24"/>
                <w:szCs w:val="24"/>
                <w:highlight w:val="none"/>
                <w:lang w:val="zh-CN"/>
              </w:rPr>
              <w:t>监测报告严格实行三级审核制度，经过编制、审核，最后由</w:t>
            </w:r>
            <w:r>
              <w:rPr>
                <w:rFonts w:hint="eastAsia"/>
                <w:color w:val="auto"/>
                <w:sz w:val="24"/>
                <w:szCs w:val="24"/>
                <w:highlight w:val="none"/>
              </w:rPr>
              <w:t>批准人</w:t>
            </w:r>
            <w:r>
              <w:rPr>
                <w:color w:val="auto"/>
                <w:sz w:val="24"/>
                <w:szCs w:val="24"/>
                <w:highlight w:val="none"/>
                <w:lang w:val="zh-CN"/>
              </w:rPr>
              <w:t>签发。</w:t>
            </w:r>
          </w:p>
          <w:p w14:paraId="64ECA728">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ind w:firstLine="480" w:firstLineChars="200"/>
              <w:textAlignment w:val="auto"/>
              <w:rPr>
                <w:rFonts w:eastAsia="宋体"/>
                <w:b/>
                <w:color w:val="auto"/>
                <w:sz w:val="24"/>
                <w:szCs w:val="24"/>
                <w:highlight w:val="none"/>
              </w:rPr>
            </w:pPr>
            <w:bookmarkStart w:id="88" w:name="_Toc25603"/>
            <w:bookmarkStart w:id="89" w:name="_Toc17214249"/>
            <w:bookmarkStart w:id="90" w:name="_Toc28511244"/>
            <w:bookmarkStart w:id="91" w:name="_Toc28525631"/>
            <w:bookmarkStart w:id="92" w:name="_Toc46061446"/>
            <w:r>
              <w:rPr>
                <w:rFonts w:hint="eastAsia" w:eastAsia="宋体"/>
                <w:b/>
                <w:color w:val="auto"/>
                <w:sz w:val="24"/>
                <w:szCs w:val="24"/>
                <w:highlight w:val="none"/>
              </w:rPr>
              <w:t>2.3</w:t>
            </w:r>
            <w:r>
              <w:rPr>
                <w:rFonts w:hint="eastAsia"/>
                <w:b/>
                <w:color w:val="auto"/>
                <w:sz w:val="24"/>
                <w:szCs w:val="24"/>
                <w:highlight w:val="none"/>
                <w:lang w:eastAsia="zh-CN"/>
              </w:rPr>
              <w:t>、</w:t>
            </w:r>
            <w:r>
              <w:rPr>
                <w:rFonts w:eastAsia="宋体"/>
                <w:b/>
                <w:color w:val="auto"/>
                <w:sz w:val="24"/>
                <w:szCs w:val="24"/>
                <w:highlight w:val="none"/>
              </w:rPr>
              <w:t>监测结果</w:t>
            </w:r>
            <w:bookmarkEnd w:id="88"/>
            <w:bookmarkEnd w:id="89"/>
            <w:bookmarkEnd w:id="90"/>
            <w:bookmarkEnd w:id="91"/>
            <w:bookmarkEnd w:id="92"/>
          </w:p>
          <w:p w14:paraId="25E7D6EC">
            <w:pPr>
              <w:pageBreakBefore w:val="0"/>
              <w:widowControl w:val="0"/>
              <w:kinsoku/>
              <w:wordWrap/>
              <w:overflowPunct/>
              <w:topLinePunct w:val="0"/>
              <w:autoSpaceDE/>
              <w:autoSpaceDN/>
              <w:bidi w:val="0"/>
              <w:adjustRightInd/>
              <w:snapToGrid/>
              <w:spacing w:line="360" w:lineRule="auto"/>
              <w:ind w:firstLine="480" w:firstLineChars="200"/>
              <w:textAlignment w:val="auto"/>
              <w:rPr>
                <w:b/>
                <w:color w:val="auto"/>
                <w:szCs w:val="21"/>
                <w:highlight w:val="none"/>
              </w:rPr>
            </w:pPr>
            <w:r>
              <w:rPr>
                <w:color w:val="auto"/>
                <w:sz w:val="24"/>
                <w:szCs w:val="24"/>
                <w:highlight w:val="none"/>
                <w:lang w:val="zh-CN"/>
              </w:rPr>
              <w:t>本次监测结果见表8-</w:t>
            </w:r>
            <w:r>
              <w:rPr>
                <w:rFonts w:hint="eastAsia"/>
                <w:color w:val="auto"/>
                <w:sz w:val="24"/>
                <w:szCs w:val="24"/>
                <w:highlight w:val="none"/>
              </w:rPr>
              <w:t>2、表8-3</w:t>
            </w:r>
            <w:r>
              <w:rPr>
                <w:color w:val="auto"/>
                <w:sz w:val="24"/>
                <w:szCs w:val="24"/>
                <w:highlight w:val="none"/>
                <w:lang w:val="zh-CN"/>
              </w:rPr>
              <w:t>，详细结果见附件</w:t>
            </w:r>
            <w:r>
              <w:rPr>
                <w:rFonts w:hint="eastAsia"/>
                <w:color w:val="auto"/>
                <w:sz w:val="24"/>
                <w:szCs w:val="24"/>
                <w:highlight w:val="none"/>
                <w:lang w:val="en-US" w:eastAsia="zh-CN"/>
              </w:rPr>
              <w:t>9</w:t>
            </w:r>
            <w:r>
              <w:rPr>
                <w:color w:val="auto"/>
                <w:sz w:val="24"/>
                <w:szCs w:val="24"/>
                <w:highlight w:val="none"/>
                <w:lang w:val="zh-CN"/>
              </w:rPr>
              <w:t>。</w:t>
            </w:r>
            <w:bookmarkStart w:id="93" w:name="_Toc7251"/>
            <w:bookmarkStart w:id="94" w:name="_Toc3371"/>
            <w:bookmarkStart w:id="95" w:name="_Toc16237"/>
          </w:p>
          <w:p w14:paraId="62174539">
            <w:pPr>
              <w:snapToGrid w:val="0"/>
              <w:ind w:firstLine="420" w:firstLineChars="200"/>
              <w:jc w:val="center"/>
              <w:rPr>
                <w:b/>
                <w:color w:val="auto"/>
                <w:szCs w:val="21"/>
                <w:highlight w:val="none"/>
              </w:rPr>
            </w:pPr>
            <w:r>
              <w:rPr>
                <w:b/>
                <w:color w:val="auto"/>
                <w:szCs w:val="21"/>
                <w:highlight w:val="none"/>
              </w:rPr>
              <w:t>表8-</w:t>
            </w:r>
            <w:r>
              <w:rPr>
                <w:rFonts w:hint="eastAsia"/>
                <w:b/>
                <w:color w:val="auto"/>
                <w:szCs w:val="21"/>
                <w:highlight w:val="none"/>
              </w:rPr>
              <w:t>2</w:t>
            </w:r>
            <w:r>
              <w:rPr>
                <w:b/>
                <w:color w:val="auto"/>
                <w:szCs w:val="21"/>
                <w:highlight w:val="none"/>
              </w:rPr>
              <w:t xml:space="preserve"> 项目场址γ</w:t>
            </w:r>
            <w:r>
              <w:rPr>
                <w:rFonts w:hint="eastAsia"/>
                <w:b/>
                <w:color w:val="auto"/>
                <w:szCs w:val="21"/>
                <w:highlight w:val="none"/>
              </w:rPr>
              <w:t>空气吸收剂量率</w:t>
            </w:r>
            <w:r>
              <w:rPr>
                <w:b/>
                <w:color w:val="auto"/>
                <w:szCs w:val="21"/>
                <w:highlight w:val="none"/>
              </w:rPr>
              <w:t>检测结果</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3"/>
              <w:gridCol w:w="4699"/>
              <w:gridCol w:w="2375"/>
            </w:tblGrid>
            <w:tr w14:paraId="001D6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pct"/>
                  <w:vMerge w:val="restart"/>
                  <w:vAlign w:val="center"/>
                </w:tcPr>
                <w:p w14:paraId="170E062C">
                  <w:pPr>
                    <w:jc w:val="center"/>
                    <w:rPr>
                      <w:b/>
                      <w:bCs/>
                      <w:color w:val="auto"/>
                      <w:szCs w:val="21"/>
                      <w:highlight w:val="none"/>
                    </w:rPr>
                  </w:pPr>
                  <w:r>
                    <w:rPr>
                      <w:b/>
                      <w:bCs/>
                      <w:color w:val="auto"/>
                      <w:szCs w:val="21"/>
                      <w:highlight w:val="none"/>
                    </w:rPr>
                    <w:t>点位序号</w:t>
                  </w:r>
                </w:p>
              </w:tc>
              <w:tc>
                <w:tcPr>
                  <w:tcW w:w="2831" w:type="pct"/>
                  <w:vMerge w:val="restart"/>
                  <w:vAlign w:val="center"/>
                </w:tcPr>
                <w:p w14:paraId="561897EF">
                  <w:pPr>
                    <w:jc w:val="center"/>
                    <w:rPr>
                      <w:b/>
                      <w:bCs/>
                      <w:color w:val="auto"/>
                      <w:szCs w:val="21"/>
                      <w:highlight w:val="none"/>
                    </w:rPr>
                  </w:pPr>
                  <w:r>
                    <w:rPr>
                      <w:b/>
                      <w:bCs/>
                      <w:color w:val="auto"/>
                      <w:szCs w:val="21"/>
                      <w:highlight w:val="none"/>
                    </w:rPr>
                    <w:t>测量点位描述</w:t>
                  </w:r>
                </w:p>
              </w:tc>
              <w:tc>
                <w:tcPr>
                  <w:tcW w:w="1431" w:type="pct"/>
                  <w:vAlign w:val="center"/>
                </w:tcPr>
                <w:p w14:paraId="785C6C71">
                  <w:pPr>
                    <w:jc w:val="center"/>
                    <w:rPr>
                      <w:b/>
                      <w:bCs/>
                      <w:color w:val="auto"/>
                      <w:szCs w:val="21"/>
                      <w:highlight w:val="none"/>
                    </w:rPr>
                  </w:pPr>
                  <w:r>
                    <w:rPr>
                      <w:b/>
                      <w:bCs/>
                      <w:color w:val="auto"/>
                      <w:szCs w:val="21"/>
                      <w:highlight w:val="none"/>
                    </w:rPr>
                    <w:t>测量结果（</w:t>
                  </w:r>
                  <w:r>
                    <w:rPr>
                      <w:rFonts w:hint="eastAsia"/>
                      <w:b/>
                      <w:bCs/>
                      <w:color w:val="auto"/>
                      <w:szCs w:val="21"/>
                      <w:highlight w:val="none"/>
                      <w:lang w:val="en-US" w:eastAsia="zh-CN"/>
                    </w:rPr>
                    <w:t>μ</w:t>
                  </w:r>
                  <w:r>
                    <w:rPr>
                      <w:b/>
                      <w:bCs/>
                      <w:color w:val="auto"/>
                      <w:szCs w:val="21"/>
                      <w:highlight w:val="none"/>
                    </w:rPr>
                    <w:t>Gy/h）</w:t>
                  </w:r>
                </w:p>
              </w:tc>
            </w:tr>
            <w:tr w14:paraId="3C81D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pct"/>
                  <w:vMerge w:val="continue"/>
                  <w:vAlign w:val="center"/>
                </w:tcPr>
                <w:p w14:paraId="0812CE39">
                  <w:pPr>
                    <w:jc w:val="center"/>
                    <w:rPr>
                      <w:b/>
                      <w:bCs/>
                      <w:color w:val="auto"/>
                      <w:szCs w:val="21"/>
                      <w:highlight w:val="none"/>
                    </w:rPr>
                  </w:pPr>
                </w:p>
              </w:tc>
              <w:tc>
                <w:tcPr>
                  <w:tcW w:w="2831" w:type="pct"/>
                  <w:vMerge w:val="continue"/>
                  <w:vAlign w:val="center"/>
                </w:tcPr>
                <w:p w14:paraId="750B04E4">
                  <w:pPr>
                    <w:jc w:val="center"/>
                    <w:rPr>
                      <w:b/>
                      <w:bCs/>
                      <w:color w:val="auto"/>
                      <w:szCs w:val="21"/>
                      <w:highlight w:val="none"/>
                    </w:rPr>
                  </w:pPr>
                </w:p>
              </w:tc>
              <w:tc>
                <w:tcPr>
                  <w:tcW w:w="1431" w:type="pct"/>
                  <w:vAlign w:val="center"/>
                </w:tcPr>
                <w:p w14:paraId="3C359B19">
                  <w:pPr>
                    <w:jc w:val="center"/>
                    <w:rPr>
                      <w:rFonts w:hint="eastAsia" w:eastAsia="宋体"/>
                      <w:b/>
                      <w:bCs/>
                      <w:color w:val="auto"/>
                      <w:szCs w:val="21"/>
                      <w:highlight w:val="none"/>
                      <w:lang w:val="en-US" w:eastAsia="zh-CN"/>
                    </w:rPr>
                  </w:pPr>
                  <w:r>
                    <w:rPr>
                      <w:rFonts w:hint="eastAsia"/>
                      <w:b/>
                      <w:bCs/>
                      <w:color w:val="auto"/>
                      <w:szCs w:val="21"/>
                      <w:highlight w:val="none"/>
                      <w:lang w:val="en-US" w:eastAsia="zh-CN"/>
                    </w:rPr>
                    <w:t>平均值</w:t>
                  </w:r>
                </w:p>
              </w:tc>
            </w:tr>
            <w:tr w14:paraId="2A8F2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737" w:type="pct"/>
                  <w:vAlign w:val="center"/>
                </w:tcPr>
                <w:p w14:paraId="517F5C03">
                  <w:pPr>
                    <w:widowControl/>
                    <w:jc w:val="center"/>
                    <w:textAlignment w:val="bottom"/>
                    <w:rPr>
                      <w:color w:val="auto"/>
                      <w:szCs w:val="21"/>
                      <w:highlight w:val="none"/>
                    </w:rPr>
                  </w:pPr>
                  <w:r>
                    <w:rPr>
                      <w:color w:val="auto"/>
                      <w:szCs w:val="21"/>
                      <w:highlight w:val="none"/>
                    </w:rPr>
                    <w:t>1</w:t>
                  </w:r>
                </w:p>
              </w:tc>
              <w:tc>
                <w:tcPr>
                  <w:tcW w:w="2831" w:type="pct"/>
                  <w:vAlign w:val="center"/>
                </w:tcPr>
                <w:p w14:paraId="76FC53A7">
                  <w:pPr>
                    <w:snapToGrid w:val="0"/>
                    <w:jc w:val="center"/>
                    <w:rPr>
                      <w:rFonts w:hint="eastAsia" w:eastAsia="宋体"/>
                      <w:color w:val="auto"/>
                      <w:highlight w:val="none"/>
                    </w:rPr>
                  </w:pPr>
                  <w:r>
                    <w:rPr>
                      <w:rFonts w:hint="default" w:eastAsia="宋体"/>
                      <w:color w:val="auto"/>
                      <w:highlight w:val="none"/>
                    </w:rPr>
                    <w:t>拟建探伤房内中心位置距地1m处</w:t>
                  </w:r>
                </w:p>
              </w:tc>
              <w:tc>
                <w:tcPr>
                  <w:tcW w:w="1431" w:type="pct"/>
                  <w:vAlign w:val="center"/>
                </w:tcPr>
                <w:p w14:paraId="33934C23">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0.06</w:t>
                  </w:r>
                </w:p>
              </w:tc>
            </w:tr>
            <w:tr w14:paraId="78F64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7" w:type="pct"/>
                  <w:vAlign w:val="center"/>
                </w:tcPr>
                <w:p w14:paraId="5A16BB3E">
                  <w:pPr>
                    <w:widowControl/>
                    <w:jc w:val="center"/>
                    <w:textAlignment w:val="bottom"/>
                    <w:rPr>
                      <w:color w:val="auto"/>
                      <w:szCs w:val="21"/>
                      <w:highlight w:val="none"/>
                    </w:rPr>
                  </w:pPr>
                  <w:r>
                    <w:rPr>
                      <w:color w:val="auto"/>
                      <w:szCs w:val="21"/>
                      <w:highlight w:val="none"/>
                    </w:rPr>
                    <w:t>2</w:t>
                  </w:r>
                </w:p>
              </w:tc>
              <w:tc>
                <w:tcPr>
                  <w:tcW w:w="2831" w:type="pct"/>
                  <w:vAlign w:val="center"/>
                </w:tcPr>
                <w:p w14:paraId="6608B07B">
                  <w:pPr>
                    <w:snapToGrid w:val="0"/>
                    <w:jc w:val="center"/>
                    <w:rPr>
                      <w:rFonts w:hint="eastAsia" w:eastAsia="宋体"/>
                      <w:color w:val="auto"/>
                      <w:highlight w:val="none"/>
                    </w:rPr>
                  </w:pPr>
                  <w:r>
                    <w:rPr>
                      <w:rFonts w:hint="default" w:eastAsia="宋体"/>
                      <w:color w:val="auto"/>
                      <w:highlight w:val="none"/>
                    </w:rPr>
                    <w:t>拟建探伤房东侧</w:t>
                  </w:r>
                  <w:r>
                    <w:rPr>
                      <w:rFonts w:hint="eastAsia" w:eastAsia="宋体"/>
                      <w:color w:val="auto"/>
                      <w:highlight w:val="none"/>
                      <w:lang w:val="en-US" w:eastAsia="zh-CN"/>
                    </w:rPr>
                    <w:t>油漆库</w:t>
                  </w:r>
                  <w:r>
                    <w:rPr>
                      <w:rFonts w:hint="default" w:eastAsia="宋体"/>
                      <w:color w:val="auto"/>
                      <w:highlight w:val="none"/>
                    </w:rPr>
                    <w:t>距地1m处</w:t>
                  </w:r>
                </w:p>
              </w:tc>
              <w:tc>
                <w:tcPr>
                  <w:tcW w:w="1431" w:type="pct"/>
                  <w:vAlign w:val="center"/>
                </w:tcPr>
                <w:p w14:paraId="7612A377">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0.08</w:t>
                  </w:r>
                </w:p>
              </w:tc>
            </w:tr>
            <w:tr w14:paraId="1EAC5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737" w:type="pct"/>
                  <w:vAlign w:val="center"/>
                </w:tcPr>
                <w:p w14:paraId="07539DFF">
                  <w:pPr>
                    <w:widowControl/>
                    <w:jc w:val="center"/>
                    <w:textAlignment w:val="bottom"/>
                    <w:rPr>
                      <w:color w:val="auto"/>
                      <w:szCs w:val="21"/>
                      <w:highlight w:val="none"/>
                    </w:rPr>
                  </w:pPr>
                  <w:r>
                    <w:rPr>
                      <w:color w:val="auto"/>
                      <w:szCs w:val="21"/>
                      <w:highlight w:val="none"/>
                    </w:rPr>
                    <w:t>3</w:t>
                  </w:r>
                </w:p>
              </w:tc>
              <w:tc>
                <w:tcPr>
                  <w:tcW w:w="2831" w:type="pct"/>
                  <w:vAlign w:val="center"/>
                </w:tcPr>
                <w:p w14:paraId="21981393">
                  <w:pPr>
                    <w:snapToGrid w:val="0"/>
                    <w:jc w:val="center"/>
                    <w:rPr>
                      <w:rFonts w:hint="eastAsia" w:eastAsia="宋体"/>
                      <w:color w:val="auto"/>
                      <w:highlight w:val="none"/>
                    </w:rPr>
                  </w:pPr>
                  <w:r>
                    <w:rPr>
                      <w:rFonts w:hint="default" w:eastAsia="宋体"/>
                      <w:color w:val="auto"/>
                      <w:highlight w:val="none"/>
                    </w:rPr>
                    <w:t>拟建探伤房南侧</w:t>
                  </w:r>
                  <w:r>
                    <w:rPr>
                      <w:rFonts w:hint="default" w:eastAsia="宋体"/>
                      <w:color w:val="auto"/>
                      <w:highlight w:val="none"/>
                      <w:lang w:val="en-US" w:eastAsia="zh-CN"/>
                    </w:rPr>
                    <w:t>焊接区</w:t>
                  </w:r>
                  <w:r>
                    <w:rPr>
                      <w:rFonts w:hint="default" w:eastAsia="宋体"/>
                      <w:color w:val="auto"/>
                      <w:highlight w:val="none"/>
                    </w:rPr>
                    <w:t>距地1m处</w:t>
                  </w:r>
                </w:p>
              </w:tc>
              <w:tc>
                <w:tcPr>
                  <w:tcW w:w="1431" w:type="pct"/>
                  <w:vAlign w:val="center"/>
                </w:tcPr>
                <w:p w14:paraId="1237D77E">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0.07</w:t>
                  </w:r>
                </w:p>
              </w:tc>
            </w:tr>
            <w:tr w14:paraId="1F4D2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pct"/>
                  <w:vAlign w:val="center"/>
                </w:tcPr>
                <w:p w14:paraId="4928FF35">
                  <w:pPr>
                    <w:jc w:val="center"/>
                    <w:rPr>
                      <w:color w:val="auto"/>
                      <w:szCs w:val="21"/>
                      <w:highlight w:val="none"/>
                    </w:rPr>
                  </w:pPr>
                  <w:r>
                    <w:rPr>
                      <w:color w:val="auto"/>
                      <w:szCs w:val="21"/>
                      <w:highlight w:val="none"/>
                    </w:rPr>
                    <w:t>4</w:t>
                  </w:r>
                </w:p>
              </w:tc>
              <w:tc>
                <w:tcPr>
                  <w:tcW w:w="2831" w:type="pct"/>
                  <w:vAlign w:val="center"/>
                </w:tcPr>
                <w:p w14:paraId="25347A5A">
                  <w:pPr>
                    <w:snapToGrid w:val="0"/>
                    <w:jc w:val="center"/>
                    <w:rPr>
                      <w:rFonts w:hint="eastAsia" w:eastAsia="宋体"/>
                      <w:color w:val="auto"/>
                      <w:highlight w:val="none"/>
                    </w:rPr>
                  </w:pPr>
                  <w:r>
                    <w:rPr>
                      <w:rFonts w:hint="default" w:eastAsia="宋体"/>
                      <w:color w:val="auto"/>
                      <w:highlight w:val="none"/>
                    </w:rPr>
                    <w:t>拟建探伤房西侧</w:t>
                  </w:r>
                  <w:r>
                    <w:rPr>
                      <w:rFonts w:hint="default" w:eastAsia="宋体"/>
                      <w:color w:val="auto"/>
                      <w:highlight w:val="none"/>
                      <w:lang w:val="en-US" w:eastAsia="zh-CN"/>
                    </w:rPr>
                    <w:t>焊接区距</w:t>
                  </w:r>
                  <w:r>
                    <w:rPr>
                      <w:rFonts w:hint="default" w:eastAsia="宋体"/>
                      <w:color w:val="auto"/>
                      <w:highlight w:val="none"/>
                    </w:rPr>
                    <w:t>地1m处</w:t>
                  </w:r>
                </w:p>
              </w:tc>
              <w:tc>
                <w:tcPr>
                  <w:tcW w:w="1431" w:type="pct"/>
                  <w:vAlign w:val="center"/>
                </w:tcPr>
                <w:p w14:paraId="3E57E50C">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0.07</w:t>
                  </w:r>
                </w:p>
              </w:tc>
            </w:tr>
            <w:tr w14:paraId="32A89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737" w:type="pct"/>
                  <w:vAlign w:val="center"/>
                </w:tcPr>
                <w:p w14:paraId="57D0521E">
                  <w:pPr>
                    <w:widowControl/>
                    <w:jc w:val="center"/>
                    <w:textAlignment w:val="bottom"/>
                    <w:rPr>
                      <w:color w:val="auto"/>
                      <w:szCs w:val="21"/>
                      <w:highlight w:val="none"/>
                    </w:rPr>
                  </w:pPr>
                  <w:r>
                    <w:rPr>
                      <w:color w:val="auto"/>
                      <w:szCs w:val="21"/>
                      <w:highlight w:val="none"/>
                    </w:rPr>
                    <w:t>5</w:t>
                  </w:r>
                </w:p>
              </w:tc>
              <w:tc>
                <w:tcPr>
                  <w:tcW w:w="2831" w:type="pct"/>
                  <w:vAlign w:val="center"/>
                </w:tcPr>
                <w:p w14:paraId="5E433CB1">
                  <w:pPr>
                    <w:snapToGrid w:val="0"/>
                    <w:jc w:val="center"/>
                    <w:rPr>
                      <w:rFonts w:hint="eastAsia" w:eastAsia="宋体"/>
                      <w:color w:val="auto"/>
                      <w:highlight w:val="none"/>
                    </w:rPr>
                  </w:pPr>
                  <w:r>
                    <w:rPr>
                      <w:rFonts w:hint="default" w:eastAsia="宋体"/>
                      <w:color w:val="auto"/>
                      <w:highlight w:val="none"/>
                    </w:rPr>
                    <w:t>拟建探伤房北侧</w:t>
                  </w:r>
                  <w:r>
                    <w:rPr>
                      <w:rFonts w:hint="default" w:eastAsia="宋体"/>
                      <w:color w:val="auto"/>
                      <w:highlight w:val="none"/>
                      <w:lang w:val="en-US" w:eastAsia="zh-CN"/>
                    </w:rPr>
                    <w:t>空地</w:t>
                  </w:r>
                  <w:r>
                    <w:rPr>
                      <w:rFonts w:hint="default" w:eastAsia="宋体"/>
                      <w:color w:val="auto"/>
                      <w:highlight w:val="none"/>
                    </w:rPr>
                    <w:t>距地1m处</w:t>
                  </w:r>
                </w:p>
              </w:tc>
              <w:tc>
                <w:tcPr>
                  <w:tcW w:w="1431" w:type="pct"/>
                  <w:vAlign w:val="center"/>
                </w:tcPr>
                <w:p w14:paraId="52B79619">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0.07</w:t>
                  </w:r>
                </w:p>
              </w:tc>
            </w:tr>
            <w:tr w14:paraId="3F4DC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737" w:type="pct"/>
                  <w:vAlign w:val="center"/>
                </w:tcPr>
                <w:p w14:paraId="109B25C2">
                  <w:pPr>
                    <w:widowControl/>
                    <w:jc w:val="center"/>
                    <w:textAlignment w:val="bottom"/>
                    <w:rPr>
                      <w:color w:val="auto"/>
                      <w:szCs w:val="21"/>
                      <w:highlight w:val="none"/>
                    </w:rPr>
                  </w:pPr>
                  <w:r>
                    <w:rPr>
                      <w:color w:val="auto"/>
                      <w:szCs w:val="21"/>
                      <w:highlight w:val="none"/>
                    </w:rPr>
                    <w:t>6</w:t>
                  </w:r>
                </w:p>
              </w:tc>
              <w:tc>
                <w:tcPr>
                  <w:tcW w:w="2831" w:type="pct"/>
                  <w:vAlign w:val="center"/>
                </w:tcPr>
                <w:p w14:paraId="6303E4AA">
                  <w:pPr>
                    <w:snapToGrid w:val="0"/>
                    <w:jc w:val="center"/>
                    <w:rPr>
                      <w:rFonts w:hint="eastAsia" w:eastAsia="宋体"/>
                      <w:color w:val="auto"/>
                      <w:highlight w:val="none"/>
                    </w:rPr>
                  </w:pPr>
                  <w:r>
                    <w:rPr>
                      <w:rFonts w:hint="eastAsia" w:eastAsia="宋体"/>
                      <w:color w:val="auto"/>
                      <w:highlight w:val="none"/>
                      <w:lang w:val="en-US" w:eastAsia="zh-CN"/>
                    </w:rPr>
                    <w:t>3</w:t>
                  </w:r>
                  <w:r>
                    <w:rPr>
                      <w:rFonts w:hint="default" w:eastAsia="宋体"/>
                      <w:color w:val="auto"/>
                      <w:highlight w:val="none"/>
                      <w:lang w:val="en-US" w:eastAsia="zh-CN"/>
                    </w:rPr>
                    <w:t>#</w:t>
                  </w:r>
                  <w:r>
                    <w:rPr>
                      <w:rFonts w:hint="default" w:eastAsia="宋体"/>
                      <w:color w:val="auto"/>
                      <w:highlight w:val="none"/>
                    </w:rPr>
                    <w:t>生产车间</w:t>
                  </w:r>
                  <w:r>
                    <w:rPr>
                      <w:rFonts w:hint="default" w:eastAsia="宋体"/>
                      <w:color w:val="auto"/>
                      <w:highlight w:val="none"/>
                      <w:lang w:val="en-US" w:eastAsia="zh-CN"/>
                    </w:rPr>
                    <w:t>内</w:t>
                  </w:r>
                  <w:r>
                    <w:rPr>
                      <w:rFonts w:hint="default" w:eastAsia="宋体"/>
                      <w:color w:val="auto"/>
                      <w:highlight w:val="none"/>
                    </w:rPr>
                    <w:t>距地1m处</w:t>
                  </w:r>
                </w:p>
              </w:tc>
              <w:tc>
                <w:tcPr>
                  <w:tcW w:w="1431" w:type="pct"/>
                  <w:vAlign w:val="center"/>
                </w:tcPr>
                <w:p w14:paraId="5AB6C91C">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0.09</w:t>
                  </w:r>
                </w:p>
              </w:tc>
            </w:tr>
          </w:tbl>
          <w:p w14:paraId="283E8910">
            <w:pPr>
              <w:snapToGrid w:val="0"/>
              <w:ind w:firstLine="420" w:firstLineChars="200"/>
              <w:jc w:val="center"/>
              <w:rPr>
                <w:b/>
                <w:color w:val="auto"/>
                <w:szCs w:val="21"/>
                <w:highlight w:val="none"/>
              </w:rPr>
            </w:pPr>
            <w:r>
              <w:rPr>
                <w:rFonts w:hint="eastAsia"/>
                <w:b/>
                <w:color w:val="auto"/>
                <w:szCs w:val="21"/>
                <w:highlight w:val="none"/>
              </w:rPr>
              <w:t>表8-3 声环境质量现状监测结果    单位： dB(A)</w:t>
            </w:r>
          </w:p>
          <w:tbl>
            <w:tblPr>
              <w:tblStyle w:val="35"/>
              <w:tblW w:w="4997"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00"/>
              <w:gridCol w:w="2775"/>
              <w:gridCol w:w="2310"/>
              <w:gridCol w:w="2312"/>
            </w:tblGrid>
            <w:tr w14:paraId="16B064E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542" w:type="pct"/>
                  <w:vMerge w:val="restart"/>
                  <w:tcBorders>
                    <w:tl2br w:val="nil"/>
                    <w:tr2bl w:val="nil"/>
                  </w:tcBorders>
                  <w:vAlign w:val="center"/>
                </w:tcPr>
                <w:p w14:paraId="30C11EDE">
                  <w:pPr>
                    <w:snapToGrid w:val="0"/>
                    <w:jc w:val="center"/>
                    <w:rPr>
                      <w:b/>
                      <w:bCs/>
                      <w:color w:val="auto"/>
                      <w:highlight w:val="none"/>
                    </w:rPr>
                  </w:pPr>
                  <w:r>
                    <w:rPr>
                      <w:b/>
                      <w:bCs/>
                      <w:color w:val="auto"/>
                      <w:highlight w:val="none"/>
                    </w:rPr>
                    <w:t>点  位</w:t>
                  </w:r>
                </w:p>
              </w:tc>
              <w:tc>
                <w:tcPr>
                  <w:tcW w:w="1672" w:type="pct"/>
                  <w:vMerge w:val="restart"/>
                  <w:tcBorders>
                    <w:tl2br w:val="nil"/>
                    <w:tr2bl w:val="nil"/>
                  </w:tcBorders>
                  <w:vAlign w:val="center"/>
                </w:tcPr>
                <w:p w14:paraId="0961A66C">
                  <w:pPr>
                    <w:snapToGrid w:val="0"/>
                    <w:jc w:val="center"/>
                    <w:rPr>
                      <w:b/>
                      <w:bCs/>
                      <w:color w:val="auto"/>
                      <w:highlight w:val="none"/>
                    </w:rPr>
                  </w:pPr>
                  <w:r>
                    <w:rPr>
                      <w:b/>
                      <w:bCs/>
                      <w:color w:val="auto"/>
                      <w:highlight w:val="none"/>
                    </w:rPr>
                    <w:t>测点名称</w:t>
                  </w:r>
                </w:p>
              </w:tc>
              <w:tc>
                <w:tcPr>
                  <w:tcW w:w="2785" w:type="pct"/>
                  <w:gridSpan w:val="2"/>
                  <w:tcBorders>
                    <w:tl2br w:val="nil"/>
                    <w:tr2bl w:val="nil"/>
                  </w:tcBorders>
                  <w:vAlign w:val="center"/>
                </w:tcPr>
                <w:p w14:paraId="5844FD28">
                  <w:pPr>
                    <w:snapToGrid w:val="0"/>
                    <w:jc w:val="center"/>
                    <w:rPr>
                      <w:b/>
                      <w:bCs/>
                      <w:color w:val="auto"/>
                      <w:highlight w:val="none"/>
                    </w:rPr>
                  </w:pPr>
                  <w:r>
                    <w:rPr>
                      <w:b/>
                      <w:bCs/>
                      <w:color w:val="auto"/>
                      <w:highlight w:val="none"/>
                    </w:rPr>
                    <w:t>监测值</w:t>
                  </w:r>
                </w:p>
              </w:tc>
            </w:tr>
            <w:tr w14:paraId="69C1CCE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55" w:hRule="atLeast"/>
              </w:trPr>
              <w:tc>
                <w:tcPr>
                  <w:tcW w:w="542" w:type="pct"/>
                  <w:vMerge w:val="continue"/>
                  <w:tcBorders>
                    <w:tl2br w:val="nil"/>
                    <w:tr2bl w:val="nil"/>
                  </w:tcBorders>
                  <w:vAlign w:val="center"/>
                </w:tcPr>
                <w:p w14:paraId="61DD1584">
                  <w:pPr>
                    <w:snapToGrid w:val="0"/>
                    <w:jc w:val="center"/>
                    <w:rPr>
                      <w:b/>
                      <w:bCs/>
                      <w:color w:val="auto"/>
                      <w:highlight w:val="none"/>
                    </w:rPr>
                  </w:pPr>
                </w:p>
              </w:tc>
              <w:tc>
                <w:tcPr>
                  <w:tcW w:w="1672" w:type="pct"/>
                  <w:vMerge w:val="continue"/>
                  <w:tcBorders>
                    <w:tl2br w:val="nil"/>
                    <w:tr2bl w:val="nil"/>
                  </w:tcBorders>
                  <w:vAlign w:val="center"/>
                </w:tcPr>
                <w:p w14:paraId="6C7AE4CF">
                  <w:pPr>
                    <w:snapToGrid w:val="0"/>
                    <w:jc w:val="center"/>
                    <w:rPr>
                      <w:b/>
                      <w:bCs/>
                      <w:color w:val="auto"/>
                      <w:highlight w:val="none"/>
                    </w:rPr>
                  </w:pPr>
                </w:p>
              </w:tc>
              <w:tc>
                <w:tcPr>
                  <w:tcW w:w="1392" w:type="pct"/>
                  <w:tcBorders>
                    <w:tl2br w:val="nil"/>
                    <w:tr2bl w:val="nil"/>
                  </w:tcBorders>
                  <w:vAlign w:val="center"/>
                </w:tcPr>
                <w:p w14:paraId="49EFE6E7">
                  <w:pPr>
                    <w:snapToGrid w:val="0"/>
                    <w:jc w:val="center"/>
                    <w:rPr>
                      <w:b/>
                      <w:bCs/>
                      <w:color w:val="auto"/>
                      <w:highlight w:val="none"/>
                    </w:rPr>
                  </w:pPr>
                  <w:r>
                    <w:rPr>
                      <w:b/>
                      <w:bCs/>
                      <w:color w:val="auto"/>
                      <w:highlight w:val="none"/>
                    </w:rPr>
                    <w:t>昼间</w:t>
                  </w:r>
                </w:p>
              </w:tc>
              <w:tc>
                <w:tcPr>
                  <w:tcW w:w="1392" w:type="pct"/>
                  <w:tcBorders>
                    <w:tl2br w:val="nil"/>
                    <w:tr2bl w:val="nil"/>
                  </w:tcBorders>
                  <w:vAlign w:val="center"/>
                </w:tcPr>
                <w:p w14:paraId="13CEB040">
                  <w:pPr>
                    <w:snapToGrid w:val="0"/>
                    <w:jc w:val="center"/>
                    <w:rPr>
                      <w:rFonts w:hint="eastAsia" w:eastAsia="宋体"/>
                      <w:b/>
                      <w:bCs/>
                      <w:color w:val="auto"/>
                      <w:highlight w:val="none"/>
                      <w:lang w:val="en-US" w:eastAsia="zh-CN"/>
                    </w:rPr>
                  </w:pPr>
                  <w:r>
                    <w:rPr>
                      <w:rFonts w:hint="eastAsia"/>
                      <w:b/>
                      <w:bCs/>
                      <w:color w:val="auto"/>
                      <w:highlight w:val="none"/>
                      <w:lang w:val="en-US" w:eastAsia="zh-CN"/>
                    </w:rPr>
                    <w:t>夜间</w:t>
                  </w:r>
                </w:p>
              </w:tc>
            </w:tr>
            <w:tr w14:paraId="4D8B660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85" w:hRule="atLeast"/>
              </w:trPr>
              <w:tc>
                <w:tcPr>
                  <w:tcW w:w="542" w:type="pct"/>
                  <w:tcBorders>
                    <w:tl2br w:val="nil"/>
                    <w:tr2bl w:val="nil"/>
                  </w:tcBorders>
                  <w:vAlign w:val="center"/>
                </w:tcPr>
                <w:p w14:paraId="6466673C">
                  <w:pPr>
                    <w:snapToGrid w:val="0"/>
                    <w:jc w:val="center"/>
                    <w:rPr>
                      <w:color w:val="auto"/>
                      <w:highlight w:val="none"/>
                    </w:rPr>
                  </w:pPr>
                  <w:r>
                    <w:rPr>
                      <w:color w:val="auto"/>
                      <w:highlight w:val="none"/>
                    </w:rPr>
                    <w:t>1</w:t>
                  </w:r>
                </w:p>
              </w:tc>
              <w:tc>
                <w:tcPr>
                  <w:tcW w:w="1672" w:type="pct"/>
                  <w:tcBorders>
                    <w:tl2br w:val="nil"/>
                    <w:tr2bl w:val="nil"/>
                  </w:tcBorders>
                  <w:vAlign w:val="center"/>
                </w:tcPr>
                <w:p w14:paraId="62836CDC">
                  <w:pPr>
                    <w:snapToGrid w:val="0"/>
                    <w:jc w:val="center"/>
                    <w:rPr>
                      <w:color w:val="auto"/>
                      <w:highlight w:val="none"/>
                    </w:rPr>
                  </w:pPr>
                  <w:r>
                    <w:rPr>
                      <w:rFonts w:hint="eastAsia"/>
                      <w:color w:val="auto"/>
                      <w:highlight w:val="none"/>
                    </w:rPr>
                    <w:t>东</w:t>
                  </w:r>
                  <w:r>
                    <w:rPr>
                      <w:color w:val="auto"/>
                      <w:highlight w:val="none"/>
                    </w:rPr>
                    <w:t>侧厂界外1m处</w:t>
                  </w:r>
                </w:p>
              </w:tc>
              <w:tc>
                <w:tcPr>
                  <w:tcW w:w="1392" w:type="pct"/>
                  <w:tcBorders>
                    <w:tl2br w:val="nil"/>
                    <w:tr2bl w:val="nil"/>
                  </w:tcBorders>
                  <w:vAlign w:val="center"/>
                </w:tcPr>
                <w:p w14:paraId="6499BB78">
                  <w:pPr>
                    <w:snapToGrid w:val="0"/>
                    <w:jc w:val="center"/>
                    <w:rPr>
                      <w:rFonts w:hint="default" w:eastAsia="宋体"/>
                      <w:color w:val="auto"/>
                      <w:highlight w:val="none"/>
                      <w:lang w:val="en-US" w:eastAsia="zh-CN"/>
                    </w:rPr>
                  </w:pPr>
                  <w:r>
                    <w:rPr>
                      <w:rFonts w:hint="eastAsia"/>
                      <w:color w:val="auto"/>
                      <w:highlight w:val="none"/>
                      <w:lang w:val="en-US" w:eastAsia="zh-CN"/>
                    </w:rPr>
                    <w:t>51</w:t>
                  </w:r>
                </w:p>
              </w:tc>
              <w:tc>
                <w:tcPr>
                  <w:tcW w:w="1392" w:type="pct"/>
                  <w:tcBorders>
                    <w:tl2br w:val="nil"/>
                    <w:tr2bl w:val="nil"/>
                  </w:tcBorders>
                  <w:vAlign w:val="center"/>
                </w:tcPr>
                <w:p w14:paraId="20C9F7C7">
                  <w:pPr>
                    <w:snapToGrid w:val="0"/>
                    <w:jc w:val="center"/>
                    <w:rPr>
                      <w:rFonts w:hint="default" w:eastAsia="宋体"/>
                      <w:color w:val="auto"/>
                      <w:highlight w:val="none"/>
                      <w:lang w:val="en-US" w:eastAsia="zh-CN"/>
                    </w:rPr>
                  </w:pPr>
                  <w:r>
                    <w:rPr>
                      <w:rFonts w:hint="eastAsia"/>
                      <w:color w:val="auto"/>
                      <w:highlight w:val="none"/>
                      <w:lang w:val="en-US" w:eastAsia="zh-CN"/>
                    </w:rPr>
                    <w:t>43</w:t>
                  </w:r>
                </w:p>
              </w:tc>
            </w:tr>
            <w:tr w14:paraId="6A7B20B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70" w:hRule="atLeast"/>
              </w:trPr>
              <w:tc>
                <w:tcPr>
                  <w:tcW w:w="542" w:type="pct"/>
                  <w:tcBorders>
                    <w:tl2br w:val="nil"/>
                    <w:tr2bl w:val="nil"/>
                  </w:tcBorders>
                  <w:vAlign w:val="center"/>
                </w:tcPr>
                <w:p w14:paraId="40C4B5FD">
                  <w:pPr>
                    <w:snapToGrid w:val="0"/>
                    <w:jc w:val="center"/>
                    <w:rPr>
                      <w:color w:val="auto"/>
                      <w:highlight w:val="none"/>
                    </w:rPr>
                  </w:pPr>
                  <w:r>
                    <w:rPr>
                      <w:color w:val="auto"/>
                      <w:highlight w:val="none"/>
                    </w:rPr>
                    <w:t>2</w:t>
                  </w:r>
                </w:p>
              </w:tc>
              <w:tc>
                <w:tcPr>
                  <w:tcW w:w="1672" w:type="pct"/>
                  <w:tcBorders>
                    <w:tl2br w:val="nil"/>
                    <w:tr2bl w:val="nil"/>
                  </w:tcBorders>
                  <w:vAlign w:val="center"/>
                </w:tcPr>
                <w:p w14:paraId="41212DDA">
                  <w:pPr>
                    <w:snapToGrid w:val="0"/>
                    <w:jc w:val="center"/>
                    <w:rPr>
                      <w:color w:val="auto"/>
                      <w:highlight w:val="none"/>
                    </w:rPr>
                  </w:pPr>
                  <w:r>
                    <w:rPr>
                      <w:rFonts w:hint="eastAsia"/>
                      <w:color w:val="auto"/>
                      <w:highlight w:val="none"/>
                    </w:rPr>
                    <w:t>南</w:t>
                  </w:r>
                  <w:r>
                    <w:rPr>
                      <w:color w:val="auto"/>
                      <w:highlight w:val="none"/>
                    </w:rPr>
                    <w:t>侧厂界外1m处</w:t>
                  </w:r>
                </w:p>
              </w:tc>
              <w:tc>
                <w:tcPr>
                  <w:tcW w:w="1392" w:type="pct"/>
                  <w:tcBorders>
                    <w:tl2br w:val="nil"/>
                    <w:tr2bl w:val="nil"/>
                  </w:tcBorders>
                  <w:vAlign w:val="center"/>
                </w:tcPr>
                <w:p w14:paraId="21D49B32">
                  <w:pPr>
                    <w:snapToGrid w:val="0"/>
                    <w:jc w:val="center"/>
                    <w:rPr>
                      <w:rFonts w:hint="default" w:eastAsia="宋体"/>
                      <w:color w:val="auto"/>
                      <w:highlight w:val="none"/>
                      <w:lang w:val="en-US" w:eastAsia="zh-CN"/>
                    </w:rPr>
                  </w:pPr>
                  <w:r>
                    <w:rPr>
                      <w:rFonts w:hint="eastAsia"/>
                      <w:color w:val="auto"/>
                      <w:highlight w:val="none"/>
                      <w:lang w:val="en-US" w:eastAsia="zh-CN"/>
                    </w:rPr>
                    <w:t>52</w:t>
                  </w:r>
                </w:p>
              </w:tc>
              <w:tc>
                <w:tcPr>
                  <w:tcW w:w="1392" w:type="pct"/>
                  <w:tcBorders>
                    <w:tl2br w:val="nil"/>
                    <w:tr2bl w:val="nil"/>
                  </w:tcBorders>
                  <w:vAlign w:val="center"/>
                </w:tcPr>
                <w:p w14:paraId="2A5ABDEA">
                  <w:pPr>
                    <w:snapToGrid w:val="0"/>
                    <w:jc w:val="center"/>
                    <w:rPr>
                      <w:rFonts w:hint="default" w:eastAsia="宋体"/>
                      <w:color w:val="auto"/>
                      <w:highlight w:val="none"/>
                      <w:lang w:val="en-US" w:eastAsia="zh-CN"/>
                    </w:rPr>
                  </w:pPr>
                  <w:r>
                    <w:rPr>
                      <w:rFonts w:hint="eastAsia"/>
                      <w:color w:val="auto"/>
                      <w:highlight w:val="none"/>
                      <w:lang w:val="en-US" w:eastAsia="zh-CN"/>
                    </w:rPr>
                    <w:t>44</w:t>
                  </w:r>
                </w:p>
              </w:tc>
            </w:tr>
            <w:tr w14:paraId="68BB31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55" w:hRule="atLeast"/>
              </w:trPr>
              <w:tc>
                <w:tcPr>
                  <w:tcW w:w="542" w:type="pct"/>
                  <w:tcBorders>
                    <w:tl2br w:val="nil"/>
                    <w:tr2bl w:val="nil"/>
                  </w:tcBorders>
                  <w:vAlign w:val="center"/>
                </w:tcPr>
                <w:p w14:paraId="25B7FD5B">
                  <w:pPr>
                    <w:snapToGrid w:val="0"/>
                    <w:jc w:val="center"/>
                    <w:rPr>
                      <w:color w:val="auto"/>
                      <w:highlight w:val="none"/>
                    </w:rPr>
                  </w:pPr>
                  <w:r>
                    <w:rPr>
                      <w:color w:val="auto"/>
                      <w:highlight w:val="none"/>
                    </w:rPr>
                    <w:t>3</w:t>
                  </w:r>
                </w:p>
              </w:tc>
              <w:tc>
                <w:tcPr>
                  <w:tcW w:w="1672" w:type="pct"/>
                  <w:tcBorders>
                    <w:tl2br w:val="nil"/>
                    <w:tr2bl w:val="nil"/>
                  </w:tcBorders>
                  <w:vAlign w:val="center"/>
                </w:tcPr>
                <w:p w14:paraId="194621C7">
                  <w:pPr>
                    <w:snapToGrid w:val="0"/>
                    <w:jc w:val="center"/>
                    <w:rPr>
                      <w:color w:val="auto"/>
                      <w:highlight w:val="none"/>
                    </w:rPr>
                  </w:pPr>
                  <w:r>
                    <w:rPr>
                      <w:rFonts w:hint="eastAsia"/>
                      <w:color w:val="auto"/>
                      <w:highlight w:val="none"/>
                    </w:rPr>
                    <w:t>西</w:t>
                  </w:r>
                  <w:r>
                    <w:rPr>
                      <w:color w:val="auto"/>
                      <w:highlight w:val="none"/>
                    </w:rPr>
                    <w:t>侧厂界外1m处</w:t>
                  </w:r>
                </w:p>
              </w:tc>
              <w:tc>
                <w:tcPr>
                  <w:tcW w:w="1392" w:type="pct"/>
                  <w:tcBorders>
                    <w:tl2br w:val="nil"/>
                    <w:tr2bl w:val="nil"/>
                  </w:tcBorders>
                  <w:vAlign w:val="center"/>
                </w:tcPr>
                <w:p w14:paraId="7D7278E2">
                  <w:pPr>
                    <w:snapToGrid w:val="0"/>
                    <w:jc w:val="center"/>
                    <w:rPr>
                      <w:rFonts w:hint="default" w:eastAsia="宋体"/>
                      <w:color w:val="auto"/>
                      <w:highlight w:val="none"/>
                      <w:lang w:val="en-US" w:eastAsia="zh-CN"/>
                    </w:rPr>
                  </w:pPr>
                  <w:r>
                    <w:rPr>
                      <w:rFonts w:hint="eastAsia"/>
                      <w:color w:val="auto"/>
                      <w:highlight w:val="none"/>
                      <w:lang w:val="en-US" w:eastAsia="zh-CN"/>
                    </w:rPr>
                    <w:t>52</w:t>
                  </w:r>
                </w:p>
              </w:tc>
              <w:tc>
                <w:tcPr>
                  <w:tcW w:w="1392" w:type="pct"/>
                  <w:tcBorders>
                    <w:tl2br w:val="nil"/>
                    <w:tr2bl w:val="nil"/>
                  </w:tcBorders>
                  <w:vAlign w:val="center"/>
                </w:tcPr>
                <w:p w14:paraId="759D2A47">
                  <w:pPr>
                    <w:snapToGrid w:val="0"/>
                    <w:jc w:val="center"/>
                    <w:rPr>
                      <w:rFonts w:hint="default" w:eastAsia="宋体"/>
                      <w:color w:val="auto"/>
                      <w:highlight w:val="none"/>
                      <w:lang w:val="en-US" w:eastAsia="zh-CN"/>
                    </w:rPr>
                  </w:pPr>
                  <w:r>
                    <w:rPr>
                      <w:rFonts w:hint="eastAsia"/>
                      <w:color w:val="auto"/>
                      <w:highlight w:val="none"/>
                      <w:lang w:val="en-US" w:eastAsia="zh-CN"/>
                    </w:rPr>
                    <w:t>42</w:t>
                  </w:r>
                </w:p>
              </w:tc>
            </w:tr>
            <w:tr w14:paraId="03BE3FF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542" w:type="pct"/>
                  <w:tcBorders>
                    <w:tl2br w:val="nil"/>
                    <w:tr2bl w:val="nil"/>
                  </w:tcBorders>
                  <w:vAlign w:val="center"/>
                </w:tcPr>
                <w:p w14:paraId="1BB3C4E9">
                  <w:pPr>
                    <w:snapToGrid w:val="0"/>
                    <w:jc w:val="center"/>
                    <w:rPr>
                      <w:color w:val="auto"/>
                      <w:highlight w:val="none"/>
                    </w:rPr>
                  </w:pPr>
                  <w:r>
                    <w:rPr>
                      <w:color w:val="auto"/>
                      <w:highlight w:val="none"/>
                    </w:rPr>
                    <w:t>4</w:t>
                  </w:r>
                </w:p>
              </w:tc>
              <w:tc>
                <w:tcPr>
                  <w:tcW w:w="1672" w:type="pct"/>
                  <w:tcBorders>
                    <w:tl2br w:val="nil"/>
                    <w:tr2bl w:val="nil"/>
                  </w:tcBorders>
                  <w:vAlign w:val="center"/>
                </w:tcPr>
                <w:p w14:paraId="24AF0E32">
                  <w:pPr>
                    <w:snapToGrid w:val="0"/>
                    <w:jc w:val="center"/>
                    <w:rPr>
                      <w:color w:val="auto"/>
                      <w:highlight w:val="none"/>
                    </w:rPr>
                  </w:pPr>
                  <w:r>
                    <w:rPr>
                      <w:rFonts w:hint="eastAsia"/>
                      <w:color w:val="auto"/>
                      <w:highlight w:val="none"/>
                    </w:rPr>
                    <w:t>北</w:t>
                  </w:r>
                  <w:r>
                    <w:rPr>
                      <w:color w:val="auto"/>
                      <w:highlight w:val="none"/>
                    </w:rPr>
                    <w:t>侧厂界外1m处</w:t>
                  </w:r>
                </w:p>
              </w:tc>
              <w:tc>
                <w:tcPr>
                  <w:tcW w:w="1392" w:type="pct"/>
                  <w:tcBorders>
                    <w:tl2br w:val="nil"/>
                    <w:tr2bl w:val="nil"/>
                  </w:tcBorders>
                  <w:vAlign w:val="center"/>
                </w:tcPr>
                <w:p w14:paraId="0DD68769">
                  <w:pPr>
                    <w:snapToGrid w:val="0"/>
                    <w:jc w:val="center"/>
                    <w:rPr>
                      <w:rFonts w:hint="default" w:eastAsia="宋体"/>
                      <w:color w:val="auto"/>
                      <w:highlight w:val="none"/>
                      <w:lang w:val="en-US" w:eastAsia="zh-CN"/>
                    </w:rPr>
                  </w:pPr>
                  <w:r>
                    <w:rPr>
                      <w:rFonts w:hint="eastAsia"/>
                      <w:color w:val="auto"/>
                      <w:highlight w:val="none"/>
                      <w:lang w:val="en-US" w:eastAsia="zh-CN"/>
                    </w:rPr>
                    <w:t>53</w:t>
                  </w:r>
                </w:p>
              </w:tc>
              <w:tc>
                <w:tcPr>
                  <w:tcW w:w="1392" w:type="pct"/>
                  <w:tcBorders>
                    <w:tl2br w:val="nil"/>
                    <w:tr2bl w:val="nil"/>
                  </w:tcBorders>
                  <w:vAlign w:val="center"/>
                </w:tcPr>
                <w:p w14:paraId="524026AC">
                  <w:pPr>
                    <w:snapToGrid w:val="0"/>
                    <w:jc w:val="center"/>
                    <w:rPr>
                      <w:rFonts w:hint="default" w:eastAsia="宋体"/>
                      <w:color w:val="auto"/>
                      <w:highlight w:val="none"/>
                      <w:lang w:val="en-US" w:eastAsia="zh-CN"/>
                    </w:rPr>
                  </w:pPr>
                  <w:r>
                    <w:rPr>
                      <w:rFonts w:hint="eastAsia"/>
                      <w:color w:val="auto"/>
                      <w:highlight w:val="none"/>
                      <w:lang w:val="en-US" w:eastAsia="zh-CN"/>
                    </w:rPr>
                    <w:t>43</w:t>
                  </w:r>
                </w:p>
              </w:tc>
            </w:tr>
            <w:tr w14:paraId="4E00A19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542" w:type="pct"/>
                  <w:tcBorders>
                    <w:tl2br w:val="nil"/>
                    <w:tr2bl w:val="nil"/>
                  </w:tcBorders>
                  <w:vAlign w:val="center"/>
                </w:tcPr>
                <w:p w14:paraId="5689B83F">
                  <w:pPr>
                    <w:snapToGrid w:val="0"/>
                    <w:jc w:val="center"/>
                    <w:rPr>
                      <w:rFonts w:hint="eastAsia" w:eastAsia="宋体"/>
                      <w:color w:val="auto"/>
                      <w:highlight w:val="none"/>
                      <w:lang w:val="en-US" w:eastAsia="zh-CN"/>
                    </w:rPr>
                  </w:pPr>
                  <w:r>
                    <w:rPr>
                      <w:rFonts w:hint="eastAsia"/>
                      <w:color w:val="auto"/>
                      <w:highlight w:val="none"/>
                      <w:lang w:val="en-US" w:eastAsia="zh-CN"/>
                    </w:rPr>
                    <w:t>5</w:t>
                  </w:r>
                </w:p>
              </w:tc>
              <w:tc>
                <w:tcPr>
                  <w:tcW w:w="1672" w:type="pct"/>
                  <w:tcBorders>
                    <w:tl2br w:val="nil"/>
                    <w:tr2bl w:val="nil"/>
                  </w:tcBorders>
                  <w:vAlign w:val="center"/>
                </w:tcPr>
                <w:p w14:paraId="7CE3837E">
                  <w:pPr>
                    <w:snapToGrid w:val="0"/>
                    <w:jc w:val="center"/>
                    <w:rPr>
                      <w:rFonts w:hint="default" w:eastAsia="宋体"/>
                      <w:color w:val="auto"/>
                      <w:highlight w:val="none"/>
                      <w:lang w:val="en-US" w:eastAsia="zh-CN"/>
                    </w:rPr>
                  </w:pPr>
                  <w:r>
                    <w:rPr>
                      <w:rFonts w:hint="eastAsia"/>
                      <w:color w:val="auto"/>
                      <w:highlight w:val="none"/>
                      <w:lang w:val="en-US" w:eastAsia="zh-CN"/>
                    </w:rPr>
                    <w:t>评价标准</w:t>
                  </w:r>
                </w:p>
              </w:tc>
              <w:tc>
                <w:tcPr>
                  <w:tcW w:w="1392" w:type="pct"/>
                  <w:tcBorders>
                    <w:tl2br w:val="nil"/>
                    <w:tr2bl w:val="nil"/>
                  </w:tcBorders>
                  <w:vAlign w:val="center"/>
                </w:tcPr>
                <w:p w14:paraId="1E36DF6E">
                  <w:pPr>
                    <w:snapToGrid w:val="0"/>
                    <w:jc w:val="center"/>
                    <w:rPr>
                      <w:rFonts w:hint="default"/>
                      <w:color w:val="auto"/>
                      <w:highlight w:val="none"/>
                      <w:lang w:val="en-US" w:eastAsia="zh-CN"/>
                    </w:rPr>
                  </w:pPr>
                  <w:r>
                    <w:rPr>
                      <w:rFonts w:hint="eastAsia"/>
                      <w:color w:val="auto"/>
                      <w:highlight w:val="none"/>
                      <w:lang w:val="en-US" w:eastAsia="zh-CN"/>
                    </w:rPr>
                    <w:t>65</w:t>
                  </w:r>
                </w:p>
              </w:tc>
              <w:tc>
                <w:tcPr>
                  <w:tcW w:w="1392" w:type="pct"/>
                  <w:tcBorders>
                    <w:tl2br w:val="nil"/>
                    <w:tr2bl w:val="nil"/>
                  </w:tcBorders>
                  <w:vAlign w:val="center"/>
                </w:tcPr>
                <w:p w14:paraId="25AD5CF9">
                  <w:pPr>
                    <w:snapToGrid w:val="0"/>
                    <w:jc w:val="center"/>
                    <w:rPr>
                      <w:rFonts w:hint="default"/>
                      <w:color w:val="auto"/>
                      <w:highlight w:val="none"/>
                      <w:lang w:val="en-US" w:eastAsia="zh-CN"/>
                    </w:rPr>
                  </w:pPr>
                  <w:r>
                    <w:rPr>
                      <w:rFonts w:hint="eastAsia"/>
                      <w:color w:val="auto"/>
                      <w:highlight w:val="none"/>
                      <w:lang w:val="en-US" w:eastAsia="zh-CN"/>
                    </w:rPr>
                    <w:t>55</w:t>
                  </w:r>
                </w:p>
              </w:tc>
            </w:tr>
            <w:tr w14:paraId="2E0972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542" w:type="pct"/>
                  <w:tcBorders>
                    <w:tl2br w:val="nil"/>
                    <w:tr2bl w:val="nil"/>
                  </w:tcBorders>
                  <w:vAlign w:val="center"/>
                </w:tcPr>
                <w:p w14:paraId="74E1477F">
                  <w:pPr>
                    <w:snapToGrid w:val="0"/>
                    <w:jc w:val="center"/>
                    <w:rPr>
                      <w:rFonts w:hint="default"/>
                      <w:color w:val="auto"/>
                      <w:highlight w:val="none"/>
                      <w:lang w:val="en-US" w:eastAsia="zh-CN"/>
                    </w:rPr>
                  </w:pPr>
                  <w:r>
                    <w:rPr>
                      <w:rFonts w:hint="eastAsia"/>
                      <w:color w:val="auto"/>
                      <w:highlight w:val="none"/>
                      <w:lang w:val="en-US" w:eastAsia="zh-CN"/>
                    </w:rPr>
                    <w:t>6</w:t>
                  </w:r>
                </w:p>
              </w:tc>
              <w:tc>
                <w:tcPr>
                  <w:tcW w:w="1672" w:type="pct"/>
                  <w:tcBorders>
                    <w:tl2br w:val="nil"/>
                    <w:tr2bl w:val="nil"/>
                  </w:tcBorders>
                  <w:vAlign w:val="center"/>
                </w:tcPr>
                <w:p w14:paraId="39A5967D">
                  <w:pPr>
                    <w:snapToGrid w:val="0"/>
                    <w:jc w:val="center"/>
                    <w:rPr>
                      <w:rFonts w:hint="default"/>
                      <w:color w:val="auto"/>
                      <w:highlight w:val="none"/>
                      <w:lang w:val="en-US" w:eastAsia="zh-CN"/>
                    </w:rPr>
                  </w:pPr>
                  <w:r>
                    <w:rPr>
                      <w:rFonts w:hint="eastAsia"/>
                      <w:color w:val="auto"/>
                      <w:highlight w:val="none"/>
                      <w:lang w:val="en-US" w:eastAsia="zh-CN"/>
                    </w:rPr>
                    <w:t>达标情况</w:t>
                  </w:r>
                </w:p>
              </w:tc>
              <w:tc>
                <w:tcPr>
                  <w:tcW w:w="1392" w:type="pct"/>
                  <w:tcBorders>
                    <w:tl2br w:val="nil"/>
                    <w:tr2bl w:val="nil"/>
                  </w:tcBorders>
                  <w:vAlign w:val="center"/>
                </w:tcPr>
                <w:p w14:paraId="3AB8C597">
                  <w:pPr>
                    <w:snapToGrid w:val="0"/>
                    <w:jc w:val="center"/>
                    <w:rPr>
                      <w:rFonts w:hint="default"/>
                      <w:b/>
                      <w:bCs/>
                      <w:color w:val="auto"/>
                      <w:highlight w:val="none"/>
                      <w:lang w:val="en-US" w:eastAsia="zh-CN"/>
                    </w:rPr>
                  </w:pPr>
                  <w:r>
                    <w:rPr>
                      <w:rFonts w:hint="eastAsia"/>
                      <w:b/>
                      <w:bCs/>
                      <w:color w:val="auto"/>
                      <w:highlight w:val="none"/>
                      <w:lang w:val="en-US" w:eastAsia="zh-CN"/>
                    </w:rPr>
                    <w:t>达标</w:t>
                  </w:r>
                </w:p>
              </w:tc>
              <w:tc>
                <w:tcPr>
                  <w:tcW w:w="1392" w:type="pct"/>
                  <w:tcBorders>
                    <w:tl2br w:val="nil"/>
                    <w:tr2bl w:val="nil"/>
                  </w:tcBorders>
                  <w:vAlign w:val="center"/>
                </w:tcPr>
                <w:p w14:paraId="7282A69C">
                  <w:pPr>
                    <w:snapToGrid w:val="0"/>
                    <w:jc w:val="center"/>
                    <w:rPr>
                      <w:rFonts w:hint="eastAsia"/>
                      <w:b/>
                      <w:bCs/>
                      <w:color w:val="auto"/>
                      <w:highlight w:val="none"/>
                      <w:lang w:val="en-US" w:eastAsia="zh-CN"/>
                    </w:rPr>
                  </w:pPr>
                  <w:r>
                    <w:rPr>
                      <w:rFonts w:hint="eastAsia"/>
                      <w:b/>
                      <w:bCs/>
                      <w:color w:val="auto"/>
                      <w:highlight w:val="none"/>
                      <w:lang w:val="en-US" w:eastAsia="zh-CN"/>
                    </w:rPr>
                    <w:t>达标</w:t>
                  </w:r>
                </w:p>
              </w:tc>
            </w:tr>
          </w:tbl>
          <w:p w14:paraId="711D6568">
            <w:pPr>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ind w:firstLine="480" w:firstLineChars="200"/>
              <w:textAlignment w:val="auto"/>
              <w:rPr>
                <w:b/>
                <w:bCs/>
                <w:color w:val="auto"/>
                <w:sz w:val="24"/>
                <w:szCs w:val="24"/>
                <w:highlight w:val="none"/>
              </w:rPr>
            </w:pPr>
            <w:r>
              <w:rPr>
                <w:rFonts w:hint="eastAsia"/>
                <w:b/>
                <w:bCs/>
                <w:color w:val="auto"/>
                <w:sz w:val="24"/>
                <w:szCs w:val="24"/>
                <w:highlight w:val="none"/>
              </w:rPr>
              <w:t>3、</w:t>
            </w:r>
            <w:r>
              <w:rPr>
                <w:b/>
                <w:bCs/>
                <w:color w:val="auto"/>
                <w:sz w:val="24"/>
                <w:szCs w:val="24"/>
                <w:highlight w:val="none"/>
              </w:rPr>
              <w:t>环境现状</w:t>
            </w:r>
            <w:r>
              <w:rPr>
                <w:rFonts w:hint="eastAsia"/>
                <w:b/>
                <w:color w:val="auto"/>
                <w:sz w:val="24"/>
                <w:szCs w:val="24"/>
                <w:highlight w:val="none"/>
                <w:lang w:eastAsia="zh-CN"/>
              </w:rPr>
              <w:t>调查</w:t>
            </w:r>
            <w:r>
              <w:rPr>
                <w:b/>
                <w:bCs/>
                <w:color w:val="auto"/>
                <w:sz w:val="24"/>
                <w:szCs w:val="24"/>
                <w:highlight w:val="none"/>
              </w:rPr>
              <w:t>结果评价</w:t>
            </w:r>
          </w:p>
          <w:p w14:paraId="61FD350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sz w:val="24"/>
                <w:szCs w:val="24"/>
                <w:highlight w:val="none"/>
                <w:lang w:val="zh-CN"/>
              </w:rPr>
            </w:pPr>
            <w:r>
              <w:rPr>
                <w:color w:val="auto"/>
                <w:sz w:val="24"/>
                <w:szCs w:val="24"/>
                <w:highlight w:val="none"/>
                <w:lang w:val="zh-CN"/>
              </w:rPr>
              <w:t>由表8-</w:t>
            </w:r>
            <w:r>
              <w:rPr>
                <w:rFonts w:hint="eastAsia"/>
                <w:color w:val="auto"/>
                <w:sz w:val="24"/>
                <w:szCs w:val="24"/>
                <w:highlight w:val="none"/>
              </w:rPr>
              <w:t>2</w:t>
            </w:r>
            <w:r>
              <w:rPr>
                <w:color w:val="auto"/>
                <w:sz w:val="24"/>
                <w:szCs w:val="24"/>
                <w:highlight w:val="none"/>
                <w:lang w:val="zh-CN"/>
              </w:rPr>
              <w:t>可知，本项目应用场所及周边环境现状本底在</w:t>
            </w:r>
            <w:r>
              <w:rPr>
                <w:rFonts w:hint="eastAsia"/>
                <w:color w:val="auto"/>
                <w:sz w:val="24"/>
                <w:szCs w:val="24"/>
                <w:highlight w:val="none"/>
                <w:lang w:val="en-US" w:eastAsia="zh-CN"/>
              </w:rPr>
              <w:t>60</w:t>
            </w:r>
            <w:r>
              <w:rPr>
                <w:rFonts w:hint="eastAsia"/>
                <w:color w:val="auto"/>
                <w:sz w:val="24"/>
                <w:szCs w:val="24"/>
                <w:highlight w:val="none"/>
              </w:rPr>
              <w:t>~</w:t>
            </w:r>
            <w:r>
              <w:rPr>
                <w:rFonts w:hint="eastAsia"/>
                <w:color w:val="auto"/>
                <w:sz w:val="24"/>
                <w:szCs w:val="24"/>
                <w:highlight w:val="none"/>
                <w:lang w:val="en-US" w:eastAsia="zh-CN"/>
              </w:rPr>
              <w:t>90</w:t>
            </w:r>
            <w:r>
              <w:rPr>
                <w:rFonts w:hint="eastAsia"/>
                <w:color w:val="auto"/>
                <w:sz w:val="24"/>
                <w:szCs w:val="24"/>
                <w:highlight w:val="none"/>
                <w:lang w:val="zh-CN"/>
              </w:rPr>
              <w:t>nGy/h</w:t>
            </w:r>
            <w:r>
              <w:rPr>
                <w:color w:val="auto"/>
                <w:sz w:val="24"/>
                <w:szCs w:val="24"/>
                <w:highlight w:val="none"/>
                <w:lang w:val="zh-CN"/>
              </w:rPr>
              <w:t>范围内，根据《</w:t>
            </w:r>
            <w:r>
              <w:rPr>
                <w:rFonts w:hint="eastAsia"/>
                <w:color w:val="auto"/>
                <w:sz w:val="24"/>
                <w:szCs w:val="24"/>
                <w:highlight w:val="none"/>
                <w:lang w:val="en-US" w:eastAsia="zh-CN"/>
              </w:rPr>
              <w:t>六安市辐射</w:t>
            </w:r>
            <w:r>
              <w:rPr>
                <w:color w:val="auto"/>
                <w:sz w:val="24"/>
                <w:szCs w:val="24"/>
                <w:highlight w:val="none"/>
                <w:lang w:val="zh-CN"/>
              </w:rPr>
              <w:t>环境</w:t>
            </w:r>
            <w:r>
              <w:rPr>
                <w:rFonts w:hint="eastAsia"/>
                <w:color w:val="auto"/>
                <w:sz w:val="24"/>
                <w:szCs w:val="24"/>
                <w:highlight w:val="none"/>
                <w:lang w:val="en-US" w:eastAsia="zh-CN"/>
              </w:rPr>
              <w:t>质量</w:t>
            </w:r>
            <w:r>
              <w:rPr>
                <w:color w:val="auto"/>
                <w:sz w:val="24"/>
                <w:szCs w:val="24"/>
                <w:highlight w:val="none"/>
                <w:lang w:val="zh-CN"/>
              </w:rPr>
              <w:t>公报》（20</w:t>
            </w:r>
            <w:r>
              <w:rPr>
                <w:rFonts w:hint="eastAsia"/>
                <w:color w:val="auto"/>
                <w:sz w:val="24"/>
                <w:szCs w:val="24"/>
                <w:highlight w:val="none"/>
              </w:rPr>
              <w:t>2</w:t>
            </w:r>
            <w:r>
              <w:rPr>
                <w:rFonts w:hint="eastAsia"/>
                <w:color w:val="auto"/>
                <w:sz w:val="24"/>
                <w:szCs w:val="24"/>
                <w:highlight w:val="none"/>
                <w:lang w:val="en-US" w:eastAsia="zh-CN"/>
              </w:rPr>
              <w:t>3</w:t>
            </w:r>
            <w:r>
              <w:rPr>
                <w:color w:val="auto"/>
                <w:sz w:val="24"/>
                <w:szCs w:val="24"/>
                <w:highlight w:val="none"/>
                <w:lang w:val="zh-CN"/>
              </w:rPr>
              <w:t>年）中数据显示，</w:t>
            </w:r>
            <w:r>
              <w:rPr>
                <w:rFonts w:hint="eastAsia"/>
                <w:color w:val="auto"/>
                <w:sz w:val="24"/>
                <w:szCs w:val="24"/>
                <w:highlight w:val="none"/>
                <w:lang w:val="zh-CN"/>
              </w:rPr>
              <w:t>20</w:t>
            </w:r>
            <w:r>
              <w:rPr>
                <w:rFonts w:hint="eastAsia"/>
                <w:color w:val="auto"/>
                <w:sz w:val="24"/>
                <w:szCs w:val="24"/>
                <w:highlight w:val="none"/>
              </w:rPr>
              <w:t>2</w:t>
            </w:r>
            <w:r>
              <w:rPr>
                <w:rFonts w:hint="eastAsia"/>
                <w:color w:val="auto"/>
                <w:sz w:val="24"/>
                <w:szCs w:val="24"/>
                <w:highlight w:val="none"/>
                <w:lang w:val="en-US" w:eastAsia="zh-CN"/>
              </w:rPr>
              <w:t>3</w:t>
            </w:r>
            <w:r>
              <w:rPr>
                <w:rFonts w:hint="eastAsia"/>
                <w:color w:val="auto"/>
                <w:sz w:val="24"/>
                <w:szCs w:val="24"/>
                <w:highlight w:val="none"/>
                <w:lang w:val="zh-CN"/>
              </w:rPr>
              <w:t>年，</w:t>
            </w:r>
            <w:r>
              <w:rPr>
                <w:rFonts w:hint="eastAsia"/>
                <w:color w:val="auto"/>
                <w:sz w:val="24"/>
                <w:szCs w:val="24"/>
                <w:highlight w:val="none"/>
                <w:lang w:val="en-US" w:eastAsia="zh-CN"/>
              </w:rPr>
              <w:t>六安市</w:t>
            </w:r>
            <w:r>
              <w:rPr>
                <w:rFonts w:hint="eastAsia"/>
                <w:color w:val="auto"/>
                <w:sz w:val="24"/>
                <w:szCs w:val="24"/>
                <w:highlight w:val="none"/>
                <w:lang w:val="zh-CN"/>
              </w:rPr>
              <w:t>伽马辐射空气吸收剂量率（含宇宙射线贡献值）平均值为</w:t>
            </w:r>
            <w:r>
              <w:rPr>
                <w:rFonts w:hint="eastAsia"/>
                <w:color w:val="auto"/>
                <w:sz w:val="24"/>
                <w:szCs w:val="24"/>
                <w:highlight w:val="none"/>
                <w:lang w:val="en-US" w:eastAsia="zh-CN"/>
              </w:rPr>
              <w:t>103.6</w:t>
            </w:r>
            <w:r>
              <w:rPr>
                <w:rFonts w:hint="eastAsia"/>
                <w:color w:val="auto"/>
                <w:sz w:val="24"/>
                <w:szCs w:val="24"/>
                <w:highlight w:val="none"/>
                <w:lang w:val="zh-CN"/>
              </w:rPr>
              <w:t>nGy/h，范围为</w:t>
            </w:r>
            <w:r>
              <w:rPr>
                <w:rFonts w:hint="eastAsia"/>
                <w:color w:val="auto"/>
                <w:sz w:val="24"/>
                <w:szCs w:val="24"/>
                <w:highlight w:val="none"/>
                <w:lang w:val="en-US" w:eastAsia="zh-CN"/>
              </w:rPr>
              <w:t>83</w:t>
            </w:r>
            <w:r>
              <w:rPr>
                <w:rFonts w:hint="eastAsia"/>
                <w:color w:val="auto"/>
                <w:sz w:val="24"/>
                <w:szCs w:val="24"/>
                <w:highlight w:val="none"/>
              </w:rPr>
              <w:t>~11</w:t>
            </w:r>
            <w:r>
              <w:rPr>
                <w:rFonts w:hint="eastAsia"/>
                <w:color w:val="auto"/>
                <w:sz w:val="24"/>
                <w:szCs w:val="24"/>
                <w:highlight w:val="none"/>
                <w:lang w:val="en-US" w:eastAsia="zh-CN"/>
              </w:rPr>
              <w:t>9</w:t>
            </w:r>
            <w:r>
              <w:rPr>
                <w:rFonts w:hint="eastAsia"/>
                <w:color w:val="auto"/>
                <w:sz w:val="24"/>
                <w:szCs w:val="24"/>
                <w:highlight w:val="none"/>
                <w:lang w:val="zh-CN"/>
              </w:rPr>
              <w:t>nGy/h；</w:t>
            </w:r>
            <w:r>
              <w:rPr>
                <w:color w:val="auto"/>
                <w:sz w:val="24"/>
                <w:szCs w:val="24"/>
                <w:highlight w:val="none"/>
                <w:lang w:val="zh-CN"/>
              </w:rPr>
              <w:t>由此可知，本项目建设位置周围环境监测值</w:t>
            </w:r>
            <w:r>
              <w:rPr>
                <w:rFonts w:hint="eastAsia"/>
                <w:color w:val="auto"/>
                <w:sz w:val="24"/>
                <w:szCs w:val="24"/>
                <w:highlight w:val="none"/>
                <w:lang w:val="en-US" w:eastAsia="zh-CN"/>
              </w:rPr>
              <w:t>低于六安市</w:t>
            </w:r>
            <w:r>
              <w:rPr>
                <w:color w:val="auto"/>
                <w:sz w:val="24"/>
                <w:szCs w:val="24"/>
                <w:highlight w:val="none"/>
                <w:lang w:val="zh-CN"/>
              </w:rPr>
              <w:t>天然贯穿辐射水平，属于正常本底范围。</w:t>
            </w:r>
          </w:p>
          <w:p w14:paraId="0E613B26">
            <w:pPr>
              <w:snapToGrid w:val="0"/>
              <w:spacing w:line="360" w:lineRule="auto"/>
              <w:ind w:firstLine="480" w:firstLineChars="200"/>
              <w:rPr>
                <w:color w:val="auto"/>
                <w:highlight w:val="none"/>
              </w:rPr>
            </w:pPr>
            <w:r>
              <w:rPr>
                <w:rFonts w:hint="eastAsia"/>
                <w:color w:val="auto"/>
                <w:sz w:val="24"/>
                <w:szCs w:val="24"/>
                <w:highlight w:val="none"/>
                <w:lang w:val="zh-CN"/>
              </w:rPr>
              <w:t>由表8-3可知，项目昼间四周厂界外1m处声环境质量</w:t>
            </w:r>
            <w:r>
              <w:rPr>
                <w:rFonts w:hint="eastAsia"/>
                <w:color w:val="auto"/>
                <w:sz w:val="24"/>
                <w:szCs w:val="24"/>
                <w:highlight w:val="none"/>
                <w:lang w:val="en-US" w:eastAsia="zh-CN"/>
              </w:rPr>
              <w:t>现状监测结果</w:t>
            </w:r>
            <w:r>
              <w:rPr>
                <w:rFonts w:hint="eastAsia"/>
                <w:color w:val="auto"/>
                <w:sz w:val="24"/>
                <w:szCs w:val="24"/>
                <w:highlight w:val="none"/>
                <w:lang w:val="zh-CN"/>
              </w:rPr>
              <w:t>为：</w:t>
            </w:r>
            <w:r>
              <w:rPr>
                <w:rFonts w:hint="eastAsia"/>
                <w:color w:val="auto"/>
                <w:sz w:val="24"/>
                <w:szCs w:val="24"/>
                <w:highlight w:val="none"/>
                <w:lang w:val="en-US" w:eastAsia="zh-CN"/>
              </w:rPr>
              <w:t>51</w:t>
            </w:r>
            <w:r>
              <w:rPr>
                <w:rFonts w:hint="eastAsia"/>
                <w:color w:val="auto"/>
                <w:sz w:val="24"/>
                <w:szCs w:val="24"/>
                <w:highlight w:val="none"/>
                <w:lang w:val="zh-CN"/>
              </w:rPr>
              <w:t>~53dB（A）；</w:t>
            </w:r>
            <w:r>
              <w:rPr>
                <w:rFonts w:hint="eastAsia"/>
                <w:color w:val="auto"/>
                <w:sz w:val="24"/>
                <w:szCs w:val="24"/>
                <w:highlight w:val="none"/>
                <w:lang w:val="en-US" w:eastAsia="zh-CN"/>
              </w:rPr>
              <w:t>夜</w:t>
            </w:r>
            <w:r>
              <w:rPr>
                <w:rFonts w:hint="eastAsia"/>
                <w:color w:val="auto"/>
                <w:sz w:val="24"/>
                <w:szCs w:val="24"/>
                <w:highlight w:val="none"/>
                <w:lang w:val="zh-CN"/>
              </w:rPr>
              <w:t>间四周厂界外1m处声环境质量</w:t>
            </w:r>
            <w:r>
              <w:rPr>
                <w:rFonts w:hint="eastAsia"/>
                <w:color w:val="auto"/>
                <w:sz w:val="24"/>
                <w:szCs w:val="24"/>
                <w:highlight w:val="none"/>
                <w:lang w:val="en-US" w:eastAsia="zh-CN"/>
              </w:rPr>
              <w:t>现状监测结果</w:t>
            </w:r>
            <w:r>
              <w:rPr>
                <w:rFonts w:hint="eastAsia"/>
                <w:color w:val="auto"/>
                <w:sz w:val="24"/>
                <w:szCs w:val="24"/>
                <w:highlight w:val="none"/>
                <w:lang w:val="zh-CN"/>
              </w:rPr>
              <w:t>为：</w:t>
            </w:r>
            <w:r>
              <w:rPr>
                <w:rFonts w:hint="eastAsia"/>
                <w:color w:val="auto"/>
                <w:sz w:val="24"/>
                <w:szCs w:val="24"/>
                <w:highlight w:val="none"/>
                <w:lang w:val="en-US" w:eastAsia="zh-CN"/>
              </w:rPr>
              <w:t>42</w:t>
            </w:r>
            <w:r>
              <w:rPr>
                <w:rFonts w:hint="eastAsia"/>
                <w:color w:val="auto"/>
                <w:sz w:val="24"/>
                <w:szCs w:val="24"/>
                <w:highlight w:val="none"/>
                <w:lang w:val="zh-CN"/>
              </w:rPr>
              <w:t>~</w:t>
            </w:r>
            <w:r>
              <w:rPr>
                <w:rFonts w:hint="eastAsia"/>
                <w:color w:val="auto"/>
                <w:sz w:val="24"/>
                <w:szCs w:val="24"/>
                <w:highlight w:val="none"/>
                <w:lang w:val="en-US" w:eastAsia="zh-CN"/>
              </w:rPr>
              <w:t>44</w:t>
            </w:r>
            <w:r>
              <w:rPr>
                <w:rFonts w:hint="eastAsia"/>
                <w:color w:val="auto"/>
                <w:sz w:val="24"/>
                <w:szCs w:val="24"/>
                <w:highlight w:val="none"/>
                <w:lang w:val="zh-CN"/>
              </w:rPr>
              <w:t>dB（A）满足</w:t>
            </w:r>
            <w:r>
              <w:rPr>
                <w:color w:val="auto"/>
                <w:sz w:val="24"/>
                <w:szCs w:val="24"/>
                <w:highlight w:val="none"/>
                <w:lang w:val="zh-CN"/>
              </w:rPr>
              <w:t>《声环境质量标准》（GB3096-2008）</w:t>
            </w:r>
            <w:r>
              <w:rPr>
                <w:rFonts w:hint="eastAsia"/>
                <w:color w:val="auto"/>
                <w:sz w:val="24"/>
                <w:szCs w:val="24"/>
                <w:highlight w:val="none"/>
                <w:lang w:val="zh-CN"/>
              </w:rPr>
              <w:t>中3类要求</w:t>
            </w:r>
            <w:r>
              <w:rPr>
                <w:rFonts w:hint="eastAsia"/>
                <w:color w:val="auto"/>
                <w:sz w:val="24"/>
                <w:szCs w:val="24"/>
                <w:highlight w:val="none"/>
              </w:rPr>
              <w:t>。</w:t>
            </w:r>
          </w:p>
          <w:bookmarkEnd w:id="93"/>
          <w:bookmarkEnd w:id="94"/>
          <w:bookmarkEnd w:id="95"/>
          <w:p w14:paraId="5CE32994">
            <w:pPr>
              <w:pStyle w:val="22"/>
              <w:snapToGrid w:val="0"/>
              <w:spacing w:after="0" w:line="240" w:lineRule="auto"/>
              <w:ind w:left="0" w:leftChars="0"/>
              <w:jc w:val="center"/>
              <w:rPr>
                <w:color w:val="auto"/>
                <w:highlight w:val="none"/>
              </w:rPr>
            </w:pPr>
            <w:bookmarkStart w:id="96" w:name="_Toc30973"/>
            <w:bookmarkStart w:id="97" w:name="_Toc9632"/>
            <w:bookmarkStart w:id="98" w:name="_Toc4590"/>
            <w:bookmarkStart w:id="99" w:name="_Toc46061447"/>
            <w:r>
              <w:rPr>
                <w:color w:val="auto"/>
              </w:rPr>
              <w:drawing>
                <wp:inline distT="0" distB="0" distL="114300" distR="114300">
                  <wp:extent cx="5267325" cy="3063240"/>
                  <wp:effectExtent l="9525" t="9525" r="19050" b="13335"/>
                  <wp:docPr id="9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7"/>
                          <pic:cNvPicPr>
                            <a:picLocks noChangeAspect="1"/>
                          </pic:cNvPicPr>
                        </pic:nvPicPr>
                        <pic:blipFill>
                          <a:blip r:embed="rId35"/>
                          <a:stretch>
                            <a:fillRect/>
                          </a:stretch>
                        </pic:blipFill>
                        <pic:spPr>
                          <a:xfrm>
                            <a:off x="0" y="0"/>
                            <a:ext cx="5267325" cy="3063240"/>
                          </a:xfrm>
                          <a:prstGeom prst="rect">
                            <a:avLst/>
                          </a:prstGeom>
                          <a:noFill/>
                          <a:ln>
                            <a:solidFill>
                              <a:schemeClr val="tx1"/>
                            </a:solidFill>
                          </a:ln>
                        </pic:spPr>
                      </pic:pic>
                    </a:graphicData>
                  </a:graphic>
                </wp:inline>
              </w:drawing>
            </w:r>
          </w:p>
          <w:p w14:paraId="22EE0CA0">
            <w:pPr>
              <w:keepNext w:val="0"/>
              <w:keepLines w:val="0"/>
              <w:widowControl/>
              <w:suppressLineNumbers w:val="0"/>
              <w:jc w:val="center"/>
              <w:rPr>
                <w:color w:val="auto"/>
                <w:highlight w:val="none"/>
              </w:rPr>
            </w:pPr>
            <w:r>
              <w:rPr>
                <w:rFonts w:hint="eastAsia" w:eastAsia="宋体"/>
                <w:b/>
                <w:color w:val="auto"/>
                <w:szCs w:val="21"/>
                <w:highlight w:val="none"/>
              </w:rPr>
              <w:t xml:space="preserve">图8-2 </w:t>
            </w:r>
            <w:r>
              <w:rPr>
                <w:rFonts w:hint="eastAsia" w:eastAsia="宋体"/>
                <w:b/>
                <w:color w:val="auto"/>
                <w:szCs w:val="21"/>
                <w:highlight w:val="none"/>
                <w:lang w:val="en-US" w:eastAsia="zh-CN"/>
              </w:rPr>
              <w:t>厂址周边环境</w:t>
            </w:r>
            <w:r>
              <w:rPr>
                <w:rFonts w:hint="default" w:eastAsia="宋体"/>
                <w:b/>
                <w:color w:val="auto"/>
                <w:szCs w:val="21"/>
                <w:highlight w:val="none"/>
                <w:lang w:val="en-US" w:eastAsia="zh-CN"/>
              </w:rPr>
              <w:t>γ</w:t>
            </w:r>
            <w:r>
              <w:rPr>
                <w:rFonts w:hint="eastAsia" w:eastAsia="宋体"/>
                <w:b/>
                <w:color w:val="auto"/>
                <w:szCs w:val="21"/>
                <w:highlight w:val="none"/>
                <w:lang w:val="en-US" w:eastAsia="zh-CN"/>
              </w:rPr>
              <w:t>辐射剂量率</w:t>
            </w:r>
            <w:r>
              <w:rPr>
                <w:rFonts w:hint="eastAsia"/>
                <w:b/>
                <w:color w:val="auto"/>
                <w:szCs w:val="21"/>
                <w:highlight w:val="none"/>
              </w:rPr>
              <w:t>及声环境监测布点图</w:t>
            </w:r>
            <w:bookmarkEnd w:id="96"/>
            <w:bookmarkEnd w:id="97"/>
            <w:bookmarkEnd w:id="98"/>
            <w:bookmarkEnd w:id="99"/>
          </w:p>
        </w:tc>
      </w:tr>
    </w:tbl>
    <w:p w14:paraId="67450F48">
      <w:pPr>
        <w:jc w:val="left"/>
        <w:outlineLvl w:val="0"/>
        <w:rPr>
          <w:b/>
          <w:color w:val="auto"/>
          <w:sz w:val="28"/>
          <w:highlight w:val="none"/>
        </w:rPr>
        <w:sectPr>
          <w:pgSz w:w="11907" w:h="16840"/>
          <w:pgMar w:top="1440" w:right="1800" w:bottom="1440" w:left="1800" w:header="1134" w:footer="964" w:gutter="0"/>
          <w:pgBorders>
            <w:top w:val="none" w:sz="0" w:space="0"/>
            <w:left w:val="none" w:sz="0" w:space="0"/>
            <w:bottom w:val="none" w:sz="0" w:space="0"/>
            <w:right w:val="none" w:sz="0" w:space="0"/>
          </w:pgBorders>
          <w:cols w:space="720" w:num="1"/>
          <w:docGrid w:type="linesAndChars" w:linePitch="312" w:charSpace="0"/>
        </w:sectPr>
      </w:pPr>
    </w:p>
    <w:p w14:paraId="5A5BBFBA">
      <w:pPr>
        <w:pStyle w:val="3"/>
        <w:spacing w:before="0" w:after="0" w:line="360" w:lineRule="auto"/>
        <w:rPr>
          <w:color w:val="auto"/>
          <w:sz w:val="28"/>
          <w:szCs w:val="28"/>
          <w:highlight w:val="none"/>
        </w:rPr>
      </w:pPr>
      <w:bookmarkStart w:id="100" w:name="_Toc20108"/>
      <w:bookmarkStart w:id="101" w:name="_Toc15389555"/>
      <w:r>
        <w:rPr>
          <w:color w:val="auto"/>
          <w:sz w:val="28"/>
          <w:szCs w:val="28"/>
          <w:highlight w:val="none"/>
        </w:rPr>
        <w:t>表9 项目工程分析与源项</w:t>
      </w:r>
      <w:bookmarkEnd w:id="100"/>
      <w:bookmarkEnd w:id="101"/>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30"/>
      </w:tblGrid>
      <w:tr w14:paraId="1C4E8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7" w:hRule="atLeast"/>
          <w:jc w:val="center"/>
        </w:trPr>
        <w:tc>
          <w:tcPr>
            <w:tcW w:w="9069" w:type="dxa"/>
          </w:tcPr>
          <w:p w14:paraId="07EBBB50">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right="0" w:rightChars="0" w:firstLine="482" w:firstLineChars="200"/>
              <w:textAlignment w:val="auto"/>
              <w:rPr>
                <w:b/>
                <w:bCs/>
                <w:color w:val="auto"/>
                <w:sz w:val="24"/>
                <w:szCs w:val="24"/>
                <w:highlight w:val="none"/>
              </w:rPr>
            </w:pPr>
            <w:bookmarkStart w:id="102" w:name="_Toc4528"/>
            <w:bookmarkStart w:id="103" w:name="_Toc18661"/>
            <w:bookmarkStart w:id="104" w:name="_Toc17930"/>
            <w:bookmarkStart w:id="105" w:name="_Toc66010013"/>
            <w:bookmarkStart w:id="106" w:name="_Toc36829707"/>
            <w:bookmarkStart w:id="107" w:name="_Toc66001579"/>
            <w:r>
              <w:rPr>
                <w:rFonts w:hint="eastAsia"/>
                <w:b/>
                <w:bCs/>
                <w:color w:val="auto"/>
                <w:sz w:val="24"/>
                <w:szCs w:val="24"/>
                <w:highlight w:val="none"/>
              </w:rPr>
              <w:t>1、施工期工程分析</w:t>
            </w:r>
            <w:bookmarkEnd w:id="102"/>
            <w:bookmarkEnd w:id="103"/>
            <w:bookmarkEnd w:id="104"/>
          </w:p>
          <w:p w14:paraId="29DACEA2">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right="0" w:rightChars="0" w:firstLine="482" w:firstLineChars="200"/>
              <w:textAlignment w:val="auto"/>
              <w:rPr>
                <w:b/>
                <w:bCs/>
                <w:color w:val="auto"/>
                <w:sz w:val="24"/>
                <w:szCs w:val="24"/>
                <w:highlight w:val="none"/>
              </w:rPr>
            </w:pPr>
            <w:bookmarkStart w:id="108" w:name="_Toc2785"/>
            <w:bookmarkStart w:id="109" w:name="_Toc14569"/>
            <w:bookmarkStart w:id="110" w:name="_Toc22585"/>
            <w:r>
              <w:rPr>
                <w:rFonts w:hint="eastAsia"/>
                <w:b/>
                <w:bCs/>
                <w:color w:val="auto"/>
                <w:sz w:val="24"/>
                <w:szCs w:val="24"/>
                <w:highlight w:val="none"/>
              </w:rPr>
              <w:t>1.1</w:t>
            </w:r>
            <w:r>
              <w:rPr>
                <w:rFonts w:hint="eastAsia"/>
                <w:b/>
                <w:bCs/>
                <w:color w:val="auto"/>
                <w:sz w:val="24"/>
                <w:szCs w:val="24"/>
                <w:highlight w:val="none"/>
                <w:lang w:eastAsia="zh-CN"/>
              </w:rPr>
              <w:t>、</w:t>
            </w:r>
            <w:r>
              <w:rPr>
                <w:rFonts w:hint="eastAsia"/>
                <w:b/>
                <w:bCs/>
                <w:color w:val="auto"/>
                <w:sz w:val="24"/>
                <w:szCs w:val="24"/>
                <w:highlight w:val="none"/>
              </w:rPr>
              <w:t>施工期污染源项分析</w:t>
            </w:r>
          </w:p>
          <w:p w14:paraId="5D491E48">
            <w:pPr>
              <w:snapToGrid w:val="0"/>
              <w:spacing w:line="360" w:lineRule="auto"/>
              <w:ind w:firstLine="480" w:firstLineChars="200"/>
              <w:rPr>
                <w:color w:val="auto"/>
                <w:sz w:val="24"/>
                <w:szCs w:val="24"/>
                <w:highlight w:val="none"/>
              </w:rPr>
            </w:pPr>
            <w:r>
              <w:rPr>
                <w:rFonts w:hint="eastAsia"/>
                <w:color w:val="auto"/>
                <w:sz w:val="24"/>
                <w:szCs w:val="24"/>
                <w:highlight w:val="none"/>
              </w:rPr>
              <w:t>建设项目在施工期间，各项施工活动不可避免的将会对周围环境造成破坏和影响，主要包括废气和粉尘、噪声、固体废物、废水等对周边环境的影响；施工期主要工艺流程及污染环节如下图9-1所示。</w:t>
            </w:r>
          </w:p>
          <w:p w14:paraId="7411CB22">
            <w:pPr>
              <w:spacing w:line="360" w:lineRule="auto"/>
              <w:jc w:val="center"/>
              <w:rPr>
                <w:color w:val="auto"/>
                <w:sz w:val="24"/>
                <w:highlight w:val="none"/>
              </w:rPr>
            </w:pPr>
            <w:r>
              <w:rPr>
                <w:color w:val="auto"/>
                <w:highlight w:val="none"/>
              </w:rPr>
              <w:drawing>
                <wp:inline distT="0" distB="0" distL="114300" distR="114300">
                  <wp:extent cx="4884420" cy="1343660"/>
                  <wp:effectExtent l="0" t="0" r="11430" b="8890"/>
                  <wp:docPr id="2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0"/>
                          <pic:cNvPicPr>
                            <a:picLocks noChangeAspect="1"/>
                          </pic:cNvPicPr>
                        </pic:nvPicPr>
                        <pic:blipFill>
                          <a:blip r:embed="rId36"/>
                          <a:srcRect b="2037"/>
                          <a:stretch>
                            <a:fillRect/>
                          </a:stretch>
                        </pic:blipFill>
                        <pic:spPr>
                          <a:xfrm>
                            <a:off x="0" y="0"/>
                            <a:ext cx="4884420" cy="1343660"/>
                          </a:xfrm>
                          <a:prstGeom prst="rect">
                            <a:avLst/>
                          </a:prstGeom>
                          <a:noFill/>
                          <a:ln>
                            <a:noFill/>
                          </a:ln>
                        </pic:spPr>
                      </pic:pic>
                    </a:graphicData>
                  </a:graphic>
                </wp:inline>
              </w:drawing>
            </w:r>
          </w:p>
          <w:p w14:paraId="009A2D09">
            <w:pPr>
              <w:spacing w:line="360" w:lineRule="auto"/>
              <w:jc w:val="center"/>
              <w:rPr>
                <w:color w:val="auto"/>
                <w:szCs w:val="21"/>
                <w:highlight w:val="none"/>
              </w:rPr>
            </w:pPr>
            <w:r>
              <w:rPr>
                <w:b/>
                <w:bCs/>
                <w:color w:val="auto"/>
                <w:szCs w:val="21"/>
                <w:highlight w:val="none"/>
              </w:rPr>
              <w:t xml:space="preserve">图9-1 </w:t>
            </w:r>
            <w:r>
              <w:rPr>
                <w:rFonts w:hint="eastAsia"/>
                <w:b/>
                <w:bCs/>
                <w:color w:val="auto"/>
                <w:szCs w:val="21"/>
                <w:highlight w:val="none"/>
              </w:rPr>
              <w:t>项目施工期工艺流程及产污环节示意图</w:t>
            </w:r>
          </w:p>
          <w:p w14:paraId="496759C0">
            <w:pPr>
              <w:snapToGrid w:val="0"/>
              <w:spacing w:line="360" w:lineRule="auto"/>
              <w:ind w:firstLine="480" w:firstLineChars="200"/>
              <w:rPr>
                <w:rFonts w:hint="default"/>
                <w:b/>
                <w:bCs/>
                <w:color w:val="auto"/>
                <w:sz w:val="24"/>
                <w:szCs w:val="24"/>
                <w:highlight w:val="none"/>
                <w:lang w:val="en-US"/>
              </w:rPr>
            </w:pPr>
            <w:r>
              <w:rPr>
                <w:rFonts w:hint="eastAsia"/>
                <w:color w:val="auto"/>
                <w:sz w:val="24"/>
                <w:szCs w:val="24"/>
                <w:highlight w:val="none"/>
                <w:lang w:val="en-US" w:eastAsia="zh-CN"/>
              </w:rPr>
              <w:t>项目探伤室屏蔽墙体为成品预制构件，由重晶石混凝土预制模块、铅板和内外表面钢板制成，运输入厂后仅需进行吊装施工，探伤室墙体和顶部所需预制模块数拼装采用“</w:t>
            </w:r>
            <w:r>
              <w:rPr>
                <w:rFonts w:hint="default"/>
                <w:color w:val="auto"/>
                <w:sz w:val="24"/>
                <w:szCs w:val="24"/>
                <w:highlight w:val="none"/>
                <w:lang w:val="en-US" w:eastAsia="zh-CN"/>
              </w:rPr>
              <w:t>V</w:t>
            </w:r>
            <w:r>
              <w:rPr>
                <w:rFonts w:hint="eastAsia"/>
                <w:color w:val="auto"/>
                <w:sz w:val="24"/>
                <w:szCs w:val="24"/>
                <w:highlight w:val="none"/>
                <w:lang w:val="en-US" w:eastAsia="zh-CN"/>
              </w:rPr>
              <w:t>型接口”搭接。地面需要开槽，施工过程产生少量的施工废渣、粉尘废气、施工噪声和施工废水。</w:t>
            </w:r>
          </w:p>
          <w:p w14:paraId="4B17B32F">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textAlignment w:val="auto"/>
              <w:rPr>
                <w:rFonts w:hint="eastAsia"/>
                <w:b/>
                <w:bCs/>
                <w:color w:val="auto"/>
                <w:sz w:val="24"/>
                <w:szCs w:val="24"/>
                <w:highlight w:val="none"/>
              </w:rPr>
            </w:pPr>
            <w:r>
              <w:rPr>
                <w:rFonts w:hint="eastAsia"/>
                <w:b/>
                <w:bCs/>
                <w:color w:val="auto"/>
                <w:sz w:val="24"/>
                <w:szCs w:val="24"/>
                <w:highlight w:val="none"/>
                <w:lang w:val="en-US" w:eastAsia="zh-CN"/>
              </w:rPr>
              <w:t>1.1.1施工噪声</w:t>
            </w:r>
          </w:p>
          <w:p w14:paraId="297B8BF3">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sz w:val="24"/>
                <w:szCs w:val="24"/>
                <w:highlight w:val="none"/>
              </w:rPr>
            </w:pPr>
            <w:r>
              <w:rPr>
                <w:rFonts w:hint="eastAsia"/>
                <w:color w:val="auto"/>
                <w:sz w:val="24"/>
                <w:szCs w:val="24"/>
                <w:highlight w:val="none"/>
                <w:lang w:val="en-US" w:eastAsia="zh-CN"/>
              </w:rPr>
              <w:t xml:space="preserve">施工噪声主要来自施工作业和运输车辆。施工作业噪声主要指一些零星的敲打声、装卸建材的撞击声、组装铅房时的电钻、电锤声等，多为瞬间噪声；运输车辆的噪声属于交通噪声。本项目施工工程量小、施工工艺简单、施工周期短，施工噪声对周边的环境影响较小。随着施工期的结束，施工噪声影响也将结束。 </w:t>
            </w:r>
          </w:p>
          <w:p w14:paraId="2ABA64F1">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textAlignment w:val="auto"/>
              <w:rPr>
                <w:rFonts w:hint="eastAsia"/>
                <w:color w:val="auto"/>
                <w:sz w:val="24"/>
                <w:szCs w:val="24"/>
                <w:highlight w:val="none"/>
              </w:rPr>
            </w:pPr>
            <w:r>
              <w:rPr>
                <w:rFonts w:hint="eastAsia"/>
                <w:b/>
                <w:bCs/>
                <w:color w:val="auto"/>
                <w:sz w:val="24"/>
                <w:szCs w:val="24"/>
                <w:highlight w:val="none"/>
                <w:lang w:val="en-US" w:eastAsia="zh-CN"/>
              </w:rPr>
              <w:t>1.1.</w:t>
            </w:r>
            <w:r>
              <w:rPr>
                <w:rFonts w:hint="default"/>
                <w:b/>
                <w:bCs/>
                <w:color w:val="auto"/>
                <w:sz w:val="24"/>
                <w:szCs w:val="24"/>
                <w:highlight w:val="none"/>
                <w:lang w:val="en-US" w:eastAsia="zh-CN"/>
              </w:rPr>
              <w:t>2</w:t>
            </w:r>
            <w:r>
              <w:rPr>
                <w:rFonts w:hint="eastAsia"/>
                <w:b/>
                <w:bCs/>
                <w:color w:val="auto"/>
                <w:sz w:val="24"/>
                <w:szCs w:val="24"/>
                <w:highlight w:val="none"/>
                <w:lang w:val="en-US" w:eastAsia="zh-CN"/>
              </w:rPr>
              <w:t>施工废气</w:t>
            </w:r>
          </w:p>
          <w:p w14:paraId="505FAA0C">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sz w:val="24"/>
                <w:szCs w:val="24"/>
                <w:highlight w:val="none"/>
              </w:rPr>
            </w:pPr>
            <w:r>
              <w:rPr>
                <w:rFonts w:hint="eastAsia"/>
                <w:color w:val="auto"/>
                <w:sz w:val="24"/>
                <w:szCs w:val="24"/>
                <w:highlight w:val="none"/>
                <w:lang w:val="en-US" w:eastAsia="zh-CN"/>
              </w:rPr>
              <w:t>施工期间对大气环境的影响主要表现为施工扬尘。扬尘主要来源于地面开槽、清除固废和清理工作面引起的扬尘。施工期的废气污染影响是暂时性的，随着施工作业结束，影响将随之消失。</w:t>
            </w:r>
          </w:p>
          <w:p w14:paraId="618BBF1D">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textAlignment w:val="auto"/>
              <w:rPr>
                <w:rFonts w:hint="eastAsia"/>
                <w:b/>
                <w:bCs/>
                <w:color w:val="auto"/>
                <w:sz w:val="24"/>
                <w:szCs w:val="24"/>
                <w:highlight w:val="none"/>
              </w:rPr>
            </w:pPr>
            <w:r>
              <w:rPr>
                <w:rFonts w:hint="eastAsia"/>
                <w:b/>
                <w:bCs/>
                <w:color w:val="auto"/>
                <w:sz w:val="24"/>
                <w:szCs w:val="24"/>
                <w:highlight w:val="none"/>
                <w:lang w:val="en-US" w:eastAsia="zh-CN"/>
              </w:rPr>
              <w:t>1.1.3施工废水</w:t>
            </w:r>
          </w:p>
          <w:p w14:paraId="5B75AF7E">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sz w:val="24"/>
                <w:szCs w:val="24"/>
                <w:highlight w:val="none"/>
              </w:rPr>
            </w:pPr>
            <w:r>
              <w:rPr>
                <w:rFonts w:hint="eastAsia"/>
                <w:color w:val="auto"/>
                <w:sz w:val="24"/>
                <w:szCs w:val="24"/>
                <w:highlight w:val="none"/>
                <w:lang w:val="en-US" w:eastAsia="zh-CN"/>
              </w:rPr>
              <w:t>施工期废水主要为施工人员的生活污水。施工人员生活污水的主要污染物指标为</w:t>
            </w:r>
            <w:r>
              <w:rPr>
                <w:rFonts w:hint="default"/>
                <w:color w:val="auto"/>
                <w:sz w:val="24"/>
                <w:szCs w:val="24"/>
                <w:highlight w:val="none"/>
                <w:lang w:val="en-US" w:eastAsia="zh-CN"/>
              </w:rPr>
              <w:t>COD</w:t>
            </w:r>
            <w:r>
              <w:rPr>
                <w:rFonts w:hint="eastAsia"/>
                <w:color w:val="auto"/>
                <w:sz w:val="24"/>
                <w:szCs w:val="24"/>
                <w:highlight w:val="none"/>
                <w:lang w:val="en-US" w:eastAsia="zh-CN"/>
              </w:rPr>
              <w:t>、</w:t>
            </w:r>
            <w:r>
              <w:rPr>
                <w:rFonts w:hint="default"/>
                <w:color w:val="auto"/>
                <w:sz w:val="24"/>
                <w:szCs w:val="24"/>
                <w:highlight w:val="none"/>
                <w:lang w:val="en-US" w:eastAsia="zh-CN"/>
              </w:rPr>
              <w:t>BOD</w:t>
            </w:r>
            <w:r>
              <w:rPr>
                <w:rFonts w:hint="default"/>
                <w:color w:val="auto"/>
                <w:sz w:val="24"/>
                <w:szCs w:val="24"/>
                <w:highlight w:val="none"/>
                <w:vertAlign w:val="subscript"/>
                <w:lang w:val="en-US" w:eastAsia="zh-CN"/>
              </w:rPr>
              <w:t>5</w:t>
            </w:r>
            <w:r>
              <w:rPr>
                <w:rFonts w:hint="eastAsia"/>
                <w:color w:val="auto"/>
                <w:sz w:val="24"/>
                <w:szCs w:val="24"/>
                <w:highlight w:val="none"/>
                <w:lang w:val="en-US" w:eastAsia="zh-CN"/>
              </w:rPr>
              <w:t>、</w:t>
            </w:r>
            <w:r>
              <w:rPr>
                <w:rFonts w:hint="default"/>
                <w:color w:val="auto"/>
                <w:sz w:val="24"/>
                <w:szCs w:val="24"/>
                <w:highlight w:val="none"/>
                <w:lang w:val="en-US" w:eastAsia="zh-CN"/>
              </w:rPr>
              <w:t>SS</w:t>
            </w:r>
            <w:r>
              <w:rPr>
                <w:rFonts w:hint="eastAsia"/>
                <w:color w:val="auto"/>
                <w:sz w:val="24"/>
                <w:szCs w:val="24"/>
                <w:highlight w:val="none"/>
                <w:lang w:val="en-US" w:eastAsia="zh-CN"/>
              </w:rPr>
              <w:t>和</w:t>
            </w:r>
            <w:r>
              <w:rPr>
                <w:rFonts w:hint="default"/>
                <w:color w:val="auto"/>
                <w:sz w:val="24"/>
                <w:szCs w:val="24"/>
                <w:highlight w:val="none"/>
                <w:lang w:val="en-US" w:eastAsia="zh-CN"/>
              </w:rPr>
              <w:t>NH</w:t>
            </w:r>
            <w:r>
              <w:rPr>
                <w:rFonts w:hint="default"/>
                <w:color w:val="auto"/>
                <w:sz w:val="24"/>
                <w:szCs w:val="24"/>
                <w:highlight w:val="none"/>
                <w:vertAlign w:val="subscript"/>
                <w:lang w:val="en-US" w:eastAsia="zh-CN"/>
              </w:rPr>
              <w:t>3</w:t>
            </w:r>
            <w:r>
              <w:rPr>
                <w:rFonts w:hint="default"/>
                <w:color w:val="auto"/>
                <w:sz w:val="24"/>
                <w:szCs w:val="24"/>
                <w:highlight w:val="none"/>
                <w:lang w:val="en-US" w:eastAsia="zh-CN"/>
              </w:rPr>
              <w:t>-N</w:t>
            </w:r>
            <w:r>
              <w:rPr>
                <w:rFonts w:hint="eastAsia"/>
                <w:color w:val="auto"/>
                <w:sz w:val="24"/>
                <w:szCs w:val="24"/>
                <w:highlight w:val="none"/>
                <w:lang w:val="en-US" w:eastAsia="zh-CN"/>
              </w:rPr>
              <w:t>。施工产生的生活污水依托厂区化粪池预处理后，进入市政污水管网。</w:t>
            </w:r>
          </w:p>
          <w:p w14:paraId="229B02C8">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textAlignment w:val="auto"/>
              <w:rPr>
                <w:rFonts w:hint="eastAsia"/>
                <w:b/>
                <w:bCs/>
                <w:color w:val="auto"/>
                <w:sz w:val="24"/>
                <w:szCs w:val="24"/>
                <w:highlight w:val="none"/>
              </w:rPr>
            </w:pPr>
            <w:r>
              <w:rPr>
                <w:rFonts w:hint="eastAsia"/>
                <w:b/>
                <w:bCs/>
                <w:color w:val="auto"/>
                <w:sz w:val="24"/>
                <w:szCs w:val="24"/>
                <w:highlight w:val="none"/>
                <w:lang w:val="en-US" w:eastAsia="zh-CN"/>
              </w:rPr>
              <w:t>1.1.4固体废弃物</w:t>
            </w:r>
          </w:p>
          <w:p w14:paraId="0C0ADEED">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sz w:val="24"/>
                <w:szCs w:val="24"/>
                <w:highlight w:val="none"/>
              </w:rPr>
            </w:pPr>
            <w:r>
              <w:rPr>
                <w:rFonts w:hint="eastAsia"/>
                <w:color w:val="auto"/>
                <w:sz w:val="24"/>
                <w:szCs w:val="24"/>
                <w:highlight w:val="none"/>
                <w:lang w:val="en-US" w:eastAsia="zh-CN"/>
              </w:rPr>
              <w:t>本项目施工期固废主要有建筑施工和装修过程中产生的建筑垃圾、施工人员的生活垃圾。项目在建设过程中产生的建筑垃圾主要为地面开槽电钻凿出的废渣，以及装修产生的建筑垃圾等，包括砂土、石块、钢筋、铁丝等杂物。可以重复使用的尽量回收利用，剩余少量建筑垃圾可清运至城市建筑垃圾填埋场作无害化处置。施工期生活垃圾集中收集后，委托环卫部门进行安全处置。</w:t>
            </w:r>
          </w:p>
          <w:p w14:paraId="4CADB28F">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textAlignment w:val="auto"/>
              <w:rPr>
                <w:rFonts w:hint="eastAsia"/>
                <w:b/>
                <w:bCs/>
                <w:color w:val="auto"/>
                <w:sz w:val="24"/>
                <w:szCs w:val="24"/>
                <w:highlight w:val="none"/>
              </w:rPr>
            </w:pPr>
            <w:r>
              <w:rPr>
                <w:rFonts w:hint="eastAsia"/>
                <w:b/>
                <w:bCs/>
                <w:color w:val="auto"/>
                <w:sz w:val="24"/>
                <w:szCs w:val="24"/>
                <w:highlight w:val="none"/>
                <w:lang w:val="en-US" w:eastAsia="zh-CN"/>
              </w:rPr>
              <w:t xml:space="preserve">1.1.5设备调试过程中的污染物 </w:t>
            </w:r>
          </w:p>
          <w:p w14:paraId="47262460">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eastAsia"/>
                <w:color w:val="auto"/>
                <w:sz w:val="24"/>
                <w:szCs w:val="24"/>
                <w:highlight w:val="none"/>
              </w:rPr>
            </w:pPr>
            <w:r>
              <w:rPr>
                <w:rFonts w:hint="default"/>
                <w:color w:val="auto"/>
                <w:sz w:val="24"/>
                <w:szCs w:val="24"/>
                <w:highlight w:val="none"/>
                <w:lang w:val="en-US" w:eastAsia="zh-CN"/>
              </w:rPr>
              <w:t>X</w:t>
            </w:r>
            <w:r>
              <w:rPr>
                <w:rFonts w:hint="eastAsia"/>
                <w:color w:val="auto"/>
                <w:sz w:val="24"/>
                <w:szCs w:val="24"/>
                <w:highlight w:val="none"/>
                <w:lang w:val="en-US" w:eastAsia="zh-CN"/>
              </w:rPr>
              <w:t>射线机系统安装后，需进行设备调试。设备调试在已完成防护施工的探伤室内进行，调试过程射线装置会发出</w:t>
            </w:r>
            <w:r>
              <w:rPr>
                <w:rFonts w:hint="default"/>
                <w:color w:val="auto"/>
                <w:sz w:val="24"/>
                <w:szCs w:val="24"/>
                <w:highlight w:val="none"/>
                <w:lang w:val="en-US" w:eastAsia="zh-CN"/>
              </w:rPr>
              <w:t>X</w:t>
            </w:r>
            <w:r>
              <w:rPr>
                <w:rFonts w:hint="eastAsia"/>
                <w:color w:val="auto"/>
                <w:sz w:val="24"/>
                <w:szCs w:val="24"/>
                <w:highlight w:val="none"/>
                <w:lang w:val="en-US" w:eastAsia="zh-CN"/>
              </w:rPr>
              <w:t>射线，</w:t>
            </w:r>
            <w:r>
              <w:rPr>
                <w:rFonts w:hint="default"/>
                <w:color w:val="auto"/>
                <w:sz w:val="24"/>
                <w:szCs w:val="24"/>
                <w:highlight w:val="none"/>
                <w:lang w:val="en-US" w:eastAsia="zh-CN"/>
              </w:rPr>
              <w:t>X</w:t>
            </w:r>
            <w:r>
              <w:rPr>
                <w:rFonts w:hint="eastAsia"/>
                <w:color w:val="auto"/>
                <w:sz w:val="24"/>
                <w:szCs w:val="24"/>
                <w:highlight w:val="none"/>
                <w:lang w:val="en-US" w:eastAsia="zh-CN"/>
              </w:rPr>
              <w:t>射线电离空气会产生臭氧和氮氧化物。由于设备调试时，</w:t>
            </w:r>
            <w:r>
              <w:rPr>
                <w:rFonts w:hint="default"/>
                <w:color w:val="auto"/>
                <w:sz w:val="24"/>
                <w:szCs w:val="24"/>
                <w:highlight w:val="none"/>
                <w:lang w:val="en-US" w:eastAsia="zh-CN"/>
              </w:rPr>
              <w:t>X</w:t>
            </w:r>
            <w:r>
              <w:rPr>
                <w:rFonts w:hint="eastAsia"/>
                <w:color w:val="auto"/>
                <w:sz w:val="24"/>
                <w:szCs w:val="24"/>
                <w:highlight w:val="none"/>
                <w:lang w:val="en-US" w:eastAsia="zh-CN"/>
              </w:rPr>
              <w:t>射线探伤室的防护施工及通风装置等辅助工程已建设完成，调试人员由第三方设备机构人员操作，严格按照操作规程进行调试，对周围环境的影响很小。</w:t>
            </w:r>
          </w:p>
          <w:bookmarkEnd w:id="108"/>
          <w:bookmarkEnd w:id="109"/>
          <w:bookmarkEnd w:id="110"/>
          <w:p w14:paraId="7B56C0C1">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right="0" w:rightChars="0" w:firstLine="482" w:firstLineChars="200"/>
              <w:textAlignment w:val="auto"/>
              <w:rPr>
                <w:rFonts w:hint="eastAsia"/>
                <w:b/>
                <w:bCs/>
                <w:color w:val="auto"/>
                <w:sz w:val="24"/>
                <w:szCs w:val="24"/>
                <w:highlight w:val="none"/>
              </w:rPr>
            </w:pPr>
            <w:bookmarkStart w:id="111" w:name="_Toc30172"/>
            <w:bookmarkStart w:id="112" w:name="_Toc10349"/>
            <w:bookmarkStart w:id="113" w:name="_Toc10798"/>
            <w:r>
              <w:rPr>
                <w:rFonts w:hint="eastAsia"/>
                <w:b/>
                <w:bCs/>
                <w:color w:val="auto"/>
                <w:sz w:val="24"/>
                <w:szCs w:val="24"/>
                <w:highlight w:val="none"/>
              </w:rPr>
              <w:t>2、营运期工程分析</w:t>
            </w:r>
            <w:bookmarkEnd w:id="111"/>
            <w:bookmarkEnd w:id="112"/>
            <w:bookmarkEnd w:id="113"/>
          </w:p>
          <w:p w14:paraId="423B0ECF">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right="0" w:rightChars="0" w:firstLine="482" w:firstLineChars="200"/>
              <w:textAlignment w:val="auto"/>
              <w:rPr>
                <w:rFonts w:hint="eastAsia"/>
                <w:b/>
                <w:bCs/>
                <w:color w:val="auto"/>
                <w:sz w:val="24"/>
                <w:szCs w:val="24"/>
                <w:highlight w:val="none"/>
              </w:rPr>
            </w:pPr>
            <w:bookmarkStart w:id="114" w:name="_Toc15187"/>
            <w:bookmarkStart w:id="115" w:name="_Toc16830"/>
            <w:bookmarkStart w:id="116" w:name="_Toc14431"/>
            <w:r>
              <w:rPr>
                <w:rFonts w:hint="eastAsia"/>
                <w:b/>
                <w:bCs/>
                <w:color w:val="auto"/>
                <w:sz w:val="24"/>
                <w:szCs w:val="24"/>
                <w:highlight w:val="none"/>
              </w:rPr>
              <w:t>2.1</w:t>
            </w:r>
            <w:r>
              <w:rPr>
                <w:rFonts w:hint="eastAsia"/>
                <w:b/>
                <w:bCs/>
                <w:color w:val="auto"/>
                <w:sz w:val="24"/>
                <w:szCs w:val="24"/>
                <w:highlight w:val="none"/>
                <w:lang w:eastAsia="zh-CN"/>
              </w:rPr>
              <w:t>、</w:t>
            </w:r>
            <w:r>
              <w:rPr>
                <w:rFonts w:hint="eastAsia"/>
                <w:b/>
                <w:bCs/>
                <w:color w:val="auto"/>
                <w:sz w:val="24"/>
                <w:szCs w:val="24"/>
                <w:highlight w:val="none"/>
              </w:rPr>
              <w:t>工程设备</w:t>
            </w:r>
            <w:bookmarkEnd w:id="105"/>
            <w:bookmarkEnd w:id="106"/>
            <w:bookmarkEnd w:id="107"/>
            <w:r>
              <w:rPr>
                <w:rFonts w:hint="eastAsia"/>
                <w:b/>
                <w:bCs/>
                <w:color w:val="auto"/>
                <w:sz w:val="24"/>
                <w:szCs w:val="24"/>
                <w:highlight w:val="none"/>
              </w:rPr>
              <w:t>参数</w:t>
            </w:r>
            <w:bookmarkEnd w:id="114"/>
            <w:bookmarkEnd w:id="115"/>
            <w:bookmarkEnd w:id="116"/>
          </w:p>
          <w:p w14:paraId="3FCAA711">
            <w:pPr>
              <w:snapToGrid w:val="0"/>
              <w:spacing w:line="360" w:lineRule="auto"/>
              <w:ind w:firstLine="480" w:firstLineChars="200"/>
              <w:rPr>
                <w:rFonts w:hint="default" w:eastAsia="宋体"/>
                <w:color w:val="auto"/>
                <w:sz w:val="24"/>
                <w:szCs w:val="24"/>
                <w:highlight w:val="none"/>
                <w:lang w:val="en-US" w:eastAsia="zh-CN"/>
              </w:rPr>
            </w:pPr>
            <w:bookmarkStart w:id="117" w:name="_Toc17214254"/>
            <w:r>
              <w:rPr>
                <w:rFonts w:hint="eastAsia"/>
                <w:color w:val="auto"/>
                <w:sz w:val="24"/>
                <w:szCs w:val="24"/>
                <w:highlight w:val="none"/>
              </w:rPr>
              <w:t>根据生产、检测需要，</w:t>
            </w:r>
            <w:r>
              <w:rPr>
                <w:rFonts w:hint="default" w:ascii="Times New Roman" w:hAnsi="Times New Roman" w:cs="Times New Roman"/>
                <w:color w:val="auto"/>
                <w:sz w:val="24"/>
                <w:szCs w:val="24"/>
                <w:highlight w:val="none"/>
                <w:lang w:eastAsia="zh-CN"/>
              </w:rPr>
              <w:t>安徽泓济环境科技有限公司</w:t>
            </w:r>
            <w:r>
              <w:rPr>
                <w:rFonts w:hint="eastAsia"/>
                <w:color w:val="auto"/>
                <w:sz w:val="24"/>
                <w:szCs w:val="24"/>
                <w:highlight w:val="none"/>
              </w:rPr>
              <w:t>拟在</w:t>
            </w:r>
            <w:r>
              <w:rPr>
                <w:rFonts w:hint="eastAsia"/>
                <w:color w:val="auto"/>
                <w:sz w:val="24"/>
                <w:szCs w:val="24"/>
                <w:highlight w:val="none"/>
                <w:lang w:val="en-US" w:eastAsia="zh-CN"/>
              </w:rPr>
              <w:t>现有</w:t>
            </w:r>
            <w:r>
              <w:rPr>
                <w:rFonts w:hint="eastAsia"/>
                <w:color w:val="auto"/>
                <w:sz w:val="24"/>
                <w:szCs w:val="24"/>
                <w:highlight w:val="none"/>
              </w:rPr>
              <w:t>厂区</w:t>
            </w:r>
            <w:r>
              <w:rPr>
                <w:rFonts w:hint="eastAsia"/>
                <w:color w:val="auto"/>
                <w:sz w:val="24"/>
                <w:szCs w:val="24"/>
                <w:highlight w:val="none"/>
                <w:lang w:val="en-US" w:eastAsia="zh-CN"/>
              </w:rPr>
              <w:t>2#生产车间内东北侧新建</w:t>
            </w:r>
            <w:r>
              <w:rPr>
                <w:rFonts w:hint="eastAsia"/>
                <w:color w:val="auto"/>
                <w:sz w:val="24"/>
                <w:szCs w:val="24"/>
                <w:highlight w:val="none"/>
              </w:rPr>
              <w:t>1座X射线探伤房，并在机房内拟配备</w:t>
            </w:r>
            <w:r>
              <w:rPr>
                <w:rFonts w:hint="eastAsia"/>
                <w:color w:val="auto"/>
                <w:sz w:val="24"/>
                <w:szCs w:val="24"/>
                <w:highlight w:val="none"/>
                <w:lang w:val="en-US" w:eastAsia="zh-CN"/>
              </w:rPr>
              <w:t>1</w:t>
            </w:r>
            <w:r>
              <w:rPr>
                <w:rFonts w:hint="eastAsia"/>
                <w:color w:val="auto"/>
                <w:sz w:val="24"/>
                <w:szCs w:val="24"/>
                <w:highlight w:val="none"/>
              </w:rPr>
              <w:t>台X射线探伤机，用于开展公司产品的无损检测工作。本项目探伤房的操作间位于探伤房</w:t>
            </w:r>
            <w:r>
              <w:rPr>
                <w:rFonts w:hint="eastAsia"/>
                <w:color w:val="auto"/>
                <w:sz w:val="24"/>
                <w:szCs w:val="24"/>
                <w:highlight w:val="none"/>
                <w:lang w:val="en-US" w:eastAsia="zh-CN"/>
              </w:rPr>
              <w:t>东</w:t>
            </w:r>
            <w:r>
              <w:rPr>
                <w:rFonts w:hint="eastAsia"/>
                <w:color w:val="auto"/>
                <w:sz w:val="24"/>
                <w:szCs w:val="24"/>
                <w:highlight w:val="none"/>
              </w:rPr>
              <w:t>侧，固定式X射线探伤时被探伤工件通过平板车运至探伤房内，探伤结束后，再由平板车将被探伤工件运出探伤房。</w:t>
            </w:r>
            <w:r>
              <w:rPr>
                <w:rFonts w:hint="eastAsia"/>
                <w:color w:val="auto"/>
                <w:sz w:val="24"/>
                <w:szCs w:val="24"/>
                <w:highlight w:val="none"/>
                <w:lang w:val="en-US" w:eastAsia="zh-CN"/>
              </w:rPr>
              <w:t>探伤作业通过转动工件，按照一个方向转动，主射线向西侧照射固定不动，通过转动工件对焊缝进行。</w:t>
            </w:r>
          </w:p>
          <w:p w14:paraId="3DD38C16">
            <w:pPr>
              <w:snapToGrid w:val="0"/>
              <w:spacing w:line="360" w:lineRule="auto"/>
              <w:ind w:firstLine="480" w:firstLineChars="200"/>
              <w:rPr>
                <w:color w:val="auto"/>
                <w:sz w:val="24"/>
                <w:szCs w:val="24"/>
                <w:highlight w:val="none"/>
              </w:rPr>
            </w:pPr>
            <w:r>
              <w:rPr>
                <w:rFonts w:hint="eastAsia"/>
                <w:color w:val="auto"/>
                <w:sz w:val="24"/>
                <w:szCs w:val="24"/>
                <w:highlight w:val="none"/>
              </w:rPr>
              <w:t>本项目X射线探伤机主要由控制箱、X射线发生器和低压连接电缆等构成，常见X射线探伤机外观图见图9-2</w:t>
            </w:r>
            <w:r>
              <w:rPr>
                <w:color w:val="auto"/>
                <w:sz w:val="24"/>
                <w:szCs w:val="24"/>
                <w:highlight w:val="none"/>
              </w:rPr>
              <w:t>。</w:t>
            </w:r>
          </w:p>
          <w:p w14:paraId="44774D35">
            <w:pPr>
              <w:pStyle w:val="7"/>
              <w:ind w:left="0" w:firstLine="0"/>
              <w:jc w:val="center"/>
              <w:rPr>
                <w:color w:val="auto"/>
                <w:sz w:val="24"/>
                <w:szCs w:val="24"/>
                <w:highlight w:val="none"/>
              </w:rPr>
            </w:pPr>
            <w:r>
              <w:rPr>
                <w:b/>
                <w:color w:val="auto"/>
                <w:szCs w:val="21"/>
                <w:highlight w:val="none"/>
              </w:rPr>
              <w:drawing>
                <wp:inline distT="0" distB="0" distL="114300" distR="114300">
                  <wp:extent cx="4893310" cy="1320165"/>
                  <wp:effectExtent l="0" t="0" r="2540" b="13335"/>
                  <wp:docPr id="264"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80"/>
                          <pic:cNvPicPr>
                            <a:picLocks noChangeAspect="1" noChangeArrowheads="1"/>
                          </pic:cNvPicPr>
                        </pic:nvPicPr>
                        <pic:blipFill>
                          <a:blip r:embed="rId37" cstate="print"/>
                          <a:srcRect/>
                          <a:stretch>
                            <a:fillRect/>
                          </a:stretch>
                        </pic:blipFill>
                        <pic:spPr>
                          <a:xfrm>
                            <a:off x="0" y="0"/>
                            <a:ext cx="4893310" cy="1320165"/>
                          </a:xfrm>
                          <a:prstGeom prst="rect">
                            <a:avLst/>
                          </a:prstGeom>
                          <a:noFill/>
                          <a:ln w="9525">
                            <a:noFill/>
                            <a:miter lim="800000"/>
                            <a:headEnd/>
                            <a:tailEnd/>
                          </a:ln>
                        </pic:spPr>
                      </pic:pic>
                    </a:graphicData>
                  </a:graphic>
                </wp:inline>
              </w:drawing>
            </w:r>
          </w:p>
          <w:p w14:paraId="7D95A23E">
            <w:pPr>
              <w:snapToGrid w:val="0"/>
              <w:ind w:firstLine="422" w:firstLineChars="200"/>
              <w:jc w:val="center"/>
              <w:rPr>
                <w:b/>
                <w:color w:val="auto"/>
                <w:szCs w:val="21"/>
                <w:highlight w:val="none"/>
              </w:rPr>
            </w:pPr>
            <w:r>
              <w:rPr>
                <w:rFonts w:hint="eastAsia"/>
                <w:b/>
                <w:color w:val="auto"/>
                <w:szCs w:val="21"/>
                <w:highlight w:val="none"/>
              </w:rPr>
              <w:t>图9-2 常见X射线探伤机外观图</w:t>
            </w:r>
          </w:p>
          <w:p w14:paraId="6200624D">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right="0" w:rightChars="0" w:firstLine="482" w:firstLineChars="200"/>
              <w:textAlignment w:val="auto"/>
              <w:rPr>
                <w:b/>
                <w:bCs/>
                <w:color w:val="auto"/>
                <w:sz w:val="24"/>
                <w:szCs w:val="24"/>
                <w:highlight w:val="none"/>
              </w:rPr>
            </w:pPr>
            <w:bookmarkStart w:id="118" w:name="_Toc26917"/>
            <w:bookmarkStart w:id="119" w:name="_Toc6149"/>
            <w:bookmarkStart w:id="120" w:name="_Toc15403"/>
            <w:r>
              <w:rPr>
                <w:rFonts w:hint="eastAsia"/>
                <w:b/>
                <w:bCs/>
                <w:color w:val="auto"/>
                <w:sz w:val="24"/>
                <w:szCs w:val="24"/>
                <w:highlight w:val="none"/>
              </w:rPr>
              <w:t>2.2</w:t>
            </w:r>
            <w:r>
              <w:rPr>
                <w:rFonts w:hint="eastAsia"/>
                <w:b/>
                <w:bCs/>
                <w:color w:val="auto"/>
                <w:sz w:val="24"/>
                <w:szCs w:val="24"/>
                <w:highlight w:val="none"/>
                <w:lang w:eastAsia="zh-CN"/>
              </w:rPr>
              <w:t>、</w:t>
            </w:r>
            <w:r>
              <w:rPr>
                <w:rFonts w:hint="eastAsia"/>
                <w:b/>
                <w:bCs/>
                <w:color w:val="auto"/>
                <w:sz w:val="24"/>
                <w:szCs w:val="24"/>
                <w:highlight w:val="none"/>
              </w:rPr>
              <w:t>工作原理</w:t>
            </w:r>
            <w:bookmarkEnd w:id="118"/>
            <w:bookmarkEnd w:id="119"/>
            <w:bookmarkEnd w:id="120"/>
          </w:p>
          <w:p w14:paraId="74DD0597">
            <w:pPr>
              <w:snapToGrid w:val="0"/>
              <w:spacing w:line="360" w:lineRule="auto"/>
              <w:ind w:firstLine="480" w:firstLineChars="200"/>
              <w:rPr>
                <w:color w:val="auto"/>
                <w:kern w:val="0"/>
                <w:sz w:val="24"/>
                <w:szCs w:val="24"/>
                <w:highlight w:val="none"/>
                <w:lang w:val="zh-CN"/>
              </w:rPr>
            </w:pPr>
            <w:r>
              <w:rPr>
                <w:color w:val="auto"/>
                <w:sz w:val="24"/>
                <w:highlight w:val="none"/>
              </w:rPr>
              <w:t>X射线</w:t>
            </w:r>
            <w:r>
              <w:rPr>
                <w:rFonts w:hint="eastAsia"/>
                <w:color w:val="auto"/>
                <w:sz w:val="24"/>
                <w:highlight w:val="none"/>
              </w:rPr>
              <w:t>探伤机</w:t>
            </w:r>
            <w:r>
              <w:rPr>
                <w:color w:val="auto"/>
                <w:sz w:val="24"/>
                <w:highlight w:val="none"/>
              </w:rPr>
              <w:t>核心部件是X射线管。它是一个内真空的玻璃管，其中一端是作为电子源的阴极，另一端是嵌有靶材料的阳极。当两端加有高压时，阴极的灯丝热致发射电子。由于阴极和阳极两端存在电位差，电子向阳极运动，形成静电式加速，获取能量。具有一定动能的高速运动电子，撞击靶材料，产生X射线。常</w:t>
            </w:r>
            <w:r>
              <w:rPr>
                <w:rFonts w:hint="eastAsia"/>
                <w:color w:val="auto"/>
                <w:sz w:val="24"/>
                <w:highlight w:val="none"/>
              </w:rPr>
              <w:t>见典型的X射线管结构图见</w:t>
            </w:r>
            <w:r>
              <w:rPr>
                <w:color w:val="auto"/>
                <w:sz w:val="24"/>
                <w:highlight w:val="none"/>
              </w:rPr>
              <w:t>图9-</w:t>
            </w:r>
            <w:r>
              <w:rPr>
                <w:rFonts w:hint="eastAsia"/>
                <w:color w:val="auto"/>
                <w:sz w:val="24"/>
                <w:highlight w:val="none"/>
              </w:rPr>
              <w:t>3</w:t>
            </w:r>
            <w:r>
              <w:rPr>
                <w:color w:val="auto"/>
                <w:kern w:val="0"/>
                <w:sz w:val="24"/>
                <w:szCs w:val="24"/>
                <w:highlight w:val="none"/>
                <w:lang w:val="zh-CN"/>
              </w:rPr>
              <w:t>。</w:t>
            </w:r>
          </w:p>
          <w:p w14:paraId="1C52EE4E">
            <w:pPr>
              <w:spacing w:line="360" w:lineRule="auto"/>
              <w:ind w:firstLine="480" w:firstLineChars="200"/>
              <w:jc w:val="center"/>
              <w:rPr>
                <w:color w:val="auto"/>
                <w:sz w:val="24"/>
                <w:szCs w:val="24"/>
                <w:highlight w:val="none"/>
              </w:rPr>
            </w:pPr>
            <w:r>
              <w:rPr>
                <w:color w:val="auto"/>
                <w:sz w:val="24"/>
                <w:szCs w:val="24"/>
                <w:highlight w:val="none"/>
              </w:rPr>
              <w:drawing>
                <wp:inline distT="0" distB="0" distL="0" distR="0">
                  <wp:extent cx="4798695" cy="1774825"/>
                  <wp:effectExtent l="0" t="0" r="1905" b="15875"/>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38"/>
                          <a:stretch>
                            <a:fillRect/>
                          </a:stretch>
                        </pic:blipFill>
                        <pic:spPr>
                          <a:xfrm>
                            <a:off x="0" y="0"/>
                            <a:ext cx="4798695" cy="1774825"/>
                          </a:xfrm>
                          <a:prstGeom prst="rect">
                            <a:avLst/>
                          </a:prstGeom>
                        </pic:spPr>
                      </pic:pic>
                    </a:graphicData>
                  </a:graphic>
                </wp:inline>
              </w:drawing>
            </w:r>
          </w:p>
          <w:p w14:paraId="39B90EF2">
            <w:pPr>
              <w:snapToGrid w:val="0"/>
              <w:spacing w:line="360" w:lineRule="auto"/>
              <w:ind w:firstLine="422" w:firstLineChars="200"/>
              <w:jc w:val="center"/>
              <w:rPr>
                <w:b/>
                <w:color w:val="auto"/>
                <w:szCs w:val="21"/>
                <w:highlight w:val="none"/>
              </w:rPr>
            </w:pPr>
            <w:r>
              <w:rPr>
                <w:rFonts w:hint="eastAsia"/>
                <w:b/>
                <w:color w:val="auto"/>
                <w:szCs w:val="21"/>
                <w:highlight w:val="none"/>
              </w:rPr>
              <w:t>图9-3 典型的X射线管结构图</w:t>
            </w:r>
          </w:p>
          <w:p w14:paraId="12CE427D">
            <w:pPr>
              <w:snapToGrid w:val="0"/>
              <w:spacing w:line="360" w:lineRule="auto"/>
              <w:ind w:firstLine="480" w:firstLineChars="200"/>
              <w:rPr>
                <w:color w:val="auto"/>
                <w:sz w:val="24"/>
                <w:szCs w:val="24"/>
                <w:highlight w:val="none"/>
              </w:rPr>
            </w:pPr>
            <w:r>
              <w:rPr>
                <w:rFonts w:hint="eastAsia"/>
                <w:color w:val="auto"/>
                <w:sz w:val="24"/>
                <w:szCs w:val="24"/>
                <w:highlight w:val="none"/>
              </w:rPr>
              <w:t>X射线探伤，即无损X射线检测技术，是利用不同材料对X射线吸收的差异性，使胶片感光形成黑度不同的图像，从而反映出被检测物体内部的缺陷。</w:t>
            </w:r>
          </w:p>
          <w:p w14:paraId="5EABA00B">
            <w:pPr>
              <w:snapToGrid w:val="0"/>
              <w:spacing w:line="360" w:lineRule="auto"/>
              <w:ind w:firstLine="480" w:firstLineChars="200"/>
              <w:rPr>
                <w:color w:val="auto"/>
                <w:sz w:val="24"/>
                <w:szCs w:val="24"/>
                <w:highlight w:val="none"/>
              </w:rPr>
            </w:pPr>
            <w:r>
              <w:rPr>
                <w:rFonts w:hint="eastAsia"/>
                <w:color w:val="auto"/>
                <w:sz w:val="24"/>
                <w:szCs w:val="24"/>
                <w:highlight w:val="none"/>
              </w:rPr>
              <w:t>X射线无损检测过程中，由于被检工件内部结构密度不同，其对射线的阻挡能力也不一样，物质的密度越大，射线强度减弱越大，底片感光量就小。当工件内部存在气孔、裂缝、夹渣等缺陷时，射线穿过有缺陷的路径比没有缺陷的路径所透过的物质密度要小得多，其强度减弱较小，即透过的射线强度较大，底片感光量较大，从而可以从底片曝光强度的差异判断焊接的质量、缺陷位置和被检样品内部的细微结构等。</w:t>
            </w:r>
          </w:p>
          <w:p w14:paraId="795306B8">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right="0" w:rightChars="0" w:firstLine="482" w:firstLineChars="200"/>
              <w:textAlignment w:val="auto"/>
              <w:rPr>
                <w:b/>
                <w:bCs/>
                <w:color w:val="auto"/>
                <w:sz w:val="24"/>
                <w:szCs w:val="24"/>
                <w:highlight w:val="none"/>
              </w:rPr>
            </w:pPr>
            <w:bookmarkStart w:id="121" w:name="_Toc21564"/>
            <w:bookmarkStart w:id="122" w:name="_Toc5820"/>
            <w:bookmarkStart w:id="123" w:name="_Toc6292"/>
            <w:r>
              <w:rPr>
                <w:rFonts w:hint="eastAsia"/>
                <w:b/>
                <w:bCs/>
                <w:color w:val="auto"/>
                <w:sz w:val="24"/>
                <w:szCs w:val="24"/>
                <w:highlight w:val="none"/>
              </w:rPr>
              <w:t>2.3</w:t>
            </w:r>
            <w:r>
              <w:rPr>
                <w:rFonts w:hint="eastAsia"/>
                <w:b/>
                <w:bCs/>
                <w:color w:val="auto"/>
                <w:sz w:val="24"/>
                <w:szCs w:val="24"/>
                <w:highlight w:val="none"/>
                <w:lang w:eastAsia="zh-CN"/>
              </w:rPr>
              <w:t>、</w:t>
            </w:r>
            <w:r>
              <w:rPr>
                <w:rFonts w:hint="eastAsia"/>
                <w:b/>
                <w:bCs/>
                <w:color w:val="auto"/>
                <w:sz w:val="24"/>
                <w:szCs w:val="24"/>
                <w:highlight w:val="none"/>
              </w:rPr>
              <w:t>本项目设备简介</w:t>
            </w:r>
          </w:p>
          <w:p w14:paraId="565256F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本项目X射线探伤场所为探伤房，使用</w:t>
            </w:r>
            <w:r>
              <w:rPr>
                <w:rFonts w:hint="eastAsia"/>
                <w:color w:val="auto"/>
                <w:sz w:val="24"/>
                <w:szCs w:val="24"/>
                <w:highlight w:val="none"/>
                <w:lang w:val="en-US" w:eastAsia="zh-CN"/>
              </w:rPr>
              <w:t>1</w:t>
            </w:r>
            <w:r>
              <w:rPr>
                <w:rFonts w:hint="eastAsia"/>
                <w:color w:val="auto"/>
                <w:sz w:val="24"/>
                <w:szCs w:val="24"/>
                <w:highlight w:val="none"/>
              </w:rPr>
              <w:t>台X射线探伤机，用于公司生产</w:t>
            </w:r>
            <w:r>
              <w:rPr>
                <w:rFonts w:hint="eastAsia"/>
                <w:color w:val="auto"/>
                <w:sz w:val="24"/>
                <w:szCs w:val="24"/>
                <w:highlight w:val="none"/>
                <w:lang w:val="en-US" w:eastAsia="zh-CN"/>
              </w:rPr>
              <w:t>压力容器</w:t>
            </w:r>
            <w:r>
              <w:rPr>
                <w:rFonts w:hint="eastAsia"/>
                <w:color w:val="auto"/>
                <w:sz w:val="24"/>
                <w:szCs w:val="24"/>
                <w:highlight w:val="none"/>
              </w:rPr>
              <w:t>上的焊缝无损检测，X射线探伤机具体技术参数信息如下。</w:t>
            </w:r>
          </w:p>
          <w:p w14:paraId="199126C9">
            <w:pPr>
              <w:pStyle w:val="96"/>
              <w:keepNext w:val="0"/>
              <w:keepLines w:val="0"/>
              <w:pageBreakBefore w:val="0"/>
              <w:widowControl/>
              <w:kinsoku/>
              <w:wordWrap/>
              <w:overflowPunct/>
              <w:topLinePunct w:val="0"/>
              <w:autoSpaceDE/>
              <w:autoSpaceDN/>
              <w:bidi w:val="0"/>
              <w:adjustRightInd/>
              <w:snapToGrid/>
              <w:ind w:firstLine="422"/>
              <w:textAlignment w:val="auto"/>
              <w:rPr>
                <w:rFonts w:eastAsia="宋体" w:cs="Times New Roman"/>
                <w:b/>
                <w:color w:val="auto"/>
                <w:kern w:val="2"/>
                <w:sz w:val="21"/>
                <w:szCs w:val="21"/>
                <w:highlight w:val="none"/>
              </w:rPr>
            </w:pPr>
            <w:r>
              <w:rPr>
                <w:rFonts w:hint="eastAsia" w:eastAsia="宋体" w:cs="Times New Roman"/>
                <w:b/>
                <w:color w:val="auto"/>
                <w:kern w:val="2"/>
                <w:sz w:val="21"/>
                <w:szCs w:val="21"/>
                <w:highlight w:val="none"/>
              </w:rPr>
              <w:t>表9-2 本项目X射线探伤机设备具体技术参数</w:t>
            </w:r>
          </w:p>
          <w:tbl>
            <w:tblPr>
              <w:tblStyle w:val="36"/>
              <w:tblW w:w="498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865"/>
              <w:gridCol w:w="6526"/>
            </w:tblGrid>
            <w:tr w14:paraId="5D0B3A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47" w:hRule="atLeast"/>
                <w:jc w:val="center"/>
              </w:trPr>
              <w:tc>
                <w:tcPr>
                  <w:tcW w:w="1841" w:type="dxa"/>
                  <w:tcBorders>
                    <w:tl2br w:val="nil"/>
                    <w:tr2bl w:val="nil"/>
                  </w:tcBorders>
                  <w:vAlign w:val="center"/>
                </w:tcPr>
                <w:p w14:paraId="56FFE7DE">
                  <w:pPr>
                    <w:snapToGrid w:val="0"/>
                    <w:jc w:val="center"/>
                    <w:rPr>
                      <w:b/>
                      <w:bCs/>
                      <w:color w:val="auto"/>
                      <w:highlight w:val="none"/>
                    </w:rPr>
                  </w:pPr>
                  <w:r>
                    <w:rPr>
                      <w:b/>
                      <w:bCs/>
                      <w:color w:val="auto"/>
                      <w:highlight w:val="none"/>
                    </w:rPr>
                    <w:t>装置名称</w:t>
                  </w:r>
                </w:p>
              </w:tc>
              <w:tc>
                <w:tcPr>
                  <w:tcW w:w="6443" w:type="dxa"/>
                  <w:tcBorders>
                    <w:tl2br w:val="nil"/>
                    <w:tr2bl w:val="nil"/>
                  </w:tcBorders>
                  <w:vAlign w:val="center"/>
                </w:tcPr>
                <w:p w14:paraId="1D723058">
                  <w:pPr>
                    <w:snapToGrid w:val="0"/>
                    <w:jc w:val="center"/>
                    <w:rPr>
                      <w:b/>
                      <w:bCs/>
                      <w:color w:val="auto"/>
                      <w:highlight w:val="none"/>
                    </w:rPr>
                  </w:pPr>
                  <w:r>
                    <w:rPr>
                      <w:b/>
                      <w:bCs/>
                      <w:color w:val="auto"/>
                      <w:highlight w:val="none"/>
                    </w:rPr>
                    <w:t>X射线探伤机</w:t>
                  </w:r>
                </w:p>
              </w:tc>
            </w:tr>
            <w:tr w14:paraId="34DCF30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841" w:type="dxa"/>
                  <w:tcBorders>
                    <w:tl2br w:val="nil"/>
                    <w:tr2bl w:val="nil"/>
                  </w:tcBorders>
                  <w:vAlign w:val="center"/>
                </w:tcPr>
                <w:p w14:paraId="023CFD69">
                  <w:pPr>
                    <w:snapToGrid w:val="0"/>
                    <w:jc w:val="center"/>
                    <w:rPr>
                      <w:color w:val="auto"/>
                      <w:highlight w:val="none"/>
                    </w:rPr>
                  </w:pPr>
                  <w:r>
                    <w:rPr>
                      <w:color w:val="auto"/>
                      <w:highlight w:val="none"/>
                    </w:rPr>
                    <w:t>型号</w:t>
                  </w:r>
                </w:p>
              </w:tc>
              <w:tc>
                <w:tcPr>
                  <w:tcW w:w="6443" w:type="dxa"/>
                  <w:tcBorders>
                    <w:tl2br w:val="nil"/>
                    <w:tr2bl w:val="nil"/>
                  </w:tcBorders>
                  <w:vAlign w:val="center"/>
                </w:tcPr>
                <w:p w14:paraId="0750CD06">
                  <w:pPr>
                    <w:snapToGrid w:val="0"/>
                    <w:jc w:val="center"/>
                    <w:rPr>
                      <w:color w:val="auto"/>
                      <w:highlight w:val="none"/>
                    </w:rPr>
                  </w:pPr>
                  <w:r>
                    <w:rPr>
                      <w:color w:val="auto"/>
                      <w:highlight w:val="none"/>
                    </w:rPr>
                    <w:t>XXG250</w:t>
                  </w:r>
                  <w:r>
                    <w:rPr>
                      <w:rFonts w:hint="eastAsia"/>
                      <w:color w:val="auto"/>
                      <w:highlight w:val="none"/>
                      <w:lang w:val="en-US" w:eastAsia="zh-CN"/>
                    </w:rPr>
                    <w:t>5</w:t>
                  </w:r>
                  <w:r>
                    <w:rPr>
                      <w:color w:val="auto"/>
                      <w:highlight w:val="none"/>
                    </w:rPr>
                    <w:t>，定向</w:t>
                  </w:r>
                </w:p>
              </w:tc>
            </w:tr>
            <w:tr w14:paraId="47E877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841" w:type="dxa"/>
                  <w:tcBorders>
                    <w:tl2br w:val="nil"/>
                    <w:tr2bl w:val="nil"/>
                  </w:tcBorders>
                  <w:vAlign w:val="center"/>
                </w:tcPr>
                <w:p w14:paraId="168637BB">
                  <w:pPr>
                    <w:snapToGrid w:val="0"/>
                    <w:jc w:val="center"/>
                    <w:rPr>
                      <w:color w:val="auto"/>
                      <w:highlight w:val="none"/>
                    </w:rPr>
                  </w:pPr>
                  <w:r>
                    <w:rPr>
                      <w:color w:val="auto"/>
                      <w:highlight w:val="none"/>
                    </w:rPr>
                    <w:t>数量</w:t>
                  </w:r>
                </w:p>
              </w:tc>
              <w:tc>
                <w:tcPr>
                  <w:tcW w:w="6443" w:type="dxa"/>
                  <w:tcBorders>
                    <w:tl2br w:val="nil"/>
                    <w:tr2bl w:val="nil"/>
                  </w:tcBorders>
                  <w:vAlign w:val="center"/>
                </w:tcPr>
                <w:p w14:paraId="72A5EA77">
                  <w:pPr>
                    <w:snapToGrid w:val="0"/>
                    <w:jc w:val="center"/>
                    <w:rPr>
                      <w:color w:val="auto"/>
                      <w:highlight w:val="none"/>
                    </w:rPr>
                  </w:pPr>
                  <w:r>
                    <w:rPr>
                      <w:color w:val="auto"/>
                      <w:highlight w:val="none"/>
                    </w:rPr>
                    <w:t>1台</w:t>
                  </w:r>
                </w:p>
              </w:tc>
            </w:tr>
            <w:tr w14:paraId="7E6BC8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841" w:type="dxa"/>
                  <w:tcBorders>
                    <w:tl2br w:val="nil"/>
                    <w:tr2bl w:val="nil"/>
                  </w:tcBorders>
                  <w:vAlign w:val="center"/>
                </w:tcPr>
                <w:p w14:paraId="64DE7E6E">
                  <w:pPr>
                    <w:snapToGrid w:val="0"/>
                    <w:jc w:val="center"/>
                    <w:rPr>
                      <w:color w:val="auto"/>
                      <w:highlight w:val="none"/>
                    </w:rPr>
                  </w:pPr>
                  <w:r>
                    <w:rPr>
                      <w:color w:val="auto"/>
                      <w:highlight w:val="none"/>
                    </w:rPr>
                    <w:t>装置用途</w:t>
                  </w:r>
                </w:p>
              </w:tc>
              <w:tc>
                <w:tcPr>
                  <w:tcW w:w="6443" w:type="dxa"/>
                  <w:tcBorders>
                    <w:tl2br w:val="nil"/>
                    <w:tr2bl w:val="nil"/>
                  </w:tcBorders>
                  <w:vAlign w:val="center"/>
                </w:tcPr>
                <w:p w14:paraId="549DE7D3">
                  <w:pPr>
                    <w:snapToGrid w:val="0"/>
                    <w:jc w:val="center"/>
                    <w:rPr>
                      <w:color w:val="auto"/>
                      <w:highlight w:val="none"/>
                    </w:rPr>
                  </w:pPr>
                  <w:r>
                    <w:rPr>
                      <w:color w:val="auto"/>
                      <w:highlight w:val="none"/>
                    </w:rPr>
                    <w:t>对焊接焊缝质量进行无损检测</w:t>
                  </w:r>
                </w:p>
              </w:tc>
            </w:tr>
            <w:tr w14:paraId="3DD742F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841" w:type="dxa"/>
                  <w:tcBorders>
                    <w:tl2br w:val="nil"/>
                    <w:tr2bl w:val="nil"/>
                  </w:tcBorders>
                  <w:vAlign w:val="center"/>
                </w:tcPr>
                <w:p w14:paraId="71CFA0BB">
                  <w:pPr>
                    <w:snapToGrid w:val="0"/>
                    <w:jc w:val="center"/>
                    <w:rPr>
                      <w:color w:val="auto"/>
                      <w:highlight w:val="none"/>
                    </w:rPr>
                  </w:pPr>
                  <w:r>
                    <w:rPr>
                      <w:color w:val="auto"/>
                      <w:highlight w:val="none"/>
                    </w:rPr>
                    <w:t>射线类型</w:t>
                  </w:r>
                </w:p>
              </w:tc>
              <w:tc>
                <w:tcPr>
                  <w:tcW w:w="6443" w:type="dxa"/>
                  <w:tcBorders>
                    <w:tl2br w:val="nil"/>
                    <w:tr2bl w:val="nil"/>
                  </w:tcBorders>
                  <w:vAlign w:val="center"/>
                </w:tcPr>
                <w:p w14:paraId="3093B0E8">
                  <w:pPr>
                    <w:snapToGrid w:val="0"/>
                    <w:jc w:val="center"/>
                    <w:rPr>
                      <w:color w:val="auto"/>
                      <w:highlight w:val="none"/>
                    </w:rPr>
                  </w:pPr>
                  <w:r>
                    <w:rPr>
                      <w:color w:val="auto"/>
                      <w:highlight w:val="none"/>
                    </w:rPr>
                    <w:t>X射线</w:t>
                  </w:r>
                </w:p>
              </w:tc>
            </w:tr>
            <w:tr w14:paraId="654639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841" w:type="dxa"/>
                  <w:tcBorders>
                    <w:tl2br w:val="nil"/>
                    <w:tr2bl w:val="nil"/>
                  </w:tcBorders>
                  <w:vAlign w:val="center"/>
                </w:tcPr>
                <w:p w14:paraId="5C6E272D">
                  <w:pPr>
                    <w:snapToGrid w:val="0"/>
                    <w:jc w:val="center"/>
                    <w:rPr>
                      <w:color w:val="auto"/>
                      <w:highlight w:val="none"/>
                    </w:rPr>
                  </w:pPr>
                  <w:r>
                    <w:rPr>
                      <w:color w:val="auto"/>
                      <w:highlight w:val="none"/>
                    </w:rPr>
                    <w:t>焦点尺寸</w:t>
                  </w:r>
                </w:p>
              </w:tc>
              <w:tc>
                <w:tcPr>
                  <w:tcW w:w="6443" w:type="dxa"/>
                  <w:tcBorders>
                    <w:tl2br w:val="nil"/>
                    <w:tr2bl w:val="nil"/>
                  </w:tcBorders>
                  <w:vAlign w:val="center"/>
                </w:tcPr>
                <w:p w14:paraId="371017EF">
                  <w:pPr>
                    <w:snapToGrid w:val="0"/>
                    <w:jc w:val="center"/>
                    <w:rPr>
                      <w:color w:val="auto"/>
                      <w:highlight w:val="none"/>
                    </w:rPr>
                  </w:pPr>
                  <w:r>
                    <w:rPr>
                      <w:color w:val="auto"/>
                      <w:highlight w:val="none"/>
                    </w:rPr>
                    <w:t>2.0×2.0mm</w:t>
                  </w:r>
                </w:p>
              </w:tc>
            </w:tr>
            <w:tr w14:paraId="782B99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841" w:type="dxa"/>
                  <w:tcBorders>
                    <w:tl2br w:val="nil"/>
                    <w:tr2bl w:val="nil"/>
                  </w:tcBorders>
                  <w:vAlign w:val="center"/>
                </w:tcPr>
                <w:p w14:paraId="283A4940">
                  <w:pPr>
                    <w:snapToGrid w:val="0"/>
                    <w:jc w:val="center"/>
                    <w:rPr>
                      <w:color w:val="auto"/>
                      <w:highlight w:val="none"/>
                    </w:rPr>
                  </w:pPr>
                  <w:r>
                    <w:rPr>
                      <w:color w:val="auto"/>
                      <w:highlight w:val="none"/>
                    </w:rPr>
                    <w:t>最大管电压</w:t>
                  </w:r>
                </w:p>
              </w:tc>
              <w:tc>
                <w:tcPr>
                  <w:tcW w:w="6443" w:type="dxa"/>
                  <w:tcBorders>
                    <w:tl2br w:val="nil"/>
                    <w:tr2bl w:val="nil"/>
                  </w:tcBorders>
                  <w:vAlign w:val="center"/>
                </w:tcPr>
                <w:p w14:paraId="333A6E67">
                  <w:pPr>
                    <w:snapToGrid w:val="0"/>
                    <w:jc w:val="center"/>
                    <w:rPr>
                      <w:color w:val="auto"/>
                      <w:highlight w:val="none"/>
                    </w:rPr>
                  </w:pPr>
                  <w:r>
                    <w:rPr>
                      <w:color w:val="auto"/>
                      <w:highlight w:val="none"/>
                    </w:rPr>
                    <w:t>250kV</w:t>
                  </w:r>
                </w:p>
              </w:tc>
            </w:tr>
            <w:tr w14:paraId="5E245B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841" w:type="dxa"/>
                  <w:tcBorders>
                    <w:tl2br w:val="nil"/>
                    <w:tr2bl w:val="nil"/>
                  </w:tcBorders>
                  <w:vAlign w:val="center"/>
                </w:tcPr>
                <w:p w14:paraId="2EE4C1A0">
                  <w:pPr>
                    <w:snapToGrid w:val="0"/>
                    <w:jc w:val="center"/>
                    <w:rPr>
                      <w:color w:val="auto"/>
                      <w:highlight w:val="none"/>
                    </w:rPr>
                  </w:pPr>
                  <w:r>
                    <w:rPr>
                      <w:color w:val="auto"/>
                      <w:highlight w:val="none"/>
                    </w:rPr>
                    <w:t>最大管电流</w:t>
                  </w:r>
                </w:p>
              </w:tc>
              <w:tc>
                <w:tcPr>
                  <w:tcW w:w="6443" w:type="dxa"/>
                  <w:tcBorders>
                    <w:tl2br w:val="nil"/>
                    <w:tr2bl w:val="nil"/>
                  </w:tcBorders>
                  <w:vAlign w:val="center"/>
                </w:tcPr>
                <w:p w14:paraId="433D85B1">
                  <w:pPr>
                    <w:snapToGrid w:val="0"/>
                    <w:jc w:val="center"/>
                    <w:rPr>
                      <w:color w:val="auto"/>
                      <w:highlight w:val="none"/>
                    </w:rPr>
                  </w:pPr>
                  <w:r>
                    <w:rPr>
                      <w:color w:val="auto"/>
                      <w:highlight w:val="none"/>
                    </w:rPr>
                    <w:t>5mA</w:t>
                  </w:r>
                </w:p>
              </w:tc>
            </w:tr>
            <w:tr w14:paraId="75D4D6F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841" w:type="dxa"/>
                  <w:tcBorders>
                    <w:tl2br w:val="nil"/>
                    <w:tr2bl w:val="nil"/>
                  </w:tcBorders>
                  <w:vAlign w:val="center"/>
                </w:tcPr>
                <w:p w14:paraId="553CE3B2">
                  <w:pPr>
                    <w:snapToGrid w:val="0"/>
                    <w:jc w:val="center"/>
                    <w:rPr>
                      <w:color w:val="auto"/>
                      <w:highlight w:val="none"/>
                    </w:rPr>
                  </w:pPr>
                  <w:r>
                    <w:rPr>
                      <w:color w:val="auto"/>
                      <w:highlight w:val="none"/>
                    </w:rPr>
                    <w:t>最大穿透能力</w:t>
                  </w:r>
                </w:p>
              </w:tc>
              <w:tc>
                <w:tcPr>
                  <w:tcW w:w="6443" w:type="dxa"/>
                  <w:tcBorders>
                    <w:tl2br w:val="nil"/>
                    <w:tr2bl w:val="nil"/>
                  </w:tcBorders>
                  <w:vAlign w:val="center"/>
                </w:tcPr>
                <w:p w14:paraId="516C82DB">
                  <w:pPr>
                    <w:snapToGrid w:val="0"/>
                    <w:jc w:val="center"/>
                    <w:rPr>
                      <w:color w:val="auto"/>
                      <w:highlight w:val="none"/>
                    </w:rPr>
                  </w:pPr>
                  <w:r>
                    <w:rPr>
                      <w:color w:val="auto"/>
                      <w:highlight w:val="none"/>
                    </w:rPr>
                    <w:t>A3钢</w:t>
                  </w:r>
                  <w:r>
                    <w:rPr>
                      <w:rFonts w:hint="eastAsia"/>
                      <w:color w:val="auto"/>
                      <w:highlight w:val="none"/>
                      <w:lang w:val="en-US" w:eastAsia="zh-CN"/>
                    </w:rPr>
                    <w:t>34</w:t>
                  </w:r>
                  <w:r>
                    <w:rPr>
                      <w:color w:val="auto"/>
                      <w:highlight w:val="none"/>
                    </w:rPr>
                    <w:t>mm</w:t>
                  </w:r>
                </w:p>
              </w:tc>
            </w:tr>
            <w:tr w14:paraId="114FC9C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841" w:type="dxa"/>
                  <w:tcBorders>
                    <w:tl2br w:val="nil"/>
                    <w:tr2bl w:val="nil"/>
                  </w:tcBorders>
                  <w:vAlign w:val="center"/>
                </w:tcPr>
                <w:p w14:paraId="0A98EF39">
                  <w:pPr>
                    <w:snapToGrid w:val="0"/>
                    <w:jc w:val="center"/>
                    <w:rPr>
                      <w:color w:val="auto"/>
                      <w:highlight w:val="none"/>
                    </w:rPr>
                  </w:pPr>
                  <w:r>
                    <w:rPr>
                      <w:color w:val="auto"/>
                      <w:highlight w:val="none"/>
                    </w:rPr>
                    <w:t>辐射角</w:t>
                  </w:r>
                </w:p>
              </w:tc>
              <w:tc>
                <w:tcPr>
                  <w:tcW w:w="6443" w:type="dxa"/>
                  <w:tcBorders>
                    <w:tl2br w:val="nil"/>
                    <w:tr2bl w:val="nil"/>
                  </w:tcBorders>
                  <w:vAlign w:val="center"/>
                </w:tcPr>
                <w:p w14:paraId="4CF76CC3">
                  <w:pPr>
                    <w:snapToGrid w:val="0"/>
                    <w:jc w:val="center"/>
                    <w:rPr>
                      <w:color w:val="auto"/>
                      <w:highlight w:val="none"/>
                    </w:rPr>
                  </w:pPr>
                  <w:r>
                    <w:rPr>
                      <w:color w:val="auto"/>
                      <w:highlight w:val="none"/>
                    </w:rPr>
                    <w:t>40+5°</w:t>
                  </w:r>
                </w:p>
              </w:tc>
            </w:tr>
            <w:tr w14:paraId="6F3243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841" w:type="dxa"/>
                  <w:tcBorders>
                    <w:tl2br w:val="nil"/>
                    <w:tr2bl w:val="nil"/>
                  </w:tcBorders>
                  <w:vAlign w:val="center"/>
                </w:tcPr>
                <w:p w14:paraId="238A4A37">
                  <w:pPr>
                    <w:snapToGrid w:val="0"/>
                    <w:jc w:val="center"/>
                    <w:rPr>
                      <w:color w:val="auto"/>
                      <w:highlight w:val="none"/>
                    </w:rPr>
                  </w:pPr>
                  <w:r>
                    <w:rPr>
                      <w:color w:val="auto"/>
                      <w:highlight w:val="none"/>
                    </w:rPr>
                    <w:t>滤过条件</w:t>
                  </w:r>
                </w:p>
              </w:tc>
              <w:tc>
                <w:tcPr>
                  <w:tcW w:w="6443" w:type="dxa"/>
                  <w:tcBorders>
                    <w:tl2br w:val="nil"/>
                    <w:tr2bl w:val="nil"/>
                  </w:tcBorders>
                  <w:vAlign w:val="center"/>
                </w:tcPr>
                <w:p w14:paraId="2F98F675">
                  <w:pPr>
                    <w:snapToGrid w:val="0"/>
                    <w:jc w:val="center"/>
                    <w:rPr>
                      <w:color w:val="auto"/>
                      <w:highlight w:val="none"/>
                    </w:rPr>
                  </w:pPr>
                  <w:r>
                    <w:rPr>
                      <w:rFonts w:hint="eastAsia"/>
                      <w:color w:val="auto"/>
                      <w:highlight w:val="none"/>
                    </w:rPr>
                    <w:t>0.5</w:t>
                  </w:r>
                  <w:r>
                    <w:rPr>
                      <w:color w:val="auto"/>
                      <w:highlight w:val="none"/>
                    </w:rPr>
                    <w:t>mm</w:t>
                  </w:r>
                  <w:r>
                    <w:rPr>
                      <w:rFonts w:hint="eastAsia"/>
                      <w:color w:val="auto"/>
                      <w:highlight w:val="none"/>
                    </w:rPr>
                    <w:t>铜</w:t>
                  </w:r>
                </w:p>
              </w:tc>
            </w:tr>
            <w:tr w14:paraId="2CFDC84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41" w:type="dxa"/>
                  <w:tcBorders>
                    <w:tl2br w:val="nil"/>
                    <w:tr2bl w:val="nil"/>
                  </w:tcBorders>
                  <w:vAlign w:val="center"/>
                </w:tcPr>
                <w:p w14:paraId="0DD2804D">
                  <w:pPr>
                    <w:snapToGrid w:val="0"/>
                    <w:jc w:val="center"/>
                    <w:rPr>
                      <w:color w:val="auto"/>
                      <w:highlight w:val="none"/>
                    </w:rPr>
                  </w:pPr>
                  <w:r>
                    <w:rPr>
                      <w:color w:val="auto"/>
                      <w:highlight w:val="none"/>
                    </w:rPr>
                    <w:t>备注</w:t>
                  </w:r>
                </w:p>
              </w:tc>
              <w:tc>
                <w:tcPr>
                  <w:tcW w:w="6443" w:type="dxa"/>
                  <w:tcBorders>
                    <w:tl2br w:val="nil"/>
                    <w:tr2bl w:val="nil"/>
                  </w:tcBorders>
                  <w:vAlign w:val="center"/>
                </w:tcPr>
                <w:p w14:paraId="2EC373A3">
                  <w:pPr>
                    <w:snapToGrid w:val="0"/>
                    <w:jc w:val="center"/>
                    <w:rPr>
                      <w:color w:val="auto"/>
                      <w:highlight w:val="none"/>
                    </w:rPr>
                  </w:pPr>
                  <w:r>
                    <w:rPr>
                      <w:color w:val="auto"/>
                      <w:highlight w:val="none"/>
                    </w:rPr>
                    <w:t>本项目X射线探伤机仅在拟建的探伤房内使用，除此之外，不在其他地方使用；</w:t>
                  </w:r>
                </w:p>
              </w:tc>
            </w:tr>
          </w:tbl>
          <w:p w14:paraId="653B3018">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right="0" w:rightChars="0" w:firstLine="482" w:firstLineChars="200"/>
              <w:textAlignment w:val="auto"/>
              <w:rPr>
                <w:b/>
                <w:bCs/>
                <w:color w:val="auto"/>
                <w:sz w:val="24"/>
                <w:szCs w:val="24"/>
                <w:highlight w:val="none"/>
              </w:rPr>
            </w:pPr>
            <w:r>
              <w:rPr>
                <w:rFonts w:hint="eastAsia"/>
                <w:b/>
                <w:bCs/>
                <w:color w:val="auto"/>
                <w:sz w:val="24"/>
                <w:szCs w:val="24"/>
                <w:highlight w:val="none"/>
              </w:rPr>
              <w:t>2.</w:t>
            </w:r>
            <w:bookmarkEnd w:id="121"/>
            <w:bookmarkEnd w:id="122"/>
            <w:bookmarkEnd w:id="123"/>
            <w:r>
              <w:rPr>
                <w:rFonts w:hint="eastAsia"/>
                <w:b/>
                <w:bCs/>
                <w:color w:val="auto"/>
                <w:sz w:val="24"/>
                <w:szCs w:val="24"/>
                <w:highlight w:val="none"/>
              </w:rPr>
              <w:t>4</w:t>
            </w:r>
            <w:r>
              <w:rPr>
                <w:rFonts w:hint="eastAsia"/>
                <w:b/>
                <w:bCs/>
                <w:color w:val="auto"/>
                <w:sz w:val="24"/>
                <w:szCs w:val="24"/>
                <w:highlight w:val="none"/>
                <w:lang w:eastAsia="zh-CN"/>
              </w:rPr>
              <w:t>、</w:t>
            </w:r>
            <w:r>
              <w:rPr>
                <w:rFonts w:hint="eastAsia"/>
                <w:b/>
                <w:bCs/>
                <w:color w:val="auto"/>
                <w:sz w:val="24"/>
                <w:szCs w:val="24"/>
                <w:highlight w:val="none"/>
              </w:rPr>
              <w:t>操作流程与产污环节</w:t>
            </w:r>
          </w:p>
          <w:p w14:paraId="27DD421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sz w:val="24"/>
                <w:szCs w:val="24"/>
                <w:highlight w:val="none"/>
                <w:lang w:eastAsia="zh-CN"/>
              </w:rPr>
            </w:pPr>
            <w:r>
              <w:rPr>
                <w:rFonts w:hint="eastAsia"/>
                <w:color w:val="auto"/>
                <w:sz w:val="24"/>
                <w:szCs w:val="24"/>
                <w:highlight w:val="none"/>
              </w:rPr>
              <w:t>本项目X射线探伤房配备1台XXG250</w:t>
            </w:r>
            <w:r>
              <w:rPr>
                <w:rFonts w:hint="eastAsia"/>
                <w:color w:val="auto"/>
                <w:sz w:val="24"/>
                <w:szCs w:val="24"/>
                <w:highlight w:val="none"/>
                <w:lang w:val="en-US" w:eastAsia="zh-CN"/>
              </w:rPr>
              <w:t>5</w:t>
            </w:r>
            <w:r>
              <w:rPr>
                <w:rFonts w:hint="eastAsia"/>
                <w:color w:val="auto"/>
                <w:sz w:val="24"/>
                <w:szCs w:val="24"/>
                <w:highlight w:val="none"/>
              </w:rPr>
              <w:t>型</w:t>
            </w:r>
            <w:r>
              <w:rPr>
                <w:rFonts w:hint="eastAsia"/>
                <w:color w:val="auto"/>
                <w:sz w:val="24"/>
                <w:szCs w:val="24"/>
                <w:highlight w:val="none"/>
                <w:lang w:val="en-US" w:eastAsia="zh-CN"/>
              </w:rPr>
              <w:t>定</w:t>
            </w:r>
            <w:r>
              <w:rPr>
                <w:rFonts w:hint="eastAsia"/>
                <w:color w:val="auto"/>
                <w:sz w:val="24"/>
                <w:szCs w:val="24"/>
                <w:highlight w:val="none"/>
              </w:rPr>
              <w:t>向X射线探伤机。</w:t>
            </w:r>
            <w:r>
              <w:rPr>
                <w:rFonts w:hint="eastAsia"/>
                <w:color w:val="auto"/>
                <w:sz w:val="24"/>
                <w:szCs w:val="24"/>
                <w:highlight w:val="none"/>
                <w:lang w:val="en-US" w:eastAsia="zh-CN"/>
              </w:rPr>
              <w:t>本项目</w:t>
            </w:r>
            <w:r>
              <w:rPr>
                <w:rFonts w:hint="eastAsia"/>
                <w:color w:val="auto"/>
                <w:sz w:val="24"/>
                <w:szCs w:val="24"/>
                <w:highlight w:val="none"/>
              </w:rPr>
              <w:t>探伤检测工件主要为碳钢铸件和不锈钢铸件</w:t>
            </w:r>
            <w:r>
              <w:rPr>
                <w:rFonts w:hint="eastAsia"/>
                <w:color w:val="auto"/>
                <w:sz w:val="24"/>
                <w:szCs w:val="24"/>
                <w:highlight w:val="none"/>
                <w:lang w:eastAsia="zh-CN"/>
              </w:rPr>
              <w:t>，</w:t>
            </w:r>
            <w:r>
              <w:rPr>
                <w:rFonts w:hint="eastAsia"/>
                <w:color w:val="auto"/>
                <w:sz w:val="24"/>
                <w:szCs w:val="24"/>
                <w:highlight w:val="none"/>
                <w:lang w:val="en-US" w:eastAsia="zh-CN"/>
              </w:rPr>
              <w:t>铸件的</w:t>
            </w:r>
            <w:r>
              <w:rPr>
                <w:rFonts w:hint="eastAsia"/>
                <w:color w:val="auto"/>
                <w:sz w:val="24"/>
                <w:szCs w:val="24"/>
                <w:highlight w:val="none"/>
              </w:rPr>
              <w:t>大小规格不等，焊缝焊接厚度</w:t>
            </w:r>
            <w:r>
              <w:rPr>
                <w:rFonts w:hint="eastAsia"/>
                <w:color w:val="auto"/>
                <w:sz w:val="24"/>
                <w:szCs w:val="24"/>
                <w:highlight w:val="none"/>
                <w:lang w:val="en-US" w:eastAsia="zh-CN"/>
              </w:rPr>
              <w:t>最大不超过26</w:t>
            </w:r>
            <w:r>
              <w:rPr>
                <w:rFonts w:hint="eastAsia"/>
                <w:color w:val="auto"/>
                <w:sz w:val="24"/>
                <w:szCs w:val="24"/>
                <w:highlight w:val="none"/>
              </w:rPr>
              <w:t>mm</w:t>
            </w:r>
            <w:r>
              <w:rPr>
                <w:rFonts w:hint="eastAsia"/>
                <w:color w:val="auto"/>
                <w:sz w:val="24"/>
                <w:szCs w:val="24"/>
                <w:highlight w:val="none"/>
                <w:lang w:val="en-US" w:eastAsia="zh-CN"/>
              </w:rPr>
              <w:t>。</w:t>
            </w:r>
            <w:r>
              <w:rPr>
                <w:rFonts w:hint="eastAsia"/>
                <w:color w:val="auto"/>
                <w:sz w:val="24"/>
                <w:szCs w:val="24"/>
                <w:highlight w:val="none"/>
              </w:rPr>
              <w:t>定向机</w:t>
            </w:r>
            <w:r>
              <w:rPr>
                <w:rFonts w:hint="eastAsia"/>
                <w:color w:val="auto"/>
                <w:sz w:val="24"/>
                <w:szCs w:val="24"/>
                <w:highlight w:val="none"/>
                <w:lang w:val="en-US" w:eastAsia="zh-CN"/>
              </w:rPr>
              <w:t>工作时</w:t>
            </w:r>
            <w:r>
              <w:rPr>
                <w:rFonts w:hint="eastAsia"/>
                <w:color w:val="auto"/>
                <w:sz w:val="24"/>
                <w:szCs w:val="24"/>
                <w:highlight w:val="none"/>
              </w:rPr>
              <w:t>主射线朝</w:t>
            </w:r>
            <w:r>
              <w:rPr>
                <w:rFonts w:hint="eastAsia"/>
                <w:color w:val="auto"/>
                <w:sz w:val="24"/>
                <w:szCs w:val="24"/>
                <w:highlight w:val="none"/>
                <w:lang w:val="en-US" w:eastAsia="zh-CN"/>
              </w:rPr>
              <w:t>西</w:t>
            </w:r>
            <w:r>
              <w:rPr>
                <w:rFonts w:hint="eastAsia"/>
                <w:color w:val="auto"/>
                <w:sz w:val="24"/>
                <w:szCs w:val="24"/>
                <w:highlight w:val="none"/>
              </w:rPr>
              <w:t>，</w:t>
            </w:r>
            <w:r>
              <w:rPr>
                <w:rFonts w:hint="eastAsia"/>
                <w:color w:val="auto"/>
                <w:sz w:val="24"/>
                <w:szCs w:val="24"/>
                <w:highlight w:val="none"/>
                <w:lang w:val="en-US" w:eastAsia="zh-CN"/>
              </w:rPr>
              <w:t>西</w:t>
            </w:r>
            <w:r>
              <w:rPr>
                <w:rFonts w:hint="eastAsia"/>
                <w:color w:val="auto"/>
                <w:sz w:val="24"/>
                <w:szCs w:val="24"/>
                <w:highlight w:val="none"/>
              </w:rPr>
              <w:t>侧考虑有用线束的影响，其他方向考虑非有用线束的影响。</w:t>
            </w:r>
            <w:r>
              <w:rPr>
                <w:rFonts w:hint="eastAsia"/>
                <w:color w:val="auto"/>
                <w:sz w:val="24"/>
                <w:szCs w:val="24"/>
                <w:highlight w:val="none"/>
                <w:lang w:eastAsia="zh-CN"/>
              </w:rPr>
              <w:t>（</w:t>
            </w:r>
            <w:r>
              <w:rPr>
                <w:rFonts w:hint="eastAsia"/>
                <w:color w:val="auto"/>
                <w:sz w:val="24"/>
                <w:szCs w:val="24"/>
                <w:highlight w:val="none"/>
                <w:lang w:val="en-US" w:eastAsia="zh-CN"/>
              </w:rPr>
              <w:t>根据业主单位沟通，由于探伤房较小，考虑主射朝西照射方便操作和转运</w:t>
            </w:r>
            <w:r>
              <w:rPr>
                <w:rFonts w:hint="eastAsia"/>
                <w:color w:val="auto"/>
                <w:sz w:val="24"/>
                <w:szCs w:val="24"/>
                <w:highlight w:val="none"/>
                <w:lang w:eastAsia="zh-CN"/>
              </w:rPr>
              <w:t>）</w:t>
            </w:r>
          </w:p>
          <w:p w14:paraId="2D60B5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sz w:val="24"/>
                <w:szCs w:val="24"/>
                <w:highlight w:val="none"/>
                <w:lang w:eastAsia="zh-CN"/>
              </w:rPr>
            </w:pPr>
            <w:r>
              <w:rPr>
                <w:rFonts w:hint="eastAsia"/>
                <w:color w:val="auto"/>
                <w:sz w:val="24"/>
                <w:szCs w:val="24"/>
                <w:highlight w:val="none"/>
              </w:rPr>
              <w:t>定向机工作区域：定向机距离东侧屏蔽墙最近距离为</w:t>
            </w:r>
            <w:r>
              <w:rPr>
                <w:rFonts w:hint="eastAsia"/>
                <w:color w:val="auto"/>
                <w:sz w:val="24"/>
                <w:szCs w:val="24"/>
                <w:highlight w:val="none"/>
                <w:lang w:val="en-US" w:eastAsia="zh-CN"/>
              </w:rPr>
              <w:t>0.6</w:t>
            </w:r>
            <w:r>
              <w:rPr>
                <w:rFonts w:hint="eastAsia"/>
                <w:color w:val="auto"/>
                <w:sz w:val="24"/>
                <w:szCs w:val="24"/>
                <w:highlight w:val="none"/>
              </w:rPr>
              <w:t>米，定向机距离西侧屏蔽墙</w:t>
            </w:r>
            <w:r>
              <w:rPr>
                <w:rFonts w:hint="eastAsia"/>
                <w:color w:val="auto"/>
                <w:sz w:val="24"/>
                <w:szCs w:val="24"/>
                <w:highlight w:val="none"/>
                <w:lang w:eastAsia="zh-CN"/>
              </w:rPr>
              <w:t>（</w:t>
            </w:r>
            <w:r>
              <w:rPr>
                <w:rFonts w:hint="eastAsia"/>
                <w:color w:val="auto"/>
                <w:sz w:val="24"/>
                <w:szCs w:val="24"/>
                <w:highlight w:val="none"/>
                <w:lang w:val="en-US" w:eastAsia="zh-CN"/>
              </w:rPr>
              <w:t>主射放向</w:t>
            </w:r>
            <w:r>
              <w:rPr>
                <w:rFonts w:hint="eastAsia"/>
                <w:color w:val="auto"/>
                <w:sz w:val="24"/>
                <w:szCs w:val="24"/>
                <w:highlight w:val="none"/>
                <w:lang w:eastAsia="zh-CN"/>
              </w:rPr>
              <w:t>）</w:t>
            </w:r>
            <w:r>
              <w:rPr>
                <w:rFonts w:hint="eastAsia"/>
                <w:color w:val="auto"/>
                <w:sz w:val="24"/>
                <w:szCs w:val="24"/>
                <w:highlight w:val="none"/>
              </w:rPr>
              <w:t>最近距离为</w:t>
            </w:r>
            <w:r>
              <w:rPr>
                <w:rFonts w:hint="eastAsia"/>
                <w:color w:val="auto"/>
                <w:sz w:val="24"/>
                <w:szCs w:val="24"/>
                <w:highlight w:val="none"/>
                <w:lang w:val="en-US" w:eastAsia="zh-CN"/>
              </w:rPr>
              <w:t>1</w:t>
            </w:r>
            <w:r>
              <w:rPr>
                <w:rFonts w:hint="eastAsia"/>
                <w:color w:val="auto"/>
                <w:sz w:val="24"/>
                <w:szCs w:val="24"/>
                <w:highlight w:val="none"/>
              </w:rPr>
              <w:t>.</w:t>
            </w:r>
            <w:r>
              <w:rPr>
                <w:rFonts w:hint="eastAsia"/>
                <w:color w:val="auto"/>
                <w:sz w:val="24"/>
                <w:szCs w:val="24"/>
                <w:highlight w:val="none"/>
                <w:lang w:val="en-US" w:eastAsia="zh-CN"/>
              </w:rPr>
              <w:t>2</w:t>
            </w:r>
            <w:r>
              <w:rPr>
                <w:rFonts w:hint="eastAsia"/>
                <w:color w:val="auto"/>
                <w:sz w:val="24"/>
                <w:szCs w:val="24"/>
                <w:highlight w:val="none"/>
              </w:rPr>
              <w:t>米，距离南侧</w:t>
            </w:r>
            <w:r>
              <w:rPr>
                <w:rFonts w:hint="eastAsia"/>
                <w:color w:val="auto"/>
                <w:sz w:val="24"/>
                <w:szCs w:val="24"/>
                <w:highlight w:val="none"/>
                <w:lang w:val="en-US" w:eastAsia="zh-CN"/>
              </w:rPr>
              <w:t>防护门</w:t>
            </w:r>
            <w:r>
              <w:rPr>
                <w:rFonts w:hint="eastAsia"/>
                <w:color w:val="auto"/>
                <w:sz w:val="24"/>
                <w:szCs w:val="24"/>
                <w:highlight w:val="none"/>
              </w:rPr>
              <w:t>最近距离为</w:t>
            </w:r>
            <w:r>
              <w:rPr>
                <w:rFonts w:hint="eastAsia"/>
                <w:color w:val="auto"/>
                <w:sz w:val="24"/>
                <w:szCs w:val="24"/>
                <w:highlight w:val="none"/>
                <w:lang w:val="en-US" w:eastAsia="zh-CN"/>
              </w:rPr>
              <w:t>1</w:t>
            </w:r>
            <w:r>
              <w:rPr>
                <w:rFonts w:hint="eastAsia"/>
                <w:color w:val="auto"/>
                <w:sz w:val="24"/>
                <w:szCs w:val="24"/>
                <w:highlight w:val="none"/>
              </w:rPr>
              <w:t>米，距离北侧屏蔽墙最近距离为</w:t>
            </w:r>
            <w:r>
              <w:rPr>
                <w:rFonts w:hint="eastAsia"/>
                <w:color w:val="auto"/>
                <w:sz w:val="24"/>
                <w:szCs w:val="24"/>
                <w:highlight w:val="none"/>
                <w:lang w:val="en-US" w:eastAsia="zh-CN"/>
              </w:rPr>
              <w:t>1</w:t>
            </w:r>
            <w:r>
              <w:rPr>
                <w:rFonts w:hint="eastAsia"/>
                <w:color w:val="auto"/>
                <w:sz w:val="24"/>
                <w:szCs w:val="24"/>
                <w:highlight w:val="none"/>
              </w:rPr>
              <w:t>米。</w:t>
            </w:r>
            <w:r>
              <w:rPr>
                <w:rFonts w:hint="eastAsia"/>
                <w:color w:val="auto"/>
                <w:sz w:val="24"/>
                <w:szCs w:val="24"/>
                <w:highlight w:val="none"/>
                <w:lang w:val="en-US" w:eastAsia="zh-CN"/>
              </w:rPr>
              <w:t>探伤机南北向活动区域为2000mm，东西向活动区域为800mm。</w:t>
            </w:r>
            <w:r>
              <w:rPr>
                <w:rFonts w:hint="eastAsia"/>
                <w:color w:val="auto"/>
                <w:sz w:val="24"/>
                <w:szCs w:val="24"/>
                <w:highlight w:val="none"/>
              </w:rPr>
              <w:t>项目探伤机出束点最高离地1m，则出束点距离探伤房屋顶的最近距离</w:t>
            </w:r>
            <w:r>
              <w:rPr>
                <w:rFonts w:hint="eastAsia"/>
                <w:color w:val="auto"/>
                <w:sz w:val="24"/>
                <w:szCs w:val="24"/>
                <w:highlight w:val="none"/>
                <w:lang w:val="en-US" w:eastAsia="zh-CN"/>
              </w:rPr>
              <w:t>约</w:t>
            </w:r>
            <w:r>
              <w:rPr>
                <w:rFonts w:hint="eastAsia"/>
                <w:color w:val="auto"/>
                <w:sz w:val="24"/>
                <w:szCs w:val="24"/>
                <w:highlight w:val="none"/>
              </w:rPr>
              <w:t>为</w:t>
            </w:r>
            <w:r>
              <w:rPr>
                <w:rFonts w:hint="eastAsia"/>
                <w:color w:val="auto"/>
                <w:sz w:val="24"/>
                <w:szCs w:val="24"/>
                <w:highlight w:val="none"/>
                <w:lang w:val="en-US" w:eastAsia="zh-CN"/>
              </w:rPr>
              <w:t>1.5</w:t>
            </w:r>
            <w:r>
              <w:rPr>
                <w:rFonts w:hint="eastAsia"/>
                <w:color w:val="auto"/>
                <w:sz w:val="24"/>
                <w:szCs w:val="24"/>
                <w:highlight w:val="none"/>
              </w:rPr>
              <w:t>m。工作区域示意图如下图所示：</w:t>
            </w:r>
          </w:p>
          <w:p w14:paraId="631040FD">
            <w:pPr>
              <w:snapToGrid w:val="0"/>
              <w:spacing w:line="360" w:lineRule="auto"/>
              <w:jc w:val="center"/>
              <w:rPr>
                <w:color w:val="auto"/>
                <w:sz w:val="24"/>
                <w:szCs w:val="24"/>
                <w:highlight w:val="none"/>
              </w:rPr>
            </w:pPr>
            <w:r>
              <w:rPr>
                <w:color w:val="auto"/>
                <w:sz w:val="21"/>
              </w:rPr>
              <mc:AlternateContent>
                <mc:Choice Requires="wps">
                  <w:drawing>
                    <wp:anchor distT="0" distB="0" distL="114300" distR="114300" simplePos="0" relativeHeight="251685888" behindDoc="0" locked="0" layoutInCell="1" allowOverlap="1">
                      <wp:simplePos x="0" y="0"/>
                      <wp:positionH relativeFrom="column">
                        <wp:posOffset>1278890</wp:posOffset>
                      </wp:positionH>
                      <wp:positionV relativeFrom="paragraph">
                        <wp:posOffset>2693670</wp:posOffset>
                      </wp:positionV>
                      <wp:extent cx="508000" cy="317500"/>
                      <wp:effectExtent l="0" t="0" r="0" b="0"/>
                      <wp:wrapNone/>
                      <wp:docPr id="118" name="矩形 118"/>
                      <wp:cNvGraphicFramePr/>
                      <a:graphic xmlns:a="http://schemas.openxmlformats.org/drawingml/2006/main">
                        <a:graphicData uri="http://schemas.microsoft.com/office/word/2010/wordprocessingShape">
                          <wps:wsp>
                            <wps:cNvSpPr/>
                            <wps:spPr>
                              <a:xfrm>
                                <a:off x="0" y="0"/>
                                <a:ext cx="508000" cy="3175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0609D87">
                                  <w:pPr>
                                    <w:jc w:val="center"/>
                                    <w:rPr>
                                      <w:rFonts w:hint="default" w:eastAsia="宋体"/>
                                      <w:color w:val="FF0000"/>
                                      <w:lang w:val="en-US" w:eastAsia="zh-CN"/>
                                    </w:rPr>
                                  </w:pPr>
                                  <w:r>
                                    <w:rPr>
                                      <w:rFonts w:hint="eastAsia"/>
                                      <w:color w:val="FF0000"/>
                                      <w:lang w:val="en-US" w:eastAsia="zh-CN"/>
                                    </w:rPr>
                                    <w:t>1m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0.7pt;margin-top:212.1pt;height:25pt;width:40pt;z-index:251685888;v-text-anchor:middle;mso-width-relative:page;mso-height-relative:page;" filled="f" stroked="f" coordsize="21600,21600" o:gfxdata="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Ly4EC&#10;1gAAAAsBAAAPAAAAAAAAAAEAIAAAACIAAABkcnMvZG93bnJldi54bWxQSwECFAAUAAAACACHTuJA&#10;3faZGVwCAACwBAAADgAAAAAAAAABACAAAAAlAQAAZHJzL2Uyb0RvYy54bWxQSwUGAAAAAAYABgBZ&#10;AQAA8wUAAAAA&#10;">
                      <v:fill on="f" focussize="0,0"/>
                      <v:stroke on="f" weight="1pt" miterlimit="8" joinstyle="miter"/>
                      <v:imagedata o:title=""/>
                      <o:lock v:ext="edit" aspectratio="f"/>
                      <v:textbox>
                        <w:txbxContent>
                          <w:p w14:paraId="60609D87">
                            <w:pPr>
                              <w:jc w:val="center"/>
                              <w:rPr>
                                <w:rFonts w:hint="default" w:eastAsia="宋体"/>
                                <w:color w:val="FF0000"/>
                                <w:lang w:val="en-US" w:eastAsia="zh-CN"/>
                              </w:rPr>
                            </w:pPr>
                            <w:r>
                              <w:rPr>
                                <w:rFonts w:hint="eastAsia"/>
                                <w:color w:val="FF0000"/>
                                <w:lang w:val="en-US" w:eastAsia="zh-CN"/>
                              </w:rPr>
                              <w:t>1m</w:t>
                            </w:r>
                          </w:p>
                        </w:txbxContent>
                      </v:textbox>
                    </v:rect>
                  </w:pict>
                </mc:Fallback>
              </mc:AlternateContent>
            </w:r>
            <w:r>
              <w:rPr>
                <w:color w:val="auto"/>
                <w:sz w:val="21"/>
              </w:rPr>
              <mc:AlternateContent>
                <mc:Choice Requires="wps">
                  <w:drawing>
                    <wp:anchor distT="0" distB="0" distL="114300" distR="114300" simplePos="0" relativeHeight="251684864" behindDoc="0" locked="0" layoutInCell="1" allowOverlap="1">
                      <wp:simplePos x="0" y="0"/>
                      <wp:positionH relativeFrom="column">
                        <wp:posOffset>1231900</wp:posOffset>
                      </wp:positionH>
                      <wp:positionV relativeFrom="paragraph">
                        <wp:posOffset>772795</wp:posOffset>
                      </wp:positionV>
                      <wp:extent cx="508000" cy="317500"/>
                      <wp:effectExtent l="0" t="0" r="0" b="0"/>
                      <wp:wrapNone/>
                      <wp:docPr id="117" name="矩形 117"/>
                      <wp:cNvGraphicFramePr/>
                      <a:graphic xmlns:a="http://schemas.openxmlformats.org/drawingml/2006/main">
                        <a:graphicData uri="http://schemas.microsoft.com/office/word/2010/wordprocessingShape">
                          <wps:wsp>
                            <wps:cNvSpPr/>
                            <wps:spPr>
                              <a:xfrm>
                                <a:off x="2887980" y="2321560"/>
                                <a:ext cx="508000" cy="3175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77D7E3F">
                                  <w:pPr>
                                    <w:jc w:val="center"/>
                                    <w:rPr>
                                      <w:rFonts w:hint="default" w:eastAsia="宋体"/>
                                      <w:color w:val="FF0000"/>
                                      <w:lang w:val="en-US" w:eastAsia="zh-CN"/>
                                    </w:rPr>
                                  </w:pPr>
                                  <w:r>
                                    <w:rPr>
                                      <w:rFonts w:hint="eastAsia"/>
                                      <w:color w:val="FF0000"/>
                                      <w:lang w:val="en-US" w:eastAsia="zh-CN"/>
                                    </w:rPr>
                                    <w:t>1m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7pt;margin-top:60.85pt;height:25pt;width:40pt;z-index:251684864;v-text-anchor:middle;mso-width-relative:page;mso-height-relative:page;" filled="f" stroked="f" coordsize="21600,21600" o:gfxdata="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zutHW1QAAAAsBAAAPAAAAAAAAAAEAIAAAACIAAABkcnMvZG93bnJldi54bWxQSwEC&#10;FAAUAAAACACHTuJAmLDRfWkCAAC8BAAADgAAAAAAAAABACAAAAAkAQAAZHJzL2Uyb0RvYy54bWxQ&#10;SwUGAAAAAAYABgBZAQAA/wUAAAAA&#10;">
                      <v:fill on="f" focussize="0,0"/>
                      <v:stroke on="f" weight="1pt" miterlimit="8" joinstyle="miter"/>
                      <v:imagedata o:title=""/>
                      <o:lock v:ext="edit" aspectratio="f"/>
                      <v:textbox>
                        <w:txbxContent>
                          <w:p w14:paraId="077D7E3F">
                            <w:pPr>
                              <w:jc w:val="center"/>
                              <w:rPr>
                                <w:rFonts w:hint="default" w:eastAsia="宋体"/>
                                <w:color w:val="FF0000"/>
                                <w:lang w:val="en-US" w:eastAsia="zh-CN"/>
                              </w:rPr>
                            </w:pPr>
                            <w:r>
                              <w:rPr>
                                <w:rFonts w:hint="eastAsia"/>
                                <w:color w:val="FF0000"/>
                                <w:lang w:val="en-US" w:eastAsia="zh-CN"/>
                              </w:rPr>
                              <w:t>1m</w:t>
                            </w:r>
                          </w:p>
                        </w:txbxContent>
                      </v:textbox>
                    </v:rect>
                  </w:pict>
                </mc:Fallback>
              </mc:AlternateContent>
            </w:r>
            <w:r>
              <w:rPr>
                <w:color w:val="auto"/>
                <w:sz w:val="21"/>
              </w:rPr>
              <mc:AlternateContent>
                <mc:Choice Requires="wps">
                  <w:drawing>
                    <wp:anchor distT="0" distB="0" distL="114300" distR="114300" simplePos="0" relativeHeight="251769856" behindDoc="0" locked="0" layoutInCell="1" allowOverlap="1">
                      <wp:simplePos x="0" y="0"/>
                      <wp:positionH relativeFrom="column">
                        <wp:posOffset>629285</wp:posOffset>
                      </wp:positionH>
                      <wp:positionV relativeFrom="paragraph">
                        <wp:posOffset>2802255</wp:posOffset>
                      </wp:positionV>
                      <wp:extent cx="521970" cy="300990"/>
                      <wp:effectExtent l="6350" t="253365" r="214630" b="17145"/>
                      <wp:wrapNone/>
                      <wp:docPr id="108" name="圆角矩形标注 108"/>
                      <wp:cNvGraphicFramePr/>
                      <a:graphic xmlns:a="http://schemas.openxmlformats.org/drawingml/2006/main">
                        <a:graphicData uri="http://schemas.microsoft.com/office/word/2010/wordprocessingShape">
                          <wps:wsp>
                            <wps:cNvSpPr/>
                            <wps:spPr>
                              <a:xfrm>
                                <a:off x="1816100" y="3310890"/>
                                <a:ext cx="521970" cy="300990"/>
                              </a:xfrm>
                              <a:prstGeom prst="wedgeRoundRectCallout">
                                <a:avLst>
                                  <a:gd name="adj1" fmla="val 82725"/>
                                  <a:gd name="adj2" fmla="val -124050"/>
                                  <a:gd name="adj3" fmla="val 1666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D923A59">
                                  <w:pPr>
                                    <w:jc w:val="center"/>
                                    <w:rPr>
                                      <w:rFonts w:hint="default" w:eastAsia="宋体"/>
                                      <w:b/>
                                      <w:bCs/>
                                      <w:color w:val="FFFF00"/>
                                      <w:sz w:val="11"/>
                                      <w:szCs w:val="10"/>
                                      <w:lang w:val="en-US" w:eastAsia="zh-CN"/>
                                    </w:rPr>
                                  </w:pPr>
                                  <w:r>
                                    <w:rPr>
                                      <w:rFonts w:hint="eastAsia"/>
                                      <w:b/>
                                      <w:bCs/>
                                      <w:color w:val="FFFF00"/>
                                      <w:sz w:val="11"/>
                                      <w:szCs w:val="10"/>
                                      <w:lang w:val="en-US" w:eastAsia="zh-CN"/>
                                    </w:rPr>
                                    <w:t>工作区域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9.55pt;margin-top:220.65pt;height:23.7pt;width:41.1pt;z-index:251769856;v-text-anchor:middle;mso-width-relative:page;mso-height-relative:page;" filled="f" stroked="t" coordsize="21600,21600" o:gfxdata="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CN+Deq2AAA&#10;AAoBAAAPAAAAAAAAAAEAIAAAACIAAABkcnMvZG93bnJldi54bWxQSwECFAAUAAAACACHTuJARXTr&#10;LMkCAAB5BQAADgAAAAAAAAABACAAAAAnAQAAZHJzL2Uyb0RvYy54bWxQSwUGAAAAAAYABgBZAQAA&#10;YgYAAAAA&#10;" adj="28669,-15995,14400">
                      <v:fill on="f" focussize="0,0"/>
                      <v:stroke weight="1pt" color="#000000 [3213]" miterlimit="8" joinstyle="miter"/>
                      <v:imagedata o:title=""/>
                      <o:lock v:ext="edit" aspectratio="f"/>
                      <v:textbox>
                        <w:txbxContent>
                          <w:p w14:paraId="3D923A59">
                            <w:pPr>
                              <w:jc w:val="center"/>
                              <w:rPr>
                                <w:rFonts w:hint="default" w:eastAsia="宋体"/>
                                <w:b/>
                                <w:bCs/>
                                <w:color w:val="FFFF00"/>
                                <w:sz w:val="11"/>
                                <w:szCs w:val="10"/>
                                <w:lang w:val="en-US" w:eastAsia="zh-CN"/>
                              </w:rPr>
                            </w:pPr>
                            <w:r>
                              <w:rPr>
                                <w:rFonts w:hint="eastAsia"/>
                                <w:b/>
                                <w:bCs/>
                                <w:color w:val="FFFF00"/>
                                <w:sz w:val="11"/>
                                <w:szCs w:val="10"/>
                                <w:lang w:val="en-US" w:eastAsia="zh-CN"/>
                              </w:rPr>
                              <w:t>工作区域</w:t>
                            </w:r>
                          </w:p>
                        </w:txbxContent>
                      </v:textbox>
                    </v:shape>
                  </w:pict>
                </mc:Fallback>
              </mc:AlternateContent>
            </w:r>
            <w:r>
              <w:rPr>
                <w:color w:val="auto"/>
                <w:sz w:val="21"/>
              </w:rPr>
              <mc:AlternateContent>
                <mc:Choice Requires="wps">
                  <w:drawing>
                    <wp:anchor distT="0" distB="0" distL="114300" distR="114300" simplePos="0" relativeHeight="251773952" behindDoc="0" locked="0" layoutInCell="1" allowOverlap="1">
                      <wp:simplePos x="0" y="0"/>
                      <wp:positionH relativeFrom="column">
                        <wp:posOffset>1278255</wp:posOffset>
                      </wp:positionH>
                      <wp:positionV relativeFrom="paragraph">
                        <wp:posOffset>1951355</wp:posOffset>
                      </wp:positionV>
                      <wp:extent cx="654685" cy="250825"/>
                      <wp:effectExtent l="0" t="0" r="0" b="0"/>
                      <wp:wrapNone/>
                      <wp:docPr id="123" name="矩形 123"/>
                      <wp:cNvGraphicFramePr/>
                      <a:graphic xmlns:a="http://schemas.openxmlformats.org/drawingml/2006/main">
                        <a:graphicData uri="http://schemas.microsoft.com/office/word/2010/wordprocessingShape">
                          <wps:wsp>
                            <wps:cNvSpPr/>
                            <wps:spPr>
                              <a:xfrm>
                                <a:off x="0" y="0"/>
                                <a:ext cx="654685" cy="2508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7E7BC49">
                                  <w:pPr>
                                    <w:jc w:val="center"/>
                                    <w:rPr>
                                      <w:rFonts w:hint="default" w:eastAsia="宋体"/>
                                      <w:color w:val="FFFF00"/>
                                      <w:sz w:val="11"/>
                                      <w:szCs w:val="10"/>
                                      <w:lang w:val="en-US" w:eastAsia="zh-CN"/>
                                    </w:rPr>
                                  </w:pPr>
                                  <w:r>
                                    <w:rPr>
                                      <w:rFonts w:hint="eastAsia"/>
                                      <w:color w:val="FFFF00"/>
                                      <w:sz w:val="11"/>
                                      <w:szCs w:val="10"/>
                                      <w:lang w:val="en-US" w:eastAsia="zh-CN"/>
                                    </w:rPr>
                                    <w:t>2000mm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0.65pt;margin-top:153.65pt;height:19.75pt;width:51.55pt;z-index:251773952;v-text-anchor:middle;mso-width-relative:page;mso-height-relative:page;" filled="f" stroked="f" coordsize="21600,21600" o:gfxdata="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MGBfp9gAAAALAQAADwAAAAAAAAABACAAAAAiAAAAZHJzL2Rvd25yZXYueG1sUEsBAhQAFAAA&#10;AAgAh07iQBnAgQVhAgAAsAQAAA4AAAAAAAAAAQAgAAAAJwEAAGRycy9lMm9Eb2MueG1sUEsFBgAA&#10;AAAGAAYAWQEAAPoFAAAAAA==&#10;">
                      <v:fill on="f" focussize="0,0"/>
                      <v:stroke on="f" weight="1pt" miterlimit="8" joinstyle="miter"/>
                      <v:imagedata o:title=""/>
                      <o:lock v:ext="edit" aspectratio="f"/>
                      <v:textbox>
                        <w:txbxContent>
                          <w:p w14:paraId="77E7BC49">
                            <w:pPr>
                              <w:jc w:val="center"/>
                              <w:rPr>
                                <w:rFonts w:hint="default" w:eastAsia="宋体"/>
                                <w:color w:val="FFFF00"/>
                                <w:sz w:val="11"/>
                                <w:szCs w:val="10"/>
                                <w:lang w:val="en-US" w:eastAsia="zh-CN"/>
                              </w:rPr>
                            </w:pPr>
                            <w:r>
                              <w:rPr>
                                <w:rFonts w:hint="eastAsia"/>
                                <w:color w:val="FFFF00"/>
                                <w:sz w:val="11"/>
                                <w:szCs w:val="10"/>
                                <w:lang w:val="en-US" w:eastAsia="zh-CN"/>
                              </w:rPr>
                              <w:t>2000mm</w:t>
                            </w:r>
                          </w:p>
                        </w:txbxContent>
                      </v:textbox>
                    </v:rect>
                  </w:pict>
                </mc:Fallback>
              </mc:AlternateContent>
            </w:r>
            <w:r>
              <w:rPr>
                <w:color w:val="auto"/>
                <w:sz w:val="21"/>
              </w:rPr>
              <mc:AlternateContent>
                <mc:Choice Requires="wps">
                  <w:drawing>
                    <wp:anchor distT="0" distB="0" distL="114300" distR="114300" simplePos="0" relativeHeight="251772928" behindDoc="0" locked="0" layoutInCell="1" allowOverlap="1">
                      <wp:simplePos x="0" y="0"/>
                      <wp:positionH relativeFrom="column">
                        <wp:posOffset>1244600</wp:posOffset>
                      </wp:positionH>
                      <wp:positionV relativeFrom="paragraph">
                        <wp:posOffset>1570990</wp:posOffset>
                      </wp:positionV>
                      <wp:extent cx="654685" cy="250825"/>
                      <wp:effectExtent l="0" t="0" r="0" b="0"/>
                      <wp:wrapNone/>
                      <wp:docPr id="121" name="矩形 121"/>
                      <wp:cNvGraphicFramePr/>
                      <a:graphic xmlns:a="http://schemas.openxmlformats.org/drawingml/2006/main">
                        <a:graphicData uri="http://schemas.microsoft.com/office/word/2010/wordprocessingShape">
                          <wps:wsp>
                            <wps:cNvSpPr/>
                            <wps:spPr>
                              <a:xfrm>
                                <a:off x="4455160" y="2178050"/>
                                <a:ext cx="654685" cy="2508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AED678D">
                                  <w:pPr>
                                    <w:jc w:val="center"/>
                                    <w:rPr>
                                      <w:rFonts w:hint="default" w:eastAsia="宋体"/>
                                      <w:color w:val="FFFF00"/>
                                      <w:sz w:val="11"/>
                                      <w:szCs w:val="10"/>
                                      <w:lang w:val="en-US" w:eastAsia="zh-CN"/>
                                    </w:rPr>
                                  </w:pPr>
                                  <w:r>
                                    <w:rPr>
                                      <w:rFonts w:hint="eastAsia"/>
                                      <w:color w:val="FFFF00"/>
                                      <w:sz w:val="11"/>
                                      <w:szCs w:val="10"/>
                                      <w:lang w:val="en-US" w:eastAsia="zh-CN"/>
                                    </w:rPr>
                                    <w:t>800mm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8pt;margin-top:123.7pt;height:19.75pt;width:51.55pt;z-index:251772928;v-text-anchor:middle;mso-width-relative:page;mso-height-relative:page;" filled="f" stroked="f" coordsize="21600,21600" o:gfxdata="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4WQm52QAAAAsBAAAPAAAAAAAAAAEAIAAAACIAAABkcnMvZG93bnJldi54&#10;bWxQSwECFAAUAAAACACHTuJAQ/43IGsCAAC8BAAADgAAAAAAAAABACAAAAAoAQAAZHJzL2Uyb0Rv&#10;Yy54bWxQSwUGAAAAAAYABgBZAQAABQYAAAAA&#10;">
                      <v:fill on="f" focussize="0,0"/>
                      <v:stroke on="f" weight="1pt" miterlimit="8" joinstyle="miter"/>
                      <v:imagedata o:title=""/>
                      <o:lock v:ext="edit" aspectratio="f"/>
                      <v:textbox>
                        <w:txbxContent>
                          <w:p w14:paraId="1AED678D">
                            <w:pPr>
                              <w:jc w:val="center"/>
                              <w:rPr>
                                <w:rFonts w:hint="default" w:eastAsia="宋体"/>
                                <w:color w:val="FFFF00"/>
                                <w:sz w:val="11"/>
                                <w:szCs w:val="10"/>
                                <w:lang w:val="en-US" w:eastAsia="zh-CN"/>
                              </w:rPr>
                            </w:pPr>
                            <w:r>
                              <w:rPr>
                                <w:rFonts w:hint="eastAsia"/>
                                <w:color w:val="FFFF00"/>
                                <w:sz w:val="11"/>
                                <w:szCs w:val="10"/>
                                <w:lang w:val="en-US" w:eastAsia="zh-CN"/>
                              </w:rPr>
                              <w:t>800mm</w:t>
                            </w:r>
                          </w:p>
                        </w:txbxContent>
                      </v:textbox>
                    </v:rect>
                  </w:pict>
                </mc:Fallback>
              </mc:AlternateContent>
            </w: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1326515</wp:posOffset>
                      </wp:positionH>
                      <wp:positionV relativeFrom="paragraph">
                        <wp:posOffset>1132840</wp:posOffset>
                      </wp:positionV>
                      <wp:extent cx="588645" cy="1537335"/>
                      <wp:effectExtent l="6350" t="6350" r="14605" b="18415"/>
                      <wp:wrapNone/>
                      <wp:docPr id="110" name="矩形 110"/>
                      <wp:cNvGraphicFramePr/>
                      <a:graphic xmlns:a="http://schemas.openxmlformats.org/drawingml/2006/main">
                        <a:graphicData uri="http://schemas.microsoft.com/office/word/2010/wordprocessingShape">
                          <wps:wsp>
                            <wps:cNvSpPr/>
                            <wps:spPr>
                              <a:xfrm>
                                <a:off x="2427605" y="2823210"/>
                                <a:ext cx="588645" cy="1537335"/>
                              </a:xfrm>
                              <a:prstGeom prst="rect">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4.45pt;margin-top:89.2pt;height:121.05pt;width:46.35pt;z-index:251679744;v-text-anchor:middle;mso-width-relative:page;mso-height-relative:page;" fillcolor="#FF0000" filled="t" stroked="t" coordsize="21600,21600" o:gfxdata="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q7gn&#10;IdsAAAALAQAADwAAAAAAAAABACAAAAAiAAAAZHJzL2Rvd25yZXYueG1sUEsBAhQAFAAAAAgAh07i&#10;QNBWLjmRAgAAJgUAAA4AAAAAAAAAAQAgAAAAKgEAAGRycy9lMm9Eb2MueG1sUEsFBgAAAAAGAAYA&#10;WQEAAC0GAAAAAA==&#10;">
                      <v:fill on="t" focussize="0,0"/>
                      <v:stroke weight="1pt" color="#2E75B6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71904" behindDoc="0" locked="0" layoutInCell="1" allowOverlap="1">
                      <wp:simplePos x="0" y="0"/>
                      <wp:positionH relativeFrom="column">
                        <wp:posOffset>1749425</wp:posOffset>
                      </wp:positionH>
                      <wp:positionV relativeFrom="paragraph">
                        <wp:posOffset>1130935</wp:posOffset>
                      </wp:positionV>
                      <wp:extent cx="0" cy="1547495"/>
                      <wp:effectExtent l="38100" t="0" r="38100" b="14605"/>
                      <wp:wrapNone/>
                      <wp:docPr id="115" name="直接连接符 115"/>
                      <wp:cNvGraphicFramePr/>
                      <a:graphic xmlns:a="http://schemas.openxmlformats.org/drawingml/2006/main">
                        <a:graphicData uri="http://schemas.microsoft.com/office/word/2010/wordprocessingShape">
                          <wps:wsp>
                            <wps:cNvCnPr/>
                            <wps:spPr>
                              <a:xfrm flipV="1">
                                <a:off x="0" y="0"/>
                                <a:ext cx="0" cy="1547495"/>
                              </a:xfrm>
                              <a:prstGeom prst="line">
                                <a:avLst/>
                              </a:prstGeom>
                              <a:ln>
                                <a:solidFill>
                                  <a:srgbClr val="FFFF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137.75pt;margin-top:89.05pt;height:121.85pt;width:0pt;z-index:251771904;mso-width-relative:page;mso-height-relative:page;" filled="f" stroked="t" coordsize="21600,21600" o:gfxdata="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j4AZTWAAAACwEAAA8AAAAAAAAAAQAg&#10;AAAAIgAAAGRycy9kb3ducmV2LnhtbFBLAQIUABQAAAAIAIdO4kDwCUiaEAIAABwEAAAOAAAAAAAA&#10;AAEAIAAAACUBAABkcnMvZTJvRG9jLnhtbFBLBQYAAAAABgAGAFkBAACnBQAAAAA=&#10;">
                      <v:fill on="f" focussize="0,0"/>
                      <v:stroke weight="1pt" color="#FFFF00 [3204]" miterlimit="8" joinstyle="miter" startarrow="block" endarrow="block"/>
                      <v:imagedata o:title=""/>
                      <o:lock v:ext="edit" aspectratio="f"/>
                    </v:line>
                  </w:pict>
                </mc:Fallback>
              </mc:AlternateContent>
            </w:r>
            <w:r>
              <w:rPr>
                <w:color w:val="auto"/>
                <w:sz w:val="21"/>
              </w:rPr>
              <mc:AlternateContent>
                <mc:Choice Requires="wps">
                  <w:drawing>
                    <wp:anchor distT="0" distB="0" distL="114300" distR="114300" simplePos="0" relativeHeight="251686912" behindDoc="0" locked="0" layoutInCell="1" allowOverlap="1">
                      <wp:simplePos x="0" y="0"/>
                      <wp:positionH relativeFrom="column">
                        <wp:posOffset>1811020</wp:posOffset>
                      </wp:positionH>
                      <wp:positionV relativeFrom="paragraph">
                        <wp:posOffset>1860550</wp:posOffset>
                      </wp:positionV>
                      <wp:extent cx="508000" cy="317500"/>
                      <wp:effectExtent l="0" t="0" r="0" b="0"/>
                      <wp:wrapNone/>
                      <wp:docPr id="119" name="矩形 119"/>
                      <wp:cNvGraphicFramePr/>
                      <a:graphic xmlns:a="http://schemas.openxmlformats.org/drawingml/2006/main">
                        <a:graphicData uri="http://schemas.microsoft.com/office/word/2010/wordprocessingShape">
                          <wps:wsp>
                            <wps:cNvSpPr/>
                            <wps:spPr>
                              <a:xfrm>
                                <a:off x="0" y="0"/>
                                <a:ext cx="508000" cy="3175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5884F94">
                                  <w:pPr>
                                    <w:jc w:val="center"/>
                                    <w:rPr>
                                      <w:rFonts w:hint="default" w:eastAsia="宋体"/>
                                      <w:color w:val="FF0000"/>
                                      <w:lang w:val="en-US" w:eastAsia="zh-CN"/>
                                    </w:rPr>
                                  </w:pPr>
                                  <w:r>
                                    <w:rPr>
                                      <w:rFonts w:hint="eastAsia"/>
                                      <w:color w:val="FF0000"/>
                                      <w:lang w:val="en-US" w:eastAsia="zh-CN"/>
                                    </w:rPr>
                                    <w:t>0.6m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2.6pt;margin-top:146.5pt;height:25pt;width:40pt;z-index:251686912;v-text-anchor:middle;mso-width-relative:page;mso-height-relative:page;" filled="f" stroked="f" coordsize="21600,21600" o:gfxdata="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Z7Oik&#10;1gAAAAsBAAAPAAAAAAAAAAEAIAAAACIAAABkcnMvZG93bnJldi54bWxQSwECFAAUAAAACACHTuJA&#10;PfqTCVwCAACwBAAADgAAAAAAAAABACAAAAAlAQAAZHJzL2Uyb0RvYy54bWxQSwUGAAAAAAYABgBZ&#10;AQAA8wUAAAAA&#10;">
                      <v:fill on="f" focussize="0,0"/>
                      <v:stroke on="f" weight="1pt" miterlimit="8" joinstyle="miter"/>
                      <v:imagedata o:title=""/>
                      <o:lock v:ext="edit" aspectratio="f"/>
                      <v:textbox>
                        <w:txbxContent>
                          <w:p w14:paraId="45884F94">
                            <w:pPr>
                              <w:jc w:val="center"/>
                              <w:rPr>
                                <w:rFonts w:hint="default" w:eastAsia="宋体"/>
                                <w:color w:val="FF0000"/>
                                <w:lang w:val="en-US" w:eastAsia="zh-CN"/>
                              </w:rPr>
                            </w:pPr>
                            <w:r>
                              <w:rPr>
                                <w:rFonts w:hint="eastAsia"/>
                                <w:color w:val="FF0000"/>
                                <w:lang w:val="en-US" w:eastAsia="zh-CN"/>
                              </w:rPr>
                              <w:t>0.6m</w:t>
                            </w:r>
                          </w:p>
                        </w:txbxContent>
                      </v:textbox>
                    </v:rect>
                  </w:pict>
                </mc:Fallback>
              </mc:AlternateContent>
            </w:r>
            <w:r>
              <w:rPr>
                <w:color w:val="auto"/>
                <w:sz w:val="21"/>
              </w:rPr>
              <mc:AlternateContent>
                <mc:Choice Requires="wps">
                  <w:drawing>
                    <wp:anchor distT="0" distB="0" distL="114300" distR="114300" simplePos="0" relativeHeight="251776000" behindDoc="0" locked="0" layoutInCell="1" allowOverlap="1">
                      <wp:simplePos x="0" y="0"/>
                      <wp:positionH relativeFrom="column">
                        <wp:posOffset>2223135</wp:posOffset>
                      </wp:positionH>
                      <wp:positionV relativeFrom="paragraph">
                        <wp:posOffset>455930</wp:posOffset>
                      </wp:positionV>
                      <wp:extent cx="10795" cy="2850515"/>
                      <wp:effectExtent l="38100" t="0" r="46355" b="6985"/>
                      <wp:wrapNone/>
                      <wp:docPr id="125" name="直接连接符 125"/>
                      <wp:cNvGraphicFramePr/>
                      <a:graphic xmlns:a="http://schemas.openxmlformats.org/drawingml/2006/main">
                        <a:graphicData uri="http://schemas.microsoft.com/office/word/2010/wordprocessingShape">
                          <wps:wsp>
                            <wps:cNvCnPr/>
                            <wps:spPr>
                              <a:xfrm flipH="1">
                                <a:off x="0" y="0"/>
                                <a:ext cx="10795" cy="2850515"/>
                              </a:xfrm>
                              <a:prstGeom prst="line">
                                <a:avLst/>
                              </a:prstGeom>
                              <a:ln>
                                <a:solidFill>
                                  <a:srgbClr val="FFFF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75.05pt;margin-top:35.9pt;height:224.45pt;width:0.85pt;z-index:251776000;mso-width-relative:page;mso-height-relative:page;" filled="f" stroked="t" coordsize="21600,21600" o:gfxdata="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udottgAAAAKAQAADwAAAAAA&#10;AAABACAAAAAiAAAAZHJzL2Rvd25yZXYueG1sUEsBAhQAFAAAAAgAh07iQLHhaTETAgAAIAQAAA4A&#10;AAAAAAAAAQAgAAAAJwEAAGRycy9lMm9Eb2MueG1sUEsFBgAAAAAGAAYAWQEAAKwFAAAAAA==&#10;">
                      <v:fill on="f" focussize="0,0"/>
                      <v:stroke weight="1pt" color="#FFFF00 [3204]" miterlimit="8" joinstyle="miter" startarrow="block" endarrow="block"/>
                      <v:imagedata o:title=""/>
                      <o:lock v:ext="edit" aspectratio="f"/>
                    </v:line>
                  </w:pict>
                </mc:Fallback>
              </mc:AlternateContent>
            </w:r>
            <w:r>
              <w:rPr>
                <w:color w:val="auto"/>
                <w:sz w:val="21"/>
              </w:rPr>
              <mc:AlternateContent>
                <mc:Choice Requires="wps">
                  <w:drawing>
                    <wp:anchor distT="0" distB="0" distL="114300" distR="114300" simplePos="0" relativeHeight="251770880" behindDoc="0" locked="0" layoutInCell="1" allowOverlap="1">
                      <wp:simplePos x="0" y="0"/>
                      <wp:positionH relativeFrom="column">
                        <wp:posOffset>1344930</wp:posOffset>
                      </wp:positionH>
                      <wp:positionV relativeFrom="paragraph">
                        <wp:posOffset>1664335</wp:posOffset>
                      </wp:positionV>
                      <wp:extent cx="566420" cy="0"/>
                      <wp:effectExtent l="0" t="38100" r="5080" b="38100"/>
                      <wp:wrapNone/>
                      <wp:docPr id="114" name="直接连接符 114"/>
                      <wp:cNvGraphicFramePr/>
                      <a:graphic xmlns:a="http://schemas.openxmlformats.org/drawingml/2006/main">
                        <a:graphicData uri="http://schemas.microsoft.com/office/word/2010/wordprocessingShape">
                          <wps:wsp>
                            <wps:cNvCnPr/>
                            <wps:spPr>
                              <a:xfrm>
                                <a:off x="2415540" y="2772410"/>
                                <a:ext cx="566420" cy="0"/>
                              </a:xfrm>
                              <a:prstGeom prst="line">
                                <a:avLst/>
                              </a:prstGeom>
                              <a:ln>
                                <a:solidFill>
                                  <a:srgbClr val="FFFF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05.9pt;margin-top:131.05pt;height:0pt;width:44.6pt;z-index:251770880;mso-width-relative:page;mso-height-relative:page;" filled="f" stroked="t" coordsize="21600,21600" o:gfxdata="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P0kqs1wAAAAsBAAAPAAAAAAAA&#10;AAEAIAAAACIAAABkcnMvZG93bnJldi54bWxQSwECFAAUAAAACACHTuJAlwxa3hMCAAAdBAAADgAA&#10;AAAAAAABACAAAAAmAQAAZHJzL2Uyb0RvYy54bWxQSwUGAAAAAAYABgBZAQAAqwUAAAAA&#10;">
                      <v:fill on="f" focussize="0,0"/>
                      <v:stroke weight="1pt" color="#FFFF00 [3204]" miterlimit="8" joinstyle="miter" startarrow="block" endarrow="block"/>
                      <v:imagedata o:title=""/>
                      <o:lock v:ext="edit" aspectratio="f"/>
                    </v:line>
                  </w:pict>
                </mc:Fallback>
              </mc:AlternateContent>
            </w:r>
            <w:r>
              <w:rPr>
                <w:color w:val="auto"/>
                <w:sz w:val="21"/>
              </w:rPr>
              <mc:AlternateContent>
                <mc:Choice Requires="wps">
                  <w:drawing>
                    <wp:anchor distT="0" distB="0" distL="114300" distR="114300" simplePos="0" relativeHeight="251778048" behindDoc="0" locked="0" layoutInCell="1" allowOverlap="1">
                      <wp:simplePos x="0" y="0"/>
                      <wp:positionH relativeFrom="column">
                        <wp:posOffset>1758315</wp:posOffset>
                      </wp:positionH>
                      <wp:positionV relativeFrom="paragraph">
                        <wp:posOffset>1126490</wp:posOffset>
                      </wp:positionV>
                      <wp:extent cx="508000" cy="317500"/>
                      <wp:effectExtent l="0" t="0" r="0" b="0"/>
                      <wp:wrapNone/>
                      <wp:docPr id="127" name="矩形 127"/>
                      <wp:cNvGraphicFramePr/>
                      <a:graphic xmlns:a="http://schemas.openxmlformats.org/drawingml/2006/main">
                        <a:graphicData uri="http://schemas.microsoft.com/office/word/2010/wordprocessingShape">
                          <wps:wsp>
                            <wps:cNvSpPr/>
                            <wps:spPr>
                              <a:xfrm>
                                <a:off x="0" y="0"/>
                                <a:ext cx="508000" cy="3175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90703B5">
                                  <w:pPr>
                                    <w:jc w:val="center"/>
                                    <w:rPr>
                                      <w:rFonts w:hint="default" w:eastAsia="宋体"/>
                                      <w:color w:val="FF0000"/>
                                      <w:lang w:val="en-US" w:eastAsia="zh-CN"/>
                                    </w:rPr>
                                  </w:pPr>
                                  <w:r>
                                    <w:rPr>
                                      <w:rFonts w:hint="eastAsia"/>
                                      <w:color w:val="FF0000"/>
                                      <w:lang w:val="en-US" w:eastAsia="zh-CN"/>
                                    </w:rPr>
                                    <w:t>4m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8.45pt;margin-top:88.7pt;height:25pt;width:40pt;z-index:251778048;v-text-anchor:middle;mso-width-relative:page;mso-height-relative:page;" filled="f" stroked="f" coordsize="21600,21600" o:gfxdata="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qPveD&#10;1wAAAAsBAAAPAAAAAAAAAAEAIAAAACIAAABkcnMvZG93bnJldi54bWxQSwECFAAUAAAACACHTuJA&#10;oImh0lsCAACwBAAADgAAAAAAAAABACAAAAAmAQAAZHJzL2Uyb0RvYy54bWxQSwUGAAAAAAYABgBZ&#10;AQAA8wUAAAAA&#10;">
                      <v:fill on="f" focussize="0,0"/>
                      <v:stroke on="f" weight="1pt" miterlimit="8" joinstyle="miter"/>
                      <v:imagedata o:title=""/>
                      <o:lock v:ext="edit" aspectratio="f"/>
                      <v:textbox>
                        <w:txbxContent>
                          <w:p w14:paraId="790703B5">
                            <w:pPr>
                              <w:jc w:val="center"/>
                              <w:rPr>
                                <w:rFonts w:hint="default" w:eastAsia="宋体"/>
                                <w:color w:val="FF0000"/>
                                <w:lang w:val="en-US" w:eastAsia="zh-CN"/>
                              </w:rPr>
                            </w:pPr>
                            <w:r>
                              <w:rPr>
                                <w:rFonts w:hint="eastAsia"/>
                                <w:color w:val="FF0000"/>
                                <w:lang w:val="en-US" w:eastAsia="zh-CN"/>
                              </w:rPr>
                              <w:t>4m</w:t>
                            </w:r>
                          </w:p>
                        </w:txbxContent>
                      </v:textbox>
                    </v:rect>
                  </w:pict>
                </mc:Fallback>
              </mc:AlternateContent>
            </w:r>
            <w:r>
              <w:rPr>
                <w:color w:val="auto"/>
                <w:sz w:val="21"/>
              </w:rPr>
              <mc:AlternateContent>
                <mc:Choice Requires="wps">
                  <w:drawing>
                    <wp:anchor distT="0" distB="0" distL="114300" distR="114300" simplePos="0" relativeHeight="251687936" behindDoc="0" locked="0" layoutInCell="1" allowOverlap="1">
                      <wp:simplePos x="0" y="0"/>
                      <wp:positionH relativeFrom="column">
                        <wp:posOffset>654050</wp:posOffset>
                      </wp:positionH>
                      <wp:positionV relativeFrom="paragraph">
                        <wp:posOffset>1867535</wp:posOffset>
                      </wp:positionV>
                      <wp:extent cx="508000" cy="317500"/>
                      <wp:effectExtent l="0" t="0" r="0" b="0"/>
                      <wp:wrapNone/>
                      <wp:docPr id="120" name="矩形 120"/>
                      <wp:cNvGraphicFramePr/>
                      <a:graphic xmlns:a="http://schemas.openxmlformats.org/drawingml/2006/main">
                        <a:graphicData uri="http://schemas.microsoft.com/office/word/2010/wordprocessingShape">
                          <wps:wsp>
                            <wps:cNvSpPr/>
                            <wps:spPr>
                              <a:xfrm>
                                <a:off x="0" y="0"/>
                                <a:ext cx="508000" cy="3175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329376D">
                                  <w:pPr>
                                    <w:jc w:val="center"/>
                                    <w:rPr>
                                      <w:rFonts w:hint="default" w:eastAsia="宋体"/>
                                      <w:color w:val="FF0000"/>
                                      <w:lang w:val="en-US" w:eastAsia="zh-CN"/>
                                    </w:rPr>
                                  </w:pPr>
                                  <w:r>
                                    <w:rPr>
                                      <w:rFonts w:hint="eastAsia"/>
                                      <w:color w:val="FF0000"/>
                                      <w:lang w:val="en-US" w:eastAsia="zh-CN"/>
                                    </w:rPr>
                                    <w:t>1.2m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5pt;margin-top:147.05pt;height:25pt;width:40pt;z-index:251687936;v-text-anchor:middle;mso-width-relative:page;mso-height-relative:page;" filled="f" stroked="f" coordsize="21600,21600" o:gfxdata="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9koQV&#10;1wAAAAsBAAAPAAAAAAAAAAEAIAAAACIAAABkcnMvZG93bnJldi54bWxQSwECFAAUAAAACACHTuJA&#10;AK+XolsCAACwBAAADgAAAAAAAAABACAAAAAmAQAAZHJzL2Uyb0RvYy54bWxQSwUGAAAAAAYABgBZ&#10;AQAA8wUAAAAA&#10;">
                      <v:fill on="f" focussize="0,0"/>
                      <v:stroke on="f" weight="1pt" miterlimit="8" joinstyle="miter"/>
                      <v:imagedata o:title=""/>
                      <o:lock v:ext="edit" aspectratio="f"/>
                      <v:textbox>
                        <w:txbxContent>
                          <w:p w14:paraId="1329376D">
                            <w:pPr>
                              <w:jc w:val="center"/>
                              <w:rPr>
                                <w:rFonts w:hint="default" w:eastAsia="宋体"/>
                                <w:color w:val="FF0000"/>
                                <w:lang w:val="en-US" w:eastAsia="zh-CN"/>
                              </w:rPr>
                            </w:pPr>
                            <w:r>
                              <w:rPr>
                                <w:rFonts w:hint="eastAsia"/>
                                <w:color w:val="FF0000"/>
                                <w:lang w:val="en-US" w:eastAsia="zh-CN"/>
                              </w:rPr>
                              <w:t>1.2m</w:t>
                            </w:r>
                          </w:p>
                        </w:txbxContent>
                      </v:textbox>
                    </v:rect>
                  </w:pict>
                </mc:Fallback>
              </mc:AlternateContent>
            </w:r>
            <w:r>
              <w:rPr>
                <w:color w:val="auto"/>
                <w:sz w:val="21"/>
              </w:rPr>
              <mc:AlternateContent>
                <mc:Choice Requires="wps">
                  <w:drawing>
                    <wp:anchor distT="0" distB="0" distL="114300" distR="114300" simplePos="0" relativeHeight="251777024" behindDoc="0" locked="0" layoutInCell="1" allowOverlap="1">
                      <wp:simplePos x="0" y="0"/>
                      <wp:positionH relativeFrom="column">
                        <wp:posOffset>643890</wp:posOffset>
                      </wp:positionH>
                      <wp:positionV relativeFrom="paragraph">
                        <wp:posOffset>532130</wp:posOffset>
                      </wp:positionV>
                      <wp:extent cx="508000" cy="317500"/>
                      <wp:effectExtent l="0" t="0" r="0" b="0"/>
                      <wp:wrapNone/>
                      <wp:docPr id="126" name="矩形 126"/>
                      <wp:cNvGraphicFramePr/>
                      <a:graphic xmlns:a="http://schemas.openxmlformats.org/drawingml/2006/main">
                        <a:graphicData uri="http://schemas.microsoft.com/office/word/2010/wordprocessingShape">
                          <wps:wsp>
                            <wps:cNvSpPr/>
                            <wps:spPr>
                              <a:xfrm>
                                <a:off x="0" y="0"/>
                                <a:ext cx="508000" cy="3175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22FF9F3">
                                  <w:pPr>
                                    <w:jc w:val="center"/>
                                    <w:rPr>
                                      <w:rFonts w:hint="default" w:eastAsia="宋体"/>
                                      <w:color w:val="FF0000"/>
                                      <w:lang w:val="en-US" w:eastAsia="zh-CN"/>
                                    </w:rPr>
                                  </w:pPr>
                                  <w:r>
                                    <w:rPr>
                                      <w:rFonts w:hint="eastAsia"/>
                                      <w:color w:val="FF0000"/>
                                      <w:lang w:val="en-US" w:eastAsia="zh-CN"/>
                                    </w:rPr>
                                    <w:t>2.6m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7pt;margin-top:41.9pt;height:25pt;width:40pt;z-index:251777024;v-text-anchor:middle;mso-width-relative:page;mso-height-relative:page;" filled="f" stroked="f" coordsize="21600,21600" o:gfxdata="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DTMuJXTAAAA&#10;CgEAAA8AAAAAAAAAAQAgAAAAIgAAAGRycy9kb3ducmV2LnhtbFBLAQIUABQAAAAIAIdO4kBAhavC&#10;WwIAALAEAAAOAAAAAAAAAAEAIAAAACIBAABkcnMvZTJvRG9jLnhtbFBLBQYAAAAABgAGAFkBAADv&#10;BQAAAAA=&#10;">
                      <v:fill on="f" focussize="0,0"/>
                      <v:stroke on="f" weight="1pt" miterlimit="8" joinstyle="miter"/>
                      <v:imagedata o:title=""/>
                      <o:lock v:ext="edit" aspectratio="f"/>
                      <v:textbox>
                        <w:txbxContent>
                          <w:p w14:paraId="422FF9F3">
                            <w:pPr>
                              <w:jc w:val="center"/>
                              <w:rPr>
                                <w:rFonts w:hint="default" w:eastAsia="宋体"/>
                                <w:color w:val="FF0000"/>
                                <w:lang w:val="en-US" w:eastAsia="zh-CN"/>
                              </w:rPr>
                            </w:pPr>
                            <w:r>
                              <w:rPr>
                                <w:rFonts w:hint="eastAsia"/>
                                <w:color w:val="FF0000"/>
                                <w:lang w:val="en-US" w:eastAsia="zh-CN"/>
                              </w:rPr>
                              <w:t>2.6m</w:t>
                            </w:r>
                          </w:p>
                        </w:txbxContent>
                      </v:textbox>
                    </v:rect>
                  </w:pict>
                </mc:Fallback>
              </mc:AlternateContent>
            </w:r>
            <w:r>
              <w:rPr>
                <w:rFonts w:hint="eastAsia"/>
                <w:b/>
                <w:color w:val="auto"/>
                <w:szCs w:val="21"/>
                <w:highlight w:val="none"/>
              </w:rPr>
              <w:drawing>
                <wp:anchor distT="0" distB="0" distL="114300" distR="114300" simplePos="0" relativeHeight="251678720" behindDoc="0" locked="0" layoutInCell="1" allowOverlap="1">
                  <wp:simplePos x="0" y="0"/>
                  <wp:positionH relativeFrom="column">
                    <wp:posOffset>4787900</wp:posOffset>
                  </wp:positionH>
                  <wp:positionV relativeFrom="paragraph">
                    <wp:posOffset>10160</wp:posOffset>
                  </wp:positionV>
                  <wp:extent cx="480060" cy="466725"/>
                  <wp:effectExtent l="0" t="0" r="15240" b="9525"/>
                  <wp:wrapNone/>
                  <wp:docPr id="109" name="图片 109" descr="7cb1dc3bc0824f6b768fb174a86d5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7cb1dc3bc0824f6b768fb174a86d5b3"/>
                          <pic:cNvPicPr>
                            <a:picLocks noChangeAspect="1"/>
                          </pic:cNvPicPr>
                        </pic:nvPicPr>
                        <pic:blipFill>
                          <a:blip r:embed="rId27"/>
                          <a:stretch>
                            <a:fillRect/>
                          </a:stretch>
                        </pic:blipFill>
                        <pic:spPr>
                          <a:xfrm>
                            <a:off x="0" y="0"/>
                            <a:ext cx="480060" cy="466725"/>
                          </a:xfrm>
                          <a:prstGeom prst="rect">
                            <a:avLst/>
                          </a:prstGeom>
                        </pic:spPr>
                      </pic:pic>
                    </a:graphicData>
                  </a:graphic>
                </wp:anchor>
              </w:drawing>
            </w:r>
            <w:r>
              <w:rPr>
                <w:color w:val="auto"/>
                <w:sz w:val="21"/>
              </w:rPr>
              <mc:AlternateContent>
                <mc:Choice Requires="wps">
                  <w:drawing>
                    <wp:anchor distT="0" distB="0" distL="114300" distR="114300" simplePos="0" relativeHeight="251774976" behindDoc="0" locked="0" layoutInCell="1" allowOverlap="1">
                      <wp:simplePos x="0" y="0"/>
                      <wp:positionH relativeFrom="column">
                        <wp:posOffset>588645</wp:posOffset>
                      </wp:positionH>
                      <wp:positionV relativeFrom="paragraph">
                        <wp:posOffset>591185</wp:posOffset>
                      </wp:positionV>
                      <wp:extent cx="1744345" cy="0"/>
                      <wp:effectExtent l="0" t="38100" r="8255" b="38100"/>
                      <wp:wrapNone/>
                      <wp:docPr id="124" name="直接连接符 124"/>
                      <wp:cNvGraphicFramePr/>
                      <a:graphic xmlns:a="http://schemas.openxmlformats.org/drawingml/2006/main">
                        <a:graphicData uri="http://schemas.microsoft.com/office/word/2010/wordprocessingShape">
                          <wps:wsp>
                            <wps:cNvCnPr/>
                            <wps:spPr>
                              <a:xfrm flipH="1">
                                <a:off x="0" y="0"/>
                                <a:ext cx="1744345" cy="0"/>
                              </a:xfrm>
                              <a:prstGeom prst="line">
                                <a:avLst/>
                              </a:prstGeom>
                              <a:ln>
                                <a:solidFill>
                                  <a:srgbClr val="FFFF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6.35pt;margin-top:46.55pt;height:0pt;width:137.35pt;z-index:251774976;mso-width-relative:page;mso-height-relative:page;" filled="f" stroked="t" coordsize="21600,21600" o:gfxdata="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BlN6UNUAAAAIAQAADwAAAAAAAAABACAA&#10;AAAiAAAAZHJzL2Rvd25yZXYueG1sUEsBAhQAFAAAAAgAh07iQLRPyR4QAgAAHAQAAA4AAAAAAAAA&#10;AQAgAAAAJAEAAGRycy9lMm9Eb2MueG1sUEsFBgAAAAAGAAYAWQEAAKYFAAAAAA==&#10;">
                      <v:fill on="f" focussize="0,0"/>
                      <v:stroke weight="1pt" color="#FFFF00 [3204]" miterlimit="8" joinstyle="miter" startarrow="block" endarrow="block"/>
                      <v:imagedata o:title=""/>
                      <o:lock v:ext="edit" aspectratio="f"/>
                    </v:line>
                  </w:pict>
                </mc:Fallback>
              </mc:AlternateContent>
            </w:r>
            <w:r>
              <w:rPr>
                <w:color w:val="auto"/>
              </w:rPr>
              <w:drawing>
                <wp:inline distT="0" distB="0" distL="114300" distR="114300">
                  <wp:extent cx="5269865" cy="3839210"/>
                  <wp:effectExtent l="9525" t="9525" r="16510" b="18415"/>
                  <wp:docPr id="2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9"/>
                          <pic:cNvPicPr>
                            <a:picLocks noChangeAspect="1"/>
                          </pic:cNvPicPr>
                        </pic:nvPicPr>
                        <pic:blipFill>
                          <a:blip r:embed="rId39">
                            <a:lum bright="24000"/>
                          </a:blip>
                          <a:stretch>
                            <a:fillRect/>
                          </a:stretch>
                        </pic:blipFill>
                        <pic:spPr>
                          <a:xfrm>
                            <a:off x="0" y="0"/>
                            <a:ext cx="5269865" cy="3839210"/>
                          </a:xfrm>
                          <a:prstGeom prst="rect">
                            <a:avLst/>
                          </a:prstGeom>
                          <a:noFill/>
                          <a:ln>
                            <a:solidFill>
                              <a:schemeClr val="tx1"/>
                            </a:solidFill>
                          </a:ln>
                        </pic:spPr>
                      </pic:pic>
                    </a:graphicData>
                  </a:graphic>
                </wp:inline>
              </w:drawing>
            </w:r>
            <w:r>
              <w:rPr>
                <w:color w:val="auto"/>
                <w:sz w:val="21"/>
              </w:rPr>
              <mc:AlternateContent>
                <mc:Choice Requires="wps">
                  <w:drawing>
                    <wp:anchor distT="0" distB="0" distL="114300" distR="114300" simplePos="0" relativeHeight="251681792" behindDoc="0" locked="0" layoutInCell="1" allowOverlap="1">
                      <wp:simplePos x="0" y="0"/>
                      <wp:positionH relativeFrom="column">
                        <wp:posOffset>577850</wp:posOffset>
                      </wp:positionH>
                      <wp:positionV relativeFrom="paragraph">
                        <wp:posOffset>1901825</wp:posOffset>
                      </wp:positionV>
                      <wp:extent cx="748665" cy="4445"/>
                      <wp:effectExtent l="0" t="46990" r="13335" b="62865"/>
                      <wp:wrapNone/>
                      <wp:docPr id="112" name="直接箭头连接符 112"/>
                      <wp:cNvGraphicFramePr/>
                      <a:graphic xmlns:a="http://schemas.openxmlformats.org/drawingml/2006/main">
                        <a:graphicData uri="http://schemas.microsoft.com/office/word/2010/wordprocessingShape">
                          <wps:wsp>
                            <wps:cNvCnPr>
                              <a:stCxn id="110" idx="1"/>
                            </wps:cNvCnPr>
                            <wps:spPr>
                              <a:xfrm flipH="1">
                                <a:off x="0" y="0"/>
                                <a:ext cx="748665" cy="444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5.5pt;margin-top:149.75pt;height:0.35pt;width:58.95pt;z-index:251681792;mso-width-relative:page;mso-height-relative:page;" filled="f" stroked="t" coordsize="21600,21600" o:gfxdata="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khkS&#10;cdcAAAAKAQAADwAAAAAAAAABACAAAAAiAAAAZHJzL2Rvd25yZXYueG1sUEsBAhQAFAAAAAgAh07i&#10;QFnJRLsjAgAAFwQAAA4AAAAAAAAAAQAgAAAAJgEAAGRycy9lMm9Eb2MueG1sUEsFBgAAAAAGAAYA&#10;WQEAALsFAAAAAA==&#10;">
                      <v:fill on="f" focussize="0,0"/>
                      <v:stroke weight="1pt" color="#5B9BD5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683840" behindDoc="0" locked="0" layoutInCell="1" allowOverlap="1">
                      <wp:simplePos x="0" y="0"/>
                      <wp:positionH relativeFrom="column">
                        <wp:posOffset>1621155</wp:posOffset>
                      </wp:positionH>
                      <wp:positionV relativeFrom="paragraph">
                        <wp:posOffset>2670175</wp:posOffset>
                      </wp:positionV>
                      <wp:extent cx="0" cy="633095"/>
                      <wp:effectExtent l="50800" t="0" r="63500" b="14605"/>
                      <wp:wrapNone/>
                      <wp:docPr id="116" name="直接箭头连接符 116"/>
                      <wp:cNvGraphicFramePr/>
                      <a:graphic xmlns:a="http://schemas.openxmlformats.org/drawingml/2006/main">
                        <a:graphicData uri="http://schemas.microsoft.com/office/word/2010/wordprocessingShape">
                          <wps:wsp>
                            <wps:cNvCnPr>
                              <a:stCxn id="110" idx="2"/>
                            </wps:cNvCnPr>
                            <wps:spPr>
                              <a:xfrm>
                                <a:off x="0" y="0"/>
                                <a:ext cx="0" cy="63309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27.65pt;margin-top:210.25pt;height:49.85pt;width:0pt;z-index:251683840;mso-width-relative:page;mso-height-relative:page;" filled="f" stroked="t" coordsize="21600,21600" o:gfxdata="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Nc9o9/ZAAAACwEA&#10;AA8AAAAAAAAAAQAgAAAAIgAAAGRycy9kb3ducmV2LnhtbFBLAQIUABQAAAAIAIdO4kB5p8QcGQIA&#10;AAoEAAAOAAAAAAAAAAEAIAAAACgBAABkcnMvZTJvRG9jLnhtbFBLBQYAAAAABgAGAFkBAACzBQAA&#10;AAA=&#10;">
                      <v:fill on="f" focussize="0,0"/>
                      <v:stroke weight="1pt" color="#5B9BD5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680768" behindDoc="0" locked="0" layoutInCell="1" allowOverlap="1">
                      <wp:simplePos x="0" y="0"/>
                      <wp:positionH relativeFrom="column">
                        <wp:posOffset>1915160</wp:posOffset>
                      </wp:positionH>
                      <wp:positionV relativeFrom="paragraph">
                        <wp:posOffset>1901825</wp:posOffset>
                      </wp:positionV>
                      <wp:extent cx="445770" cy="1905"/>
                      <wp:effectExtent l="0" t="49530" r="11430" b="62865"/>
                      <wp:wrapNone/>
                      <wp:docPr id="111" name="直接箭头连接符 111"/>
                      <wp:cNvGraphicFramePr/>
                      <a:graphic xmlns:a="http://schemas.openxmlformats.org/drawingml/2006/main">
                        <a:graphicData uri="http://schemas.microsoft.com/office/word/2010/wordprocessingShape">
                          <wps:wsp>
                            <wps:cNvCnPr>
                              <a:stCxn id="110" idx="3"/>
                            </wps:cNvCnPr>
                            <wps:spPr>
                              <a:xfrm>
                                <a:off x="2578735" y="3133090"/>
                                <a:ext cx="445770" cy="190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50.8pt;margin-top:149.75pt;height:0.15pt;width:35.1pt;z-index:251680768;mso-width-relative:page;mso-height-relative:page;" filled="f" stroked="t" coordsize="21600,21600" o:gfxdata="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vVjzi9oAAAALAQAADwAAAAAAAAABACAAAAAiAAAAZHJzL2Rvd25yZXYueG1sUEsBAhQA&#10;FAAAAAgAh07iQI2ej10pAgAAGQQAAA4AAAAAAAAAAQAgAAAAKQEAAGRycy9lMm9Eb2MueG1sUEsF&#10;BgAAAAAGAAYAWQEAAMQFAAAAAA==&#10;">
                      <v:fill on="f" focussize="0,0"/>
                      <v:stroke weight="1pt" color="#5B9BD5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682816" behindDoc="0" locked="0" layoutInCell="1" allowOverlap="1">
                      <wp:simplePos x="0" y="0"/>
                      <wp:positionH relativeFrom="column">
                        <wp:posOffset>1616075</wp:posOffset>
                      </wp:positionH>
                      <wp:positionV relativeFrom="paragraph">
                        <wp:posOffset>453390</wp:posOffset>
                      </wp:positionV>
                      <wp:extent cx="5080" cy="679450"/>
                      <wp:effectExtent l="50165" t="0" r="59055" b="6350"/>
                      <wp:wrapNone/>
                      <wp:docPr id="113" name="直接箭头连接符 113"/>
                      <wp:cNvGraphicFramePr/>
                      <a:graphic xmlns:a="http://schemas.openxmlformats.org/drawingml/2006/main">
                        <a:graphicData uri="http://schemas.microsoft.com/office/word/2010/wordprocessingShape">
                          <wps:wsp>
                            <wps:cNvCnPr>
                              <a:stCxn id="110" idx="0"/>
                            </wps:cNvCnPr>
                            <wps:spPr>
                              <a:xfrm flipH="1" flipV="1">
                                <a:off x="0" y="0"/>
                                <a:ext cx="5080" cy="67945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27.25pt;margin-top:35.7pt;height:53.5pt;width:0.4pt;z-index:251682816;mso-width-relative:page;mso-height-relative:page;" filled="f" stroked="t" coordsize="21600,21600" o:gfxdata="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JWhNKbbAAAACgEAAA8AAAAAAAAAAQAgAAAAIgAAAGRycy9kb3ducmV2LnhtbFBLAQIU&#10;ABQAAAAIAIdO4kCMzgHFKQIAACEEAAAOAAAAAAAAAAEAIAAAACoBAABkcnMvZTJvRG9jLnhtbFBL&#10;BQYAAAAABgAGAFkBAADFBQAAAAA=&#10;">
                      <v:fill on="f" focussize="0,0"/>
                      <v:stroke weight="1pt" color="#5B9BD5 [3204]" miterlimit="8" joinstyle="miter" endarrow="open"/>
                      <v:imagedata o:title=""/>
                      <o:lock v:ext="edit" aspectratio="f"/>
                    </v:shape>
                  </w:pict>
                </mc:Fallback>
              </mc:AlternateContent>
            </w:r>
          </w:p>
          <w:p w14:paraId="3A42CB4F">
            <w:pPr>
              <w:snapToGrid w:val="0"/>
              <w:spacing w:line="360" w:lineRule="auto"/>
              <w:jc w:val="center"/>
              <w:rPr>
                <w:color w:val="auto"/>
                <w:sz w:val="24"/>
                <w:szCs w:val="24"/>
                <w:highlight w:val="none"/>
              </w:rPr>
            </w:pPr>
            <w:r>
              <w:rPr>
                <w:rFonts w:hint="eastAsia"/>
                <w:b/>
                <w:color w:val="auto"/>
                <w:szCs w:val="21"/>
                <w:highlight w:val="none"/>
              </w:rPr>
              <w:t>图9-4 工作区域示意图</w:t>
            </w:r>
          </w:p>
          <w:p w14:paraId="685E89E2">
            <w:pPr>
              <w:snapToGrid w:val="0"/>
              <w:spacing w:line="360" w:lineRule="auto"/>
              <w:ind w:firstLine="480" w:firstLineChars="200"/>
              <w:rPr>
                <w:color w:val="auto"/>
                <w:sz w:val="24"/>
                <w:szCs w:val="24"/>
                <w:highlight w:val="none"/>
              </w:rPr>
            </w:pPr>
            <w:r>
              <w:rPr>
                <w:rFonts w:hint="eastAsia"/>
                <w:color w:val="auto"/>
                <w:sz w:val="24"/>
                <w:szCs w:val="24"/>
                <w:highlight w:val="none"/>
              </w:rPr>
              <w:t>本项目工艺流程：探伤时被探伤工件通过平板车运至曝光室内，探伤工作人员在操作室内进行</w:t>
            </w:r>
            <w:r>
              <w:rPr>
                <w:rFonts w:hint="eastAsia"/>
                <w:strike w:val="0"/>
                <w:color w:val="auto"/>
                <w:sz w:val="24"/>
                <w:szCs w:val="24"/>
                <w:highlight w:val="none"/>
                <w:lang w:val="en-US" w:eastAsia="zh-CN"/>
              </w:rPr>
              <w:t>隔室</w:t>
            </w:r>
            <w:r>
              <w:rPr>
                <w:rFonts w:hint="eastAsia"/>
                <w:color w:val="auto"/>
                <w:sz w:val="24"/>
                <w:szCs w:val="24"/>
                <w:highlight w:val="none"/>
              </w:rPr>
              <w:t>操作，对工件焊缝等需检测部位进行无损检测。其工作流程如下：</w:t>
            </w:r>
          </w:p>
          <w:p w14:paraId="338B23CD">
            <w:pPr>
              <w:snapToGrid w:val="0"/>
              <w:spacing w:line="360" w:lineRule="auto"/>
              <w:ind w:firstLine="480" w:firstLineChars="200"/>
              <w:rPr>
                <w:color w:val="auto"/>
                <w:sz w:val="24"/>
                <w:szCs w:val="24"/>
                <w:highlight w:val="none"/>
              </w:rPr>
            </w:pPr>
            <w:r>
              <w:rPr>
                <w:rFonts w:hint="eastAsia"/>
                <w:color w:val="auto"/>
                <w:sz w:val="24"/>
                <w:szCs w:val="24"/>
                <w:highlight w:val="none"/>
              </w:rPr>
              <w:t>（1）将被探伤工件通过平板车运至曝光室内固定，并在检测部位贴上感光胶片；</w:t>
            </w:r>
          </w:p>
          <w:p w14:paraId="460BB91E">
            <w:pPr>
              <w:snapToGrid w:val="0"/>
              <w:spacing w:line="360" w:lineRule="auto"/>
              <w:ind w:firstLine="480" w:firstLineChars="200"/>
              <w:rPr>
                <w:rFonts w:hint="default" w:eastAsia="宋体"/>
                <w:color w:val="auto"/>
                <w:sz w:val="24"/>
                <w:szCs w:val="24"/>
                <w:highlight w:val="none"/>
                <w:lang w:val="en-US" w:eastAsia="zh-CN"/>
              </w:rPr>
            </w:pPr>
            <w:r>
              <w:rPr>
                <w:rFonts w:hint="eastAsia"/>
                <w:color w:val="auto"/>
                <w:sz w:val="24"/>
                <w:szCs w:val="24"/>
                <w:highlight w:val="none"/>
              </w:rPr>
              <w:t>（2）将X射线探伤机固定在合适的位置，确认无人后，清场，人员离开曝光室，通过按钮关闭电动防护门；</w:t>
            </w:r>
            <w:r>
              <w:rPr>
                <w:rFonts w:hint="eastAsia"/>
                <w:color w:val="auto"/>
                <w:sz w:val="24"/>
                <w:szCs w:val="24"/>
                <w:highlight w:val="none"/>
                <w:lang w:val="en-US" w:eastAsia="zh-CN"/>
              </w:rPr>
              <w:t>通过转动平板车上的工件对焊缝进行检测，探伤机固定不动。</w:t>
            </w:r>
          </w:p>
          <w:p w14:paraId="7B457D2B">
            <w:pPr>
              <w:snapToGrid w:val="0"/>
              <w:spacing w:line="360" w:lineRule="auto"/>
              <w:ind w:firstLine="480" w:firstLineChars="200"/>
              <w:rPr>
                <w:color w:val="auto"/>
                <w:sz w:val="24"/>
                <w:szCs w:val="24"/>
                <w:highlight w:val="none"/>
              </w:rPr>
            </w:pPr>
            <w:r>
              <w:rPr>
                <w:rFonts w:hint="eastAsia"/>
                <w:color w:val="auto"/>
                <w:sz w:val="24"/>
                <w:szCs w:val="24"/>
                <w:highlight w:val="none"/>
              </w:rPr>
              <w:t>（3）探伤工作人员在操作室开启X射线探伤机进行无损检测，曝光过程中会产生X射线和少量的O</w:t>
            </w:r>
            <w:r>
              <w:rPr>
                <w:rFonts w:hint="eastAsia"/>
                <w:color w:val="auto"/>
                <w:sz w:val="24"/>
                <w:szCs w:val="24"/>
                <w:highlight w:val="none"/>
                <w:vertAlign w:val="subscript"/>
              </w:rPr>
              <w:t>3</w:t>
            </w:r>
            <w:r>
              <w:rPr>
                <w:rFonts w:hint="eastAsia"/>
                <w:color w:val="auto"/>
                <w:sz w:val="24"/>
                <w:szCs w:val="24"/>
                <w:highlight w:val="none"/>
              </w:rPr>
              <w:t>、NO</w:t>
            </w:r>
            <w:r>
              <w:rPr>
                <w:rFonts w:hint="eastAsia"/>
                <w:color w:val="auto"/>
                <w:sz w:val="24"/>
                <w:szCs w:val="24"/>
                <w:highlight w:val="none"/>
                <w:vertAlign w:val="subscript"/>
              </w:rPr>
              <w:t>x</w:t>
            </w:r>
            <w:r>
              <w:rPr>
                <w:rFonts w:hint="eastAsia"/>
                <w:color w:val="auto"/>
                <w:sz w:val="24"/>
                <w:szCs w:val="24"/>
                <w:highlight w:val="none"/>
              </w:rPr>
              <w:t>；</w:t>
            </w:r>
          </w:p>
          <w:p w14:paraId="45D07F48">
            <w:pPr>
              <w:snapToGrid w:val="0"/>
              <w:spacing w:line="360" w:lineRule="auto"/>
              <w:ind w:firstLine="480" w:firstLineChars="200"/>
              <w:rPr>
                <w:color w:val="auto"/>
                <w:sz w:val="24"/>
                <w:szCs w:val="24"/>
                <w:highlight w:val="none"/>
              </w:rPr>
            </w:pPr>
            <w:r>
              <w:rPr>
                <w:rFonts w:hint="eastAsia"/>
                <w:color w:val="auto"/>
                <w:sz w:val="24"/>
                <w:szCs w:val="24"/>
                <w:highlight w:val="none"/>
              </w:rPr>
              <w:t>（4）达到预定照射时间和曝光量后关闭X射线探伤机，曝光结束，辐射工作人员进入曝光室取下胶片；</w:t>
            </w:r>
          </w:p>
          <w:p w14:paraId="6EF63EE2">
            <w:pPr>
              <w:snapToGrid w:val="0"/>
              <w:spacing w:line="360" w:lineRule="auto"/>
              <w:ind w:firstLine="480" w:firstLineChars="200"/>
              <w:rPr>
                <w:color w:val="auto"/>
                <w:sz w:val="24"/>
                <w:szCs w:val="24"/>
                <w:highlight w:val="none"/>
              </w:rPr>
            </w:pPr>
            <w:r>
              <w:rPr>
                <w:rFonts w:hint="eastAsia"/>
                <w:color w:val="auto"/>
                <w:sz w:val="24"/>
                <w:szCs w:val="24"/>
                <w:highlight w:val="none"/>
              </w:rPr>
              <w:t>（5）工作人员对探伤胶片进行洗片、读片，判断工件焊接质量、缺陷等，在此过程中会产生废显影液、废定影液、</w:t>
            </w:r>
            <w:r>
              <w:rPr>
                <w:rFonts w:hint="eastAsia"/>
                <w:strike w:val="0"/>
                <w:color w:val="auto"/>
                <w:sz w:val="24"/>
                <w:szCs w:val="24"/>
                <w:highlight w:val="none"/>
                <w:lang w:val="en-US" w:eastAsia="zh-CN"/>
              </w:rPr>
              <w:t>胶片冲洗废液</w:t>
            </w:r>
            <w:r>
              <w:rPr>
                <w:rFonts w:hint="eastAsia"/>
                <w:color w:val="auto"/>
                <w:sz w:val="24"/>
                <w:szCs w:val="24"/>
                <w:highlight w:val="none"/>
              </w:rPr>
              <w:t>及废胶片；</w:t>
            </w:r>
          </w:p>
          <w:p w14:paraId="2261B901">
            <w:pPr>
              <w:snapToGrid w:val="0"/>
              <w:spacing w:line="360" w:lineRule="auto"/>
              <w:ind w:firstLine="480" w:firstLineChars="200"/>
              <w:rPr>
                <w:color w:val="auto"/>
                <w:sz w:val="24"/>
                <w:szCs w:val="24"/>
                <w:highlight w:val="none"/>
              </w:rPr>
            </w:pPr>
            <w:r>
              <w:rPr>
                <w:rFonts w:hint="eastAsia"/>
                <w:color w:val="auto"/>
                <w:sz w:val="24"/>
                <w:szCs w:val="24"/>
                <w:highlight w:val="none"/>
              </w:rPr>
              <w:t>（6）用平板车将被探伤工件运出曝光室。</w:t>
            </w:r>
          </w:p>
          <w:p w14:paraId="7F21F1F4">
            <w:pPr>
              <w:snapToGrid w:val="0"/>
              <w:spacing w:line="360" w:lineRule="auto"/>
              <w:ind w:firstLine="480" w:firstLineChars="200"/>
              <w:rPr>
                <w:color w:val="auto"/>
                <w:sz w:val="24"/>
                <w:szCs w:val="24"/>
                <w:highlight w:val="none"/>
              </w:rPr>
            </w:pPr>
            <w:r>
              <w:rPr>
                <w:rFonts w:hint="eastAsia"/>
                <w:color w:val="auto"/>
                <w:sz w:val="24"/>
                <w:szCs w:val="24"/>
                <w:highlight w:val="none"/>
              </w:rPr>
              <w:t>本项目固定式X射线探伤工作流程及产污环节分析示意图见图9-5。</w:t>
            </w:r>
          </w:p>
          <w:p w14:paraId="676B08AD">
            <w:pPr>
              <w:snapToGrid w:val="0"/>
              <w:jc w:val="center"/>
              <w:rPr>
                <w:color w:val="auto"/>
                <w:sz w:val="24"/>
                <w:szCs w:val="24"/>
                <w:highlight w:val="none"/>
              </w:rPr>
            </w:pPr>
            <w:r>
              <w:rPr>
                <w:color w:val="auto"/>
                <w:highlight w:val="none"/>
              </w:rPr>
              <w:object>
                <v:shape id="_x0000_i1025" o:spt="75" type="#_x0000_t75" style="height:141.6pt;width:391.25pt;" o:ole="t" filled="f" o:preferrelative="t" stroked="f" coordsize="21600,21600">
                  <v:path/>
                  <v:fill on="f" focussize="0,0"/>
                  <v:stroke on="f"/>
                  <v:imagedata r:id="rId41" o:title=""/>
                  <o:lock v:ext="edit" aspectratio="t"/>
                  <w10:wrap type="none"/>
                  <w10:anchorlock/>
                </v:shape>
                <o:OLEObject Type="Embed" ProgID="Visio.Drawing.15" ShapeID="_x0000_i1025" DrawAspect="Content" ObjectID="_1468075725" r:id="rId40">
                  <o:LockedField>false</o:LockedField>
                </o:OLEObject>
              </w:object>
            </w:r>
          </w:p>
          <w:p w14:paraId="3CA1C720">
            <w:pPr>
              <w:snapToGrid w:val="0"/>
              <w:spacing w:line="360" w:lineRule="auto"/>
              <w:ind w:firstLine="422" w:firstLineChars="200"/>
              <w:jc w:val="center"/>
              <w:rPr>
                <w:b/>
                <w:color w:val="auto"/>
                <w:szCs w:val="21"/>
                <w:highlight w:val="none"/>
                <w:lang w:val="zh-CN"/>
              </w:rPr>
            </w:pPr>
            <w:r>
              <w:rPr>
                <w:rFonts w:hint="eastAsia"/>
                <w:b/>
                <w:color w:val="auto"/>
                <w:szCs w:val="21"/>
                <w:highlight w:val="none"/>
              </w:rPr>
              <w:t>图9-5 本项目X射线固定探伤工作流程及产污环节分析示意图</w:t>
            </w:r>
          </w:p>
          <w:p w14:paraId="4783D9D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right="0" w:rightChars="0" w:firstLine="482" w:firstLineChars="200"/>
              <w:textAlignment w:val="auto"/>
              <w:rPr>
                <w:b/>
                <w:bCs/>
                <w:color w:val="auto"/>
                <w:sz w:val="24"/>
                <w:szCs w:val="24"/>
                <w:highlight w:val="none"/>
              </w:rPr>
            </w:pPr>
            <w:r>
              <w:rPr>
                <w:rFonts w:hint="eastAsia"/>
                <w:b/>
                <w:bCs/>
                <w:color w:val="auto"/>
                <w:sz w:val="24"/>
                <w:szCs w:val="24"/>
                <w:highlight w:val="none"/>
              </w:rPr>
              <w:t>2.5</w:t>
            </w:r>
            <w:r>
              <w:rPr>
                <w:rFonts w:hint="eastAsia"/>
                <w:b/>
                <w:bCs/>
                <w:color w:val="auto"/>
                <w:sz w:val="24"/>
                <w:szCs w:val="24"/>
                <w:highlight w:val="none"/>
                <w:lang w:eastAsia="zh-CN"/>
              </w:rPr>
              <w:t>、</w:t>
            </w:r>
            <w:r>
              <w:rPr>
                <w:b/>
                <w:bCs/>
                <w:color w:val="auto"/>
                <w:sz w:val="24"/>
                <w:szCs w:val="24"/>
                <w:highlight w:val="none"/>
              </w:rPr>
              <w:t>运行工况与人员配置</w:t>
            </w:r>
          </w:p>
          <w:p w14:paraId="5029AB7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（1）运行工况</w:t>
            </w:r>
          </w:p>
          <w:p w14:paraId="7BA1D5E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1）</w:t>
            </w:r>
            <w:r>
              <w:rPr>
                <w:color w:val="auto"/>
                <w:sz w:val="24"/>
                <w:szCs w:val="24"/>
                <w:highlight w:val="none"/>
              </w:rPr>
              <w:t>工作人员工作时间</w:t>
            </w:r>
          </w:p>
          <w:p w14:paraId="7C371A2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eastAsia="宋体"/>
                <w:color w:val="auto"/>
                <w:sz w:val="24"/>
                <w:szCs w:val="24"/>
                <w:highlight w:val="none"/>
              </w:rPr>
            </w:pPr>
            <w:r>
              <w:rPr>
                <w:rFonts w:hint="eastAsia" w:eastAsia="宋体"/>
                <w:color w:val="auto"/>
                <w:sz w:val="24"/>
                <w:szCs w:val="24"/>
                <w:highlight w:val="none"/>
                <w:lang w:val="en-US" w:eastAsia="zh-CN"/>
              </w:rPr>
              <w:t>根据建设单位提供资料，项目运行班制为单班制</w:t>
            </w:r>
            <w:r>
              <w:rPr>
                <w:rFonts w:hint="eastAsia"/>
                <w:color w:val="auto"/>
                <w:sz w:val="24"/>
                <w:szCs w:val="24"/>
                <w:highlight w:val="none"/>
                <w:lang w:val="en-US" w:eastAsia="zh-CN"/>
              </w:rPr>
              <w:t>（轮流值班）</w:t>
            </w:r>
            <w:r>
              <w:rPr>
                <w:rFonts w:hint="eastAsia" w:eastAsia="宋体"/>
                <w:color w:val="auto"/>
                <w:sz w:val="24"/>
                <w:szCs w:val="24"/>
                <w:highlight w:val="none"/>
                <w:lang w:val="en-US" w:eastAsia="zh-CN"/>
              </w:rPr>
              <w:t>，工作时间不固定，由企业根据探伤检测需求自行安排。项目探伤人员为</w:t>
            </w:r>
            <w:r>
              <w:rPr>
                <w:rFonts w:hint="default" w:eastAsia="宋体"/>
                <w:color w:val="auto"/>
                <w:sz w:val="24"/>
                <w:szCs w:val="24"/>
                <w:highlight w:val="none"/>
                <w:lang w:val="en-US" w:eastAsia="zh-CN"/>
              </w:rPr>
              <w:t>2</w:t>
            </w:r>
            <w:r>
              <w:rPr>
                <w:rFonts w:hint="eastAsia" w:eastAsia="宋体"/>
                <w:color w:val="auto"/>
                <w:sz w:val="24"/>
                <w:szCs w:val="24"/>
                <w:highlight w:val="none"/>
                <w:lang w:val="en-US" w:eastAsia="zh-CN"/>
              </w:rPr>
              <w:t>名，合计单日工作时间要求不得超过</w:t>
            </w:r>
            <w:r>
              <w:rPr>
                <w:rFonts w:hint="default" w:eastAsia="宋体"/>
                <w:color w:val="auto"/>
                <w:sz w:val="24"/>
                <w:szCs w:val="24"/>
                <w:highlight w:val="none"/>
                <w:lang w:val="en-US" w:eastAsia="zh-CN"/>
              </w:rPr>
              <w:t>8h</w:t>
            </w:r>
            <w:r>
              <w:rPr>
                <w:rFonts w:hint="eastAsia" w:eastAsia="宋体"/>
                <w:color w:val="auto"/>
                <w:sz w:val="24"/>
                <w:szCs w:val="24"/>
                <w:highlight w:val="none"/>
                <w:lang w:val="en-US" w:eastAsia="zh-CN"/>
              </w:rPr>
              <w:t>，年工作时间</w:t>
            </w:r>
            <w:r>
              <w:rPr>
                <w:rFonts w:hint="default" w:eastAsia="宋体"/>
                <w:color w:val="auto"/>
                <w:sz w:val="24"/>
                <w:szCs w:val="24"/>
                <w:highlight w:val="none"/>
                <w:lang w:val="en-US" w:eastAsia="zh-CN"/>
              </w:rPr>
              <w:t>250</w:t>
            </w:r>
            <w:r>
              <w:rPr>
                <w:rFonts w:hint="eastAsia" w:eastAsia="宋体"/>
                <w:color w:val="auto"/>
                <w:sz w:val="24"/>
                <w:szCs w:val="24"/>
                <w:highlight w:val="none"/>
                <w:lang w:val="en-US" w:eastAsia="zh-CN"/>
              </w:rPr>
              <w:t>天，则辐射工作人员工作时间为</w:t>
            </w:r>
            <w:r>
              <w:rPr>
                <w:rFonts w:hint="default" w:eastAsia="宋体"/>
                <w:color w:val="auto"/>
                <w:sz w:val="24"/>
                <w:szCs w:val="24"/>
                <w:highlight w:val="none"/>
                <w:lang w:val="en-US" w:eastAsia="zh-CN"/>
              </w:rPr>
              <w:t>2000h/</w:t>
            </w:r>
            <w:r>
              <w:rPr>
                <w:rFonts w:hint="eastAsia" w:eastAsia="宋体"/>
                <w:color w:val="auto"/>
                <w:sz w:val="24"/>
                <w:szCs w:val="24"/>
                <w:highlight w:val="none"/>
                <w:lang w:val="en-US" w:eastAsia="zh-CN"/>
              </w:rPr>
              <w:t xml:space="preserve">年。 </w:t>
            </w:r>
          </w:p>
          <w:p w14:paraId="40428F5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sz w:val="24"/>
                <w:szCs w:val="24"/>
                <w:highlight w:val="none"/>
                <w:lang w:val="en-US" w:eastAsia="zh-CN"/>
              </w:rPr>
            </w:pPr>
            <w:r>
              <w:rPr>
                <w:rFonts w:hint="eastAsia" w:eastAsia="宋体"/>
                <w:color w:val="auto"/>
                <w:sz w:val="24"/>
                <w:szCs w:val="24"/>
                <w:highlight w:val="none"/>
                <w:lang w:val="en-US" w:eastAsia="zh-CN"/>
              </w:rPr>
              <w:t>2）探伤工况及曝光时间</w:t>
            </w:r>
          </w:p>
          <w:p w14:paraId="59A5E4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color w:val="auto"/>
                <w:sz w:val="24"/>
                <w:szCs w:val="24"/>
                <w:highlight w:val="none"/>
                <w:lang w:val="en-US" w:eastAsia="zh-CN"/>
              </w:rPr>
            </w:pPr>
            <w:r>
              <w:rPr>
                <w:rFonts w:hint="eastAsia" w:eastAsia="宋体"/>
                <w:color w:val="auto"/>
                <w:sz w:val="24"/>
                <w:szCs w:val="24"/>
                <w:highlight w:val="none"/>
                <w:lang w:val="en-US" w:eastAsia="zh-CN"/>
              </w:rPr>
              <w:t>本项目X射线探伤机无损检测工件为压力容器。压力容器厚度最大为26mm，材料为碳钢铸件和不锈钢铸件。本项目建成后，预计检测工件数量为80件/年，平均每件产品需拍片约8张，考虑到在拍片、洗片、评片过程中造成胶片损坏需补拍约为60张，则本项目总拍片量约700张/年。每张废胶片的重量约</w:t>
            </w:r>
            <w:r>
              <w:rPr>
                <w:rFonts w:hint="default" w:eastAsia="宋体"/>
                <w:color w:val="auto"/>
                <w:sz w:val="24"/>
                <w:szCs w:val="24"/>
                <w:highlight w:val="none"/>
                <w:lang w:val="en-US" w:eastAsia="zh-CN"/>
              </w:rPr>
              <w:t>0.05kg/</w:t>
            </w:r>
            <w:r>
              <w:rPr>
                <w:rFonts w:hint="eastAsia" w:eastAsia="宋体"/>
                <w:color w:val="auto"/>
                <w:sz w:val="24"/>
                <w:szCs w:val="24"/>
                <w:highlight w:val="none"/>
                <w:lang w:val="en-US" w:eastAsia="zh-CN"/>
              </w:rPr>
              <w:t>张</w:t>
            </w:r>
            <w:r>
              <w:rPr>
                <w:rFonts w:hint="eastAsia"/>
                <w:color w:val="auto"/>
                <w:sz w:val="24"/>
                <w:szCs w:val="24"/>
                <w:highlight w:val="none"/>
                <w:lang w:val="en-US" w:eastAsia="zh-CN"/>
              </w:rPr>
              <w:t>。</w:t>
            </w:r>
          </w:p>
          <w:p w14:paraId="08CAA5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本项目探伤房内安装定向X射线探伤机1台，探伤机每次曝光出束时间约3min，平均每次出束拍摄2张胶片。需探伤的定向探伤机拍片数量为</w:t>
            </w:r>
            <w:r>
              <w:rPr>
                <w:rFonts w:hint="eastAsia"/>
                <w:color w:val="auto"/>
                <w:sz w:val="24"/>
                <w:szCs w:val="24"/>
                <w:highlight w:val="none"/>
                <w:lang w:val="en-US" w:eastAsia="zh-CN"/>
              </w:rPr>
              <w:t>700</w:t>
            </w:r>
            <w:r>
              <w:rPr>
                <w:rFonts w:hint="eastAsia"/>
                <w:color w:val="auto"/>
                <w:sz w:val="24"/>
                <w:szCs w:val="24"/>
                <w:highlight w:val="none"/>
              </w:rPr>
              <w:t>张，年曝光时间为</w:t>
            </w:r>
            <w:r>
              <w:rPr>
                <w:rFonts w:hint="eastAsia"/>
                <w:color w:val="auto"/>
                <w:sz w:val="24"/>
                <w:szCs w:val="24"/>
                <w:highlight w:val="none"/>
                <w:lang w:val="en-US" w:eastAsia="zh-CN"/>
              </w:rPr>
              <w:t>1050</w:t>
            </w:r>
            <w:r>
              <w:rPr>
                <w:rFonts w:hint="eastAsia"/>
                <w:color w:val="auto"/>
                <w:sz w:val="24"/>
                <w:szCs w:val="24"/>
                <w:highlight w:val="none"/>
              </w:rPr>
              <w:t>min（</w:t>
            </w:r>
            <w:r>
              <w:rPr>
                <w:rFonts w:hint="eastAsia"/>
                <w:color w:val="auto"/>
                <w:sz w:val="24"/>
                <w:szCs w:val="24"/>
                <w:highlight w:val="none"/>
                <w:lang w:val="en-US" w:eastAsia="zh-CN"/>
              </w:rPr>
              <w:t>17.5</w:t>
            </w:r>
            <w:r>
              <w:rPr>
                <w:rFonts w:hint="eastAsia"/>
                <w:color w:val="auto"/>
                <w:sz w:val="24"/>
                <w:szCs w:val="24"/>
                <w:highlight w:val="none"/>
              </w:rPr>
              <w:t>h）</w:t>
            </w:r>
            <w:r>
              <w:rPr>
                <w:rFonts w:hint="eastAsia"/>
                <w:color w:val="auto"/>
                <w:sz w:val="24"/>
                <w:szCs w:val="24"/>
                <w:highlight w:val="none"/>
                <w:lang w:eastAsia="zh-CN"/>
              </w:rPr>
              <w:t>，</w:t>
            </w:r>
            <w:r>
              <w:rPr>
                <w:rFonts w:hint="eastAsia"/>
                <w:color w:val="auto"/>
                <w:sz w:val="24"/>
                <w:szCs w:val="24"/>
                <w:highlight w:val="none"/>
                <w:lang w:val="en-US" w:eastAsia="zh-CN"/>
              </w:rPr>
              <w:t>根据企业沟通，周最大曝光时间约0.6h</w:t>
            </w:r>
            <w:r>
              <w:rPr>
                <w:color w:val="auto"/>
                <w:sz w:val="24"/>
                <w:szCs w:val="24"/>
                <w:highlight w:val="none"/>
              </w:rPr>
              <w:t>。</w:t>
            </w:r>
          </w:p>
          <w:p w14:paraId="549B8D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本项目探伤机运行工况详见下表。</w:t>
            </w:r>
          </w:p>
          <w:p w14:paraId="35FD82C2">
            <w:pPr>
              <w:pStyle w:val="96"/>
              <w:spacing w:line="240" w:lineRule="auto"/>
              <w:ind w:firstLine="422"/>
              <w:rPr>
                <w:rFonts w:eastAsia="宋体" w:cs="Times New Roman"/>
                <w:b/>
                <w:color w:val="auto"/>
                <w:kern w:val="2"/>
                <w:sz w:val="21"/>
                <w:szCs w:val="21"/>
                <w:highlight w:val="none"/>
              </w:rPr>
            </w:pPr>
            <w:r>
              <w:rPr>
                <w:rFonts w:hint="eastAsia" w:eastAsia="宋体" w:cs="Times New Roman"/>
                <w:b/>
                <w:color w:val="auto"/>
                <w:kern w:val="2"/>
                <w:sz w:val="21"/>
                <w:szCs w:val="21"/>
                <w:highlight w:val="none"/>
              </w:rPr>
              <w:t>表9-3  X射线探伤机运行工况</w:t>
            </w:r>
          </w:p>
          <w:tbl>
            <w:tblPr>
              <w:tblStyle w:val="36"/>
              <w:tblW w:w="4999"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4685"/>
              <w:gridCol w:w="3722"/>
            </w:tblGrid>
            <w:tr w14:paraId="2BB5E3D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72" w:hRule="atLeast"/>
              </w:trPr>
              <w:tc>
                <w:tcPr>
                  <w:tcW w:w="2786" w:type="pct"/>
                  <w:tcBorders>
                    <w:tl2br w:val="nil"/>
                    <w:tr2bl w:val="nil"/>
                  </w:tcBorders>
                  <w:vAlign w:val="center"/>
                </w:tcPr>
                <w:p w14:paraId="34FD1797">
                  <w:pPr>
                    <w:snapToGrid w:val="0"/>
                    <w:jc w:val="center"/>
                    <w:rPr>
                      <w:b/>
                      <w:bCs/>
                      <w:color w:val="auto"/>
                      <w:highlight w:val="none"/>
                    </w:rPr>
                  </w:pPr>
                  <w:r>
                    <w:rPr>
                      <w:rFonts w:hint="eastAsia"/>
                      <w:b/>
                      <w:bCs/>
                      <w:color w:val="auto"/>
                      <w:highlight w:val="none"/>
                    </w:rPr>
                    <w:t>规格</w:t>
                  </w:r>
                </w:p>
              </w:tc>
              <w:tc>
                <w:tcPr>
                  <w:tcW w:w="2213" w:type="pct"/>
                  <w:tcBorders>
                    <w:tl2br w:val="nil"/>
                    <w:tr2bl w:val="nil"/>
                  </w:tcBorders>
                  <w:vAlign w:val="center"/>
                </w:tcPr>
                <w:p w14:paraId="0CEAC6C1">
                  <w:pPr>
                    <w:snapToGrid w:val="0"/>
                    <w:jc w:val="center"/>
                    <w:rPr>
                      <w:b/>
                      <w:bCs/>
                      <w:color w:val="auto"/>
                      <w:highlight w:val="none"/>
                    </w:rPr>
                  </w:pPr>
                  <w:r>
                    <w:rPr>
                      <w:rFonts w:hint="eastAsia"/>
                      <w:b/>
                      <w:bCs/>
                      <w:color w:val="auto"/>
                      <w:highlight w:val="none"/>
                    </w:rPr>
                    <w:t>定向机</w:t>
                  </w:r>
                </w:p>
              </w:tc>
            </w:tr>
            <w:tr w14:paraId="76EEBA0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85" w:hRule="atLeast"/>
              </w:trPr>
              <w:tc>
                <w:tcPr>
                  <w:tcW w:w="2786" w:type="pct"/>
                  <w:tcBorders>
                    <w:tl2br w:val="nil"/>
                    <w:tr2bl w:val="nil"/>
                  </w:tcBorders>
                  <w:vAlign w:val="center"/>
                </w:tcPr>
                <w:p w14:paraId="4E5CBEF7">
                  <w:pPr>
                    <w:snapToGrid w:val="0"/>
                    <w:jc w:val="center"/>
                    <w:rPr>
                      <w:color w:val="auto"/>
                      <w:highlight w:val="none"/>
                    </w:rPr>
                  </w:pPr>
                  <w:r>
                    <w:rPr>
                      <w:rFonts w:hint="eastAsia"/>
                      <w:color w:val="auto"/>
                      <w:highlight w:val="none"/>
                    </w:rPr>
                    <w:t>每张胶片曝光时间（min）</w:t>
                  </w:r>
                </w:p>
              </w:tc>
              <w:tc>
                <w:tcPr>
                  <w:tcW w:w="2213" w:type="pct"/>
                  <w:tcBorders>
                    <w:tl2br w:val="nil"/>
                    <w:tr2bl w:val="nil"/>
                  </w:tcBorders>
                  <w:vAlign w:val="center"/>
                </w:tcPr>
                <w:p w14:paraId="108F4441">
                  <w:pPr>
                    <w:snapToGrid w:val="0"/>
                    <w:jc w:val="center"/>
                    <w:rPr>
                      <w:rFonts w:hint="default" w:eastAsia="宋体"/>
                      <w:color w:val="auto"/>
                      <w:highlight w:val="none"/>
                      <w:lang w:val="en-US" w:eastAsia="zh-CN"/>
                    </w:rPr>
                  </w:pPr>
                  <w:r>
                    <w:rPr>
                      <w:rFonts w:hint="eastAsia"/>
                      <w:color w:val="auto"/>
                      <w:highlight w:val="none"/>
                      <w:lang w:val="en-US" w:eastAsia="zh-CN"/>
                    </w:rPr>
                    <w:t>1.5</w:t>
                  </w:r>
                </w:p>
              </w:tc>
            </w:tr>
            <w:tr w14:paraId="5BF471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98" w:hRule="atLeast"/>
              </w:trPr>
              <w:tc>
                <w:tcPr>
                  <w:tcW w:w="2786" w:type="pct"/>
                  <w:tcBorders>
                    <w:tl2br w:val="nil"/>
                    <w:tr2bl w:val="nil"/>
                  </w:tcBorders>
                  <w:vAlign w:val="center"/>
                </w:tcPr>
                <w:p w14:paraId="404A15F4">
                  <w:pPr>
                    <w:snapToGrid w:val="0"/>
                    <w:jc w:val="center"/>
                    <w:rPr>
                      <w:color w:val="auto"/>
                      <w:highlight w:val="none"/>
                    </w:rPr>
                  </w:pPr>
                  <w:r>
                    <w:rPr>
                      <w:rFonts w:hint="eastAsia"/>
                      <w:color w:val="auto"/>
                      <w:highlight w:val="none"/>
                    </w:rPr>
                    <w:t>年拍片量（张）</w:t>
                  </w:r>
                </w:p>
              </w:tc>
              <w:tc>
                <w:tcPr>
                  <w:tcW w:w="2213" w:type="pct"/>
                  <w:tcBorders>
                    <w:tl2br w:val="nil"/>
                    <w:tr2bl w:val="nil"/>
                  </w:tcBorders>
                  <w:vAlign w:val="center"/>
                </w:tcPr>
                <w:p w14:paraId="6EA7A6E5">
                  <w:pPr>
                    <w:snapToGrid w:val="0"/>
                    <w:jc w:val="center"/>
                    <w:rPr>
                      <w:rFonts w:hint="default" w:eastAsia="宋体"/>
                      <w:color w:val="auto"/>
                      <w:highlight w:val="none"/>
                      <w:lang w:val="en-US" w:eastAsia="zh-CN"/>
                    </w:rPr>
                  </w:pPr>
                  <w:r>
                    <w:rPr>
                      <w:rFonts w:hint="eastAsia"/>
                      <w:color w:val="auto"/>
                      <w:highlight w:val="none"/>
                      <w:lang w:val="en-US" w:eastAsia="zh-CN"/>
                    </w:rPr>
                    <w:t>700</w:t>
                  </w:r>
                </w:p>
              </w:tc>
            </w:tr>
            <w:tr w14:paraId="7FE6310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23" w:hRule="atLeast"/>
              </w:trPr>
              <w:tc>
                <w:tcPr>
                  <w:tcW w:w="2786" w:type="pct"/>
                  <w:tcBorders>
                    <w:tl2br w:val="nil"/>
                    <w:tr2bl w:val="nil"/>
                  </w:tcBorders>
                  <w:vAlign w:val="center"/>
                </w:tcPr>
                <w:p w14:paraId="6B8D1089">
                  <w:pPr>
                    <w:snapToGrid w:val="0"/>
                    <w:jc w:val="center"/>
                    <w:rPr>
                      <w:color w:val="auto"/>
                      <w:highlight w:val="none"/>
                    </w:rPr>
                  </w:pPr>
                  <w:r>
                    <w:rPr>
                      <w:rFonts w:hint="eastAsia"/>
                      <w:color w:val="auto"/>
                      <w:highlight w:val="none"/>
                    </w:rPr>
                    <w:t>年曝光时间（min）</w:t>
                  </w:r>
                </w:p>
              </w:tc>
              <w:tc>
                <w:tcPr>
                  <w:tcW w:w="2213" w:type="pct"/>
                  <w:tcBorders>
                    <w:tl2br w:val="nil"/>
                    <w:tr2bl w:val="nil"/>
                  </w:tcBorders>
                  <w:vAlign w:val="center"/>
                </w:tcPr>
                <w:p w14:paraId="00628AB5">
                  <w:pPr>
                    <w:snapToGrid w:val="0"/>
                    <w:jc w:val="center"/>
                    <w:rPr>
                      <w:rFonts w:hint="default" w:eastAsia="宋体"/>
                      <w:color w:val="auto"/>
                      <w:highlight w:val="none"/>
                      <w:lang w:val="en-US" w:eastAsia="zh-CN"/>
                    </w:rPr>
                  </w:pPr>
                  <w:r>
                    <w:rPr>
                      <w:rFonts w:hint="eastAsia"/>
                      <w:color w:val="auto"/>
                      <w:highlight w:val="none"/>
                      <w:lang w:val="en-US" w:eastAsia="zh-CN"/>
                    </w:rPr>
                    <w:t>1050</w:t>
                  </w:r>
                </w:p>
              </w:tc>
            </w:tr>
            <w:tr w14:paraId="4FC851C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2786" w:type="pct"/>
                  <w:tcBorders>
                    <w:tl2br w:val="nil"/>
                    <w:tr2bl w:val="nil"/>
                  </w:tcBorders>
                  <w:vAlign w:val="center"/>
                </w:tcPr>
                <w:p w14:paraId="699E05F8">
                  <w:pPr>
                    <w:snapToGrid w:val="0"/>
                    <w:jc w:val="center"/>
                    <w:rPr>
                      <w:color w:val="auto"/>
                      <w:highlight w:val="none"/>
                    </w:rPr>
                  </w:pPr>
                  <w:r>
                    <w:rPr>
                      <w:rFonts w:hint="eastAsia"/>
                      <w:color w:val="auto"/>
                      <w:highlight w:val="none"/>
                    </w:rPr>
                    <w:t>每周曝光时间（min）</w:t>
                  </w:r>
                </w:p>
              </w:tc>
              <w:tc>
                <w:tcPr>
                  <w:tcW w:w="2213" w:type="pct"/>
                  <w:tcBorders>
                    <w:tl2br w:val="nil"/>
                    <w:tr2bl w:val="nil"/>
                  </w:tcBorders>
                  <w:vAlign w:val="center"/>
                </w:tcPr>
                <w:p w14:paraId="3B770C2C">
                  <w:pPr>
                    <w:snapToGrid w:val="0"/>
                    <w:jc w:val="center"/>
                    <w:rPr>
                      <w:rFonts w:hint="default" w:eastAsia="宋体"/>
                      <w:color w:val="auto"/>
                      <w:highlight w:val="none"/>
                      <w:lang w:val="en-US" w:eastAsia="zh-CN"/>
                    </w:rPr>
                  </w:pPr>
                  <w:r>
                    <w:rPr>
                      <w:rFonts w:hint="eastAsia"/>
                      <w:color w:val="auto"/>
                      <w:highlight w:val="none"/>
                      <w:lang w:val="en-US" w:eastAsia="zh-CN"/>
                    </w:rPr>
                    <w:t>36</w:t>
                  </w:r>
                </w:p>
              </w:tc>
            </w:tr>
          </w:tbl>
          <w:p w14:paraId="06B600E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（2）人员配置</w:t>
            </w:r>
          </w:p>
          <w:p w14:paraId="69C825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kern w:val="0"/>
                <w:sz w:val="24"/>
                <w:szCs w:val="24"/>
                <w:highlight w:val="none"/>
                <w:lang w:val="zh-CN"/>
              </w:rPr>
              <w:t>项目拟</w:t>
            </w:r>
            <w:r>
              <w:rPr>
                <w:rFonts w:hint="eastAsia"/>
                <w:color w:val="auto"/>
                <w:kern w:val="0"/>
                <w:sz w:val="24"/>
                <w:szCs w:val="24"/>
                <w:highlight w:val="none"/>
              </w:rPr>
              <w:t>配备</w:t>
            </w:r>
            <w:r>
              <w:rPr>
                <w:color w:val="auto"/>
                <w:kern w:val="0"/>
                <w:sz w:val="24"/>
                <w:szCs w:val="24"/>
                <w:highlight w:val="none"/>
                <w:lang w:val="zh-CN"/>
              </w:rPr>
              <w:t>辐射工作人员</w:t>
            </w:r>
            <w:r>
              <w:rPr>
                <w:rFonts w:hint="eastAsia"/>
                <w:color w:val="auto"/>
                <w:kern w:val="0"/>
                <w:sz w:val="24"/>
                <w:szCs w:val="24"/>
                <w:highlight w:val="none"/>
              </w:rPr>
              <w:t>2</w:t>
            </w:r>
            <w:r>
              <w:rPr>
                <w:color w:val="auto"/>
                <w:kern w:val="0"/>
                <w:sz w:val="24"/>
                <w:szCs w:val="24"/>
                <w:highlight w:val="none"/>
                <w:lang w:val="zh-CN"/>
              </w:rPr>
              <w:t>名，</w:t>
            </w:r>
            <w:r>
              <w:rPr>
                <w:rFonts w:hint="eastAsia"/>
                <w:color w:val="auto"/>
                <w:kern w:val="0"/>
                <w:sz w:val="24"/>
                <w:szCs w:val="24"/>
                <w:highlight w:val="none"/>
                <w:lang w:val="en-US" w:eastAsia="zh-CN"/>
              </w:rPr>
              <w:t>均由现有厂区进行调剂，</w:t>
            </w:r>
            <w:r>
              <w:rPr>
                <w:rFonts w:hint="eastAsia"/>
                <w:color w:val="auto"/>
                <w:kern w:val="0"/>
                <w:sz w:val="24"/>
                <w:szCs w:val="24"/>
                <w:highlight w:val="none"/>
              </w:rPr>
              <w:t>辐射工作人员上岗前应完成职业健康体检、</w:t>
            </w:r>
            <w:r>
              <w:rPr>
                <w:rFonts w:hint="eastAsia"/>
                <w:color w:val="auto"/>
                <w:sz w:val="24"/>
                <w:szCs w:val="24"/>
                <w:highlight w:val="none"/>
              </w:rPr>
              <w:t>取得核技术利用辐射安全与防护考核合格证书和委托有资质单位开展个人剂量工作。</w:t>
            </w:r>
          </w:p>
          <w:bookmarkEnd w:id="117"/>
          <w:p w14:paraId="14BE5D6C">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right="0" w:rightChars="0" w:firstLine="482" w:firstLineChars="200"/>
              <w:textAlignment w:val="auto"/>
              <w:rPr>
                <w:rFonts w:hint="eastAsia"/>
                <w:b/>
                <w:bCs/>
                <w:color w:val="auto"/>
                <w:sz w:val="24"/>
                <w:szCs w:val="24"/>
                <w:highlight w:val="none"/>
                <w:lang w:eastAsia="zh-CN"/>
              </w:rPr>
            </w:pPr>
            <w:bookmarkStart w:id="124" w:name="_Toc66001583"/>
            <w:bookmarkStart w:id="125" w:name="_Toc66010017"/>
            <w:bookmarkStart w:id="126" w:name="_Toc26160"/>
            <w:bookmarkStart w:id="127" w:name="_Toc36829711"/>
            <w:bookmarkStart w:id="128" w:name="_Toc30629"/>
            <w:bookmarkStart w:id="129" w:name="_Toc751"/>
            <w:r>
              <w:rPr>
                <w:rFonts w:hint="eastAsia"/>
                <w:b/>
                <w:bCs/>
                <w:color w:val="auto"/>
                <w:sz w:val="24"/>
                <w:szCs w:val="24"/>
                <w:highlight w:val="none"/>
              </w:rPr>
              <w:t>3、</w:t>
            </w:r>
            <w:r>
              <w:rPr>
                <w:rFonts w:hint="eastAsia"/>
                <w:b/>
                <w:bCs/>
                <w:color w:val="auto"/>
                <w:sz w:val="24"/>
                <w:szCs w:val="24"/>
                <w:highlight w:val="none"/>
                <w:lang w:eastAsia="zh-CN"/>
              </w:rPr>
              <w:t>营运期污染源项描述</w:t>
            </w:r>
            <w:bookmarkEnd w:id="124"/>
            <w:bookmarkEnd w:id="125"/>
            <w:bookmarkEnd w:id="126"/>
            <w:bookmarkEnd w:id="127"/>
            <w:bookmarkEnd w:id="128"/>
            <w:bookmarkEnd w:id="129"/>
          </w:p>
          <w:p w14:paraId="7B82BCD2">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right="0" w:rightChars="0" w:firstLine="482" w:firstLineChars="200"/>
              <w:textAlignment w:val="auto"/>
              <w:rPr>
                <w:rFonts w:hint="eastAsia"/>
                <w:b/>
                <w:bCs/>
                <w:color w:val="auto"/>
                <w:sz w:val="24"/>
                <w:szCs w:val="24"/>
                <w:highlight w:val="none"/>
                <w:lang w:eastAsia="zh-CN"/>
              </w:rPr>
            </w:pPr>
            <w:r>
              <w:rPr>
                <w:rFonts w:hint="eastAsia"/>
                <w:b/>
                <w:bCs/>
                <w:color w:val="auto"/>
                <w:sz w:val="24"/>
                <w:szCs w:val="24"/>
                <w:highlight w:val="none"/>
                <w:lang w:eastAsia="zh-CN"/>
              </w:rPr>
              <w:t>3.1、放射性污染源分析</w:t>
            </w:r>
          </w:p>
          <w:p w14:paraId="7FDE89A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kern w:val="0"/>
                <w:sz w:val="24"/>
                <w:szCs w:val="24"/>
                <w:highlight w:val="none"/>
                <w:lang w:val="zh-CN"/>
              </w:rPr>
            </w:pPr>
            <w:r>
              <w:rPr>
                <w:rFonts w:hint="eastAsia"/>
                <w:color w:val="auto"/>
                <w:kern w:val="0"/>
                <w:sz w:val="24"/>
                <w:szCs w:val="24"/>
                <w:highlight w:val="none"/>
                <w:lang w:val="zh-CN"/>
              </w:rPr>
              <w:t>由X射线探伤</w:t>
            </w:r>
            <w:r>
              <w:rPr>
                <w:rFonts w:hint="eastAsia"/>
                <w:color w:val="auto"/>
                <w:kern w:val="0"/>
                <w:sz w:val="24"/>
                <w:szCs w:val="24"/>
                <w:highlight w:val="none"/>
              </w:rPr>
              <w:t>机</w:t>
            </w:r>
            <w:r>
              <w:rPr>
                <w:rFonts w:hint="eastAsia"/>
                <w:color w:val="auto"/>
                <w:kern w:val="0"/>
                <w:sz w:val="24"/>
                <w:szCs w:val="24"/>
                <w:highlight w:val="none"/>
                <w:lang w:val="zh-CN"/>
              </w:rPr>
              <w:t>的工作原理可知，X射线是随机器的开、关而产生和消失。因此，正常工况时，在开机曝光期间，放射性污染物为初始X射线及其散射线、漏射线。本项目</w:t>
            </w:r>
            <w:r>
              <w:rPr>
                <w:color w:val="auto"/>
                <w:kern w:val="0"/>
                <w:sz w:val="24"/>
                <w:szCs w:val="24"/>
                <w:highlight w:val="none"/>
                <w:lang w:val="zh-CN"/>
              </w:rPr>
              <w:t>工作期间X射线是污染环境的主要污染物。</w:t>
            </w:r>
          </w:p>
          <w:p w14:paraId="3C2190E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right="0" w:rightChars="0" w:firstLine="482" w:firstLineChars="200"/>
              <w:textAlignment w:val="auto"/>
              <w:rPr>
                <w:b/>
                <w:bCs/>
                <w:color w:val="auto"/>
                <w:sz w:val="24"/>
                <w:szCs w:val="24"/>
                <w:highlight w:val="none"/>
              </w:rPr>
            </w:pPr>
            <w:r>
              <w:rPr>
                <w:rFonts w:hint="eastAsia"/>
                <w:b/>
                <w:bCs/>
                <w:color w:val="auto"/>
                <w:sz w:val="24"/>
                <w:szCs w:val="24"/>
                <w:highlight w:val="none"/>
              </w:rPr>
              <w:t>3.2</w:t>
            </w:r>
            <w:r>
              <w:rPr>
                <w:rFonts w:hint="eastAsia"/>
                <w:b/>
                <w:bCs/>
                <w:color w:val="auto"/>
                <w:sz w:val="24"/>
                <w:szCs w:val="24"/>
                <w:highlight w:val="none"/>
                <w:lang w:eastAsia="zh-CN"/>
              </w:rPr>
              <w:t>、</w:t>
            </w:r>
            <w:r>
              <w:rPr>
                <w:b/>
                <w:bCs/>
                <w:color w:val="auto"/>
                <w:sz w:val="24"/>
                <w:szCs w:val="24"/>
                <w:highlight w:val="none"/>
              </w:rPr>
              <w:t>非</w:t>
            </w:r>
            <w:r>
              <w:rPr>
                <w:rFonts w:hint="eastAsia"/>
                <w:b/>
                <w:bCs/>
                <w:color w:val="auto"/>
                <w:sz w:val="24"/>
                <w:szCs w:val="24"/>
                <w:highlight w:val="none"/>
                <w:lang w:eastAsia="zh-CN"/>
              </w:rPr>
              <w:t>放射性</w:t>
            </w:r>
            <w:r>
              <w:rPr>
                <w:b/>
                <w:bCs/>
                <w:color w:val="auto"/>
                <w:sz w:val="24"/>
                <w:szCs w:val="24"/>
                <w:highlight w:val="none"/>
              </w:rPr>
              <w:t>污染源分析</w:t>
            </w:r>
          </w:p>
          <w:p w14:paraId="0292731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（1）废气</w:t>
            </w:r>
          </w:p>
          <w:p w14:paraId="04B2401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X射线探伤机</w:t>
            </w:r>
            <w:r>
              <w:rPr>
                <w:color w:val="auto"/>
                <w:sz w:val="24"/>
                <w:szCs w:val="24"/>
                <w:highlight w:val="none"/>
              </w:rPr>
              <w:t>在工作状态时，产生的X射线使空气电离产生少量臭氧和氮氧化物。项目</w:t>
            </w:r>
            <w:r>
              <w:rPr>
                <w:rFonts w:hint="eastAsia"/>
                <w:color w:val="auto"/>
                <w:sz w:val="24"/>
                <w:szCs w:val="24"/>
                <w:highlight w:val="none"/>
              </w:rPr>
              <w:t>探伤房内</w:t>
            </w:r>
            <w:r>
              <w:rPr>
                <w:color w:val="auto"/>
                <w:sz w:val="24"/>
                <w:szCs w:val="24"/>
                <w:highlight w:val="none"/>
              </w:rPr>
              <w:t>设置机械通风装置，</w:t>
            </w:r>
            <w:r>
              <w:rPr>
                <w:rFonts w:hint="eastAsia"/>
                <w:color w:val="auto"/>
                <w:sz w:val="24"/>
                <w:szCs w:val="24"/>
                <w:highlight w:val="none"/>
              </w:rPr>
              <w:t>产生的</w:t>
            </w:r>
            <w:r>
              <w:rPr>
                <w:color w:val="auto"/>
                <w:sz w:val="24"/>
                <w:szCs w:val="24"/>
                <w:highlight w:val="none"/>
              </w:rPr>
              <w:t>少量的臭氧、氮氧化物等气体，通过机械通风装置排风机</w:t>
            </w:r>
            <w:r>
              <w:rPr>
                <w:rFonts w:hint="eastAsia"/>
                <w:color w:val="auto"/>
                <w:sz w:val="24"/>
                <w:szCs w:val="24"/>
                <w:highlight w:val="none"/>
              </w:rPr>
              <w:t>排出，并通过管道从探伤房</w:t>
            </w:r>
            <w:r>
              <w:rPr>
                <w:rFonts w:hint="eastAsia"/>
                <w:color w:val="auto"/>
                <w:sz w:val="24"/>
                <w:szCs w:val="24"/>
                <w:highlight w:val="none"/>
                <w:lang w:val="en-US" w:eastAsia="zh-CN"/>
              </w:rPr>
              <w:t>地下东北</w:t>
            </w:r>
            <w:r>
              <w:rPr>
                <w:rFonts w:hint="eastAsia"/>
                <w:color w:val="auto"/>
                <w:sz w:val="24"/>
                <w:szCs w:val="24"/>
                <w:highlight w:val="none"/>
              </w:rPr>
              <w:t>侧</w:t>
            </w:r>
            <w:r>
              <w:rPr>
                <w:rFonts w:hint="eastAsia"/>
                <w:color w:val="auto"/>
                <w:sz w:val="24"/>
                <w:szCs w:val="24"/>
                <w:highlight w:val="none"/>
                <w:lang w:val="en-US" w:eastAsia="zh-CN"/>
              </w:rPr>
              <w:t>穿墙后</w:t>
            </w:r>
            <w:r>
              <w:rPr>
                <w:rFonts w:hint="eastAsia"/>
                <w:color w:val="auto"/>
                <w:sz w:val="24"/>
                <w:szCs w:val="24"/>
                <w:highlight w:val="none"/>
              </w:rPr>
              <w:t>引出室外，</w:t>
            </w:r>
            <w:r>
              <w:rPr>
                <w:color w:val="auto"/>
                <w:sz w:val="24"/>
                <w:szCs w:val="24"/>
                <w:highlight w:val="none"/>
              </w:rPr>
              <w:t>排入大气环境</w:t>
            </w:r>
            <w:r>
              <w:rPr>
                <w:rFonts w:hint="eastAsia"/>
                <w:color w:val="auto"/>
                <w:sz w:val="24"/>
                <w:szCs w:val="24"/>
                <w:highlight w:val="none"/>
              </w:rPr>
              <w:t>。</w:t>
            </w:r>
          </w:p>
          <w:p w14:paraId="2EF5C7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根据</w:t>
            </w:r>
            <w:r>
              <w:rPr>
                <w:rFonts w:hint="eastAsia"/>
                <w:color w:val="auto"/>
                <w:sz w:val="24"/>
                <w:szCs w:val="24"/>
                <w:highlight w:val="none"/>
              </w:rPr>
              <w:t>《工业探伤放射防护标准》（GBZ117-2022）</w:t>
            </w:r>
            <w:r>
              <w:rPr>
                <w:color w:val="auto"/>
                <w:sz w:val="24"/>
                <w:szCs w:val="24"/>
                <w:highlight w:val="none"/>
              </w:rPr>
              <w:t>，</w:t>
            </w:r>
            <w:r>
              <w:rPr>
                <w:rFonts w:hint="eastAsia"/>
                <w:color w:val="auto"/>
                <w:sz w:val="24"/>
                <w:szCs w:val="24"/>
                <w:highlight w:val="none"/>
              </w:rPr>
              <w:t>X射线探伤房</w:t>
            </w:r>
            <w:r>
              <w:rPr>
                <w:color w:val="auto"/>
                <w:sz w:val="24"/>
                <w:szCs w:val="24"/>
                <w:highlight w:val="none"/>
              </w:rPr>
              <w:t>应设置机械通风装置，排风管道外口避免朝向人员活动密集区；每小时有效通风换气次数不小于3次。</w:t>
            </w:r>
          </w:p>
          <w:p w14:paraId="5CEBBA54">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color w:val="auto"/>
                <w:sz w:val="24"/>
                <w:szCs w:val="24"/>
                <w:highlight w:val="none"/>
              </w:rPr>
            </w:pPr>
            <w:r>
              <w:rPr>
                <w:rFonts w:hint="eastAsia"/>
                <w:color w:val="auto"/>
                <w:sz w:val="24"/>
                <w:szCs w:val="24"/>
                <w:highlight w:val="none"/>
              </w:rPr>
              <w:t>考虑到辐射防护安全与防护，</w:t>
            </w:r>
            <w:r>
              <w:rPr>
                <w:color w:val="auto"/>
                <w:sz w:val="24"/>
                <w:szCs w:val="24"/>
                <w:highlight w:val="none"/>
              </w:rPr>
              <w:t>项目</w:t>
            </w:r>
            <w:r>
              <w:rPr>
                <w:rFonts w:hint="eastAsia"/>
                <w:color w:val="auto"/>
                <w:kern w:val="0"/>
                <w:sz w:val="24"/>
                <w:szCs w:val="24"/>
                <w:highlight w:val="none"/>
              </w:rPr>
              <w:t>探伤房</w:t>
            </w:r>
            <w:r>
              <w:rPr>
                <w:rFonts w:hint="eastAsia"/>
                <w:color w:val="auto"/>
                <w:sz w:val="24"/>
                <w:szCs w:val="24"/>
                <w:highlight w:val="none"/>
              </w:rPr>
              <w:t>内</w:t>
            </w:r>
            <w:r>
              <w:rPr>
                <w:color w:val="auto"/>
                <w:sz w:val="24"/>
                <w:szCs w:val="24"/>
                <w:highlight w:val="none"/>
              </w:rPr>
              <w:t>设置机械通风装置，</w:t>
            </w:r>
            <w:r>
              <w:rPr>
                <w:rFonts w:hint="eastAsia"/>
                <w:color w:val="auto"/>
                <w:kern w:val="0"/>
                <w:sz w:val="24"/>
                <w:szCs w:val="24"/>
                <w:highlight w:val="none"/>
              </w:rPr>
              <w:t>探伤房</w:t>
            </w:r>
            <w:r>
              <w:rPr>
                <w:rFonts w:hint="eastAsia"/>
                <w:color w:val="auto"/>
                <w:spacing w:val="-2"/>
                <w:sz w:val="24"/>
                <w:szCs w:val="24"/>
                <w:highlight w:val="none"/>
              </w:rPr>
              <w:t>（内部尺寸为</w:t>
            </w:r>
            <w:r>
              <w:rPr>
                <w:color w:val="auto"/>
                <w:spacing w:val="-2"/>
                <w:sz w:val="24"/>
                <w:szCs w:val="24"/>
                <w:highlight w:val="none"/>
              </w:rPr>
              <w:t>宽</w:t>
            </w:r>
            <w:r>
              <w:rPr>
                <w:rFonts w:hint="eastAsia"/>
                <w:color w:val="auto"/>
                <w:spacing w:val="-2"/>
                <w:sz w:val="24"/>
                <w:szCs w:val="24"/>
                <w:highlight w:val="none"/>
              </w:rPr>
              <w:t>4</w:t>
            </w:r>
            <w:r>
              <w:rPr>
                <w:color w:val="auto"/>
                <w:spacing w:val="-2"/>
                <w:sz w:val="24"/>
                <w:szCs w:val="24"/>
                <w:highlight w:val="none"/>
              </w:rPr>
              <w:t>m×</w:t>
            </w:r>
            <w:r>
              <w:rPr>
                <w:rFonts w:hint="eastAsia"/>
                <w:color w:val="auto"/>
                <w:spacing w:val="-2"/>
                <w:sz w:val="24"/>
                <w:szCs w:val="24"/>
                <w:highlight w:val="none"/>
              </w:rPr>
              <w:t>长</w:t>
            </w:r>
            <w:r>
              <w:rPr>
                <w:rFonts w:hint="eastAsia"/>
                <w:color w:val="auto"/>
                <w:spacing w:val="-2"/>
                <w:sz w:val="24"/>
                <w:szCs w:val="24"/>
                <w:highlight w:val="none"/>
                <w:lang w:val="en-US" w:eastAsia="zh-CN"/>
              </w:rPr>
              <w:t>2.6</w:t>
            </w:r>
            <w:r>
              <w:rPr>
                <w:color w:val="auto"/>
                <w:spacing w:val="-2"/>
                <w:sz w:val="24"/>
                <w:szCs w:val="24"/>
                <w:highlight w:val="none"/>
              </w:rPr>
              <w:t>m×高</w:t>
            </w:r>
            <w:r>
              <w:rPr>
                <w:rFonts w:hint="eastAsia"/>
                <w:color w:val="auto"/>
                <w:spacing w:val="-2"/>
                <w:sz w:val="24"/>
                <w:szCs w:val="24"/>
                <w:highlight w:val="none"/>
                <w:lang w:val="en-US" w:eastAsia="zh-CN"/>
              </w:rPr>
              <w:t>2.5</w:t>
            </w:r>
            <w:r>
              <w:rPr>
                <w:color w:val="auto"/>
                <w:spacing w:val="-2"/>
                <w:sz w:val="24"/>
                <w:szCs w:val="24"/>
                <w:highlight w:val="none"/>
              </w:rPr>
              <w:t>m</w:t>
            </w:r>
            <w:r>
              <w:rPr>
                <w:rFonts w:hint="eastAsia"/>
                <w:color w:val="auto"/>
                <w:spacing w:val="-2"/>
                <w:sz w:val="24"/>
                <w:szCs w:val="24"/>
                <w:highlight w:val="none"/>
              </w:rPr>
              <w:t>）</w:t>
            </w:r>
            <w:r>
              <w:rPr>
                <w:color w:val="auto"/>
                <w:sz w:val="24"/>
                <w:szCs w:val="24"/>
                <w:highlight w:val="none"/>
              </w:rPr>
              <w:t>容积</w:t>
            </w:r>
            <w:r>
              <w:rPr>
                <w:rFonts w:hint="eastAsia"/>
                <w:color w:val="auto"/>
                <w:sz w:val="24"/>
                <w:szCs w:val="24"/>
                <w:highlight w:val="none"/>
              </w:rPr>
              <w:t>为</w:t>
            </w:r>
            <w:r>
              <w:rPr>
                <w:rFonts w:hint="eastAsia"/>
                <w:color w:val="auto"/>
                <w:sz w:val="24"/>
                <w:szCs w:val="24"/>
                <w:highlight w:val="none"/>
                <w:lang w:val="en-US" w:eastAsia="zh-CN"/>
              </w:rPr>
              <w:t>26</w:t>
            </w:r>
            <w:r>
              <w:rPr>
                <w:color w:val="auto"/>
                <w:sz w:val="24"/>
                <w:szCs w:val="24"/>
                <w:highlight w:val="none"/>
              </w:rPr>
              <w:t>m</w:t>
            </w:r>
            <w:r>
              <w:rPr>
                <w:color w:val="auto"/>
                <w:sz w:val="24"/>
                <w:szCs w:val="24"/>
                <w:highlight w:val="none"/>
                <w:vertAlign w:val="superscript"/>
              </w:rPr>
              <w:t>3</w:t>
            </w:r>
            <w:r>
              <w:rPr>
                <w:color w:val="auto"/>
                <w:sz w:val="24"/>
                <w:szCs w:val="24"/>
                <w:highlight w:val="none"/>
              </w:rPr>
              <w:t>，</w:t>
            </w:r>
            <w:r>
              <w:rPr>
                <w:rFonts w:hint="eastAsia"/>
                <w:color w:val="auto"/>
                <w:sz w:val="24"/>
                <w:szCs w:val="24"/>
                <w:highlight w:val="none"/>
              </w:rPr>
              <w:t>探伤房风机为4</w:t>
            </w:r>
            <w:r>
              <w:rPr>
                <w:rFonts w:hint="eastAsia"/>
                <w:color w:val="auto"/>
                <w:sz w:val="24"/>
                <w:szCs w:val="24"/>
                <w:highlight w:val="none"/>
                <w:lang w:val="en-US" w:eastAsia="zh-CN"/>
              </w:rPr>
              <w:t>0</w:t>
            </w:r>
            <w:r>
              <w:rPr>
                <w:rFonts w:hint="eastAsia"/>
                <w:color w:val="auto"/>
                <w:sz w:val="24"/>
                <w:szCs w:val="24"/>
                <w:highlight w:val="none"/>
              </w:rPr>
              <w:t>0</w:t>
            </w:r>
            <w:r>
              <w:rPr>
                <w:color w:val="auto"/>
                <w:sz w:val="24"/>
                <w:szCs w:val="24"/>
                <w:highlight w:val="none"/>
              </w:rPr>
              <w:t>m</w:t>
            </w:r>
            <w:r>
              <w:rPr>
                <w:color w:val="auto"/>
                <w:sz w:val="24"/>
                <w:szCs w:val="24"/>
                <w:highlight w:val="none"/>
                <w:vertAlign w:val="superscript"/>
              </w:rPr>
              <w:t>3</w:t>
            </w:r>
            <w:r>
              <w:rPr>
                <w:color w:val="auto"/>
                <w:sz w:val="24"/>
                <w:szCs w:val="24"/>
                <w:highlight w:val="none"/>
              </w:rPr>
              <w:t>/h</w:t>
            </w:r>
            <w:r>
              <w:rPr>
                <w:rFonts w:hint="eastAsia"/>
                <w:color w:val="auto"/>
                <w:sz w:val="24"/>
                <w:szCs w:val="24"/>
                <w:highlight w:val="none"/>
              </w:rPr>
              <w:t>，通风效率以80%计，</w:t>
            </w:r>
            <w:r>
              <w:rPr>
                <w:color w:val="auto"/>
                <w:sz w:val="24"/>
                <w:szCs w:val="24"/>
                <w:highlight w:val="none"/>
              </w:rPr>
              <w:t>通风换气次数为</w:t>
            </w:r>
            <w:r>
              <w:rPr>
                <w:rFonts w:hint="eastAsia"/>
                <w:color w:val="auto"/>
                <w:sz w:val="24"/>
                <w:szCs w:val="24"/>
                <w:highlight w:val="none"/>
                <w:lang w:val="en-US" w:eastAsia="zh-CN"/>
              </w:rPr>
              <w:t>13.3</w:t>
            </w:r>
            <w:r>
              <w:rPr>
                <w:color w:val="auto"/>
                <w:sz w:val="24"/>
                <w:szCs w:val="24"/>
                <w:highlight w:val="none"/>
              </w:rPr>
              <w:t>次/h。</w:t>
            </w:r>
            <w:r>
              <w:rPr>
                <w:color w:val="auto"/>
                <w:kern w:val="0"/>
                <w:sz w:val="24"/>
                <w:szCs w:val="24"/>
                <w:highlight w:val="none"/>
                <w:lang w:val="zh-CN"/>
              </w:rPr>
              <w:t>X射线</w:t>
            </w:r>
            <w:r>
              <w:rPr>
                <w:rFonts w:hint="eastAsia"/>
                <w:color w:val="auto"/>
                <w:kern w:val="0"/>
                <w:sz w:val="24"/>
                <w:szCs w:val="24"/>
                <w:highlight w:val="none"/>
              </w:rPr>
              <w:t>探伤房</w:t>
            </w:r>
            <w:r>
              <w:rPr>
                <w:rFonts w:hint="eastAsia"/>
                <w:color w:val="auto"/>
                <w:sz w:val="24"/>
                <w:szCs w:val="24"/>
                <w:highlight w:val="none"/>
              </w:rPr>
              <w:t>产生的</w:t>
            </w:r>
            <w:r>
              <w:rPr>
                <w:color w:val="auto"/>
                <w:sz w:val="24"/>
                <w:szCs w:val="24"/>
                <w:highlight w:val="none"/>
              </w:rPr>
              <w:t>少量的臭氧、氮氧化物等气体，通过机械通风装置排风机</w:t>
            </w:r>
            <w:r>
              <w:rPr>
                <w:rFonts w:hint="eastAsia"/>
                <w:color w:val="auto"/>
                <w:sz w:val="24"/>
                <w:szCs w:val="24"/>
                <w:highlight w:val="none"/>
              </w:rPr>
              <w:t>排出，并通过管道从探伤房</w:t>
            </w:r>
            <w:r>
              <w:rPr>
                <w:rFonts w:hint="eastAsia"/>
                <w:color w:val="auto"/>
                <w:sz w:val="24"/>
                <w:szCs w:val="24"/>
                <w:highlight w:val="none"/>
                <w:lang w:val="en-US" w:eastAsia="zh-CN"/>
              </w:rPr>
              <w:t>地下东北</w:t>
            </w:r>
            <w:r>
              <w:rPr>
                <w:rFonts w:hint="eastAsia"/>
                <w:color w:val="auto"/>
                <w:sz w:val="24"/>
                <w:szCs w:val="24"/>
                <w:highlight w:val="none"/>
              </w:rPr>
              <w:t>侧</w:t>
            </w:r>
            <w:r>
              <w:rPr>
                <w:rFonts w:hint="eastAsia"/>
                <w:color w:val="auto"/>
                <w:sz w:val="24"/>
                <w:szCs w:val="24"/>
                <w:highlight w:val="none"/>
                <w:lang w:val="en-US" w:eastAsia="zh-CN"/>
              </w:rPr>
              <w:t>穿墙后</w:t>
            </w:r>
            <w:r>
              <w:rPr>
                <w:rFonts w:hint="eastAsia"/>
                <w:color w:val="auto"/>
                <w:sz w:val="24"/>
                <w:szCs w:val="24"/>
                <w:highlight w:val="none"/>
              </w:rPr>
              <w:t>引出室外</w:t>
            </w:r>
            <w:r>
              <w:rPr>
                <w:rFonts w:hint="eastAsia"/>
                <w:color w:val="auto"/>
                <w:sz w:val="24"/>
                <w:szCs w:val="24"/>
                <w:highlight w:val="none"/>
                <w:lang w:val="en-US" w:eastAsia="zh-CN"/>
              </w:rPr>
              <w:t>高空</w:t>
            </w:r>
            <w:r>
              <w:rPr>
                <w:color w:val="auto"/>
                <w:sz w:val="24"/>
                <w:szCs w:val="24"/>
                <w:highlight w:val="none"/>
              </w:rPr>
              <w:t>排入大气环境，臭氧在常温下可自行分解为氧气，对环境影响较小。</w:t>
            </w:r>
          </w:p>
          <w:p w14:paraId="3E7C36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（2）</w:t>
            </w:r>
            <w:r>
              <w:rPr>
                <w:rFonts w:hint="eastAsia"/>
                <w:color w:val="auto"/>
                <w:sz w:val="24"/>
                <w:szCs w:val="24"/>
                <w:highlight w:val="none"/>
              </w:rPr>
              <w:t>固废</w:t>
            </w:r>
          </w:p>
          <w:p w14:paraId="5597C1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本项目运营期产生的固废主要包括废显（定）影液、</w:t>
            </w:r>
            <w:r>
              <w:rPr>
                <w:rFonts w:hint="eastAsia"/>
                <w:color w:val="auto"/>
                <w:sz w:val="24"/>
                <w:szCs w:val="24"/>
                <w:highlight w:val="none"/>
                <w:lang w:val="en-US" w:eastAsia="zh-CN"/>
              </w:rPr>
              <w:t>胶片冲洗废液、</w:t>
            </w:r>
            <w:r>
              <w:rPr>
                <w:rFonts w:hint="eastAsia"/>
                <w:color w:val="auto"/>
                <w:sz w:val="24"/>
                <w:szCs w:val="24"/>
                <w:highlight w:val="none"/>
              </w:rPr>
              <w:t>废胶片和生活垃圾。</w:t>
            </w:r>
          </w:p>
          <w:p w14:paraId="4747BA2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color w:val="auto"/>
                <w:sz w:val="24"/>
                <w:szCs w:val="24"/>
                <w:highlight w:val="none"/>
                <w:lang w:val="en-US" w:eastAsia="zh-CN"/>
              </w:rPr>
            </w:pPr>
            <w:r>
              <w:rPr>
                <w:rFonts w:hint="eastAsia"/>
                <w:color w:val="auto"/>
                <w:sz w:val="24"/>
                <w:szCs w:val="24"/>
                <w:highlight w:val="none"/>
              </w:rPr>
              <w:t>1）废</w:t>
            </w:r>
            <w:r>
              <w:rPr>
                <w:rFonts w:hint="eastAsia"/>
                <w:color w:val="auto"/>
                <w:sz w:val="24"/>
                <w:szCs w:val="24"/>
                <w:highlight w:val="none"/>
                <w:lang w:val="en-US" w:eastAsia="zh-CN"/>
              </w:rPr>
              <w:t>胶片冲洗废液</w:t>
            </w:r>
          </w:p>
          <w:p w14:paraId="66110E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本项目拍片完成后，在洗片过程中将产生</w:t>
            </w:r>
            <w:r>
              <w:rPr>
                <w:rFonts w:hint="eastAsia"/>
                <w:color w:val="auto"/>
                <w:sz w:val="24"/>
                <w:szCs w:val="24"/>
                <w:highlight w:val="none"/>
                <w:lang w:val="en-US" w:eastAsia="zh-CN"/>
              </w:rPr>
              <w:t>胶片冲洗废液</w:t>
            </w:r>
            <w:r>
              <w:rPr>
                <w:rFonts w:hint="eastAsia"/>
                <w:color w:val="auto"/>
                <w:sz w:val="24"/>
                <w:szCs w:val="24"/>
                <w:highlight w:val="none"/>
              </w:rPr>
              <w:t>，根据建设单位提供的资料，</w:t>
            </w:r>
            <w:r>
              <w:rPr>
                <w:color w:val="auto"/>
                <w:sz w:val="24"/>
                <w:szCs w:val="24"/>
                <w:highlight w:val="none"/>
              </w:rPr>
              <w:t>每</w:t>
            </w:r>
            <w:r>
              <w:rPr>
                <w:rFonts w:hint="eastAsia"/>
                <w:color w:val="auto"/>
                <w:sz w:val="24"/>
                <w:szCs w:val="24"/>
                <w:highlight w:val="none"/>
                <w:lang w:val="en-US" w:eastAsia="zh-CN"/>
              </w:rPr>
              <w:t>月预计胶片冲洗废液10kg</w:t>
            </w:r>
            <w:r>
              <w:rPr>
                <w:color w:val="auto"/>
                <w:sz w:val="24"/>
                <w:szCs w:val="24"/>
                <w:highlight w:val="none"/>
              </w:rPr>
              <w:t>，则年产生</w:t>
            </w:r>
            <w:r>
              <w:rPr>
                <w:rFonts w:hint="eastAsia"/>
                <w:color w:val="auto"/>
                <w:sz w:val="24"/>
                <w:szCs w:val="24"/>
                <w:highlight w:val="none"/>
                <w:lang w:val="en-US" w:eastAsia="zh-CN"/>
              </w:rPr>
              <w:t>胶片冲洗废液约为0.12t</w:t>
            </w:r>
            <w:r>
              <w:rPr>
                <w:color w:val="auto"/>
                <w:sz w:val="24"/>
                <w:szCs w:val="24"/>
                <w:highlight w:val="none"/>
              </w:rPr>
              <w:t xml:space="preserve">。 </w:t>
            </w:r>
          </w:p>
          <w:p w14:paraId="504D147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color w:val="auto"/>
                <w:sz w:val="24"/>
                <w:szCs w:val="24"/>
                <w:highlight w:val="none"/>
                <w:lang w:val="en-US" w:eastAsia="zh-CN"/>
              </w:rPr>
            </w:pPr>
            <w:r>
              <w:rPr>
                <w:color w:val="auto"/>
                <w:sz w:val="24"/>
                <w:szCs w:val="24"/>
                <w:highlight w:val="none"/>
              </w:rPr>
              <w:t>2）废胶片</w:t>
            </w:r>
            <w:r>
              <w:rPr>
                <w:rFonts w:hint="eastAsia"/>
                <w:color w:val="auto"/>
                <w:sz w:val="24"/>
                <w:szCs w:val="24"/>
                <w:highlight w:val="none"/>
                <w:lang w:eastAsia="zh-CN"/>
              </w:rPr>
              <w:t>、</w:t>
            </w:r>
            <w:r>
              <w:rPr>
                <w:rFonts w:hint="eastAsia"/>
                <w:color w:val="auto"/>
                <w:sz w:val="24"/>
                <w:szCs w:val="24"/>
                <w:highlight w:val="none"/>
                <w:lang w:val="en-US" w:eastAsia="zh-CN"/>
              </w:rPr>
              <w:t>废</w:t>
            </w:r>
            <w:r>
              <w:rPr>
                <w:rFonts w:hint="eastAsia" w:eastAsia="宋体"/>
                <w:color w:val="auto"/>
                <w:sz w:val="24"/>
                <w:szCs w:val="24"/>
                <w:highlight w:val="none"/>
                <w:lang w:val="en-US" w:eastAsia="zh-CN"/>
              </w:rPr>
              <w:t>显（定）影液</w:t>
            </w:r>
          </w:p>
          <w:p w14:paraId="4519D27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color w:val="auto"/>
                <w:sz w:val="24"/>
                <w:szCs w:val="24"/>
                <w:highlight w:val="none"/>
                <w:lang w:val="en-US" w:eastAsia="zh-CN"/>
              </w:rPr>
            </w:pPr>
            <w:r>
              <w:rPr>
                <w:color w:val="auto"/>
                <w:sz w:val="24"/>
                <w:szCs w:val="24"/>
                <w:highlight w:val="none"/>
              </w:rPr>
              <w:t>根据建设单位提供的资料，胶片</w:t>
            </w:r>
            <w:r>
              <w:rPr>
                <w:rFonts w:hint="eastAsia"/>
                <w:color w:val="auto"/>
                <w:sz w:val="24"/>
                <w:szCs w:val="24"/>
                <w:highlight w:val="none"/>
                <w:lang w:val="en-US" w:eastAsia="zh-CN"/>
              </w:rPr>
              <w:t>年</w:t>
            </w:r>
            <w:r>
              <w:rPr>
                <w:color w:val="auto"/>
                <w:sz w:val="24"/>
                <w:szCs w:val="24"/>
                <w:highlight w:val="none"/>
              </w:rPr>
              <w:t>产生量约</w:t>
            </w:r>
            <w:r>
              <w:rPr>
                <w:rFonts w:hint="eastAsia"/>
                <w:color w:val="auto"/>
                <w:sz w:val="24"/>
                <w:szCs w:val="24"/>
                <w:highlight w:val="none"/>
                <w:lang w:val="en-US" w:eastAsia="zh-CN"/>
              </w:rPr>
              <w:t>700张</w:t>
            </w:r>
            <w:r>
              <w:rPr>
                <w:color w:val="auto"/>
                <w:sz w:val="24"/>
                <w:szCs w:val="24"/>
                <w:highlight w:val="none"/>
              </w:rPr>
              <w:t>，</w:t>
            </w:r>
            <w:r>
              <w:rPr>
                <w:rFonts w:hint="eastAsia" w:eastAsia="宋体"/>
                <w:color w:val="auto"/>
                <w:sz w:val="24"/>
                <w:szCs w:val="24"/>
                <w:highlight w:val="none"/>
                <w:lang w:val="en-US" w:eastAsia="zh-CN"/>
              </w:rPr>
              <w:t xml:space="preserve">每张胶片的重量约 </w:t>
            </w:r>
            <w:r>
              <w:rPr>
                <w:rFonts w:hint="default" w:eastAsia="宋体"/>
                <w:color w:val="auto"/>
                <w:sz w:val="24"/>
                <w:szCs w:val="24"/>
                <w:highlight w:val="none"/>
                <w:lang w:val="en-US" w:eastAsia="zh-CN"/>
              </w:rPr>
              <w:t>0.05kg/</w:t>
            </w:r>
            <w:r>
              <w:rPr>
                <w:rFonts w:hint="eastAsia" w:eastAsia="宋体"/>
                <w:color w:val="auto"/>
                <w:sz w:val="24"/>
                <w:szCs w:val="24"/>
                <w:highlight w:val="none"/>
                <w:lang w:val="en-US" w:eastAsia="zh-CN"/>
              </w:rPr>
              <w:t>张，</w:t>
            </w:r>
            <w:r>
              <w:rPr>
                <w:rFonts w:hint="eastAsia"/>
                <w:color w:val="auto"/>
                <w:sz w:val="24"/>
                <w:szCs w:val="24"/>
                <w:highlight w:val="none"/>
                <w:lang w:val="en-US" w:eastAsia="zh-CN"/>
              </w:rPr>
              <w:t>废胶片产生量约为拍摄胶片总数量的5%，则废胶片产生量为1.75kg/a。</w:t>
            </w:r>
          </w:p>
          <w:p w14:paraId="09D257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rPr>
            </w:pPr>
            <w:r>
              <w:rPr>
                <w:rFonts w:hint="eastAsia" w:eastAsia="宋体"/>
                <w:color w:val="auto"/>
                <w:sz w:val="24"/>
                <w:szCs w:val="24"/>
                <w:highlight w:val="none"/>
                <w:lang w:val="en-US" w:eastAsia="zh-CN"/>
              </w:rPr>
              <w:t>本项目探伤机探伤过程会产生一定量的废显（定）影液及废胶片，属于《国家危险废物名录》（</w:t>
            </w:r>
            <w:r>
              <w:rPr>
                <w:rFonts w:hint="default" w:eastAsia="宋体"/>
                <w:color w:val="auto"/>
                <w:sz w:val="24"/>
                <w:szCs w:val="24"/>
                <w:highlight w:val="none"/>
                <w:lang w:val="en-US" w:eastAsia="zh-CN"/>
              </w:rPr>
              <w:t>2021</w:t>
            </w:r>
            <w:r>
              <w:rPr>
                <w:rFonts w:hint="eastAsia" w:eastAsia="宋体"/>
                <w:color w:val="auto"/>
                <w:sz w:val="24"/>
                <w:szCs w:val="24"/>
                <w:highlight w:val="none"/>
                <w:lang w:val="en-US" w:eastAsia="zh-CN"/>
              </w:rPr>
              <w:t>年版）中感光材料废物，危废代码为</w:t>
            </w:r>
            <w:r>
              <w:rPr>
                <w:rFonts w:hint="default" w:eastAsia="宋体"/>
                <w:color w:val="auto"/>
                <w:sz w:val="24"/>
                <w:szCs w:val="24"/>
                <w:highlight w:val="none"/>
                <w:lang w:val="en-US" w:eastAsia="zh-CN"/>
              </w:rPr>
              <w:t>HW16</w:t>
            </w:r>
            <w:r>
              <w:rPr>
                <w:rFonts w:hint="eastAsia" w:eastAsia="宋体"/>
                <w:color w:val="auto"/>
                <w:sz w:val="24"/>
                <w:szCs w:val="24"/>
                <w:highlight w:val="none"/>
                <w:lang w:val="en-US" w:eastAsia="zh-CN"/>
              </w:rPr>
              <w:t>：</w:t>
            </w:r>
            <w:r>
              <w:rPr>
                <w:rFonts w:hint="default" w:eastAsia="宋体"/>
                <w:color w:val="auto"/>
                <w:sz w:val="24"/>
                <w:szCs w:val="24"/>
                <w:highlight w:val="none"/>
                <w:lang w:val="en-US" w:eastAsia="zh-CN"/>
              </w:rPr>
              <w:t>900-019-16</w:t>
            </w:r>
            <w:r>
              <w:rPr>
                <w:rFonts w:hint="eastAsia" w:eastAsia="宋体"/>
                <w:color w:val="auto"/>
                <w:sz w:val="24"/>
                <w:szCs w:val="24"/>
                <w:highlight w:val="none"/>
                <w:lang w:val="en-US" w:eastAsia="zh-CN"/>
              </w:rPr>
              <w:t>，并无放射性。根据建设单位提供资料，结合本项目的工作负荷，本项目曝光室每年拍片约700张，一般每洗</w:t>
            </w:r>
            <w:r>
              <w:rPr>
                <w:rFonts w:hint="default" w:eastAsia="宋体"/>
                <w:color w:val="auto"/>
                <w:sz w:val="24"/>
                <w:szCs w:val="24"/>
                <w:highlight w:val="none"/>
                <w:lang w:val="en-US" w:eastAsia="zh-CN"/>
              </w:rPr>
              <w:t xml:space="preserve">2000 </w:t>
            </w:r>
            <w:r>
              <w:rPr>
                <w:rFonts w:hint="eastAsia" w:eastAsia="宋体"/>
                <w:color w:val="auto"/>
                <w:sz w:val="24"/>
                <w:szCs w:val="24"/>
                <w:highlight w:val="none"/>
                <w:lang w:val="en-US" w:eastAsia="zh-CN"/>
              </w:rPr>
              <w:t>张片子约产生废显（定）影液约</w:t>
            </w:r>
            <w:r>
              <w:rPr>
                <w:rFonts w:hint="default" w:eastAsia="宋体"/>
                <w:color w:val="auto"/>
                <w:sz w:val="24"/>
                <w:szCs w:val="24"/>
                <w:highlight w:val="none"/>
                <w:lang w:val="en-US" w:eastAsia="zh-CN"/>
              </w:rPr>
              <w:t>40kg</w:t>
            </w:r>
            <w:r>
              <w:rPr>
                <w:rFonts w:hint="eastAsia" w:eastAsia="宋体"/>
                <w:color w:val="auto"/>
                <w:sz w:val="24"/>
                <w:szCs w:val="24"/>
                <w:highlight w:val="none"/>
                <w:lang w:val="en-US" w:eastAsia="zh-CN"/>
              </w:rPr>
              <w:t>，则本项目废显（定）影液预计产生量共计约</w:t>
            </w:r>
            <w:r>
              <w:rPr>
                <w:rFonts w:hint="default" w:eastAsia="宋体"/>
                <w:color w:val="auto"/>
                <w:sz w:val="24"/>
                <w:szCs w:val="24"/>
                <w:highlight w:val="none"/>
                <w:lang w:val="en-US" w:eastAsia="zh-CN"/>
              </w:rPr>
              <w:t>0.</w:t>
            </w:r>
            <w:r>
              <w:rPr>
                <w:rFonts w:hint="eastAsia" w:eastAsia="宋体"/>
                <w:color w:val="auto"/>
                <w:sz w:val="24"/>
                <w:szCs w:val="24"/>
                <w:highlight w:val="none"/>
                <w:lang w:val="en-US" w:eastAsia="zh-CN"/>
              </w:rPr>
              <w:t>014</w:t>
            </w:r>
            <w:r>
              <w:rPr>
                <w:rFonts w:hint="default" w:eastAsia="宋体"/>
                <w:color w:val="auto"/>
                <w:sz w:val="24"/>
                <w:szCs w:val="24"/>
                <w:highlight w:val="none"/>
                <w:lang w:val="en-US" w:eastAsia="zh-CN"/>
              </w:rPr>
              <w:t>t/a</w:t>
            </w:r>
            <w:r>
              <w:rPr>
                <w:rFonts w:hint="eastAsia" w:eastAsia="宋体"/>
                <w:color w:val="auto"/>
                <w:sz w:val="24"/>
                <w:szCs w:val="24"/>
                <w:highlight w:val="none"/>
                <w:lang w:val="en-US" w:eastAsia="zh-CN"/>
              </w:rPr>
              <w:t>。</w:t>
            </w:r>
            <w:r>
              <w:rPr>
                <w:rFonts w:hint="eastAsia" w:ascii="宋体" w:hAnsi="宋体" w:eastAsia="宋体" w:cs="宋体"/>
                <w:color w:val="auto"/>
                <w:kern w:val="0"/>
                <w:sz w:val="24"/>
                <w:szCs w:val="24"/>
                <w:lang w:val="en-US" w:eastAsia="zh-CN" w:bidi="ar"/>
              </w:rPr>
              <w:t xml:space="preserve"> </w:t>
            </w:r>
          </w:p>
          <w:p w14:paraId="14C815A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3）生活垃圾</w:t>
            </w:r>
          </w:p>
          <w:p w14:paraId="0A90C5D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sz w:val="24"/>
                <w:szCs w:val="24"/>
                <w:highlight w:val="none"/>
                <w:lang w:val="en-US" w:eastAsia="zh-CN"/>
              </w:rPr>
            </w:pPr>
            <w:r>
              <w:rPr>
                <w:rFonts w:hint="eastAsia" w:eastAsia="宋体"/>
                <w:color w:val="auto"/>
                <w:sz w:val="24"/>
                <w:szCs w:val="24"/>
                <w:highlight w:val="none"/>
                <w:lang w:val="en-US" w:eastAsia="zh-CN"/>
              </w:rPr>
              <w:t>本项目暂定辐射工作人员</w:t>
            </w:r>
            <w:r>
              <w:rPr>
                <w:rFonts w:hint="default" w:eastAsia="宋体"/>
                <w:color w:val="auto"/>
                <w:sz w:val="24"/>
                <w:szCs w:val="24"/>
                <w:highlight w:val="none"/>
                <w:lang w:val="en-US" w:eastAsia="zh-CN"/>
              </w:rPr>
              <w:t>2</w:t>
            </w:r>
            <w:r>
              <w:rPr>
                <w:rFonts w:hint="eastAsia" w:eastAsia="宋体"/>
                <w:color w:val="auto"/>
                <w:sz w:val="24"/>
                <w:szCs w:val="24"/>
                <w:highlight w:val="none"/>
                <w:lang w:val="en-US" w:eastAsia="zh-CN"/>
              </w:rPr>
              <w:t>人，年工作</w:t>
            </w:r>
            <w:r>
              <w:rPr>
                <w:rFonts w:hint="default" w:eastAsia="宋体"/>
                <w:color w:val="auto"/>
                <w:sz w:val="24"/>
                <w:szCs w:val="24"/>
                <w:highlight w:val="none"/>
                <w:lang w:val="en-US" w:eastAsia="zh-CN"/>
              </w:rPr>
              <w:t>250</w:t>
            </w:r>
            <w:r>
              <w:rPr>
                <w:rFonts w:hint="eastAsia" w:eastAsia="宋体"/>
                <w:color w:val="auto"/>
                <w:sz w:val="24"/>
                <w:szCs w:val="24"/>
                <w:highlight w:val="none"/>
                <w:lang w:val="en-US" w:eastAsia="zh-CN"/>
              </w:rPr>
              <w:t>天，均从厂区内部进行调剂，故不新增生活垃圾产生量</w:t>
            </w:r>
            <w:r>
              <w:rPr>
                <w:rFonts w:hint="eastAsia"/>
                <w:color w:val="auto"/>
                <w:sz w:val="24"/>
                <w:szCs w:val="24"/>
                <w:highlight w:val="none"/>
                <w:lang w:val="en-US" w:eastAsia="zh-CN"/>
              </w:rPr>
              <w:t>。</w:t>
            </w:r>
          </w:p>
          <w:p w14:paraId="3142BB8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sz w:val="24"/>
                <w:szCs w:val="24"/>
                <w:highlight w:val="none"/>
                <w:lang w:val="en-US" w:eastAsia="zh-CN"/>
              </w:rPr>
            </w:pPr>
            <w:r>
              <w:rPr>
                <w:rFonts w:hint="eastAsia" w:eastAsia="宋体"/>
                <w:color w:val="auto"/>
                <w:sz w:val="24"/>
                <w:szCs w:val="24"/>
                <w:highlight w:val="none"/>
                <w:lang w:val="en-US" w:eastAsia="zh-CN"/>
              </w:rPr>
              <w:t>（3）废水</w:t>
            </w:r>
          </w:p>
          <w:p w14:paraId="418794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sz w:val="24"/>
                <w:szCs w:val="24"/>
                <w:highlight w:val="none"/>
                <w:lang w:val="en-US" w:eastAsia="zh-CN"/>
              </w:rPr>
            </w:pPr>
            <w:r>
              <w:rPr>
                <w:rFonts w:hint="eastAsia" w:eastAsia="宋体"/>
                <w:color w:val="auto"/>
                <w:sz w:val="24"/>
                <w:szCs w:val="24"/>
                <w:highlight w:val="none"/>
                <w:lang w:val="en-US" w:eastAsia="zh-CN"/>
              </w:rPr>
              <w:t>本项目暂定辐射工作人员</w:t>
            </w:r>
            <w:r>
              <w:rPr>
                <w:rFonts w:hint="default" w:eastAsia="宋体"/>
                <w:color w:val="auto"/>
                <w:sz w:val="24"/>
                <w:szCs w:val="24"/>
                <w:highlight w:val="none"/>
                <w:lang w:val="en-US" w:eastAsia="zh-CN"/>
              </w:rPr>
              <w:t>2</w:t>
            </w:r>
            <w:r>
              <w:rPr>
                <w:rFonts w:hint="eastAsia" w:eastAsia="宋体"/>
                <w:color w:val="auto"/>
                <w:sz w:val="24"/>
                <w:szCs w:val="24"/>
                <w:highlight w:val="none"/>
                <w:lang w:val="en-US" w:eastAsia="zh-CN"/>
              </w:rPr>
              <w:t>人，年工作</w:t>
            </w:r>
            <w:r>
              <w:rPr>
                <w:rFonts w:hint="default" w:eastAsia="宋体"/>
                <w:color w:val="auto"/>
                <w:sz w:val="24"/>
                <w:szCs w:val="24"/>
                <w:highlight w:val="none"/>
                <w:lang w:val="en-US" w:eastAsia="zh-CN"/>
              </w:rPr>
              <w:t>250</w:t>
            </w:r>
            <w:r>
              <w:rPr>
                <w:rFonts w:hint="eastAsia" w:eastAsia="宋体"/>
                <w:color w:val="auto"/>
                <w:sz w:val="24"/>
                <w:szCs w:val="24"/>
                <w:highlight w:val="none"/>
                <w:lang w:val="en-US" w:eastAsia="zh-CN"/>
              </w:rPr>
              <w:t>天，均从厂区内部进行调剂，故不新增生活污水产生量。</w:t>
            </w:r>
          </w:p>
          <w:p w14:paraId="756438A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（4）噪声</w:t>
            </w:r>
          </w:p>
          <w:p w14:paraId="534BDC56">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color w:val="auto"/>
                <w:sz w:val="24"/>
                <w:szCs w:val="24"/>
                <w:highlight w:val="none"/>
              </w:rPr>
            </w:pPr>
            <w:r>
              <w:rPr>
                <w:color w:val="auto"/>
                <w:sz w:val="24"/>
                <w:szCs w:val="24"/>
                <w:highlight w:val="none"/>
              </w:rPr>
              <w:t>项目</w:t>
            </w:r>
            <w:r>
              <w:rPr>
                <w:rFonts w:hint="eastAsia"/>
                <w:color w:val="auto"/>
                <w:sz w:val="24"/>
                <w:szCs w:val="24"/>
                <w:highlight w:val="none"/>
              </w:rPr>
              <w:t>X射线探伤房</w:t>
            </w:r>
            <w:r>
              <w:rPr>
                <w:color w:val="auto"/>
                <w:sz w:val="24"/>
                <w:szCs w:val="24"/>
                <w:highlight w:val="none"/>
              </w:rPr>
              <w:t>设置机械通风系统，</w:t>
            </w:r>
            <w:r>
              <w:rPr>
                <w:rFonts w:hint="eastAsia"/>
                <w:color w:val="auto"/>
                <w:sz w:val="24"/>
                <w:szCs w:val="24"/>
                <w:highlight w:val="none"/>
              </w:rPr>
              <w:t>设置1台排风机，</w:t>
            </w:r>
            <w:r>
              <w:rPr>
                <w:color w:val="auto"/>
                <w:sz w:val="24"/>
                <w:szCs w:val="24"/>
                <w:highlight w:val="none"/>
              </w:rPr>
              <w:t>排风设施位于</w:t>
            </w:r>
            <w:r>
              <w:rPr>
                <w:rFonts w:hint="eastAsia"/>
                <w:color w:val="auto"/>
                <w:sz w:val="24"/>
                <w:szCs w:val="24"/>
                <w:highlight w:val="none"/>
              </w:rPr>
              <w:t>X射线探伤房</w:t>
            </w:r>
            <w:r>
              <w:rPr>
                <w:rFonts w:hint="eastAsia"/>
                <w:color w:val="auto"/>
                <w:sz w:val="24"/>
                <w:szCs w:val="24"/>
                <w:highlight w:val="none"/>
                <w:lang w:val="en-US" w:eastAsia="zh-CN"/>
              </w:rPr>
              <w:t>东北</w:t>
            </w:r>
            <w:r>
              <w:rPr>
                <w:rFonts w:hint="eastAsia"/>
                <w:color w:val="auto"/>
                <w:sz w:val="24"/>
                <w:szCs w:val="24"/>
                <w:highlight w:val="none"/>
              </w:rPr>
              <w:t>侧</w:t>
            </w:r>
            <w:r>
              <w:rPr>
                <w:color w:val="auto"/>
                <w:sz w:val="24"/>
                <w:szCs w:val="24"/>
                <w:highlight w:val="none"/>
              </w:rPr>
              <w:t>，</w:t>
            </w:r>
            <w:r>
              <w:rPr>
                <w:rFonts w:hint="eastAsia"/>
                <w:color w:val="auto"/>
                <w:sz w:val="24"/>
                <w:szCs w:val="24"/>
                <w:highlight w:val="none"/>
                <w:lang w:val="en-US" w:eastAsia="zh-CN"/>
              </w:rPr>
              <w:t>采用管道地下穿墙的方式，引出探伤房室外高空排放，</w:t>
            </w:r>
            <w:r>
              <w:rPr>
                <w:color w:val="auto"/>
                <w:sz w:val="24"/>
                <w:szCs w:val="24"/>
                <w:highlight w:val="none"/>
              </w:rPr>
              <w:t>排风机运行时产生噪声。</w:t>
            </w:r>
            <w:r>
              <w:rPr>
                <w:rFonts w:hint="eastAsia"/>
                <w:color w:val="auto"/>
                <w:sz w:val="24"/>
                <w:szCs w:val="24"/>
                <w:highlight w:val="none"/>
              </w:rPr>
              <w:t>风机</w:t>
            </w:r>
            <w:r>
              <w:rPr>
                <w:color w:val="auto"/>
                <w:sz w:val="24"/>
                <w:szCs w:val="24"/>
                <w:highlight w:val="none"/>
              </w:rPr>
              <w:t>噪声源强不超过</w:t>
            </w:r>
            <w:r>
              <w:rPr>
                <w:rFonts w:hint="eastAsia"/>
                <w:color w:val="auto"/>
                <w:sz w:val="24"/>
                <w:szCs w:val="24"/>
                <w:highlight w:val="none"/>
              </w:rPr>
              <w:t>60</w:t>
            </w:r>
            <w:r>
              <w:rPr>
                <w:color w:val="auto"/>
                <w:sz w:val="24"/>
                <w:szCs w:val="24"/>
                <w:highlight w:val="none"/>
              </w:rPr>
              <w:t>dB（A）。</w:t>
            </w:r>
          </w:p>
          <w:p w14:paraId="7DB8618D">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right="0" w:rightChars="0" w:firstLine="482" w:firstLineChars="200"/>
              <w:textAlignment w:val="auto"/>
              <w:rPr>
                <w:b/>
                <w:bCs/>
                <w:color w:val="auto"/>
                <w:sz w:val="24"/>
                <w:szCs w:val="24"/>
                <w:highlight w:val="none"/>
                <w:lang w:val="zh-CN"/>
              </w:rPr>
            </w:pPr>
            <w:r>
              <w:rPr>
                <w:rFonts w:hint="eastAsia"/>
                <w:b/>
                <w:bCs/>
                <w:color w:val="auto"/>
                <w:sz w:val="24"/>
                <w:szCs w:val="24"/>
                <w:highlight w:val="none"/>
              </w:rPr>
              <w:t>3.</w:t>
            </w:r>
            <w:r>
              <w:rPr>
                <w:b/>
                <w:bCs/>
                <w:color w:val="auto"/>
                <w:sz w:val="24"/>
                <w:szCs w:val="24"/>
                <w:highlight w:val="none"/>
                <w:lang w:val="zh-CN"/>
              </w:rPr>
              <w:t>3</w:t>
            </w:r>
            <w:r>
              <w:rPr>
                <w:rFonts w:hint="eastAsia"/>
                <w:b/>
                <w:bCs/>
                <w:color w:val="auto"/>
                <w:sz w:val="24"/>
                <w:szCs w:val="24"/>
                <w:highlight w:val="none"/>
                <w:lang w:val="zh-CN"/>
              </w:rPr>
              <w:t>、</w:t>
            </w:r>
            <w:r>
              <w:rPr>
                <w:b/>
                <w:bCs/>
                <w:color w:val="auto"/>
                <w:sz w:val="24"/>
                <w:szCs w:val="24"/>
                <w:highlight w:val="none"/>
                <w:lang w:val="zh-CN"/>
              </w:rPr>
              <w:t>事故工况主要放射性污染物和污染途径</w:t>
            </w:r>
          </w:p>
          <w:p w14:paraId="5A821AE9">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color w:val="auto"/>
                <w:sz w:val="24"/>
                <w:szCs w:val="24"/>
                <w:highlight w:val="none"/>
                <w:lang w:val="zh-CN"/>
              </w:rPr>
            </w:pPr>
            <w:r>
              <w:rPr>
                <w:color w:val="auto"/>
                <w:sz w:val="24"/>
                <w:szCs w:val="24"/>
                <w:highlight w:val="none"/>
                <w:lang w:val="zh-CN"/>
              </w:rPr>
              <w:t>（1）</w:t>
            </w:r>
            <w:r>
              <w:rPr>
                <w:rFonts w:hint="eastAsia"/>
                <w:color w:val="auto"/>
                <w:sz w:val="24"/>
                <w:szCs w:val="24"/>
                <w:highlight w:val="none"/>
              </w:rPr>
              <w:t>X射线探伤房</w:t>
            </w:r>
            <w:r>
              <w:rPr>
                <w:color w:val="auto"/>
                <w:sz w:val="24"/>
                <w:szCs w:val="24"/>
                <w:highlight w:val="none"/>
                <w:lang w:val="zh-CN"/>
              </w:rPr>
              <w:t>安全联锁装置发生故障状况下</w:t>
            </w:r>
            <w:r>
              <w:rPr>
                <w:rFonts w:hint="eastAsia"/>
                <w:color w:val="auto"/>
                <w:sz w:val="24"/>
                <w:szCs w:val="24"/>
                <w:highlight w:val="none"/>
                <w:lang w:val="zh-CN"/>
              </w:rPr>
              <w:t>，</w:t>
            </w:r>
            <w:r>
              <w:rPr>
                <w:color w:val="auto"/>
                <w:sz w:val="24"/>
                <w:szCs w:val="24"/>
                <w:highlight w:val="none"/>
                <w:lang w:val="zh-CN"/>
              </w:rPr>
              <w:t>导致开机状态下防护门未完全关闭，对</w:t>
            </w:r>
            <w:r>
              <w:rPr>
                <w:rFonts w:hint="eastAsia"/>
                <w:color w:val="auto"/>
                <w:sz w:val="24"/>
                <w:szCs w:val="24"/>
                <w:highlight w:val="none"/>
                <w:lang w:val="zh-CN"/>
              </w:rPr>
              <w:t>探伤</w:t>
            </w:r>
            <w:r>
              <w:rPr>
                <w:color w:val="auto"/>
                <w:sz w:val="24"/>
                <w:szCs w:val="24"/>
                <w:highlight w:val="none"/>
                <w:lang w:val="zh-CN"/>
              </w:rPr>
              <w:t>辐射工作人员造成意外照射；</w:t>
            </w:r>
          </w:p>
          <w:p w14:paraId="233123F3">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color w:val="auto"/>
                <w:sz w:val="24"/>
                <w:szCs w:val="24"/>
                <w:highlight w:val="none"/>
                <w:lang w:val="zh-CN"/>
              </w:rPr>
            </w:pPr>
            <w:r>
              <w:rPr>
                <w:color w:val="auto"/>
                <w:sz w:val="24"/>
                <w:szCs w:val="24"/>
                <w:highlight w:val="none"/>
                <w:lang w:val="zh-CN"/>
              </w:rPr>
              <w:t>（2）</w:t>
            </w:r>
            <w:r>
              <w:rPr>
                <w:rFonts w:hint="eastAsia"/>
                <w:color w:val="auto"/>
                <w:sz w:val="24"/>
                <w:szCs w:val="24"/>
                <w:highlight w:val="none"/>
              </w:rPr>
              <w:t>X射线探伤</w:t>
            </w:r>
            <w:r>
              <w:rPr>
                <w:color w:val="auto"/>
                <w:sz w:val="24"/>
                <w:szCs w:val="24"/>
                <w:highlight w:val="none"/>
              </w:rPr>
              <w:t>房</w:t>
            </w:r>
            <w:r>
              <w:rPr>
                <w:color w:val="auto"/>
                <w:sz w:val="24"/>
                <w:szCs w:val="24"/>
                <w:highlight w:val="none"/>
                <w:lang w:val="zh-CN"/>
              </w:rPr>
              <w:t>安全联锁装置发生故障状况下，导致开机状态下人员误入</w:t>
            </w:r>
            <w:r>
              <w:rPr>
                <w:rFonts w:hint="eastAsia"/>
                <w:color w:val="auto"/>
                <w:sz w:val="24"/>
                <w:szCs w:val="24"/>
                <w:highlight w:val="none"/>
                <w:lang w:val="zh-CN"/>
              </w:rPr>
              <w:t>探伤</w:t>
            </w:r>
            <w:r>
              <w:rPr>
                <w:rFonts w:hint="eastAsia"/>
                <w:color w:val="auto"/>
                <w:sz w:val="24"/>
                <w:szCs w:val="24"/>
                <w:highlight w:val="none"/>
              </w:rPr>
              <w:t>房</w:t>
            </w:r>
            <w:r>
              <w:rPr>
                <w:color w:val="auto"/>
                <w:sz w:val="24"/>
                <w:szCs w:val="24"/>
                <w:highlight w:val="none"/>
                <w:lang w:val="zh-CN"/>
              </w:rPr>
              <w:t>，而造成辐射工作人员受到X射线照射；</w:t>
            </w:r>
          </w:p>
          <w:p w14:paraId="35FDB0E3">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color w:val="auto"/>
                <w:sz w:val="24"/>
                <w:szCs w:val="24"/>
                <w:highlight w:val="none"/>
                <w:lang w:val="zh-CN"/>
              </w:rPr>
            </w:pPr>
            <w:r>
              <w:rPr>
                <w:color w:val="auto"/>
                <w:sz w:val="24"/>
                <w:szCs w:val="24"/>
                <w:highlight w:val="none"/>
                <w:lang w:val="zh-CN"/>
              </w:rPr>
              <w:t>（3）有人员未撤离</w:t>
            </w:r>
            <w:r>
              <w:rPr>
                <w:rFonts w:hint="eastAsia"/>
                <w:color w:val="auto"/>
                <w:sz w:val="24"/>
                <w:szCs w:val="24"/>
                <w:highlight w:val="none"/>
              </w:rPr>
              <w:t>X射线探伤</w:t>
            </w:r>
            <w:r>
              <w:rPr>
                <w:color w:val="auto"/>
                <w:sz w:val="24"/>
                <w:szCs w:val="24"/>
                <w:highlight w:val="none"/>
              </w:rPr>
              <w:t>房</w:t>
            </w:r>
            <w:r>
              <w:rPr>
                <w:color w:val="auto"/>
                <w:sz w:val="24"/>
                <w:szCs w:val="24"/>
                <w:highlight w:val="none"/>
                <w:lang w:val="zh-CN"/>
              </w:rPr>
              <w:t>，即开机出束致人员受到X线照射。</w:t>
            </w:r>
          </w:p>
          <w:p w14:paraId="1032ED8C">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color w:val="auto"/>
                <w:sz w:val="24"/>
                <w:szCs w:val="24"/>
                <w:highlight w:val="none"/>
                <w:lang w:val="zh-CN"/>
              </w:rPr>
            </w:pPr>
          </w:p>
          <w:p w14:paraId="5519B84B">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color w:val="auto"/>
                <w:sz w:val="24"/>
                <w:szCs w:val="24"/>
                <w:highlight w:val="none"/>
                <w:lang w:val="zh-CN"/>
              </w:rPr>
            </w:pPr>
          </w:p>
          <w:p w14:paraId="0D16062F">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color w:val="auto"/>
                <w:sz w:val="24"/>
                <w:szCs w:val="24"/>
                <w:highlight w:val="none"/>
                <w:lang w:val="zh-CN"/>
              </w:rPr>
            </w:pPr>
          </w:p>
          <w:p w14:paraId="65803095">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color w:val="auto"/>
                <w:kern w:val="0"/>
                <w:sz w:val="24"/>
                <w:szCs w:val="24"/>
                <w:highlight w:val="none"/>
                <w:lang w:val="zh-CN"/>
              </w:rPr>
            </w:pPr>
          </w:p>
        </w:tc>
      </w:tr>
    </w:tbl>
    <w:p w14:paraId="70289027">
      <w:pPr>
        <w:pStyle w:val="3"/>
        <w:spacing w:before="0" w:after="0" w:line="360" w:lineRule="auto"/>
        <w:rPr>
          <w:color w:val="auto"/>
          <w:sz w:val="28"/>
          <w:szCs w:val="28"/>
          <w:highlight w:val="none"/>
        </w:rPr>
      </w:pPr>
      <w:bookmarkStart w:id="130" w:name="_Toc15389556"/>
      <w:bookmarkStart w:id="131" w:name="_Toc12286"/>
      <w:r>
        <w:rPr>
          <w:color w:val="auto"/>
          <w:sz w:val="28"/>
          <w:szCs w:val="28"/>
          <w:highlight w:val="none"/>
        </w:rPr>
        <w:t>表10 辐射安全与防护</w:t>
      </w:r>
      <w:bookmarkEnd w:id="130"/>
      <w:bookmarkEnd w:id="131"/>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30"/>
      </w:tblGrid>
      <w:tr w14:paraId="15F61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7" w:hRule="atLeast"/>
          <w:jc w:val="center"/>
        </w:trPr>
        <w:tc>
          <w:tcPr>
            <w:tcW w:w="8959" w:type="dxa"/>
          </w:tcPr>
          <w:p w14:paraId="6B208CAC">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bookmarkStart w:id="132" w:name="_Toc3656"/>
            <w:bookmarkStart w:id="133" w:name="_Toc66010024"/>
            <w:bookmarkStart w:id="134" w:name="_Toc66001590"/>
            <w:bookmarkStart w:id="135" w:name="_Toc3587"/>
            <w:bookmarkStart w:id="136" w:name="_Toc20232"/>
            <w:bookmarkStart w:id="137" w:name="_Toc36829715"/>
            <w:r>
              <w:rPr>
                <w:rFonts w:hint="eastAsia"/>
                <w:b/>
                <w:bCs/>
                <w:color w:val="auto"/>
                <w:sz w:val="24"/>
                <w:szCs w:val="24"/>
                <w:highlight w:val="none"/>
              </w:rPr>
              <w:t>项目安全设施</w:t>
            </w:r>
            <w:bookmarkEnd w:id="132"/>
            <w:bookmarkEnd w:id="133"/>
            <w:bookmarkEnd w:id="134"/>
            <w:bookmarkEnd w:id="135"/>
            <w:bookmarkEnd w:id="136"/>
            <w:bookmarkEnd w:id="137"/>
          </w:p>
          <w:p w14:paraId="667EBF28">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color w:val="auto"/>
                <w:sz w:val="24"/>
                <w:szCs w:val="24"/>
                <w:highlight w:val="none"/>
              </w:rPr>
            </w:pPr>
            <w:r>
              <w:rPr>
                <w:rFonts w:hint="eastAsia"/>
                <w:b/>
                <w:bCs/>
                <w:color w:val="auto"/>
                <w:sz w:val="24"/>
                <w:szCs w:val="24"/>
                <w:highlight w:val="none"/>
              </w:rPr>
              <w:t>1、工作场所布局及分区</w:t>
            </w:r>
          </w:p>
          <w:p w14:paraId="3B608079">
            <w:pPr>
              <w:keepNext w:val="0"/>
              <w:keepLines w:val="0"/>
              <w:pageBreakBefore w:val="0"/>
              <w:widowControl w:val="0"/>
              <w:kinsoku/>
              <w:wordWrap/>
              <w:overflowPunct/>
              <w:topLinePunct w:val="0"/>
              <w:autoSpaceDE/>
              <w:autoSpaceDN/>
              <w:bidi w:val="0"/>
              <w:adjustRightInd/>
              <w:snapToGrid/>
              <w:spacing w:line="360" w:lineRule="auto"/>
              <w:ind w:left="0" w:leftChars="0" w:firstLine="448" w:firstLineChars="186"/>
              <w:contextualSpacing/>
              <w:textAlignment w:val="auto"/>
              <w:rPr>
                <w:b/>
                <w:color w:val="auto"/>
                <w:sz w:val="24"/>
                <w:szCs w:val="24"/>
                <w:highlight w:val="none"/>
              </w:rPr>
            </w:pPr>
            <w:r>
              <w:rPr>
                <w:b/>
                <w:color w:val="auto"/>
                <w:sz w:val="24"/>
                <w:szCs w:val="24"/>
                <w:highlight w:val="none"/>
              </w:rPr>
              <w:t>（1）分区原则</w:t>
            </w:r>
          </w:p>
          <w:p w14:paraId="6F1E9A8D">
            <w:pPr>
              <w:keepNext w:val="0"/>
              <w:keepLines w:val="0"/>
              <w:pageBreakBefore w:val="0"/>
              <w:widowControl w:val="0"/>
              <w:kinsoku/>
              <w:wordWrap/>
              <w:overflowPunct/>
              <w:topLinePunct w:val="0"/>
              <w:autoSpaceDE/>
              <w:autoSpaceDN/>
              <w:bidi w:val="0"/>
              <w:adjustRightInd/>
              <w:snapToGrid/>
              <w:spacing w:line="360" w:lineRule="auto"/>
              <w:ind w:left="0" w:leftChars="0" w:firstLine="446" w:firstLineChars="186"/>
              <w:contextualSpacing/>
              <w:textAlignment w:val="auto"/>
              <w:rPr>
                <w:color w:val="auto"/>
                <w:sz w:val="24"/>
                <w:szCs w:val="24"/>
                <w:highlight w:val="none"/>
              </w:rPr>
            </w:pPr>
            <w:r>
              <w:rPr>
                <w:rFonts w:hint="eastAsia"/>
                <w:color w:val="auto"/>
                <w:sz w:val="24"/>
                <w:szCs w:val="24"/>
                <w:highlight w:val="none"/>
              </w:rPr>
              <w:t>根据《电离辐射防护与辐射源安全基本标准》（GB 18871-2002）中“6.4 辐射工作场所的分区：应把辐射工作场所分为控制区和监督区，以便于辐射防护管理和职业照射控制。”、“6.4.1.1注册者和许可证持有者应把需要和可能需要专门防护手段或安全措施的区域定为控制区。”和“6.4.2.1注册者和许可证持有者应将下述区域</w:t>
            </w:r>
            <w:r>
              <w:rPr>
                <w:rFonts w:hint="eastAsia"/>
                <w:color w:val="auto"/>
                <w:sz w:val="24"/>
                <w:szCs w:val="24"/>
                <w:highlight w:val="none"/>
                <w:lang w:eastAsia="zh-CN"/>
              </w:rPr>
              <w:t>定为</w:t>
            </w:r>
            <w:r>
              <w:rPr>
                <w:rFonts w:hint="eastAsia"/>
                <w:color w:val="auto"/>
                <w:sz w:val="24"/>
                <w:szCs w:val="24"/>
                <w:highlight w:val="none"/>
              </w:rPr>
              <w:t>监督区：这种区域未被定为控制区，在其中通常不需要专门的防护手段或安全措施，但需要经常对职业照射条件进行监督和评价。”</w:t>
            </w:r>
          </w:p>
          <w:p w14:paraId="0976D432">
            <w:pPr>
              <w:keepNext w:val="0"/>
              <w:keepLines w:val="0"/>
              <w:pageBreakBefore w:val="0"/>
              <w:widowControl w:val="0"/>
              <w:kinsoku/>
              <w:wordWrap/>
              <w:overflowPunct/>
              <w:topLinePunct w:val="0"/>
              <w:autoSpaceDE/>
              <w:autoSpaceDN/>
              <w:bidi w:val="0"/>
              <w:adjustRightInd/>
              <w:snapToGrid/>
              <w:spacing w:line="360" w:lineRule="auto"/>
              <w:ind w:left="0" w:leftChars="0" w:firstLine="446" w:firstLineChars="186"/>
              <w:contextualSpacing/>
              <w:textAlignment w:val="auto"/>
              <w:rPr>
                <w:color w:val="auto"/>
                <w:sz w:val="24"/>
                <w:szCs w:val="24"/>
                <w:highlight w:val="none"/>
              </w:rPr>
            </w:pPr>
            <w:r>
              <w:rPr>
                <w:rFonts w:hint="eastAsia"/>
                <w:color w:val="auto"/>
                <w:sz w:val="24"/>
                <w:szCs w:val="24"/>
                <w:highlight w:val="none"/>
              </w:rPr>
              <w:t>根据《工业探伤放射防护标准》（GBZ117-2022）中“6.1.2应对探伤工作场所实行分区管理，分区管理应符合GB18871的要求”。</w:t>
            </w:r>
          </w:p>
          <w:p w14:paraId="4923036E">
            <w:pPr>
              <w:keepNext w:val="0"/>
              <w:keepLines w:val="0"/>
              <w:pageBreakBefore w:val="0"/>
              <w:widowControl w:val="0"/>
              <w:kinsoku/>
              <w:wordWrap/>
              <w:overflowPunct/>
              <w:topLinePunct w:val="0"/>
              <w:autoSpaceDE/>
              <w:autoSpaceDN/>
              <w:bidi w:val="0"/>
              <w:adjustRightInd/>
              <w:snapToGrid/>
              <w:spacing w:line="360" w:lineRule="auto"/>
              <w:ind w:left="0" w:leftChars="0" w:firstLine="446" w:firstLineChars="186"/>
              <w:contextualSpacing/>
              <w:textAlignment w:val="auto"/>
              <w:rPr>
                <w:color w:val="auto"/>
                <w:sz w:val="24"/>
                <w:szCs w:val="24"/>
                <w:highlight w:val="none"/>
              </w:rPr>
            </w:pPr>
            <w:r>
              <w:rPr>
                <w:rFonts w:hint="eastAsia"/>
                <w:color w:val="auto"/>
                <w:sz w:val="24"/>
                <w:szCs w:val="24"/>
                <w:highlight w:val="none"/>
              </w:rPr>
              <w:t>结合本项目核技术利用的特点，将X射线探伤房内部划分为控制区，X射线探伤房周围操作</w:t>
            </w:r>
            <w:r>
              <w:rPr>
                <w:rFonts w:hint="eastAsia"/>
                <w:color w:val="auto"/>
                <w:sz w:val="24"/>
                <w:szCs w:val="24"/>
                <w:highlight w:val="none"/>
                <w:lang w:val="en-US" w:eastAsia="zh-CN"/>
              </w:rPr>
              <w:t>间</w:t>
            </w:r>
            <w:r>
              <w:rPr>
                <w:rFonts w:hint="eastAsia"/>
                <w:color w:val="auto"/>
                <w:sz w:val="24"/>
                <w:szCs w:val="24"/>
                <w:highlight w:val="none"/>
              </w:rPr>
              <w:t>、评片室、洗片室划分为监督区。控制区需要最优化的辐射屏蔽和冗余的安全联锁系统，入口设置明显的电离辐射警告标志，标志图形、颜色、字体等均按照GB18871-2002规定要求设置，预防潜在照射及事故照射的发生。探伤机运行时，控制区内禁止有人员滞留、禁止人员进入；监督区只有辐射工作人员才能进入监督区进行操作，公众不允许进入。</w:t>
            </w:r>
          </w:p>
          <w:p w14:paraId="54E3EAFC">
            <w:pPr>
              <w:keepNext w:val="0"/>
              <w:keepLines w:val="0"/>
              <w:pageBreakBefore w:val="0"/>
              <w:widowControl w:val="0"/>
              <w:kinsoku/>
              <w:wordWrap/>
              <w:overflowPunct/>
              <w:topLinePunct w:val="0"/>
              <w:autoSpaceDE/>
              <w:autoSpaceDN/>
              <w:bidi w:val="0"/>
              <w:adjustRightInd/>
              <w:snapToGrid/>
              <w:spacing w:line="360" w:lineRule="auto"/>
              <w:ind w:left="0" w:leftChars="0" w:firstLine="446" w:firstLineChars="186"/>
              <w:contextualSpacing/>
              <w:textAlignment w:val="auto"/>
              <w:rPr>
                <w:color w:val="auto"/>
                <w:sz w:val="24"/>
                <w:szCs w:val="24"/>
                <w:highlight w:val="none"/>
              </w:rPr>
            </w:pPr>
            <w:r>
              <w:rPr>
                <w:rFonts w:hint="eastAsia"/>
                <w:color w:val="auto"/>
                <w:sz w:val="24"/>
                <w:szCs w:val="24"/>
                <w:highlight w:val="none"/>
              </w:rPr>
              <w:t>本项目控制区和监督区划分情况见表10-1，划分示意图见图10-1。</w:t>
            </w:r>
          </w:p>
          <w:p w14:paraId="74238567">
            <w:pPr>
              <w:spacing w:line="360" w:lineRule="auto"/>
              <w:ind w:left="15" w:leftChars="7" w:firstLine="448" w:firstLineChars="186"/>
              <w:contextualSpacing/>
              <w:rPr>
                <w:b/>
                <w:color w:val="auto"/>
                <w:sz w:val="24"/>
                <w:szCs w:val="24"/>
                <w:highlight w:val="none"/>
              </w:rPr>
            </w:pPr>
            <w:r>
              <w:rPr>
                <w:b/>
                <w:color w:val="auto"/>
                <w:sz w:val="24"/>
                <w:szCs w:val="24"/>
                <w:highlight w:val="none"/>
              </w:rPr>
              <w:t>（2）控制区与监督区的划分</w:t>
            </w:r>
          </w:p>
          <w:p w14:paraId="59E2C779">
            <w:pPr>
              <w:spacing w:line="360" w:lineRule="auto"/>
              <w:ind w:right="85" w:firstLine="480" w:firstLineChars="200"/>
              <w:rPr>
                <w:bCs/>
                <w:color w:val="auto"/>
                <w:sz w:val="24"/>
                <w:highlight w:val="none"/>
              </w:rPr>
            </w:pPr>
            <w:r>
              <w:rPr>
                <w:color w:val="auto"/>
                <w:sz w:val="24"/>
                <w:szCs w:val="24"/>
                <w:highlight w:val="none"/>
              </w:rPr>
              <w:t>本次环评根据控制区和监督区的定义，结合项目辐射防护和环境情况特点进行辐射防护分区划分，见表10-1和图10-1。</w:t>
            </w:r>
          </w:p>
          <w:p w14:paraId="7F2075B6">
            <w:pPr>
              <w:snapToGrid w:val="0"/>
              <w:ind w:firstLine="422" w:firstLineChars="200"/>
              <w:jc w:val="center"/>
              <w:rPr>
                <w:b/>
                <w:color w:val="auto"/>
                <w:szCs w:val="21"/>
                <w:highlight w:val="none"/>
              </w:rPr>
            </w:pPr>
            <w:r>
              <w:rPr>
                <w:rFonts w:hint="eastAsia"/>
                <w:b/>
                <w:color w:val="auto"/>
                <w:szCs w:val="21"/>
                <w:highlight w:val="none"/>
              </w:rPr>
              <w:t>表10-1 项目控制区和监督区的划分情况</w:t>
            </w:r>
          </w:p>
          <w:tbl>
            <w:tblPr>
              <w:tblStyle w:val="35"/>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305"/>
              <w:gridCol w:w="6101"/>
            </w:tblGrid>
            <w:tr w14:paraId="5E73B10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blHeader/>
                <w:jc w:val="center"/>
              </w:trPr>
              <w:tc>
                <w:tcPr>
                  <w:tcW w:w="1371" w:type="pct"/>
                  <w:tcBorders>
                    <w:tl2br w:val="nil"/>
                    <w:tr2bl w:val="nil"/>
                  </w:tcBorders>
                  <w:shd w:val="clear" w:color="auto" w:fill="auto"/>
                  <w:vAlign w:val="center"/>
                </w:tcPr>
                <w:p w14:paraId="4237F72A">
                  <w:pPr>
                    <w:snapToGrid w:val="0"/>
                    <w:jc w:val="center"/>
                    <w:rPr>
                      <w:b/>
                      <w:color w:val="auto"/>
                      <w:szCs w:val="21"/>
                      <w:highlight w:val="none"/>
                    </w:rPr>
                  </w:pPr>
                  <w:r>
                    <w:rPr>
                      <w:rFonts w:hint="eastAsia"/>
                      <w:b/>
                      <w:color w:val="auto"/>
                      <w:szCs w:val="21"/>
                      <w:highlight w:val="none"/>
                    </w:rPr>
                    <w:t>分区</w:t>
                  </w:r>
                </w:p>
              </w:tc>
              <w:tc>
                <w:tcPr>
                  <w:tcW w:w="3628" w:type="pct"/>
                  <w:tcBorders>
                    <w:tl2br w:val="nil"/>
                    <w:tr2bl w:val="nil"/>
                  </w:tcBorders>
                  <w:shd w:val="clear" w:color="auto" w:fill="auto"/>
                  <w:vAlign w:val="center"/>
                </w:tcPr>
                <w:p w14:paraId="52776171">
                  <w:pPr>
                    <w:snapToGrid w:val="0"/>
                    <w:jc w:val="center"/>
                    <w:rPr>
                      <w:b/>
                      <w:color w:val="auto"/>
                      <w:szCs w:val="21"/>
                      <w:highlight w:val="none"/>
                    </w:rPr>
                  </w:pPr>
                  <w:r>
                    <w:rPr>
                      <w:rFonts w:hint="eastAsia"/>
                      <w:b/>
                      <w:color w:val="auto"/>
                      <w:szCs w:val="21"/>
                      <w:highlight w:val="none"/>
                    </w:rPr>
                    <w:t>场所</w:t>
                  </w:r>
                </w:p>
              </w:tc>
            </w:tr>
            <w:tr w14:paraId="3A7B413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371" w:type="pct"/>
                  <w:tcBorders>
                    <w:tl2br w:val="nil"/>
                    <w:tr2bl w:val="nil"/>
                  </w:tcBorders>
                  <w:vAlign w:val="center"/>
                </w:tcPr>
                <w:p w14:paraId="5E0EDFE4">
                  <w:pPr>
                    <w:snapToGrid w:val="0"/>
                    <w:jc w:val="center"/>
                    <w:rPr>
                      <w:bCs/>
                      <w:color w:val="auto"/>
                      <w:szCs w:val="21"/>
                      <w:highlight w:val="none"/>
                    </w:rPr>
                  </w:pPr>
                  <w:r>
                    <w:rPr>
                      <w:bCs/>
                      <w:color w:val="auto"/>
                      <w:szCs w:val="21"/>
                      <w:highlight w:val="none"/>
                    </w:rPr>
                    <w:t>控制区</w:t>
                  </w:r>
                </w:p>
              </w:tc>
              <w:tc>
                <w:tcPr>
                  <w:tcW w:w="3628" w:type="pct"/>
                  <w:tcBorders>
                    <w:tl2br w:val="nil"/>
                    <w:tr2bl w:val="nil"/>
                  </w:tcBorders>
                  <w:vAlign w:val="center"/>
                </w:tcPr>
                <w:p w14:paraId="01674C97">
                  <w:pPr>
                    <w:snapToGrid w:val="0"/>
                    <w:jc w:val="center"/>
                    <w:rPr>
                      <w:color w:val="auto"/>
                      <w:szCs w:val="21"/>
                      <w:highlight w:val="none"/>
                    </w:rPr>
                  </w:pPr>
                  <w:r>
                    <w:rPr>
                      <w:rFonts w:hint="eastAsia"/>
                      <w:color w:val="auto"/>
                      <w:szCs w:val="21"/>
                      <w:highlight w:val="none"/>
                    </w:rPr>
                    <w:t>X射线探伤房</w:t>
                  </w:r>
                </w:p>
              </w:tc>
            </w:tr>
            <w:tr w14:paraId="5884E03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371" w:type="pct"/>
                  <w:tcBorders>
                    <w:tl2br w:val="nil"/>
                    <w:tr2bl w:val="nil"/>
                  </w:tcBorders>
                  <w:vAlign w:val="center"/>
                </w:tcPr>
                <w:p w14:paraId="7A13E008">
                  <w:pPr>
                    <w:snapToGrid w:val="0"/>
                    <w:jc w:val="center"/>
                    <w:rPr>
                      <w:bCs/>
                      <w:color w:val="auto"/>
                      <w:szCs w:val="21"/>
                      <w:highlight w:val="none"/>
                    </w:rPr>
                  </w:pPr>
                  <w:r>
                    <w:rPr>
                      <w:bCs/>
                      <w:color w:val="auto"/>
                      <w:szCs w:val="21"/>
                      <w:highlight w:val="none"/>
                    </w:rPr>
                    <w:t>监督区</w:t>
                  </w:r>
                </w:p>
              </w:tc>
              <w:tc>
                <w:tcPr>
                  <w:tcW w:w="3628" w:type="pct"/>
                  <w:tcBorders>
                    <w:tl2br w:val="nil"/>
                    <w:tr2bl w:val="nil"/>
                  </w:tcBorders>
                  <w:vAlign w:val="center"/>
                </w:tcPr>
                <w:p w14:paraId="3E484B2C">
                  <w:pPr>
                    <w:snapToGrid w:val="0"/>
                    <w:jc w:val="center"/>
                    <w:rPr>
                      <w:rFonts w:hint="default"/>
                      <w:color w:val="auto"/>
                      <w:szCs w:val="21"/>
                      <w:highlight w:val="none"/>
                      <w:lang w:val="en-US"/>
                    </w:rPr>
                  </w:pPr>
                  <w:r>
                    <w:rPr>
                      <w:rFonts w:hint="eastAsia"/>
                      <w:color w:val="auto"/>
                      <w:szCs w:val="21"/>
                      <w:highlight w:val="none"/>
                    </w:rPr>
                    <w:t>操作</w:t>
                  </w:r>
                  <w:r>
                    <w:rPr>
                      <w:rFonts w:hint="eastAsia"/>
                      <w:color w:val="auto"/>
                      <w:szCs w:val="21"/>
                      <w:highlight w:val="none"/>
                      <w:lang w:val="en-US" w:eastAsia="zh-CN"/>
                    </w:rPr>
                    <w:t>间</w:t>
                  </w:r>
                  <w:r>
                    <w:rPr>
                      <w:rFonts w:hint="eastAsia"/>
                      <w:color w:val="auto"/>
                      <w:szCs w:val="21"/>
                      <w:highlight w:val="none"/>
                    </w:rPr>
                    <w:t>、</w:t>
                  </w:r>
                  <w:r>
                    <w:rPr>
                      <w:rFonts w:hint="eastAsia"/>
                      <w:color w:val="auto"/>
                      <w:szCs w:val="21"/>
                      <w:highlight w:val="none"/>
                      <w:lang w:val="en-US" w:eastAsia="zh-CN"/>
                    </w:rPr>
                    <w:t>观</w:t>
                  </w:r>
                  <w:r>
                    <w:rPr>
                      <w:rFonts w:hint="eastAsia"/>
                      <w:color w:val="auto"/>
                      <w:szCs w:val="21"/>
                      <w:highlight w:val="none"/>
                    </w:rPr>
                    <w:t>片室、洗片室</w:t>
                  </w:r>
                  <w:r>
                    <w:rPr>
                      <w:rFonts w:hint="eastAsia"/>
                      <w:color w:val="auto"/>
                      <w:szCs w:val="21"/>
                      <w:highlight w:val="none"/>
                      <w:lang w:val="en-US" w:eastAsia="zh-CN"/>
                    </w:rPr>
                    <w:t>及探伤室屏蔽墙外1m范围</w:t>
                  </w:r>
                </w:p>
              </w:tc>
            </w:tr>
          </w:tbl>
          <w:p w14:paraId="489986D3">
            <w:pPr>
              <w:spacing w:line="360" w:lineRule="auto"/>
              <w:ind w:right="85" w:firstLine="480" w:firstLineChars="200"/>
              <w:rPr>
                <w:color w:val="auto"/>
                <w:sz w:val="24"/>
                <w:szCs w:val="24"/>
                <w:highlight w:val="none"/>
              </w:rPr>
            </w:pPr>
            <w:r>
              <w:rPr>
                <w:rFonts w:hint="eastAsia"/>
                <w:color w:val="auto"/>
                <w:sz w:val="24"/>
                <w:szCs w:val="24"/>
                <w:highlight w:val="none"/>
              </w:rPr>
              <w:t>建设单位拟采取的分区措施满足《电离辐射防护与辐射源安全基本标准》 （GB18871-2002）和《工业探伤放射防护标准》（GBZ117-2022）中关于辐射工作场所的分区规定。</w:t>
            </w:r>
          </w:p>
          <w:p w14:paraId="6F8ECD77">
            <w:pPr>
              <w:pStyle w:val="7"/>
              <w:ind w:left="0" w:firstLine="0"/>
              <w:jc w:val="center"/>
              <w:rPr>
                <w:rFonts w:eastAsia="黑体"/>
                <w:color w:val="auto"/>
                <w:sz w:val="24"/>
                <w:szCs w:val="24"/>
                <w:highlight w:val="none"/>
              </w:rPr>
            </w:pPr>
          </w:p>
          <w:p w14:paraId="2732A649">
            <w:pPr>
              <w:snapToGrid w:val="0"/>
              <w:jc w:val="center"/>
              <w:rPr>
                <w:b/>
                <w:color w:val="auto"/>
                <w:szCs w:val="21"/>
                <w:highlight w:val="none"/>
              </w:rPr>
            </w:pP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-1276985</wp:posOffset>
                      </wp:positionH>
                      <wp:positionV relativeFrom="paragraph">
                        <wp:posOffset>1758315</wp:posOffset>
                      </wp:positionV>
                      <wp:extent cx="3119120" cy="278130"/>
                      <wp:effectExtent l="6350" t="6350" r="20320" b="17780"/>
                      <wp:wrapNone/>
                      <wp:docPr id="129" name="矩形 129"/>
                      <wp:cNvGraphicFramePr/>
                      <a:graphic xmlns:a="http://schemas.openxmlformats.org/drawingml/2006/main">
                        <a:graphicData uri="http://schemas.microsoft.com/office/word/2010/wordprocessingShape">
                          <wps:wsp>
                            <wps:cNvSpPr/>
                            <wps:spPr>
                              <a:xfrm rot="16200000">
                                <a:off x="0" y="0"/>
                                <a:ext cx="3119120" cy="278130"/>
                              </a:xfrm>
                              <a:prstGeom prst="rect">
                                <a:avLst/>
                              </a:prstGeom>
                              <a:solidFill>
                                <a:schemeClr val="accent4">
                                  <a:alpha val="60000"/>
                                </a:schemeClr>
                              </a:solidFill>
                              <a:ln>
                                <a:solidFill>
                                  <a:schemeClr val="accent4">
                                    <a:alpha val="6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0.55pt;margin-top:138.45pt;height:21.9pt;width:245.6pt;rotation:-5898240f;z-index:251689984;v-text-anchor:middle;mso-width-relative:page;mso-height-relative:page;" fillcolor="#FFC000 [3207]" filled="t" stroked="t" coordsize="21600,21600" o:gfxdata="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ZBZkV9wAAAAMAQAADwAA&#10;AAAAAAABACAAAAAiAAAAZHJzL2Rvd25yZXYueG1sUEsBAhQAFAAAAAgAh07iQDbrq/2EAgAASQUA&#10;AA4AAAAAAAAAAQAgAAAAKwEAAGRycy9lMm9Eb2MueG1sUEsFBgAAAAAGAAYAWQEAACEGAAAAAA==&#10;">
                      <v:fill on="t" opacity="39321f" focussize="0,0"/>
                      <v:stroke weight="1pt" color="#FFC000 [3207]" opacity="39321f"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80096" behindDoc="0" locked="0" layoutInCell="1" allowOverlap="1">
                      <wp:simplePos x="0" y="0"/>
                      <wp:positionH relativeFrom="column">
                        <wp:posOffset>1240155</wp:posOffset>
                      </wp:positionH>
                      <wp:positionV relativeFrom="paragraph">
                        <wp:posOffset>3360420</wp:posOffset>
                      </wp:positionV>
                      <wp:extent cx="570230" cy="264795"/>
                      <wp:effectExtent l="0" t="0" r="0" b="0"/>
                      <wp:wrapNone/>
                      <wp:docPr id="153" name="矩形 153"/>
                      <wp:cNvGraphicFramePr/>
                      <a:graphic xmlns:a="http://schemas.openxmlformats.org/drawingml/2006/main">
                        <a:graphicData uri="http://schemas.microsoft.com/office/word/2010/wordprocessingShape">
                          <wps:wsp>
                            <wps:cNvSpPr/>
                            <wps:spPr>
                              <a:xfrm>
                                <a:off x="0" y="0"/>
                                <a:ext cx="570230" cy="2647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0FE4588">
                                  <w:pPr>
                                    <w:jc w:val="center"/>
                                    <w:rPr>
                                      <w:rFonts w:hint="default" w:eastAsia="宋体"/>
                                      <w:b/>
                                      <w:bCs/>
                                      <w:color w:val="FF0000"/>
                                      <w:sz w:val="15"/>
                                      <w:szCs w:val="13"/>
                                      <w:lang w:val="en-US" w:eastAsia="zh-CN"/>
                                    </w:rPr>
                                  </w:pPr>
                                  <w:r>
                                    <w:rPr>
                                      <w:rFonts w:hint="eastAsia"/>
                                      <w:b/>
                                      <w:bCs/>
                                      <w:color w:val="FF0000"/>
                                      <w:sz w:val="15"/>
                                      <w:szCs w:val="13"/>
                                      <w:lang w:val="en-US" w:eastAsia="zh-CN"/>
                                    </w:rPr>
                                    <w:t>1000mm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7.65pt;margin-top:264.6pt;height:20.85pt;width:44.9pt;z-index:251780096;v-text-anchor:middle;mso-width-relative:page;mso-height-relative:page;" filled="f" stroked="f" coordsize="21600,21600" o:gfxdata="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msjs9NgAAAALAQAADwAAAAAAAAABACAAAAAiAAAAZHJzL2Rvd25yZXYueG1sUEsBAhQAFAAA&#10;AAgAh07iQEfc+QZhAgAAsAQAAA4AAAAAAAAAAQAgAAAAJwEAAGRycy9lMm9Eb2MueG1sUEsFBgAA&#10;AAAGAAYAWQEAAPoFAAAAAA==&#10;">
                      <v:fill on="f" focussize="0,0"/>
                      <v:stroke on="f" weight="1pt" miterlimit="8" joinstyle="miter"/>
                      <v:imagedata o:title=""/>
                      <o:lock v:ext="edit" aspectratio="f"/>
                      <v:textbox>
                        <w:txbxContent>
                          <w:p w14:paraId="20FE4588">
                            <w:pPr>
                              <w:jc w:val="center"/>
                              <w:rPr>
                                <w:rFonts w:hint="default" w:eastAsia="宋体"/>
                                <w:b/>
                                <w:bCs/>
                                <w:color w:val="FF0000"/>
                                <w:sz w:val="15"/>
                                <w:szCs w:val="13"/>
                                <w:lang w:val="en-US" w:eastAsia="zh-CN"/>
                              </w:rPr>
                            </w:pPr>
                            <w:r>
                              <w:rPr>
                                <w:rFonts w:hint="eastAsia"/>
                                <w:b/>
                                <w:bCs/>
                                <w:color w:val="FF0000"/>
                                <w:sz w:val="15"/>
                                <w:szCs w:val="13"/>
                                <w:lang w:val="en-US" w:eastAsia="zh-CN"/>
                              </w:rPr>
                              <w:t>1000mm</w:t>
                            </w:r>
                          </w:p>
                        </w:txbxContent>
                      </v:textbox>
                    </v:rect>
                  </w:pict>
                </mc:Fallback>
              </mc:AlternateContent>
            </w:r>
            <w:r>
              <w:rPr>
                <w:color w:val="auto"/>
                <w:sz w:val="21"/>
              </w:rPr>
              <mc:AlternateContent>
                <mc:Choice Requires="wps">
                  <w:drawing>
                    <wp:anchor distT="0" distB="0" distL="114300" distR="114300" simplePos="0" relativeHeight="251779072" behindDoc="0" locked="0" layoutInCell="1" allowOverlap="1">
                      <wp:simplePos x="0" y="0"/>
                      <wp:positionH relativeFrom="column">
                        <wp:posOffset>-8255</wp:posOffset>
                      </wp:positionH>
                      <wp:positionV relativeFrom="paragraph">
                        <wp:posOffset>1882140</wp:posOffset>
                      </wp:positionV>
                      <wp:extent cx="570230" cy="264795"/>
                      <wp:effectExtent l="0" t="0" r="0" b="0"/>
                      <wp:wrapNone/>
                      <wp:docPr id="151" name="矩形 151"/>
                      <wp:cNvGraphicFramePr/>
                      <a:graphic xmlns:a="http://schemas.openxmlformats.org/drawingml/2006/main">
                        <a:graphicData uri="http://schemas.microsoft.com/office/word/2010/wordprocessingShape">
                          <wps:wsp>
                            <wps:cNvSpPr/>
                            <wps:spPr>
                              <a:xfrm>
                                <a:off x="0" y="0"/>
                                <a:ext cx="570230" cy="2647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78ECA47">
                                  <w:pPr>
                                    <w:jc w:val="center"/>
                                    <w:rPr>
                                      <w:rFonts w:hint="default" w:eastAsia="宋体"/>
                                      <w:b/>
                                      <w:bCs/>
                                      <w:color w:val="FF0000"/>
                                      <w:sz w:val="15"/>
                                      <w:szCs w:val="13"/>
                                      <w:lang w:val="en-US" w:eastAsia="zh-CN"/>
                                    </w:rPr>
                                  </w:pPr>
                                  <w:r>
                                    <w:rPr>
                                      <w:rFonts w:hint="eastAsia"/>
                                      <w:b/>
                                      <w:bCs/>
                                      <w:color w:val="FF0000"/>
                                      <w:sz w:val="15"/>
                                      <w:szCs w:val="13"/>
                                      <w:lang w:val="en-US" w:eastAsia="zh-CN"/>
                                    </w:rPr>
                                    <w:t>1000mm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65pt;margin-top:148.2pt;height:20.85pt;width:44.9pt;z-index:251779072;v-text-anchor:middle;mso-width-relative:page;mso-height-relative:page;" filled="f" stroked="f" coordsize="21600,21600" o:gfxdata="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k2c+k2AAAAAkBAAAPAAAAAAAAAAEAIAAAACIAAABkcnMvZG93bnJldi54bWxQSwECFAAUAAAA&#10;CACHTuJAh8XtJmACAACwBAAADgAAAAAAAAABACAAAAAnAQAAZHJzL2Uyb0RvYy54bWxQSwUGAAAA&#10;AAYABgBZAQAA+QUAAAAA&#10;">
                      <v:fill on="f" focussize="0,0"/>
                      <v:stroke on="f" weight="1pt" miterlimit="8" joinstyle="miter"/>
                      <v:imagedata o:title=""/>
                      <o:lock v:ext="edit" aspectratio="f"/>
                      <v:textbox>
                        <w:txbxContent>
                          <w:p w14:paraId="778ECA47">
                            <w:pPr>
                              <w:jc w:val="center"/>
                              <w:rPr>
                                <w:rFonts w:hint="default" w:eastAsia="宋体"/>
                                <w:b/>
                                <w:bCs/>
                                <w:color w:val="FF0000"/>
                                <w:sz w:val="15"/>
                                <w:szCs w:val="13"/>
                                <w:lang w:val="en-US" w:eastAsia="zh-CN"/>
                              </w:rPr>
                            </w:pPr>
                            <w:r>
                              <w:rPr>
                                <w:rFonts w:hint="eastAsia"/>
                                <w:b/>
                                <w:bCs/>
                                <w:color w:val="FF0000"/>
                                <w:sz w:val="15"/>
                                <w:szCs w:val="13"/>
                                <w:lang w:val="en-US" w:eastAsia="zh-CN"/>
                              </w:rPr>
                              <w:t>1000mm</w:t>
                            </w:r>
                          </w:p>
                        </w:txbxContent>
                      </v:textbox>
                    </v:rect>
                  </w:pict>
                </mc:Fallback>
              </mc:AlternateContent>
            </w:r>
            <w:r>
              <w:rPr>
                <w:color w:val="auto"/>
                <w:sz w:val="21"/>
              </w:rPr>
              <mc:AlternateContent>
                <mc:Choice Requires="wps">
                  <w:drawing>
                    <wp:anchor distT="0" distB="0" distL="114300" distR="114300" simplePos="0" relativeHeight="251708416" behindDoc="0" locked="0" layoutInCell="1" allowOverlap="1">
                      <wp:simplePos x="0" y="0"/>
                      <wp:positionH relativeFrom="column">
                        <wp:posOffset>1363345</wp:posOffset>
                      </wp:positionH>
                      <wp:positionV relativeFrom="paragraph">
                        <wp:posOffset>62865</wp:posOffset>
                      </wp:positionV>
                      <wp:extent cx="570230" cy="264795"/>
                      <wp:effectExtent l="0" t="0" r="0" b="0"/>
                      <wp:wrapNone/>
                      <wp:docPr id="147" name="矩形 147"/>
                      <wp:cNvGraphicFramePr/>
                      <a:graphic xmlns:a="http://schemas.openxmlformats.org/drawingml/2006/main">
                        <a:graphicData uri="http://schemas.microsoft.com/office/word/2010/wordprocessingShape">
                          <wps:wsp>
                            <wps:cNvSpPr/>
                            <wps:spPr>
                              <a:xfrm>
                                <a:off x="0" y="0"/>
                                <a:ext cx="570230" cy="2647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E810B07">
                                  <w:pPr>
                                    <w:jc w:val="center"/>
                                    <w:rPr>
                                      <w:rFonts w:hint="default" w:eastAsia="宋体"/>
                                      <w:b/>
                                      <w:bCs/>
                                      <w:color w:val="FF0000"/>
                                      <w:sz w:val="15"/>
                                      <w:szCs w:val="13"/>
                                      <w:lang w:val="en-US" w:eastAsia="zh-CN"/>
                                    </w:rPr>
                                  </w:pPr>
                                  <w:r>
                                    <w:rPr>
                                      <w:rFonts w:hint="eastAsia"/>
                                      <w:b/>
                                      <w:bCs/>
                                      <w:color w:val="FF0000"/>
                                      <w:sz w:val="15"/>
                                      <w:szCs w:val="13"/>
                                      <w:lang w:val="en-US" w:eastAsia="zh-CN"/>
                                    </w:rPr>
                                    <w:t>1000mm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7.35pt;margin-top:4.95pt;height:20.85pt;width:44.9pt;z-index:251708416;v-text-anchor:middle;mso-width-relative:page;mso-height-relative:page;" filled="f" stroked="f" coordsize="21600,21600" o:gfxdata="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KXcnvdgAAAAIAQAADwAAAAAAAAABACAAAAAiAAAAZHJzL2Rvd25yZXYueG1sUEsBAhQAFAAA&#10;AAgAh07iQLMHy+ZhAgAAsAQAAA4AAAAAAAAAAQAgAAAAJwEAAGRycy9lMm9Eb2MueG1sUEsFBgAA&#10;AAAGAAYAWQEAAPoFAAAAAA==&#10;">
                      <v:fill on="f" focussize="0,0"/>
                      <v:stroke on="f" weight="1pt" miterlimit="8" joinstyle="miter"/>
                      <v:imagedata o:title=""/>
                      <o:lock v:ext="edit" aspectratio="f"/>
                      <v:textbox>
                        <w:txbxContent>
                          <w:p w14:paraId="3E810B07">
                            <w:pPr>
                              <w:jc w:val="center"/>
                              <w:rPr>
                                <w:rFonts w:hint="default" w:eastAsia="宋体"/>
                                <w:b/>
                                <w:bCs/>
                                <w:color w:val="FF0000"/>
                                <w:sz w:val="15"/>
                                <w:szCs w:val="13"/>
                                <w:lang w:val="en-US" w:eastAsia="zh-CN"/>
                              </w:rPr>
                            </w:pPr>
                            <w:r>
                              <w:rPr>
                                <w:rFonts w:hint="eastAsia"/>
                                <w:b/>
                                <w:bCs/>
                                <w:color w:val="FF0000"/>
                                <w:sz w:val="15"/>
                                <w:szCs w:val="13"/>
                                <w:lang w:val="en-US" w:eastAsia="zh-CN"/>
                              </w:rPr>
                              <w:t>1000mm</w:t>
                            </w:r>
                          </w:p>
                        </w:txbxContent>
                      </v:textbox>
                    </v:rect>
                  </w:pict>
                </mc:Fallback>
              </mc:AlternateContent>
            </w:r>
            <w:r>
              <w:rPr>
                <w:color w:val="auto"/>
                <w:sz w:val="21"/>
              </w:rPr>
              <mc:AlternateContent>
                <mc:Choice Requires="wps">
                  <w:drawing>
                    <wp:anchor distT="0" distB="0" distL="114300" distR="114300" simplePos="0" relativeHeight="251699200" behindDoc="0" locked="0" layoutInCell="1" allowOverlap="1">
                      <wp:simplePos x="0" y="0"/>
                      <wp:positionH relativeFrom="column">
                        <wp:posOffset>603250</wp:posOffset>
                      </wp:positionH>
                      <wp:positionV relativeFrom="paragraph">
                        <wp:posOffset>1787525</wp:posOffset>
                      </wp:positionV>
                      <wp:extent cx="730250" cy="2540"/>
                      <wp:effectExtent l="0" t="85090" r="12700" b="83820"/>
                      <wp:wrapNone/>
                      <wp:docPr id="138" name="直接箭头连接符 138"/>
                      <wp:cNvGraphicFramePr/>
                      <a:graphic xmlns:a="http://schemas.openxmlformats.org/drawingml/2006/main">
                        <a:graphicData uri="http://schemas.microsoft.com/office/word/2010/wordprocessingShape">
                          <wps:wsp>
                            <wps:cNvCnPr/>
                            <wps:spPr>
                              <a:xfrm flipH="1" flipV="1">
                                <a:off x="2059305" y="2328545"/>
                                <a:ext cx="730250" cy="2540"/>
                              </a:xfrm>
                              <a:prstGeom prst="straightConnector1">
                                <a:avLst/>
                              </a:prstGeom>
                              <a:ln w="3810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47.5pt;margin-top:140.75pt;height:0.2pt;width:57.5pt;z-index:251699200;mso-width-relative:page;mso-height-relative:page;" filled="f" stroked="t" coordsize="21600,21600" o:gfxdata="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A/fXnX&#10;AAAACgEAAA8AAAAAAAAAAQAgAAAAIgAAAGRycy9kb3ducmV2LnhtbFBLAQIUABQAAAAIAIdO4kB9&#10;OhbFIQIAAAUEAAAOAAAAAAAAAAEAIAAAACYBAABkcnMvZTJvRG9jLnhtbFBLBQYAAAAABgAGAFkB&#10;AAC5BQAAAAA=&#10;">
                      <v:fill on="f" focussize="0,0"/>
                      <v:stroke weight="3pt" color="#FFFF00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705344" behindDoc="0" locked="0" layoutInCell="1" allowOverlap="1">
                      <wp:simplePos x="0" y="0"/>
                      <wp:positionH relativeFrom="column">
                        <wp:posOffset>4674235</wp:posOffset>
                      </wp:positionH>
                      <wp:positionV relativeFrom="paragraph">
                        <wp:posOffset>3635375</wp:posOffset>
                      </wp:positionV>
                      <wp:extent cx="695960" cy="264795"/>
                      <wp:effectExtent l="0" t="0" r="0" b="0"/>
                      <wp:wrapNone/>
                      <wp:docPr id="144" name="矩形 144"/>
                      <wp:cNvGraphicFramePr/>
                      <a:graphic xmlns:a="http://schemas.openxmlformats.org/drawingml/2006/main">
                        <a:graphicData uri="http://schemas.microsoft.com/office/word/2010/wordprocessingShape">
                          <wps:wsp>
                            <wps:cNvSpPr/>
                            <wps:spPr>
                              <a:xfrm>
                                <a:off x="0" y="0"/>
                                <a:ext cx="695960" cy="2647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01A4F4C">
                                  <w:pPr>
                                    <w:jc w:val="center"/>
                                    <w:rPr>
                                      <w:rFonts w:hint="default" w:eastAsia="宋体"/>
                                      <w:b/>
                                      <w:bCs/>
                                      <w:sz w:val="15"/>
                                      <w:szCs w:val="13"/>
                                      <w:lang w:val="en-US" w:eastAsia="zh-CN"/>
                                    </w:rPr>
                                  </w:pPr>
                                  <w:r>
                                    <w:rPr>
                                      <w:rFonts w:hint="eastAsia"/>
                                      <w:b/>
                                      <w:bCs/>
                                      <w:sz w:val="15"/>
                                      <w:szCs w:val="13"/>
                                      <w:lang w:val="en-US" w:eastAsia="zh-CN"/>
                                    </w:rPr>
                                    <w:t>主射线朝向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8.05pt;margin-top:286.25pt;height:20.85pt;width:54.8pt;z-index:251705344;v-text-anchor:middle;mso-width-relative:page;mso-height-relative:page;" filled="f" stroked="f" coordsize="21600,21600" o:gfxdata="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NtbahNoAAAALAQAADwAAAAAAAAABACAAAAAiAAAAZHJzL2Rvd25yZXYueG1sUEsBAhQAFAAA&#10;AAgAh07iQN4aHqhfAgAAsAQAAA4AAAAAAAAAAQAgAAAAKQEAAGRycy9lMm9Eb2MueG1sUEsFBgAA&#10;AAAGAAYAWQEAAPoFAAAAAA==&#10;">
                      <v:fill on="f" focussize="0,0"/>
                      <v:stroke on="f" weight="1pt" miterlimit="8" joinstyle="miter"/>
                      <v:imagedata o:title=""/>
                      <o:lock v:ext="edit" aspectratio="f"/>
                      <v:textbox>
                        <w:txbxContent>
                          <w:p w14:paraId="101A4F4C">
                            <w:pPr>
                              <w:jc w:val="center"/>
                              <w:rPr>
                                <w:rFonts w:hint="default" w:eastAsia="宋体"/>
                                <w:b/>
                                <w:bCs/>
                                <w:sz w:val="15"/>
                                <w:szCs w:val="13"/>
                                <w:lang w:val="en-US" w:eastAsia="zh-CN"/>
                              </w:rPr>
                            </w:pPr>
                            <w:r>
                              <w:rPr>
                                <w:rFonts w:hint="eastAsia"/>
                                <w:b/>
                                <w:bCs/>
                                <w:sz w:val="15"/>
                                <w:szCs w:val="13"/>
                                <w:lang w:val="en-US" w:eastAsia="zh-CN"/>
                              </w:rPr>
                              <w:t>主射线朝向</w:t>
                            </w:r>
                          </w:p>
                        </w:txbxContent>
                      </v:textbox>
                    </v:rect>
                  </w:pict>
                </mc:Fallback>
              </mc:AlternateContent>
            </w:r>
            <w:r>
              <w:rPr>
                <w:color w:val="auto"/>
                <w:sz w:val="21"/>
              </w:rPr>
              <mc:AlternateContent>
                <mc:Choice Requires="wps">
                  <w:drawing>
                    <wp:anchor distT="0" distB="0" distL="114300" distR="114300" simplePos="0" relativeHeight="251702272" behindDoc="0" locked="0" layoutInCell="1" allowOverlap="1">
                      <wp:simplePos x="0" y="0"/>
                      <wp:positionH relativeFrom="column">
                        <wp:posOffset>4472305</wp:posOffset>
                      </wp:positionH>
                      <wp:positionV relativeFrom="paragraph">
                        <wp:posOffset>3792220</wp:posOffset>
                      </wp:positionV>
                      <wp:extent cx="261620" cy="5715"/>
                      <wp:effectExtent l="0" t="46990" r="5080" b="61595"/>
                      <wp:wrapNone/>
                      <wp:docPr id="141" name="直接箭头连接符 141"/>
                      <wp:cNvGraphicFramePr/>
                      <a:graphic xmlns:a="http://schemas.openxmlformats.org/drawingml/2006/main">
                        <a:graphicData uri="http://schemas.microsoft.com/office/word/2010/wordprocessingShape">
                          <wps:wsp>
                            <wps:cNvCnPr/>
                            <wps:spPr>
                              <a:xfrm>
                                <a:off x="0" y="0"/>
                                <a:ext cx="261620" cy="571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52.15pt;margin-top:298.6pt;height:0.45pt;width:20.6pt;z-index:251702272;mso-width-relative:page;mso-height-relative:page;" filled="f" stroked="t" coordsize="21600,21600" o:gfxdata="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MOwtG3XAAAACwEAAA8AAAAAAAAAAQAgAAAAIgAA&#10;AGRycy9kb3ducmV2LnhtbFBLAQIUABQAAAAIAIdO4kASRS3vCQIAAOUDAAAOAAAAAAAAAAEAIAAA&#10;ACYBAABkcnMvZTJvRG9jLnhtbFBLBQYAAAAABgAGAFkBAAChBQAAAAA=&#10;">
                      <v:fill on="f" focussize="0,0"/>
                      <v:stroke weight="1pt" color="#FFFF00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709440" behindDoc="0" locked="0" layoutInCell="1" allowOverlap="1">
                      <wp:simplePos x="0" y="0"/>
                      <wp:positionH relativeFrom="column">
                        <wp:posOffset>1333500</wp:posOffset>
                      </wp:positionH>
                      <wp:positionV relativeFrom="paragraph">
                        <wp:posOffset>3433445</wp:posOffset>
                      </wp:positionV>
                      <wp:extent cx="0" cy="285750"/>
                      <wp:effectExtent l="50800" t="0" r="63500" b="0"/>
                      <wp:wrapNone/>
                      <wp:docPr id="149" name="直接箭头连接符 149"/>
                      <wp:cNvGraphicFramePr/>
                      <a:graphic xmlns:a="http://schemas.openxmlformats.org/drawingml/2006/main">
                        <a:graphicData uri="http://schemas.microsoft.com/office/word/2010/wordprocessingShape">
                          <wps:wsp>
                            <wps:cNvCnPr/>
                            <wps:spPr>
                              <a:xfrm>
                                <a:off x="0" y="0"/>
                                <a:ext cx="0" cy="2857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05pt;margin-top:270.35pt;height:22.5pt;width:0pt;z-index:251709440;mso-width-relative:page;mso-height-relative:page;" filled="f" stroked="t" coordsize="21600,21600" o:gfxdata="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UGZZdYAAAALAQAADwAAAAAAAAABACAAAAAiAAAAZHJz&#10;L2Rvd25yZXYueG1sUEsBAhQAFAAAAAgAh07iQIUT5UUGAgAA4gMAAA4AAAAAAAAAAQAgAAAAJQEA&#10;AGRycy9lMm9Eb2MueG1sUEsFBgAAAAAGAAYAWQEAAJ0FAAAAAA==&#10;">
                      <v:fill on="f" focussize="0,0"/>
                      <v:stroke weight="1pt" color="#FF0000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427355</wp:posOffset>
                      </wp:positionH>
                      <wp:positionV relativeFrom="paragraph">
                        <wp:posOffset>35560</wp:posOffset>
                      </wp:positionV>
                      <wp:extent cx="2056130" cy="278130"/>
                      <wp:effectExtent l="6350" t="6350" r="13970" b="20320"/>
                      <wp:wrapNone/>
                      <wp:docPr id="128" name="矩形 128"/>
                      <wp:cNvGraphicFramePr/>
                      <a:graphic xmlns:a="http://schemas.openxmlformats.org/drawingml/2006/main">
                        <a:graphicData uri="http://schemas.microsoft.com/office/word/2010/wordprocessingShape">
                          <wps:wsp>
                            <wps:cNvSpPr/>
                            <wps:spPr>
                              <a:xfrm>
                                <a:off x="1570355" y="1144905"/>
                                <a:ext cx="2056130" cy="278130"/>
                              </a:xfrm>
                              <a:prstGeom prst="rect">
                                <a:avLst/>
                              </a:prstGeom>
                              <a:solidFill>
                                <a:schemeClr val="accent4">
                                  <a:alpha val="60000"/>
                                </a:schemeClr>
                              </a:solidFill>
                              <a:ln>
                                <a:solidFill>
                                  <a:schemeClr val="accent4">
                                    <a:alpha val="60000"/>
                                  </a:schemeClr>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C428430">
                                  <w:pPr>
                                    <w:jc w:val="center"/>
                                    <w:rPr>
                                      <w:rFonts w:hint="eastAsia" w:eastAsia="宋体"/>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65pt;margin-top:2.8pt;height:21.9pt;width:161.9pt;z-index:251688960;v-text-anchor:middle;mso-width-relative:page;mso-height-relative:page;" fillcolor="#FFC000 [3207]" filled="t" stroked="t" coordsize="21600,21600" o:gfxdata="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Na93e3XAAAABwEA&#10;AA8AAAAAAAAAAQAgAAAAIgAAAGRycy9kb3ducmV2LnhtbFBLAQIUABQAAAAIAIdO4kDvh0hhjQIA&#10;AFEFAAAOAAAAAAAAAAEAIAAAACYBAABkcnMvZTJvRG9jLnhtbFBLBQYAAAAABgAGAFkBAAAlBgAA&#10;AAA=&#10;">
                      <v:fill on="t" opacity="39321f" focussize="0,0"/>
                      <v:stroke weight="1pt" color="#FFC000 [3207]" opacity="39321f" miterlimit="8" joinstyle="miter"/>
                      <v:imagedata o:title=""/>
                      <o:lock v:ext="edit" aspectratio="f"/>
                      <v:textbox>
                        <w:txbxContent>
                          <w:p w14:paraId="6C428430">
                            <w:pPr>
                              <w:jc w:val="center"/>
                              <w:rPr>
                                <w:rFonts w:hint="eastAsia" w:eastAsia="宋体"/>
                                <w:lang w:val="en-US" w:eastAsia="zh-CN"/>
                              </w:rPr>
                            </w:pPr>
                          </w:p>
                        </w:txbxContent>
                      </v:textbox>
                    </v:rect>
                  </w:pict>
                </mc:Fallback>
              </mc:AlternateContent>
            </w:r>
            <w:r>
              <w:rPr>
                <w:color w:val="auto"/>
                <w:sz w:val="21"/>
              </w:rPr>
              <mc:AlternateContent>
                <mc:Choice Requires="wps">
                  <w:drawing>
                    <wp:anchor distT="0" distB="0" distL="114300" distR="114300" simplePos="0" relativeHeight="251711488" behindDoc="0" locked="0" layoutInCell="1" allowOverlap="1">
                      <wp:simplePos x="0" y="0"/>
                      <wp:positionH relativeFrom="column">
                        <wp:posOffset>1022350</wp:posOffset>
                      </wp:positionH>
                      <wp:positionV relativeFrom="paragraph">
                        <wp:posOffset>3209290</wp:posOffset>
                      </wp:positionV>
                      <wp:extent cx="889000" cy="264795"/>
                      <wp:effectExtent l="0" t="0" r="0" b="0"/>
                      <wp:wrapNone/>
                      <wp:docPr id="152" name="矩形 152"/>
                      <wp:cNvGraphicFramePr/>
                      <a:graphic xmlns:a="http://schemas.openxmlformats.org/drawingml/2006/main">
                        <a:graphicData uri="http://schemas.microsoft.com/office/word/2010/wordprocessingShape">
                          <wps:wsp>
                            <wps:cNvSpPr/>
                            <wps:spPr>
                              <a:xfrm>
                                <a:off x="0" y="0"/>
                                <a:ext cx="889000" cy="2647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474614B">
                                  <w:pPr>
                                    <w:jc w:val="center"/>
                                    <w:rPr>
                                      <w:rFonts w:hint="default" w:eastAsia="宋体"/>
                                      <w:b/>
                                      <w:bCs/>
                                      <w:color w:val="FFFF00"/>
                                      <w:sz w:val="16"/>
                                      <w:szCs w:val="15"/>
                                      <w:lang w:val="en-US" w:eastAsia="zh-CN"/>
                                    </w:rPr>
                                  </w:pPr>
                                  <w:r>
                                    <w:rPr>
                                      <w:rFonts w:hint="eastAsia"/>
                                      <w:b/>
                                      <w:bCs/>
                                      <w:color w:val="FFFF00"/>
                                      <w:sz w:val="16"/>
                                      <w:szCs w:val="15"/>
                                      <w:lang w:val="en-US" w:eastAsia="zh-CN"/>
                                    </w:rPr>
                                    <w:t>5mm铅防护门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0.5pt;margin-top:252.7pt;height:20.85pt;width:70pt;z-index:251711488;v-text-anchor:middle;mso-width-relative:page;mso-height-relative:page;" filled="f" stroked="f" coordsize="21600,21600" o:gfxdata="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mX&#10;eLrXAAAACwEAAA8AAAAAAAAAAQAgAAAAIgAAAGRycy9kb3ducmV2LnhtbFBLAQIUABQAAAAIAIdO&#10;4kArF3jfXQIAALAEAAAOAAAAAAAAAAEAIAAAACYBAABkcnMvZTJvRG9jLnhtbFBLBQYAAAAABgAG&#10;AFkBAAD1BQAAAAA=&#10;">
                      <v:fill on="f" focussize="0,0"/>
                      <v:stroke on="f" weight="1pt" miterlimit="8" joinstyle="miter"/>
                      <v:imagedata o:title=""/>
                      <o:lock v:ext="edit" aspectratio="f"/>
                      <v:textbox>
                        <w:txbxContent>
                          <w:p w14:paraId="1474614B">
                            <w:pPr>
                              <w:jc w:val="center"/>
                              <w:rPr>
                                <w:rFonts w:hint="default" w:eastAsia="宋体"/>
                                <w:b/>
                                <w:bCs/>
                                <w:color w:val="FFFF00"/>
                                <w:sz w:val="16"/>
                                <w:szCs w:val="15"/>
                                <w:lang w:val="en-US" w:eastAsia="zh-CN"/>
                              </w:rPr>
                            </w:pPr>
                            <w:r>
                              <w:rPr>
                                <w:rFonts w:hint="eastAsia"/>
                                <w:b/>
                                <w:bCs/>
                                <w:color w:val="FFFF00"/>
                                <w:sz w:val="16"/>
                                <w:szCs w:val="15"/>
                                <w:lang w:val="en-US" w:eastAsia="zh-CN"/>
                              </w:rPr>
                              <w:t>5mm铅防护门</w:t>
                            </w:r>
                          </w:p>
                        </w:txbxContent>
                      </v:textbox>
                    </v:rect>
                  </w:pict>
                </mc:Fallback>
              </mc:AlternateContent>
            </w:r>
            <w:r>
              <w:rPr>
                <w:color w:val="auto"/>
                <w:sz w:val="21"/>
              </w:rPr>
              <mc:AlternateContent>
                <mc:Choice Requires="wps">
                  <w:drawing>
                    <wp:anchor distT="0" distB="0" distL="114300" distR="114300" simplePos="0" relativeHeight="251691008" behindDoc="0" locked="0" layoutInCell="1" allowOverlap="1">
                      <wp:simplePos x="0" y="0"/>
                      <wp:positionH relativeFrom="column">
                        <wp:posOffset>436880</wp:posOffset>
                      </wp:positionH>
                      <wp:positionV relativeFrom="paragraph">
                        <wp:posOffset>3411220</wp:posOffset>
                      </wp:positionV>
                      <wp:extent cx="2040255" cy="301625"/>
                      <wp:effectExtent l="6350" t="6350" r="10795" b="15875"/>
                      <wp:wrapNone/>
                      <wp:docPr id="130" name="矩形 130"/>
                      <wp:cNvGraphicFramePr/>
                      <a:graphic xmlns:a="http://schemas.openxmlformats.org/drawingml/2006/main">
                        <a:graphicData uri="http://schemas.microsoft.com/office/word/2010/wordprocessingShape">
                          <wps:wsp>
                            <wps:cNvSpPr/>
                            <wps:spPr>
                              <a:xfrm>
                                <a:off x="0" y="0"/>
                                <a:ext cx="2040255" cy="301625"/>
                              </a:xfrm>
                              <a:prstGeom prst="rect">
                                <a:avLst/>
                              </a:prstGeom>
                              <a:solidFill>
                                <a:schemeClr val="accent4">
                                  <a:alpha val="60000"/>
                                </a:schemeClr>
                              </a:solidFill>
                              <a:ln>
                                <a:solidFill>
                                  <a:schemeClr val="accent4">
                                    <a:alpha val="6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4pt;margin-top:268.6pt;height:23.75pt;width:160.65pt;z-index:251691008;v-text-anchor:middle;mso-width-relative:page;mso-height-relative:page;" fillcolor="#FFC000 [3207]" filled="t" stroked="t" coordsize="21600,21600" o:gfxdata="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YDrN7doAAAAKAQAADwAAAAAAAAABACAA&#10;AAAiAAAAZHJzL2Rvd25yZXYueG1sUEsBAhQAFAAAAAgAh07iQGT9gHF9AgAAOgUAAA4AAAAAAAAA&#10;AQAgAAAAKQEAAGRycy9lMm9Eb2MueG1sUEsFBgAAAAAGAAYAWQEAABgGAAAAAA==&#10;">
                      <v:fill on="t" opacity="39321f" focussize="0,0"/>
                      <v:stroke weight="1pt" color="#FFC000 [3207]" opacity="39321f"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97152" behindDoc="0" locked="0" layoutInCell="1" allowOverlap="1">
                      <wp:simplePos x="0" y="0"/>
                      <wp:positionH relativeFrom="column">
                        <wp:posOffset>4310380</wp:posOffset>
                      </wp:positionH>
                      <wp:positionV relativeFrom="paragraph">
                        <wp:posOffset>2731770</wp:posOffset>
                      </wp:positionV>
                      <wp:extent cx="84455" cy="521970"/>
                      <wp:effectExtent l="6350" t="6350" r="23495" b="24130"/>
                      <wp:wrapNone/>
                      <wp:docPr id="136" name="矩形 136"/>
                      <wp:cNvGraphicFramePr/>
                      <a:graphic xmlns:a="http://schemas.openxmlformats.org/drawingml/2006/main">
                        <a:graphicData uri="http://schemas.microsoft.com/office/word/2010/wordprocessingShape">
                          <wps:wsp>
                            <wps:cNvSpPr/>
                            <wps:spPr>
                              <a:xfrm>
                                <a:off x="5461635" y="3848100"/>
                                <a:ext cx="84455" cy="521970"/>
                              </a:xfrm>
                              <a:prstGeom prst="rect">
                                <a:avLst/>
                              </a:prstGeom>
                              <a:solidFill>
                                <a:schemeClr val="accent4">
                                  <a:alpha val="60000"/>
                                </a:schemeClr>
                              </a:solidFill>
                              <a:ln>
                                <a:solidFill>
                                  <a:schemeClr val="accent4">
                                    <a:alpha val="6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9.4pt;margin-top:215.1pt;height:41.1pt;width:6.65pt;z-index:251697152;v-text-anchor:middle;mso-width-relative:page;mso-height-relative:page;" fillcolor="#FFC000 [3207]" filled="t" stroked="t" coordsize="21600,21600" o:gfxdata="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CgJHY9sAAAALAQAA&#10;DwAAAAAAAAABACAAAAAiAAAAZHJzL2Rvd25yZXYueG1sUEsBAhQAFAAAAAgAh07iQAlDP8mIAgAA&#10;RAUAAA4AAAAAAAAAAQAgAAAAKgEAAGRycy9lMm9Eb2MueG1sUEsFBgAAAAAGAAYAWQEAACQGAAAA&#10;AA==&#10;">
                      <v:fill on="t" opacity="39321f" focussize="0,0"/>
                      <v:stroke weight="1pt" color="#FFC000 [3207]" opacity="39321f"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96128" behindDoc="0" locked="0" layoutInCell="1" allowOverlap="1">
                      <wp:simplePos x="0" y="0"/>
                      <wp:positionH relativeFrom="column">
                        <wp:posOffset>2509520</wp:posOffset>
                      </wp:positionH>
                      <wp:positionV relativeFrom="paragraph">
                        <wp:posOffset>1686560</wp:posOffset>
                      </wp:positionV>
                      <wp:extent cx="541020" cy="76200"/>
                      <wp:effectExtent l="6350" t="6350" r="24130" b="12700"/>
                      <wp:wrapNone/>
                      <wp:docPr id="135" name="矩形 135"/>
                      <wp:cNvGraphicFramePr/>
                      <a:graphic xmlns:a="http://schemas.openxmlformats.org/drawingml/2006/main">
                        <a:graphicData uri="http://schemas.microsoft.com/office/word/2010/wordprocessingShape">
                          <wps:wsp>
                            <wps:cNvSpPr/>
                            <wps:spPr>
                              <a:xfrm>
                                <a:off x="3652520" y="2799715"/>
                                <a:ext cx="541020" cy="76200"/>
                              </a:xfrm>
                              <a:prstGeom prst="rect">
                                <a:avLst/>
                              </a:prstGeom>
                              <a:solidFill>
                                <a:schemeClr val="accent4">
                                  <a:alpha val="60000"/>
                                </a:schemeClr>
                              </a:solidFill>
                              <a:ln>
                                <a:solidFill>
                                  <a:schemeClr val="accent4">
                                    <a:alpha val="6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7.6pt;margin-top:132.8pt;height:6pt;width:42.6pt;z-index:251696128;v-text-anchor:middle;mso-width-relative:page;mso-height-relative:page;" fillcolor="#FFC000 [3207]" filled="t" stroked="t" coordsize="21600,21600" o:gfxdata="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cHGbNNsAAAALAQAA&#10;DwAAAAAAAAABACAAAAAiAAAAZHJzL2Rvd25yZXYueG1sUEsBAhQAFAAAAAgAh07iQFUW2LeIAgAA&#10;RAUAAA4AAAAAAAAAAQAgAAAAKgEAAGRycy9lMm9Eb2MueG1sUEsFBgAAAAAGAAYAWQEAACQGAAAA&#10;AA==&#10;">
                      <v:fill on="t" opacity="39321f" focussize="0,0"/>
                      <v:stroke weight="1pt" color="#FFC000 [3207]" opacity="39321f"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2487930</wp:posOffset>
                      </wp:positionH>
                      <wp:positionV relativeFrom="paragraph">
                        <wp:posOffset>1747520</wp:posOffset>
                      </wp:positionV>
                      <wp:extent cx="1831340" cy="1515110"/>
                      <wp:effectExtent l="6350" t="6350" r="10160" b="21590"/>
                      <wp:wrapNone/>
                      <wp:docPr id="134" name="矩形 134"/>
                      <wp:cNvGraphicFramePr/>
                      <a:graphic xmlns:a="http://schemas.openxmlformats.org/drawingml/2006/main">
                        <a:graphicData uri="http://schemas.microsoft.com/office/word/2010/wordprocessingShape">
                          <wps:wsp>
                            <wps:cNvSpPr/>
                            <wps:spPr>
                              <a:xfrm>
                                <a:off x="3622040" y="2877820"/>
                                <a:ext cx="1831340" cy="1515110"/>
                              </a:xfrm>
                              <a:prstGeom prst="rect">
                                <a:avLst/>
                              </a:prstGeom>
                              <a:solidFill>
                                <a:schemeClr val="accent4">
                                  <a:alpha val="60000"/>
                                </a:schemeClr>
                              </a:solidFill>
                              <a:ln>
                                <a:solidFill>
                                  <a:schemeClr val="tx1">
                                    <a:alpha val="6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9pt;margin-top:137.6pt;height:119.3pt;width:144.2pt;z-index:251695104;v-text-anchor:middle;mso-width-relative:page;mso-height-relative:page;" fillcolor="#FFC000 [3207]" filled="t" stroked="t" coordsize="21600,21600" o:gfxdata="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ZNZpXZAAAACwEA&#10;AA8AAAAAAAAAAQAgAAAAIgAAAGRycy9kb3ducmV2LnhtbFBLAQIUABQAAAAIAIdO4kDPdw3giwIA&#10;AEcFAAAOAAAAAAAAAAEAIAAAACgBAABkcnMvZTJvRG9jLnhtbFBLBQYAAAAABgAGAFkBAAAlBgAA&#10;AAA=&#10;">
                      <v:fill on="t" opacity="39321f" focussize="0,0"/>
                      <v:stroke weight="1pt" color="#000000 [3213]" opacity="39321f"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94080" behindDoc="0" locked="0" layoutInCell="1" allowOverlap="1">
                      <wp:simplePos x="0" y="0"/>
                      <wp:positionH relativeFrom="column">
                        <wp:posOffset>2483485</wp:posOffset>
                      </wp:positionH>
                      <wp:positionV relativeFrom="paragraph">
                        <wp:posOffset>396240</wp:posOffset>
                      </wp:positionV>
                      <wp:extent cx="1831340" cy="1285875"/>
                      <wp:effectExtent l="6350" t="6350" r="10160" b="22225"/>
                      <wp:wrapNone/>
                      <wp:docPr id="133" name="矩形 133"/>
                      <wp:cNvGraphicFramePr/>
                      <a:graphic xmlns:a="http://schemas.openxmlformats.org/drawingml/2006/main">
                        <a:graphicData uri="http://schemas.microsoft.com/office/word/2010/wordprocessingShape">
                          <wps:wsp>
                            <wps:cNvSpPr/>
                            <wps:spPr>
                              <a:xfrm>
                                <a:off x="3626485" y="1509395"/>
                                <a:ext cx="1831340" cy="1285875"/>
                              </a:xfrm>
                              <a:prstGeom prst="rect">
                                <a:avLst/>
                              </a:prstGeom>
                              <a:solidFill>
                                <a:schemeClr val="accent4">
                                  <a:alpha val="60000"/>
                                </a:schemeClr>
                              </a:solidFill>
                              <a:ln>
                                <a:solidFill>
                                  <a:schemeClr val="accent4">
                                    <a:alpha val="6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55pt;margin-top:31.2pt;height:101.25pt;width:144.2pt;z-index:251694080;v-text-anchor:middle;mso-width-relative:page;mso-height-relative:page;" fillcolor="#FFC000 [3207]" filled="t" stroked="t" coordsize="21600,21600" o:gfxdata="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S+/NK2gAAAAoB&#10;AAAPAAAAAAAAAAEAIAAAACIAAABkcnMvZG93bnJldi54bWxQSwECFAAUAAAACACHTuJAqFhlOosC&#10;AABHBQAADgAAAAAAAAABACAAAAApAQAAZHJzL2Uyb0RvYy54bWxQSwUGAAAAAAYABgBZAQAAJgYA&#10;AAAA&#10;">
                      <v:fill on="t" opacity="39321f" focussize="0,0"/>
                      <v:stroke weight="1pt" color="#FFC000 [3207]" opacity="39321f"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93056" behindDoc="0" locked="0" layoutInCell="1" allowOverlap="1">
                      <wp:simplePos x="0" y="0"/>
                      <wp:positionH relativeFrom="column">
                        <wp:posOffset>612775</wp:posOffset>
                      </wp:positionH>
                      <wp:positionV relativeFrom="paragraph">
                        <wp:posOffset>3164205</wp:posOffset>
                      </wp:positionV>
                      <wp:extent cx="1680210" cy="125730"/>
                      <wp:effectExtent l="6350" t="6350" r="8890" b="20320"/>
                      <wp:wrapNone/>
                      <wp:docPr id="132" name="矩形 132"/>
                      <wp:cNvGraphicFramePr/>
                      <a:graphic xmlns:a="http://schemas.openxmlformats.org/drawingml/2006/main">
                        <a:graphicData uri="http://schemas.microsoft.com/office/word/2010/wordprocessingShape">
                          <wps:wsp>
                            <wps:cNvSpPr/>
                            <wps:spPr>
                              <a:xfrm>
                                <a:off x="1755775" y="4288790"/>
                                <a:ext cx="1680210" cy="125730"/>
                              </a:xfrm>
                              <a:prstGeom prst="rect">
                                <a:avLst/>
                              </a:prstGeom>
                              <a:solidFill>
                                <a:srgbClr val="FF0000">
                                  <a:alpha val="60000"/>
                                </a:srgbClr>
                              </a:solidFill>
                              <a:ln>
                                <a:solidFill>
                                  <a:srgbClr val="FF0000">
                                    <a:alpha val="60000"/>
                                  </a:srgb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25pt;margin-top:249.15pt;height:9.9pt;width:132.3pt;z-index:251693056;v-text-anchor:middle;mso-width-relative:page;mso-height-relative:page;" fillcolor="#FF0000" filled="t" stroked="t" coordsize="21600,21600" o:gfxdata="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AlIEU12gAAAAoBAAAP&#10;AAAAAAAAAAEAIAAAACIAAABkcnMvZG93bnJldi54bWxQSwECFAAUAAAACACHTuJAtQXZtIgCAABG&#10;BQAADgAAAAAAAAABACAAAAApAQAAZHJzL2Uyb0RvYy54bWxQSwUGAAAAAAYABgBZAQAAIwYAAAAA&#10;">
                      <v:fill on="t" opacity="39321f" focussize="0,0"/>
                      <v:stroke weight="1pt" color="#FF0000 [2404]" opacity="39321f"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92032" behindDoc="0" locked="0" layoutInCell="1" allowOverlap="1">
                      <wp:simplePos x="0" y="0"/>
                      <wp:positionH relativeFrom="column">
                        <wp:posOffset>586105</wp:posOffset>
                      </wp:positionH>
                      <wp:positionV relativeFrom="paragraph">
                        <wp:posOffset>464820</wp:posOffset>
                      </wp:positionV>
                      <wp:extent cx="1730375" cy="2692400"/>
                      <wp:effectExtent l="6350" t="6350" r="15875" b="6350"/>
                      <wp:wrapNone/>
                      <wp:docPr id="131" name="矩形 131"/>
                      <wp:cNvGraphicFramePr/>
                      <a:graphic xmlns:a="http://schemas.openxmlformats.org/drawingml/2006/main">
                        <a:graphicData uri="http://schemas.microsoft.com/office/word/2010/wordprocessingShape">
                          <wps:wsp>
                            <wps:cNvSpPr/>
                            <wps:spPr>
                              <a:xfrm>
                                <a:off x="1729105" y="1589405"/>
                                <a:ext cx="1730375" cy="2692400"/>
                              </a:xfrm>
                              <a:prstGeom prst="rect">
                                <a:avLst/>
                              </a:prstGeom>
                              <a:solidFill>
                                <a:srgbClr val="FF0000">
                                  <a:alpha val="60000"/>
                                </a:srgbClr>
                              </a:solidFill>
                              <a:ln>
                                <a:solidFill>
                                  <a:srgbClr val="FF0000">
                                    <a:alpha val="60000"/>
                                  </a:srgb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15pt;margin-top:36.6pt;height:212pt;width:136.25pt;z-index:251692032;v-text-anchor:middle;mso-width-relative:page;mso-height-relative:page;" fillcolor="#FF0000" filled="t" stroked="t" coordsize="21600,21600" o:gfxdata="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yHleU9kAAAAJAQAADwAA&#10;AAAAAAABACAAAAAiAAAAZHJzL2Rvd25yZXYueG1sUEsBAhQAFAAAAAgAh07iQKeo9fOHAgAARwUA&#10;AA4AAAAAAAAAAQAgAAAAKAEAAGRycy9lMm9Eb2MueG1sUEsFBgAAAAAGAAYAWQEAACEGAAAAAA==&#10;">
                      <v:fill on="t" opacity="39321f" focussize="0,0"/>
                      <v:stroke weight="1pt" color="#FF0000 [2404]" opacity="39321f"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10464" behindDoc="0" locked="0" layoutInCell="1" allowOverlap="1">
                      <wp:simplePos x="0" y="0"/>
                      <wp:positionH relativeFrom="column">
                        <wp:posOffset>143510</wp:posOffset>
                      </wp:positionH>
                      <wp:positionV relativeFrom="paragraph">
                        <wp:posOffset>1897380</wp:posOffset>
                      </wp:positionV>
                      <wp:extent cx="278130" cy="0"/>
                      <wp:effectExtent l="0" t="50800" r="7620" b="63500"/>
                      <wp:wrapNone/>
                      <wp:docPr id="150" name="直接箭头连接符 150"/>
                      <wp:cNvGraphicFramePr/>
                      <a:graphic xmlns:a="http://schemas.openxmlformats.org/drawingml/2006/main">
                        <a:graphicData uri="http://schemas.microsoft.com/office/word/2010/wordprocessingShape">
                          <wps:wsp>
                            <wps:cNvCnPr>
                              <a:stCxn id="129" idx="2"/>
                              <a:endCxn id="129" idx="0"/>
                            </wps:cNvCnPr>
                            <wps:spPr>
                              <a:xfrm flipH="1">
                                <a:off x="0" y="0"/>
                                <a:ext cx="278130" cy="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1.3pt;margin-top:149.4pt;height:0pt;width:21.9pt;z-index:251710464;mso-width-relative:page;mso-height-relative:page;" filled="f" stroked="t" coordsize="21600,21600" o:gfxdata="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XlVR&#10;5tUAAAAJAQAADwAAAAAAAAABACAAAAAiAAAAZHJzL2Rvd25yZXYueG1sUEsBAhQAFAAAAAgAh07i&#10;QAkilmclAgAAMAQAAA4AAAAAAAAAAQAgAAAAJAEAAGRycy9lMm9Eb2MueG1sUEsFBgAAAAAGAAYA&#10;WQEAALsFAAAAAA==&#10;">
                      <v:fill on="f" focussize="0,0"/>
                      <v:stroke weight="1pt" color="#FF0000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707392" behindDoc="0" locked="0" layoutInCell="1" allowOverlap="1">
                      <wp:simplePos x="0" y="0"/>
                      <wp:positionH relativeFrom="column">
                        <wp:posOffset>1455420</wp:posOffset>
                      </wp:positionH>
                      <wp:positionV relativeFrom="paragraph">
                        <wp:posOffset>35560</wp:posOffset>
                      </wp:positionV>
                      <wp:extent cx="0" cy="278130"/>
                      <wp:effectExtent l="50800" t="0" r="63500" b="7620"/>
                      <wp:wrapNone/>
                      <wp:docPr id="146" name="直接箭头连接符 146"/>
                      <wp:cNvGraphicFramePr/>
                      <a:graphic xmlns:a="http://schemas.openxmlformats.org/drawingml/2006/main">
                        <a:graphicData uri="http://schemas.microsoft.com/office/word/2010/wordprocessingShape">
                          <wps:wsp>
                            <wps:cNvCnPr>
                              <a:stCxn id="128" idx="2"/>
                              <a:endCxn id="128" idx="0"/>
                            </wps:cNvCnPr>
                            <wps:spPr>
                              <a:xfrm flipV="1">
                                <a:off x="2598420" y="1148715"/>
                                <a:ext cx="0" cy="27813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14.6pt;margin-top:2.8pt;height:21.9pt;width:0pt;z-index:251707392;mso-width-relative:page;mso-height-relative:page;" filled="f" stroked="t" coordsize="21600,21600" o:gfxdata="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pkKa+1AAAAAgBAAAPAAAAAAAAAAEAIAAAACIAAABkcnMvZG93bnJldi54bWxQSwEC&#10;FAAUAAAACACHTuJAo304lzECAAA8BAAADgAAAAAAAAABACAAAAAjAQAAZHJzL2Uyb0RvYy54bWxQ&#10;SwUGAAAAAAYABgBZAQAAxgUAAAAA&#10;">
                      <v:fill on="f" focussize="0,0"/>
                      <v:stroke weight="1pt" color="#FF0000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706368" behindDoc="0" locked="0" layoutInCell="1" allowOverlap="1">
                      <wp:simplePos x="0" y="0"/>
                      <wp:positionH relativeFrom="column">
                        <wp:posOffset>2487930</wp:posOffset>
                      </wp:positionH>
                      <wp:positionV relativeFrom="paragraph">
                        <wp:posOffset>2505075</wp:posOffset>
                      </wp:positionV>
                      <wp:extent cx="1831340" cy="0"/>
                      <wp:effectExtent l="0" t="6350" r="0" b="6350"/>
                      <wp:wrapNone/>
                      <wp:docPr id="145" name="直接连接符 145"/>
                      <wp:cNvGraphicFramePr/>
                      <a:graphic xmlns:a="http://schemas.openxmlformats.org/drawingml/2006/main">
                        <a:graphicData uri="http://schemas.microsoft.com/office/word/2010/wordprocessingShape">
                          <wps:wsp>
                            <wps:cNvCnPr>
                              <a:stCxn id="134" idx="1"/>
                              <a:endCxn id="134" idx="3"/>
                            </wps:cNvCnPr>
                            <wps:spPr>
                              <a:xfrm>
                                <a:off x="3630930" y="3618230"/>
                                <a:ext cx="1831340" cy="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95.9pt;margin-top:197.25pt;height:0pt;width:144.2pt;z-index:251706368;mso-width-relative:page;mso-height-relative:page;" filled="f" stroked="t" coordsize="21600,21600" o:gfxdata="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WDD5doAAAALAQAADwAAAAAAAAABACAAAAAi&#10;AAAAZHJzL2Rvd25yZXYueG1sUEsBAhQAFAAAAAgAh07iQJ4grskIAgAABgQAAA4AAAAAAAAAAQAg&#10;AAAAKQEAAGRycy9lMm9Eb2MueG1sUEsFBgAAAAAGAAYAWQEAAKMFAAAAAA==&#10;">
                      <v:fill on="f" focussize="0,0"/>
                      <v:stroke weight="1pt" color="#000000 [3213]" miterlimit="8" joinstyle="miter"/>
                      <v:imagedata o:title=""/>
                      <o:lock v:ext="edit" aspectratio="f"/>
                    </v:line>
                  </w:pict>
                </mc:Fallback>
              </mc:AlternateContent>
            </w:r>
            <w:r>
              <w:rPr>
                <w:rFonts w:hint="eastAsia"/>
                <w:b/>
                <w:color w:val="auto"/>
                <w:szCs w:val="21"/>
                <w:highlight w:val="none"/>
              </w:rPr>
              <w:drawing>
                <wp:anchor distT="0" distB="0" distL="114300" distR="114300" simplePos="0" relativeHeight="251698176" behindDoc="0" locked="0" layoutInCell="1" allowOverlap="1">
                  <wp:simplePos x="0" y="0"/>
                  <wp:positionH relativeFrom="column">
                    <wp:posOffset>4772660</wp:posOffset>
                  </wp:positionH>
                  <wp:positionV relativeFrom="paragraph">
                    <wp:posOffset>60960</wp:posOffset>
                  </wp:positionV>
                  <wp:extent cx="497205" cy="466725"/>
                  <wp:effectExtent l="0" t="0" r="17145" b="9525"/>
                  <wp:wrapNone/>
                  <wp:docPr id="137" name="图片 137" descr="7cb1dc3bc0824f6b768fb174a86d5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7cb1dc3bc0824f6b768fb174a86d5b3"/>
                          <pic:cNvPicPr>
                            <a:picLocks noChangeAspect="1"/>
                          </pic:cNvPicPr>
                        </pic:nvPicPr>
                        <pic:blipFill>
                          <a:blip r:embed="rId27"/>
                          <a:stretch>
                            <a:fillRect/>
                          </a:stretch>
                        </pic:blipFill>
                        <pic:spPr>
                          <a:xfrm>
                            <a:off x="0" y="0"/>
                            <a:ext cx="497205" cy="466725"/>
                          </a:xfrm>
                          <a:prstGeom prst="rect">
                            <a:avLst/>
                          </a:prstGeom>
                        </pic:spPr>
                      </pic:pic>
                    </a:graphicData>
                  </a:graphic>
                </wp:anchor>
              </w:drawing>
            </w:r>
            <w:r>
              <w:rPr>
                <w:color w:val="auto"/>
                <w:sz w:val="21"/>
              </w:rPr>
              <mc:AlternateContent>
                <mc:Choice Requires="wps">
                  <w:drawing>
                    <wp:anchor distT="0" distB="0" distL="114300" distR="114300" simplePos="0" relativeHeight="251704320" behindDoc="0" locked="0" layoutInCell="1" allowOverlap="1">
                      <wp:simplePos x="0" y="0"/>
                      <wp:positionH relativeFrom="column">
                        <wp:posOffset>4655820</wp:posOffset>
                      </wp:positionH>
                      <wp:positionV relativeFrom="paragraph">
                        <wp:posOffset>3473450</wp:posOffset>
                      </wp:positionV>
                      <wp:extent cx="577215" cy="264795"/>
                      <wp:effectExtent l="0" t="0" r="0" b="0"/>
                      <wp:wrapNone/>
                      <wp:docPr id="143" name="矩形 143"/>
                      <wp:cNvGraphicFramePr/>
                      <a:graphic xmlns:a="http://schemas.openxmlformats.org/drawingml/2006/main">
                        <a:graphicData uri="http://schemas.microsoft.com/office/word/2010/wordprocessingShape">
                          <wps:wsp>
                            <wps:cNvSpPr/>
                            <wps:spPr>
                              <a:xfrm>
                                <a:off x="0" y="0"/>
                                <a:ext cx="577215" cy="2647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B99E2AB">
                                  <w:pPr>
                                    <w:jc w:val="center"/>
                                    <w:rPr>
                                      <w:rFonts w:hint="eastAsia" w:eastAsia="宋体"/>
                                      <w:b/>
                                      <w:bCs/>
                                      <w:sz w:val="15"/>
                                      <w:szCs w:val="13"/>
                                      <w:lang w:val="en-US" w:eastAsia="zh-CN"/>
                                    </w:rPr>
                                  </w:pPr>
                                  <w:r>
                                    <w:rPr>
                                      <w:rFonts w:hint="eastAsia"/>
                                      <w:b/>
                                      <w:bCs/>
                                      <w:sz w:val="15"/>
                                      <w:szCs w:val="13"/>
                                      <w:lang w:val="en-US" w:eastAsia="zh-CN"/>
                                    </w:rPr>
                                    <w:t>控制区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6.6pt;margin-top:273.5pt;height:20.85pt;width:45.45pt;z-index:251704320;v-text-anchor:middle;mso-width-relative:page;mso-height-relative:page;" filled="f" stroked="f" coordsize="21600,21600" o:gfxdata="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iDXl52QAAAAsBAAAPAAAAAAAAAAEAIAAAACIAAABkcnMvZG93bnJldi54bWxQSwECFAAU&#10;AAAACACHTuJAKnNc12ICAACwBAAADgAAAAAAAAABACAAAAAoAQAAZHJzL2Uyb0RvYy54bWxQSwUG&#10;AAAAAAYABgBZAQAA/AUAAAAA&#10;">
                      <v:fill on="f" focussize="0,0"/>
                      <v:stroke on="f" weight="1pt" miterlimit="8" joinstyle="miter"/>
                      <v:imagedata o:title=""/>
                      <o:lock v:ext="edit" aspectratio="f"/>
                      <v:textbox>
                        <w:txbxContent>
                          <w:p w14:paraId="4B99E2AB">
                            <w:pPr>
                              <w:jc w:val="center"/>
                              <w:rPr>
                                <w:rFonts w:hint="eastAsia" w:eastAsia="宋体"/>
                                <w:b/>
                                <w:bCs/>
                                <w:sz w:val="15"/>
                                <w:szCs w:val="13"/>
                                <w:lang w:val="en-US" w:eastAsia="zh-CN"/>
                              </w:rPr>
                            </w:pPr>
                            <w:r>
                              <w:rPr>
                                <w:rFonts w:hint="eastAsia"/>
                                <w:b/>
                                <w:bCs/>
                                <w:sz w:val="15"/>
                                <w:szCs w:val="13"/>
                                <w:lang w:val="en-US" w:eastAsia="zh-CN"/>
                              </w:rPr>
                              <w:t>控制区</w:t>
                            </w:r>
                          </w:p>
                        </w:txbxContent>
                      </v:textbox>
                    </v:rect>
                  </w:pict>
                </mc:Fallback>
              </mc:AlternateContent>
            </w:r>
            <w:r>
              <w:rPr>
                <w:color w:val="auto"/>
                <w:sz w:val="21"/>
              </w:rPr>
              <mc:AlternateContent>
                <mc:Choice Requires="wps">
                  <w:drawing>
                    <wp:anchor distT="0" distB="0" distL="114300" distR="114300" simplePos="0" relativeHeight="251703296" behindDoc="0" locked="0" layoutInCell="1" allowOverlap="1">
                      <wp:simplePos x="0" y="0"/>
                      <wp:positionH relativeFrom="column">
                        <wp:posOffset>4652010</wp:posOffset>
                      </wp:positionH>
                      <wp:positionV relativeFrom="paragraph">
                        <wp:posOffset>3308985</wp:posOffset>
                      </wp:positionV>
                      <wp:extent cx="577215" cy="264795"/>
                      <wp:effectExtent l="0" t="0" r="0" b="0"/>
                      <wp:wrapNone/>
                      <wp:docPr id="142" name="矩形 142"/>
                      <wp:cNvGraphicFramePr/>
                      <a:graphic xmlns:a="http://schemas.openxmlformats.org/drawingml/2006/main">
                        <a:graphicData uri="http://schemas.microsoft.com/office/word/2010/wordprocessingShape">
                          <wps:wsp>
                            <wps:cNvSpPr/>
                            <wps:spPr>
                              <a:xfrm>
                                <a:off x="0" y="0"/>
                                <a:ext cx="577215" cy="2647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A992784">
                                  <w:pPr>
                                    <w:jc w:val="center"/>
                                    <w:rPr>
                                      <w:rFonts w:hint="eastAsia" w:eastAsia="宋体"/>
                                      <w:b/>
                                      <w:bCs/>
                                      <w:sz w:val="15"/>
                                      <w:szCs w:val="13"/>
                                      <w:lang w:val="en-US" w:eastAsia="zh-CN"/>
                                    </w:rPr>
                                  </w:pPr>
                                  <w:r>
                                    <w:rPr>
                                      <w:rFonts w:hint="eastAsia"/>
                                      <w:b/>
                                      <w:bCs/>
                                      <w:sz w:val="15"/>
                                      <w:szCs w:val="13"/>
                                      <w:lang w:val="en-US" w:eastAsia="zh-CN"/>
                                    </w:rPr>
                                    <w:t>监督区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6.3pt;margin-top:260.55pt;height:20.85pt;width:45.45pt;z-index:251703296;v-text-anchor:middle;mso-width-relative:page;mso-height-relative:page;" filled="f" stroked="f" coordsize="21600,21600" o:gfxdata="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5YHEYNgAAAALAQAADwAAAAAAAAABACAAAAAiAAAAZHJzL2Rvd25yZXYueG1sUEsBAhQAFAAA&#10;AAgAh07iQMp/VsdhAgAAsAQAAA4AAAAAAAAAAQAgAAAAJwEAAGRycy9lMm9Eb2MueG1sUEsFBgAA&#10;AAAGAAYAWQEAAPoFAAAAAA==&#10;">
                      <v:fill on="f" focussize="0,0"/>
                      <v:stroke on="f" weight="1pt" miterlimit="8" joinstyle="miter"/>
                      <v:imagedata o:title=""/>
                      <o:lock v:ext="edit" aspectratio="f"/>
                      <v:textbox>
                        <w:txbxContent>
                          <w:p w14:paraId="1A992784">
                            <w:pPr>
                              <w:jc w:val="center"/>
                              <w:rPr>
                                <w:rFonts w:hint="eastAsia" w:eastAsia="宋体"/>
                                <w:b/>
                                <w:bCs/>
                                <w:sz w:val="15"/>
                                <w:szCs w:val="13"/>
                                <w:lang w:val="en-US" w:eastAsia="zh-CN"/>
                              </w:rPr>
                            </w:pPr>
                            <w:r>
                              <w:rPr>
                                <w:rFonts w:hint="eastAsia"/>
                                <w:b/>
                                <w:bCs/>
                                <w:sz w:val="15"/>
                                <w:szCs w:val="13"/>
                                <w:lang w:val="en-US" w:eastAsia="zh-CN"/>
                              </w:rPr>
                              <w:t>监督区</w:t>
                            </w:r>
                          </w:p>
                        </w:txbxContent>
                      </v:textbox>
                    </v:rect>
                  </w:pict>
                </mc:Fallback>
              </mc:AlternateContent>
            </w:r>
            <w:r>
              <w:rPr>
                <w:color w:val="auto"/>
                <w:sz w:val="21"/>
              </w:rPr>
              <mc:AlternateContent>
                <mc:Choice Requires="wps">
                  <w:drawing>
                    <wp:anchor distT="0" distB="0" distL="114300" distR="114300" simplePos="0" relativeHeight="251701248" behindDoc="0" locked="0" layoutInCell="1" allowOverlap="1">
                      <wp:simplePos x="0" y="0"/>
                      <wp:positionH relativeFrom="column">
                        <wp:posOffset>4485005</wp:posOffset>
                      </wp:positionH>
                      <wp:positionV relativeFrom="paragraph">
                        <wp:posOffset>3566795</wp:posOffset>
                      </wp:positionV>
                      <wp:extent cx="207010" cy="116840"/>
                      <wp:effectExtent l="6350" t="6350" r="15240" b="10160"/>
                      <wp:wrapNone/>
                      <wp:docPr id="140" name="矩形 140"/>
                      <wp:cNvGraphicFramePr/>
                      <a:graphic xmlns:a="http://schemas.openxmlformats.org/drawingml/2006/main">
                        <a:graphicData uri="http://schemas.microsoft.com/office/word/2010/wordprocessingShape">
                          <wps:wsp>
                            <wps:cNvSpPr/>
                            <wps:spPr>
                              <a:xfrm>
                                <a:off x="0" y="0"/>
                                <a:ext cx="207010" cy="116840"/>
                              </a:xfrm>
                              <a:prstGeom prst="rect">
                                <a:avLst/>
                              </a:prstGeom>
                              <a:solidFill>
                                <a:srgbClr val="FF0000">
                                  <a:alpha val="60000"/>
                                </a:srgbClr>
                              </a:solidFill>
                              <a:ln>
                                <a:solidFill>
                                  <a:srgbClr val="FF0000">
                                    <a:alpha val="60000"/>
                                  </a:srgb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3.15pt;margin-top:280.85pt;height:9.2pt;width:16.3pt;z-index:251701248;v-text-anchor:middle;mso-width-relative:page;mso-height-relative:page;" fillcolor="#FF0000" filled="t" stroked="t" coordsize="21600,21600" o:gfxdata="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YwpXg2gAAAAsBAAAPAAAAAAAAAAEAIAAAACIA&#10;AABkcnMvZG93bnJldi54bWxQSwECFAAUAAAACACHTuJAWszFWnkCAAA5BQAADgAAAAAAAAABACAA&#10;AAApAQAAZHJzL2Uyb0RvYy54bWxQSwUGAAAAAAYABgBZAQAAFAYAAAAA&#10;">
                      <v:fill on="t" opacity="39321f" focussize="0,0"/>
                      <v:stroke weight="1pt" color="#FF0000 [2404]" opacity="39321f"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00224" behindDoc="0" locked="0" layoutInCell="1" allowOverlap="1">
                      <wp:simplePos x="0" y="0"/>
                      <wp:positionH relativeFrom="column">
                        <wp:posOffset>4485005</wp:posOffset>
                      </wp:positionH>
                      <wp:positionV relativeFrom="paragraph">
                        <wp:posOffset>3399790</wp:posOffset>
                      </wp:positionV>
                      <wp:extent cx="207010" cy="116840"/>
                      <wp:effectExtent l="6350" t="6350" r="15240" b="10160"/>
                      <wp:wrapNone/>
                      <wp:docPr id="139" name="矩形 139"/>
                      <wp:cNvGraphicFramePr/>
                      <a:graphic xmlns:a="http://schemas.openxmlformats.org/drawingml/2006/main">
                        <a:graphicData uri="http://schemas.microsoft.com/office/word/2010/wordprocessingShape">
                          <wps:wsp>
                            <wps:cNvSpPr/>
                            <wps:spPr>
                              <a:xfrm>
                                <a:off x="0" y="0"/>
                                <a:ext cx="207010" cy="116840"/>
                              </a:xfrm>
                              <a:prstGeom prst="rect">
                                <a:avLst/>
                              </a:prstGeom>
                              <a:solidFill>
                                <a:schemeClr val="accent4">
                                  <a:alpha val="60000"/>
                                </a:schemeClr>
                              </a:solidFill>
                              <a:ln>
                                <a:solidFill>
                                  <a:schemeClr val="accent4">
                                    <a:alpha val="6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3.15pt;margin-top:267.7pt;height:9.2pt;width:16.3pt;z-index:251700224;v-text-anchor:middle;mso-width-relative:page;mso-height-relative:page;" fillcolor="#FFC000 [3207]" filled="t" stroked="t" coordsize="21600,21600" o:gfxdata="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h0Xa02gAAAAsBAAAPAAAAAAAAAAEAIAAA&#10;ACIAAABkcnMvZG93bnJldi54bWxQSwECFAAUAAAACACHTuJAZk+iT3wCAAA5BQAADgAAAAAAAAAB&#10;ACAAAAApAQAAZHJzL2Uyb0RvYy54bWxQSwUGAAAAAAYABgBZAQAAFwYAAAAA&#10;">
                      <v:fill on="t" opacity="39321f" focussize="0,0"/>
                      <v:stroke weight="1pt" color="#FFC000 [3207]" opacity="39321f" miterlimit="8" joinstyle="miter"/>
                      <v:imagedata o:title=""/>
                      <o:lock v:ext="edit" aspectratio="f"/>
                    </v:rect>
                  </w:pict>
                </mc:Fallback>
              </mc:AlternateContent>
            </w:r>
            <w:r>
              <w:rPr>
                <w:color w:val="auto"/>
              </w:rPr>
              <w:drawing>
                <wp:inline distT="0" distB="0" distL="114300" distR="114300">
                  <wp:extent cx="5269865" cy="3839210"/>
                  <wp:effectExtent l="9525" t="9525" r="16510" b="18415"/>
                  <wp:docPr id="12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9"/>
                          <pic:cNvPicPr>
                            <a:picLocks noChangeAspect="1"/>
                          </pic:cNvPicPr>
                        </pic:nvPicPr>
                        <pic:blipFill>
                          <a:blip r:embed="rId39">
                            <a:lum bright="24000"/>
                          </a:blip>
                          <a:stretch>
                            <a:fillRect/>
                          </a:stretch>
                        </pic:blipFill>
                        <pic:spPr>
                          <a:xfrm>
                            <a:off x="0" y="0"/>
                            <a:ext cx="5269865" cy="3839210"/>
                          </a:xfrm>
                          <a:prstGeom prst="rect">
                            <a:avLst/>
                          </a:prstGeom>
                          <a:noFill/>
                          <a:ln>
                            <a:solidFill>
                              <a:schemeClr val="tx1"/>
                            </a:solidFill>
                          </a:ln>
                        </pic:spPr>
                      </pic:pic>
                    </a:graphicData>
                  </a:graphic>
                </wp:inline>
              </w:drawing>
            </w:r>
            <w:r>
              <w:rPr>
                <w:rFonts w:hint="eastAsia"/>
                <w:b/>
                <w:color w:val="auto"/>
                <w:szCs w:val="21"/>
                <w:highlight w:val="none"/>
              </w:rPr>
              <w:t>图10-1 探伤房控制区、监督区划分示意图</w:t>
            </w:r>
          </w:p>
          <w:p w14:paraId="4DD686DF">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r>
              <w:rPr>
                <w:rFonts w:hint="eastAsia"/>
                <w:b/>
                <w:bCs/>
                <w:color w:val="auto"/>
                <w:sz w:val="24"/>
                <w:szCs w:val="24"/>
                <w:highlight w:val="none"/>
              </w:rPr>
              <w:t>2、工作场所辐射防护屏蔽设计</w:t>
            </w:r>
          </w:p>
          <w:p w14:paraId="2BE02E04">
            <w:pPr>
              <w:spacing w:line="360" w:lineRule="auto"/>
              <w:ind w:left="15" w:leftChars="7" w:firstLine="448" w:firstLineChars="186"/>
              <w:contextualSpacing/>
              <w:rPr>
                <w:b/>
                <w:color w:val="auto"/>
                <w:sz w:val="24"/>
                <w:szCs w:val="24"/>
                <w:highlight w:val="none"/>
              </w:rPr>
            </w:pPr>
            <w:r>
              <w:rPr>
                <w:b/>
                <w:color w:val="auto"/>
                <w:sz w:val="24"/>
                <w:szCs w:val="24"/>
                <w:highlight w:val="none"/>
              </w:rPr>
              <w:t>（</w:t>
            </w:r>
            <w:r>
              <w:rPr>
                <w:rFonts w:hint="eastAsia"/>
                <w:b/>
                <w:color w:val="auto"/>
                <w:sz w:val="24"/>
                <w:szCs w:val="24"/>
                <w:highlight w:val="none"/>
              </w:rPr>
              <w:t>1</w:t>
            </w:r>
            <w:r>
              <w:rPr>
                <w:b/>
                <w:color w:val="auto"/>
                <w:sz w:val="24"/>
                <w:szCs w:val="24"/>
                <w:highlight w:val="none"/>
              </w:rPr>
              <w:t>）</w:t>
            </w:r>
            <w:r>
              <w:rPr>
                <w:rFonts w:hint="eastAsia"/>
                <w:b/>
                <w:color w:val="auto"/>
                <w:sz w:val="24"/>
                <w:szCs w:val="24"/>
                <w:highlight w:val="none"/>
              </w:rPr>
              <w:t>机房屏蔽设计</w:t>
            </w:r>
          </w:p>
          <w:p w14:paraId="7EC57972">
            <w:pPr>
              <w:pStyle w:val="5"/>
              <w:spacing w:line="360" w:lineRule="auto"/>
              <w:ind w:firstLine="480"/>
              <w:rPr>
                <w:color w:val="auto"/>
                <w:kern w:val="0"/>
                <w:sz w:val="24"/>
                <w:szCs w:val="24"/>
                <w:highlight w:val="none"/>
              </w:rPr>
            </w:pPr>
            <w:r>
              <w:rPr>
                <w:rFonts w:hint="eastAsia"/>
                <w:color w:val="auto"/>
                <w:kern w:val="0"/>
                <w:sz w:val="24"/>
                <w:szCs w:val="24"/>
                <w:highlight w:val="none"/>
              </w:rPr>
              <w:t>本项目探伤房位于</w:t>
            </w:r>
            <w:r>
              <w:rPr>
                <w:rFonts w:hint="eastAsia"/>
                <w:color w:val="auto"/>
                <w:kern w:val="0"/>
                <w:sz w:val="24"/>
                <w:szCs w:val="24"/>
                <w:highlight w:val="none"/>
                <w:lang w:val="en-US" w:eastAsia="zh-CN"/>
              </w:rPr>
              <w:t>现有</w:t>
            </w:r>
            <w:r>
              <w:rPr>
                <w:rFonts w:hint="eastAsia"/>
                <w:color w:val="auto"/>
                <w:sz w:val="24"/>
                <w:szCs w:val="24"/>
                <w:highlight w:val="none"/>
              </w:rPr>
              <w:t>厂区</w:t>
            </w:r>
            <w:r>
              <w:rPr>
                <w:rFonts w:hint="eastAsia"/>
                <w:color w:val="auto"/>
                <w:sz w:val="24"/>
                <w:szCs w:val="24"/>
                <w:highlight w:val="none"/>
                <w:lang w:val="en-US" w:eastAsia="zh-CN"/>
              </w:rPr>
              <w:t>2#生产车间内东北侧</w:t>
            </w:r>
            <w:r>
              <w:rPr>
                <w:rFonts w:hint="eastAsia"/>
                <w:color w:val="auto"/>
                <w:sz w:val="24"/>
                <w:szCs w:val="24"/>
                <w:highlight w:val="none"/>
              </w:rPr>
              <w:t>，拟安装</w:t>
            </w:r>
            <w:r>
              <w:rPr>
                <w:rFonts w:hint="eastAsia"/>
                <w:color w:val="auto"/>
                <w:sz w:val="24"/>
                <w:szCs w:val="24"/>
                <w:highlight w:val="none"/>
                <w:lang w:val="en-US" w:eastAsia="zh-CN"/>
              </w:rPr>
              <w:t>1</w:t>
            </w:r>
            <w:r>
              <w:rPr>
                <w:rFonts w:hint="eastAsia"/>
                <w:color w:val="auto"/>
                <w:sz w:val="24"/>
                <w:szCs w:val="24"/>
                <w:highlight w:val="none"/>
              </w:rPr>
              <w:t>台X射线探伤机</w:t>
            </w:r>
            <w:r>
              <w:rPr>
                <w:rFonts w:hint="eastAsia"/>
                <w:color w:val="auto"/>
                <w:kern w:val="0"/>
                <w:sz w:val="24"/>
                <w:szCs w:val="24"/>
                <w:highlight w:val="none"/>
              </w:rPr>
              <w:t>（最大管电压250kV，最大管电流5mA）</w:t>
            </w:r>
            <w:r>
              <w:rPr>
                <w:rFonts w:hint="eastAsia"/>
                <w:color w:val="auto"/>
                <w:sz w:val="24"/>
                <w:szCs w:val="24"/>
                <w:highlight w:val="none"/>
              </w:rPr>
              <w:t>，</w:t>
            </w:r>
            <w:r>
              <w:rPr>
                <w:rFonts w:hint="eastAsia"/>
                <w:color w:val="auto"/>
                <w:kern w:val="0"/>
                <w:sz w:val="24"/>
                <w:szCs w:val="24"/>
                <w:highlight w:val="none"/>
              </w:rPr>
              <w:t>工件出入口及防护门朝</w:t>
            </w:r>
            <w:r>
              <w:rPr>
                <w:rFonts w:hint="eastAsia"/>
                <w:color w:val="auto"/>
                <w:kern w:val="0"/>
                <w:sz w:val="24"/>
                <w:szCs w:val="24"/>
                <w:highlight w:val="none"/>
                <w:lang w:val="en-US" w:eastAsia="zh-CN"/>
              </w:rPr>
              <w:t>南</w:t>
            </w:r>
            <w:r>
              <w:rPr>
                <w:rFonts w:hint="eastAsia"/>
                <w:color w:val="auto"/>
                <w:kern w:val="0"/>
                <w:sz w:val="24"/>
                <w:szCs w:val="24"/>
                <w:highlight w:val="none"/>
              </w:rPr>
              <w:t>，辐射工作人员从工件进出门进出机房。本项目</w:t>
            </w:r>
            <w:r>
              <w:rPr>
                <w:rFonts w:hint="eastAsia"/>
                <w:color w:val="auto"/>
                <w:kern w:val="0"/>
                <w:sz w:val="24"/>
                <w:szCs w:val="24"/>
                <w:highlight w:val="none"/>
                <w:lang w:val="en-US" w:eastAsia="zh-CN"/>
              </w:rPr>
              <w:t>主射线</w:t>
            </w:r>
            <w:r>
              <w:rPr>
                <w:rFonts w:hint="eastAsia"/>
                <w:color w:val="auto"/>
                <w:kern w:val="0"/>
                <w:sz w:val="24"/>
                <w:szCs w:val="24"/>
                <w:highlight w:val="none"/>
              </w:rPr>
              <w:t>朝</w:t>
            </w:r>
            <w:r>
              <w:rPr>
                <w:rFonts w:hint="eastAsia"/>
                <w:color w:val="auto"/>
                <w:kern w:val="0"/>
                <w:sz w:val="24"/>
                <w:szCs w:val="24"/>
                <w:highlight w:val="none"/>
                <w:lang w:val="en-US" w:eastAsia="zh-CN"/>
              </w:rPr>
              <w:t>西</w:t>
            </w:r>
            <w:r>
              <w:rPr>
                <w:rFonts w:hint="eastAsia"/>
                <w:color w:val="auto"/>
                <w:kern w:val="0"/>
                <w:sz w:val="24"/>
                <w:szCs w:val="24"/>
                <w:highlight w:val="none"/>
              </w:rPr>
              <w:t>照射，操作</w:t>
            </w:r>
            <w:r>
              <w:rPr>
                <w:rFonts w:hint="eastAsia"/>
                <w:color w:val="auto"/>
                <w:kern w:val="0"/>
                <w:sz w:val="24"/>
                <w:szCs w:val="24"/>
                <w:highlight w:val="none"/>
                <w:lang w:val="en-US" w:eastAsia="zh-CN"/>
              </w:rPr>
              <w:t>间</w:t>
            </w:r>
            <w:r>
              <w:rPr>
                <w:rFonts w:hint="eastAsia"/>
                <w:color w:val="auto"/>
                <w:kern w:val="0"/>
                <w:sz w:val="24"/>
                <w:szCs w:val="24"/>
                <w:highlight w:val="none"/>
              </w:rPr>
              <w:t>位于探伤房</w:t>
            </w:r>
            <w:r>
              <w:rPr>
                <w:rFonts w:hint="eastAsia"/>
                <w:color w:val="auto"/>
                <w:kern w:val="0"/>
                <w:sz w:val="24"/>
                <w:szCs w:val="24"/>
                <w:highlight w:val="none"/>
                <w:lang w:val="en-US" w:eastAsia="zh-CN"/>
              </w:rPr>
              <w:t>东</w:t>
            </w:r>
            <w:r>
              <w:rPr>
                <w:rFonts w:hint="eastAsia"/>
                <w:color w:val="auto"/>
                <w:kern w:val="0"/>
                <w:sz w:val="24"/>
                <w:szCs w:val="24"/>
                <w:highlight w:val="none"/>
              </w:rPr>
              <w:t>侧，操作</w:t>
            </w:r>
            <w:r>
              <w:rPr>
                <w:rFonts w:hint="eastAsia"/>
                <w:color w:val="auto"/>
                <w:kern w:val="0"/>
                <w:sz w:val="24"/>
                <w:szCs w:val="24"/>
                <w:highlight w:val="none"/>
                <w:lang w:val="en-US" w:eastAsia="zh-CN"/>
              </w:rPr>
              <w:t>间</w:t>
            </w:r>
            <w:r>
              <w:rPr>
                <w:rFonts w:hint="eastAsia"/>
                <w:color w:val="auto"/>
                <w:kern w:val="0"/>
                <w:sz w:val="24"/>
                <w:szCs w:val="24"/>
                <w:highlight w:val="none"/>
              </w:rPr>
              <w:t>避开了</w:t>
            </w:r>
            <w:r>
              <w:rPr>
                <w:rFonts w:hint="eastAsia"/>
                <w:color w:val="auto"/>
                <w:kern w:val="0"/>
                <w:sz w:val="24"/>
                <w:szCs w:val="24"/>
                <w:highlight w:val="none"/>
                <w:lang w:val="en-US" w:eastAsia="zh-CN"/>
              </w:rPr>
              <w:t>主射线</w:t>
            </w:r>
            <w:r>
              <w:rPr>
                <w:rFonts w:hint="eastAsia"/>
                <w:color w:val="auto"/>
                <w:kern w:val="0"/>
                <w:sz w:val="24"/>
                <w:szCs w:val="24"/>
                <w:highlight w:val="none"/>
              </w:rPr>
              <w:t>照射的方向。</w:t>
            </w:r>
          </w:p>
          <w:p w14:paraId="6954EACE">
            <w:pPr>
              <w:pStyle w:val="5"/>
              <w:spacing w:line="360" w:lineRule="auto"/>
              <w:ind w:firstLine="480"/>
              <w:rPr>
                <w:rFonts w:hint="eastAsia"/>
                <w:b/>
                <w:color w:val="auto"/>
                <w:szCs w:val="21"/>
                <w:highlight w:val="none"/>
              </w:rPr>
            </w:pPr>
            <w:r>
              <w:rPr>
                <w:rFonts w:hint="eastAsia"/>
                <w:color w:val="auto"/>
                <w:kern w:val="0"/>
                <w:sz w:val="24"/>
                <w:szCs w:val="24"/>
                <w:highlight w:val="none"/>
              </w:rPr>
              <w:t>根据建设单位提供的材料，本</w:t>
            </w:r>
            <w:r>
              <w:rPr>
                <w:rFonts w:hint="eastAsia"/>
                <w:color w:val="auto"/>
                <w:sz w:val="24"/>
                <w:szCs w:val="24"/>
                <w:highlight w:val="none"/>
              </w:rPr>
              <w:t>项目X射线探伤房采取的屏蔽参数见下表：</w:t>
            </w:r>
          </w:p>
          <w:p w14:paraId="25028CDE">
            <w:pPr>
              <w:snapToGrid w:val="0"/>
              <w:ind w:firstLine="422" w:firstLineChars="200"/>
              <w:jc w:val="center"/>
              <w:rPr>
                <w:rFonts w:hint="eastAsia"/>
                <w:color w:val="auto"/>
              </w:rPr>
            </w:pPr>
            <w:r>
              <w:rPr>
                <w:rFonts w:hint="eastAsia"/>
                <w:b/>
                <w:color w:val="auto"/>
                <w:szCs w:val="21"/>
                <w:highlight w:val="none"/>
              </w:rPr>
              <w:t>表10-2  探伤房屏蔽参数</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9"/>
              <w:gridCol w:w="1390"/>
              <w:gridCol w:w="1366"/>
              <w:gridCol w:w="1323"/>
              <w:gridCol w:w="1558"/>
              <w:gridCol w:w="1415"/>
            </w:tblGrid>
            <w:tr w14:paraId="0A775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3" w:type="pct"/>
                  <w:vMerge w:val="restart"/>
                  <w:vAlign w:val="center"/>
                </w:tcPr>
                <w:p w14:paraId="02B1C1D6">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bookmarkStart w:id="138" w:name="_Toc31672"/>
                  <w:bookmarkStart w:id="139" w:name="_Toc28525644"/>
                  <w:bookmarkStart w:id="140" w:name="_Toc6222"/>
                  <w:bookmarkStart w:id="141" w:name="_Toc66010027"/>
                  <w:bookmarkStart w:id="142" w:name="_Toc19182"/>
                  <w:bookmarkStart w:id="143" w:name="_Toc17214263"/>
                  <w:bookmarkStart w:id="144" w:name="_Toc36829718"/>
                  <w:bookmarkStart w:id="145" w:name="_Toc28511257"/>
                  <w:bookmarkStart w:id="146" w:name="_Toc66001593"/>
                  <w:r>
                    <w:rPr>
                      <w:rFonts w:hint="eastAsia"/>
                      <w:b/>
                      <w:bCs/>
                      <w:color w:val="auto"/>
                      <w:sz w:val="21"/>
                      <w:szCs w:val="21"/>
                      <w:highlight w:val="none"/>
                    </w:rPr>
                    <w:t>探伤房</w:t>
                  </w:r>
                </w:p>
              </w:tc>
              <w:tc>
                <w:tcPr>
                  <w:tcW w:w="3354" w:type="pct"/>
                  <w:gridSpan w:val="4"/>
                  <w:vAlign w:val="center"/>
                </w:tcPr>
                <w:p w14:paraId="46130608">
                  <w:pPr>
                    <w:keepNext w:val="0"/>
                    <w:keepLines w:val="0"/>
                    <w:pageBreakBefore w:val="0"/>
                    <w:kinsoku/>
                    <w:wordWrap/>
                    <w:overflowPunct/>
                    <w:topLinePunct w:val="0"/>
                    <w:autoSpaceDE/>
                    <w:autoSpaceDN/>
                    <w:bidi w:val="0"/>
                    <w:adjustRightInd/>
                    <w:snapToGrid/>
                    <w:spacing w:line="280" w:lineRule="exact"/>
                    <w:jc w:val="center"/>
                    <w:textAlignment w:val="auto"/>
                    <w:rPr>
                      <w:b/>
                      <w:bCs/>
                      <w:color w:val="auto"/>
                      <w:sz w:val="21"/>
                      <w:szCs w:val="21"/>
                      <w:highlight w:val="none"/>
                    </w:rPr>
                  </w:pPr>
                  <w:r>
                    <w:rPr>
                      <w:b/>
                      <w:bCs/>
                      <w:color w:val="auto"/>
                      <w:sz w:val="21"/>
                      <w:szCs w:val="21"/>
                      <w:highlight w:val="none"/>
                    </w:rPr>
                    <w:t>屏蔽设计</w:t>
                  </w:r>
                </w:p>
              </w:tc>
              <w:tc>
                <w:tcPr>
                  <w:tcW w:w="842" w:type="pct"/>
                  <w:vAlign w:val="center"/>
                </w:tcPr>
                <w:p w14:paraId="44A01164">
                  <w:pPr>
                    <w:keepNext w:val="0"/>
                    <w:keepLines w:val="0"/>
                    <w:pageBreakBefore w:val="0"/>
                    <w:kinsoku/>
                    <w:wordWrap/>
                    <w:overflowPunct/>
                    <w:topLinePunct w:val="0"/>
                    <w:autoSpaceDE/>
                    <w:autoSpaceDN/>
                    <w:bidi w:val="0"/>
                    <w:adjustRightInd/>
                    <w:snapToGrid/>
                    <w:spacing w:line="280" w:lineRule="exact"/>
                    <w:jc w:val="center"/>
                    <w:textAlignment w:val="auto"/>
                    <w:rPr>
                      <w:b/>
                      <w:bCs/>
                      <w:color w:val="auto"/>
                      <w:sz w:val="21"/>
                      <w:szCs w:val="21"/>
                      <w:highlight w:val="none"/>
                    </w:rPr>
                  </w:pPr>
                  <w:r>
                    <w:rPr>
                      <w:b/>
                      <w:bCs/>
                      <w:color w:val="auto"/>
                      <w:sz w:val="21"/>
                      <w:szCs w:val="21"/>
                      <w:highlight w:val="none"/>
                    </w:rPr>
                    <w:t>备注</w:t>
                  </w:r>
                </w:p>
              </w:tc>
            </w:tr>
            <w:tr w14:paraId="1C28E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3" w:type="pct"/>
                  <w:vMerge w:val="continue"/>
                  <w:vAlign w:val="center"/>
                </w:tcPr>
                <w:p w14:paraId="1DD86724">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p>
              </w:tc>
              <w:tc>
                <w:tcPr>
                  <w:tcW w:w="827" w:type="pct"/>
                  <w:vAlign w:val="center"/>
                </w:tcPr>
                <w:p w14:paraId="62B5CB32">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b/>
                      <w:bCs/>
                      <w:color w:val="auto"/>
                      <w:sz w:val="21"/>
                      <w:szCs w:val="21"/>
                      <w:highlight w:val="none"/>
                      <w:lang w:val="en-US" w:eastAsia="zh-CN"/>
                    </w:rPr>
                    <w:t>钢板</w:t>
                  </w:r>
                  <w:r>
                    <w:rPr>
                      <w:rFonts w:hint="eastAsia"/>
                      <w:b/>
                      <w:bCs/>
                      <w:color w:val="auto"/>
                      <w:sz w:val="21"/>
                      <w:szCs w:val="21"/>
                      <w:highlight w:val="none"/>
                    </w:rPr>
                    <w:t>（mm）</w:t>
                  </w:r>
                </w:p>
              </w:tc>
              <w:tc>
                <w:tcPr>
                  <w:tcW w:w="813" w:type="pct"/>
                  <w:vAlign w:val="center"/>
                </w:tcPr>
                <w:p w14:paraId="2EE2CC69">
                  <w:pPr>
                    <w:keepNext w:val="0"/>
                    <w:keepLines w:val="0"/>
                    <w:pageBreakBefore w:val="0"/>
                    <w:kinsoku/>
                    <w:wordWrap/>
                    <w:overflowPunct/>
                    <w:topLinePunct w:val="0"/>
                    <w:autoSpaceDE/>
                    <w:autoSpaceDN/>
                    <w:bidi w:val="0"/>
                    <w:adjustRightInd/>
                    <w:snapToGrid/>
                    <w:spacing w:line="280" w:lineRule="exact"/>
                    <w:jc w:val="center"/>
                    <w:textAlignment w:val="auto"/>
                    <w:rPr>
                      <w:b/>
                      <w:bCs/>
                      <w:color w:val="auto"/>
                      <w:sz w:val="21"/>
                      <w:szCs w:val="21"/>
                      <w:highlight w:val="none"/>
                    </w:rPr>
                  </w:pPr>
                  <w:r>
                    <w:rPr>
                      <w:rFonts w:hint="eastAsia" w:eastAsia="宋体"/>
                      <w:b/>
                      <w:bCs/>
                      <w:color w:val="auto"/>
                      <w:sz w:val="21"/>
                      <w:szCs w:val="21"/>
                      <w:highlight w:val="none"/>
                      <w:lang w:val="en-US" w:eastAsia="zh-CN"/>
                    </w:rPr>
                    <w:t>重晶石混凝</w:t>
                  </w:r>
                  <w:r>
                    <w:rPr>
                      <w:rFonts w:hint="eastAsia" w:eastAsia="宋体"/>
                      <w:b/>
                      <w:bCs/>
                      <w:color w:val="auto"/>
                      <w:sz w:val="21"/>
                      <w:szCs w:val="21"/>
                      <w:highlight w:val="none"/>
                    </w:rPr>
                    <w:t>（mm）</w:t>
                  </w:r>
                </w:p>
              </w:tc>
              <w:tc>
                <w:tcPr>
                  <w:tcW w:w="787" w:type="pct"/>
                  <w:vAlign w:val="center"/>
                </w:tcPr>
                <w:p w14:paraId="3D0BC70F">
                  <w:pPr>
                    <w:keepNext w:val="0"/>
                    <w:keepLines w:val="0"/>
                    <w:pageBreakBefore w:val="0"/>
                    <w:kinsoku/>
                    <w:wordWrap/>
                    <w:overflowPunct/>
                    <w:topLinePunct w:val="0"/>
                    <w:autoSpaceDE/>
                    <w:autoSpaceDN/>
                    <w:bidi w:val="0"/>
                    <w:adjustRightInd/>
                    <w:snapToGrid/>
                    <w:spacing w:line="280" w:lineRule="exact"/>
                    <w:jc w:val="center"/>
                    <w:textAlignment w:val="auto"/>
                    <w:rPr>
                      <w:b/>
                      <w:bCs/>
                      <w:color w:val="auto"/>
                      <w:sz w:val="21"/>
                      <w:szCs w:val="21"/>
                      <w:highlight w:val="none"/>
                    </w:rPr>
                  </w:pPr>
                  <w:r>
                    <w:rPr>
                      <w:rFonts w:hint="eastAsia"/>
                      <w:b/>
                      <w:bCs/>
                      <w:color w:val="auto"/>
                      <w:sz w:val="21"/>
                      <w:szCs w:val="21"/>
                      <w:highlight w:val="none"/>
                    </w:rPr>
                    <w:t>铅（mm）</w:t>
                  </w:r>
                </w:p>
              </w:tc>
              <w:tc>
                <w:tcPr>
                  <w:tcW w:w="925" w:type="pct"/>
                  <w:vAlign w:val="center"/>
                </w:tcPr>
                <w:p w14:paraId="7F24DC07">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钢板</w:t>
                  </w:r>
                  <w:r>
                    <w:rPr>
                      <w:rFonts w:hint="eastAsia"/>
                      <w:b/>
                      <w:bCs/>
                      <w:color w:val="auto"/>
                      <w:sz w:val="21"/>
                      <w:szCs w:val="21"/>
                      <w:highlight w:val="none"/>
                    </w:rPr>
                    <w:t>（mm）</w:t>
                  </w:r>
                </w:p>
              </w:tc>
              <w:tc>
                <w:tcPr>
                  <w:tcW w:w="842" w:type="pct"/>
                  <w:vMerge w:val="restart"/>
                  <w:vAlign w:val="center"/>
                </w:tcPr>
                <w:p w14:paraId="249DC8AF">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color w:val="auto"/>
                      <w:sz w:val="21"/>
                      <w:szCs w:val="21"/>
                      <w:highlight w:val="none"/>
                    </w:rPr>
                    <w:t>使用1台XXG-250</w:t>
                  </w:r>
                  <w:r>
                    <w:rPr>
                      <w:rFonts w:hint="eastAsia"/>
                      <w:color w:val="auto"/>
                      <w:sz w:val="21"/>
                      <w:szCs w:val="21"/>
                      <w:highlight w:val="none"/>
                      <w:lang w:val="en-US" w:eastAsia="zh-CN"/>
                    </w:rPr>
                    <w:t>5</w:t>
                  </w:r>
                  <w:r>
                    <w:rPr>
                      <w:rFonts w:hint="eastAsia"/>
                      <w:color w:val="auto"/>
                      <w:sz w:val="21"/>
                      <w:szCs w:val="21"/>
                      <w:highlight w:val="none"/>
                    </w:rPr>
                    <w:t>型X射线探伤机</w:t>
                  </w:r>
                </w:p>
              </w:tc>
            </w:tr>
            <w:tr w14:paraId="0409B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3" w:type="pct"/>
                  <w:vAlign w:val="center"/>
                </w:tcPr>
                <w:p w14:paraId="3BA6A2D6">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color w:val="auto"/>
                      <w:sz w:val="21"/>
                      <w:szCs w:val="21"/>
                      <w:highlight w:val="none"/>
                    </w:rPr>
                    <w:t>东侧屏蔽墙</w:t>
                  </w:r>
                </w:p>
              </w:tc>
              <w:tc>
                <w:tcPr>
                  <w:tcW w:w="827" w:type="pct"/>
                  <w:vAlign w:val="center"/>
                </w:tcPr>
                <w:p w14:paraId="6837E221">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5</w:t>
                  </w:r>
                </w:p>
              </w:tc>
              <w:tc>
                <w:tcPr>
                  <w:tcW w:w="813" w:type="pct"/>
                  <w:vAlign w:val="center"/>
                </w:tcPr>
                <w:p w14:paraId="109C391A">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195</w:t>
                  </w:r>
                </w:p>
              </w:tc>
              <w:tc>
                <w:tcPr>
                  <w:tcW w:w="787" w:type="pct"/>
                  <w:vAlign w:val="center"/>
                </w:tcPr>
                <w:p w14:paraId="3D7D41D8">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5</w:t>
                  </w:r>
                </w:p>
              </w:tc>
              <w:tc>
                <w:tcPr>
                  <w:tcW w:w="925" w:type="pct"/>
                  <w:vAlign w:val="center"/>
                </w:tcPr>
                <w:p w14:paraId="272E54AB">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5</w:t>
                  </w:r>
                </w:p>
              </w:tc>
              <w:tc>
                <w:tcPr>
                  <w:tcW w:w="842" w:type="pct"/>
                  <w:vMerge w:val="continue"/>
                  <w:vAlign w:val="center"/>
                </w:tcPr>
                <w:p w14:paraId="2E2133FB">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p>
              </w:tc>
            </w:tr>
            <w:tr w14:paraId="4D7E6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3" w:type="pct"/>
                  <w:vAlign w:val="center"/>
                </w:tcPr>
                <w:p w14:paraId="5B5A298F">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color w:val="auto"/>
                      <w:sz w:val="21"/>
                      <w:szCs w:val="21"/>
                      <w:highlight w:val="none"/>
                    </w:rPr>
                    <w:t>南侧屏蔽墙</w:t>
                  </w:r>
                </w:p>
              </w:tc>
              <w:tc>
                <w:tcPr>
                  <w:tcW w:w="827" w:type="pct"/>
                  <w:vAlign w:val="center"/>
                </w:tcPr>
                <w:p w14:paraId="4384FDFF">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color w:val="auto"/>
                      <w:sz w:val="21"/>
                      <w:szCs w:val="21"/>
                      <w:highlight w:val="none"/>
                      <w:lang w:val="en-US" w:eastAsia="zh-CN"/>
                    </w:rPr>
                    <w:t>5</w:t>
                  </w:r>
                </w:p>
              </w:tc>
              <w:tc>
                <w:tcPr>
                  <w:tcW w:w="813" w:type="pct"/>
                  <w:vAlign w:val="center"/>
                </w:tcPr>
                <w:p w14:paraId="00C8206E">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color w:val="auto"/>
                      <w:sz w:val="21"/>
                      <w:szCs w:val="21"/>
                      <w:highlight w:val="none"/>
                      <w:lang w:val="en-US" w:eastAsia="zh-CN"/>
                    </w:rPr>
                    <w:t>195</w:t>
                  </w:r>
                </w:p>
              </w:tc>
              <w:tc>
                <w:tcPr>
                  <w:tcW w:w="787" w:type="pct"/>
                  <w:vAlign w:val="center"/>
                </w:tcPr>
                <w:p w14:paraId="39D53E45">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color w:val="auto"/>
                      <w:sz w:val="21"/>
                      <w:szCs w:val="21"/>
                      <w:highlight w:val="none"/>
                      <w:lang w:val="en-US" w:eastAsia="zh-CN"/>
                    </w:rPr>
                    <w:t>5</w:t>
                  </w:r>
                </w:p>
              </w:tc>
              <w:tc>
                <w:tcPr>
                  <w:tcW w:w="925" w:type="pct"/>
                  <w:vAlign w:val="center"/>
                </w:tcPr>
                <w:p w14:paraId="07A67327">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color w:val="auto"/>
                      <w:sz w:val="21"/>
                      <w:szCs w:val="21"/>
                      <w:highlight w:val="none"/>
                    </w:rPr>
                  </w:pPr>
                  <w:r>
                    <w:rPr>
                      <w:rFonts w:hint="eastAsia"/>
                      <w:color w:val="auto"/>
                      <w:sz w:val="21"/>
                      <w:szCs w:val="21"/>
                      <w:highlight w:val="none"/>
                      <w:lang w:val="en-US" w:eastAsia="zh-CN"/>
                    </w:rPr>
                    <w:t>5</w:t>
                  </w:r>
                </w:p>
              </w:tc>
              <w:tc>
                <w:tcPr>
                  <w:tcW w:w="842" w:type="pct"/>
                  <w:vMerge w:val="continue"/>
                  <w:vAlign w:val="center"/>
                </w:tcPr>
                <w:p w14:paraId="398AE109">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p>
              </w:tc>
            </w:tr>
            <w:tr w14:paraId="30FA8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3" w:type="pct"/>
                  <w:vAlign w:val="center"/>
                </w:tcPr>
                <w:p w14:paraId="2DFF4241">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color w:val="auto"/>
                      <w:sz w:val="21"/>
                      <w:szCs w:val="21"/>
                      <w:highlight w:val="none"/>
                    </w:rPr>
                    <w:t>西侧屏蔽墙</w:t>
                  </w:r>
                </w:p>
              </w:tc>
              <w:tc>
                <w:tcPr>
                  <w:tcW w:w="827" w:type="pct"/>
                  <w:vAlign w:val="center"/>
                </w:tcPr>
                <w:p w14:paraId="2C0129CF">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color w:val="auto"/>
                      <w:sz w:val="21"/>
                      <w:szCs w:val="21"/>
                      <w:highlight w:val="none"/>
                    </w:rPr>
                  </w:pPr>
                  <w:r>
                    <w:rPr>
                      <w:rFonts w:hint="eastAsia"/>
                      <w:color w:val="auto"/>
                      <w:sz w:val="21"/>
                      <w:szCs w:val="21"/>
                      <w:highlight w:val="none"/>
                      <w:lang w:val="en-US" w:eastAsia="zh-CN"/>
                    </w:rPr>
                    <w:t>5</w:t>
                  </w:r>
                </w:p>
              </w:tc>
              <w:tc>
                <w:tcPr>
                  <w:tcW w:w="813" w:type="pct"/>
                  <w:vAlign w:val="center"/>
                </w:tcPr>
                <w:p w14:paraId="0C16BF7C">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color w:val="auto"/>
                      <w:sz w:val="21"/>
                      <w:szCs w:val="21"/>
                      <w:highlight w:val="none"/>
                      <w:lang w:val="en-US" w:eastAsia="zh-CN"/>
                    </w:rPr>
                    <w:t>195</w:t>
                  </w:r>
                </w:p>
              </w:tc>
              <w:tc>
                <w:tcPr>
                  <w:tcW w:w="787" w:type="pct"/>
                  <w:vAlign w:val="center"/>
                </w:tcPr>
                <w:p w14:paraId="61635256">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color w:val="auto"/>
                      <w:sz w:val="21"/>
                      <w:szCs w:val="21"/>
                      <w:highlight w:val="none"/>
                      <w:lang w:val="en-US" w:eastAsia="zh-CN"/>
                    </w:rPr>
                    <w:t>5</w:t>
                  </w:r>
                </w:p>
              </w:tc>
              <w:tc>
                <w:tcPr>
                  <w:tcW w:w="925" w:type="pct"/>
                  <w:vAlign w:val="center"/>
                </w:tcPr>
                <w:p w14:paraId="222278E1">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color w:val="auto"/>
                      <w:sz w:val="21"/>
                      <w:szCs w:val="21"/>
                      <w:highlight w:val="none"/>
                    </w:rPr>
                  </w:pPr>
                  <w:r>
                    <w:rPr>
                      <w:rFonts w:hint="eastAsia"/>
                      <w:color w:val="auto"/>
                      <w:sz w:val="21"/>
                      <w:szCs w:val="21"/>
                      <w:highlight w:val="none"/>
                      <w:lang w:val="en-US" w:eastAsia="zh-CN"/>
                    </w:rPr>
                    <w:t>5</w:t>
                  </w:r>
                </w:p>
              </w:tc>
              <w:tc>
                <w:tcPr>
                  <w:tcW w:w="842" w:type="pct"/>
                  <w:vMerge w:val="continue"/>
                  <w:vAlign w:val="center"/>
                </w:tcPr>
                <w:p w14:paraId="48067891">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p>
              </w:tc>
            </w:tr>
            <w:tr w14:paraId="41071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3" w:type="pct"/>
                  <w:vAlign w:val="center"/>
                </w:tcPr>
                <w:p w14:paraId="33157E0F">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color w:val="auto"/>
                      <w:sz w:val="21"/>
                      <w:szCs w:val="21"/>
                      <w:highlight w:val="none"/>
                    </w:rPr>
                    <w:t>北侧屏蔽墙</w:t>
                  </w:r>
                </w:p>
              </w:tc>
              <w:tc>
                <w:tcPr>
                  <w:tcW w:w="827" w:type="pct"/>
                  <w:vAlign w:val="center"/>
                </w:tcPr>
                <w:p w14:paraId="5DC4C4B2">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color w:val="auto"/>
                      <w:sz w:val="21"/>
                      <w:szCs w:val="21"/>
                      <w:highlight w:val="none"/>
                    </w:rPr>
                  </w:pPr>
                  <w:r>
                    <w:rPr>
                      <w:rFonts w:hint="eastAsia"/>
                      <w:color w:val="auto"/>
                      <w:sz w:val="21"/>
                      <w:szCs w:val="21"/>
                      <w:highlight w:val="none"/>
                      <w:lang w:val="en-US" w:eastAsia="zh-CN"/>
                    </w:rPr>
                    <w:t>5</w:t>
                  </w:r>
                </w:p>
              </w:tc>
              <w:tc>
                <w:tcPr>
                  <w:tcW w:w="813" w:type="pct"/>
                  <w:vAlign w:val="center"/>
                </w:tcPr>
                <w:p w14:paraId="54ECEA25">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color w:val="auto"/>
                      <w:sz w:val="21"/>
                      <w:szCs w:val="21"/>
                      <w:highlight w:val="none"/>
                      <w:lang w:val="en-US" w:eastAsia="zh-CN"/>
                    </w:rPr>
                    <w:t>195</w:t>
                  </w:r>
                </w:p>
              </w:tc>
              <w:tc>
                <w:tcPr>
                  <w:tcW w:w="787" w:type="pct"/>
                  <w:vAlign w:val="center"/>
                </w:tcPr>
                <w:p w14:paraId="08508D70">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color w:val="auto"/>
                      <w:sz w:val="21"/>
                      <w:szCs w:val="21"/>
                      <w:highlight w:val="none"/>
                      <w:lang w:val="en-US" w:eastAsia="zh-CN"/>
                    </w:rPr>
                    <w:t>5</w:t>
                  </w:r>
                </w:p>
              </w:tc>
              <w:tc>
                <w:tcPr>
                  <w:tcW w:w="925" w:type="pct"/>
                  <w:vAlign w:val="center"/>
                </w:tcPr>
                <w:p w14:paraId="3BD52F33">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color w:val="auto"/>
                      <w:sz w:val="21"/>
                      <w:szCs w:val="21"/>
                      <w:highlight w:val="none"/>
                    </w:rPr>
                  </w:pPr>
                  <w:r>
                    <w:rPr>
                      <w:rFonts w:hint="eastAsia"/>
                      <w:color w:val="auto"/>
                      <w:sz w:val="21"/>
                      <w:szCs w:val="21"/>
                      <w:highlight w:val="none"/>
                      <w:lang w:val="en-US" w:eastAsia="zh-CN"/>
                    </w:rPr>
                    <w:t>5</w:t>
                  </w:r>
                </w:p>
              </w:tc>
              <w:tc>
                <w:tcPr>
                  <w:tcW w:w="842" w:type="pct"/>
                  <w:vMerge w:val="continue"/>
                  <w:vAlign w:val="center"/>
                </w:tcPr>
                <w:p w14:paraId="1C2FA23C">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p>
              </w:tc>
            </w:tr>
            <w:tr w14:paraId="511C2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3" w:type="pct"/>
                  <w:vAlign w:val="center"/>
                </w:tcPr>
                <w:p w14:paraId="280F6DE5">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color w:val="auto"/>
                      <w:sz w:val="21"/>
                      <w:szCs w:val="21"/>
                      <w:highlight w:val="none"/>
                    </w:rPr>
                    <w:t>顶部屏蔽墙</w:t>
                  </w:r>
                </w:p>
              </w:tc>
              <w:tc>
                <w:tcPr>
                  <w:tcW w:w="827" w:type="pct"/>
                  <w:vAlign w:val="center"/>
                </w:tcPr>
                <w:p w14:paraId="2FB78BDC">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color w:val="auto"/>
                      <w:sz w:val="21"/>
                      <w:szCs w:val="21"/>
                      <w:highlight w:val="none"/>
                    </w:rPr>
                  </w:pPr>
                  <w:r>
                    <w:rPr>
                      <w:rFonts w:hint="eastAsia"/>
                      <w:color w:val="auto"/>
                      <w:sz w:val="21"/>
                      <w:szCs w:val="21"/>
                      <w:highlight w:val="none"/>
                    </w:rPr>
                    <w:t>/</w:t>
                  </w:r>
                </w:p>
              </w:tc>
              <w:tc>
                <w:tcPr>
                  <w:tcW w:w="813" w:type="pct"/>
                  <w:vAlign w:val="center"/>
                </w:tcPr>
                <w:p w14:paraId="2AD72B10">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250</w:t>
                  </w:r>
                </w:p>
              </w:tc>
              <w:tc>
                <w:tcPr>
                  <w:tcW w:w="787" w:type="pct"/>
                  <w:vAlign w:val="center"/>
                </w:tcPr>
                <w:p w14:paraId="2928CCC4">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eastAsia="宋体"/>
                      <w:color w:val="auto"/>
                      <w:sz w:val="21"/>
                      <w:szCs w:val="21"/>
                      <w:highlight w:val="none"/>
                      <w:lang w:eastAsia="zh-CN"/>
                    </w:rPr>
                  </w:pPr>
                  <w:r>
                    <w:rPr>
                      <w:rFonts w:hint="eastAsia"/>
                      <w:color w:val="auto"/>
                      <w:sz w:val="21"/>
                      <w:szCs w:val="21"/>
                      <w:highlight w:val="none"/>
                    </w:rPr>
                    <w:t>/</w:t>
                  </w:r>
                </w:p>
              </w:tc>
              <w:tc>
                <w:tcPr>
                  <w:tcW w:w="925" w:type="pct"/>
                  <w:vAlign w:val="center"/>
                </w:tcPr>
                <w:p w14:paraId="551E7BED">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5</w:t>
                  </w:r>
                </w:p>
              </w:tc>
              <w:tc>
                <w:tcPr>
                  <w:tcW w:w="842" w:type="pct"/>
                  <w:vMerge w:val="continue"/>
                  <w:vAlign w:val="center"/>
                </w:tcPr>
                <w:p w14:paraId="38327ECF">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p>
              </w:tc>
            </w:tr>
            <w:tr w14:paraId="098AC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3" w:type="pct"/>
                  <w:vAlign w:val="center"/>
                </w:tcPr>
                <w:p w14:paraId="01B3E6F3">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color w:val="auto"/>
                      <w:sz w:val="21"/>
                      <w:szCs w:val="21"/>
                      <w:highlight w:val="none"/>
                      <w:lang w:val="en-US" w:eastAsia="zh-CN"/>
                    </w:rPr>
                    <w:t>南侧</w:t>
                  </w:r>
                  <w:r>
                    <w:rPr>
                      <w:rFonts w:hint="eastAsia"/>
                      <w:color w:val="auto"/>
                      <w:sz w:val="21"/>
                      <w:szCs w:val="21"/>
                      <w:highlight w:val="none"/>
                    </w:rPr>
                    <w:t>防护</w:t>
                  </w:r>
                  <w:r>
                    <w:rPr>
                      <w:color w:val="auto"/>
                      <w:sz w:val="21"/>
                      <w:szCs w:val="21"/>
                      <w:highlight w:val="none"/>
                    </w:rPr>
                    <w:t>门</w:t>
                  </w:r>
                </w:p>
              </w:tc>
              <w:tc>
                <w:tcPr>
                  <w:tcW w:w="827" w:type="pct"/>
                  <w:vAlign w:val="center"/>
                </w:tcPr>
                <w:p w14:paraId="31C265CF">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8</w:t>
                  </w:r>
                </w:p>
              </w:tc>
              <w:tc>
                <w:tcPr>
                  <w:tcW w:w="813" w:type="pct"/>
                  <w:vAlign w:val="center"/>
                </w:tcPr>
                <w:p w14:paraId="119B931C">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120</w:t>
                  </w:r>
                </w:p>
              </w:tc>
              <w:tc>
                <w:tcPr>
                  <w:tcW w:w="787" w:type="pct"/>
                  <w:vAlign w:val="center"/>
                </w:tcPr>
                <w:p w14:paraId="22484347">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5</w:t>
                  </w:r>
                </w:p>
              </w:tc>
              <w:tc>
                <w:tcPr>
                  <w:tcW w:w="925" w:type="pct"/>
                  <w:vAlign w:val="center"/>
                </w:tcPr>
                <w:p w14:paraId="38BC0A0B">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8</w:t>
                  </w:r>
                </w:p>
              </w:tc>
              <w:tc>
                <w:tcPr>
                  <w:tcW w:w="842" w:type="pct"/>
                  <w:vMerge w:val="continue"/>
                  <w:vAlign w:val="center"/>
                </w:tcPr>
                <w:p w14:paraId="73B97E53">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p>
              </w:tc>
            </w:tr>
            <w:tr w14:paraId="19FAF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3" w:type="pct"/>
                  <w:vAlign w:val="center"/>
                </w:tcPr>
                <w:p w14:paraId="739EEFC7">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r>
                    <w:rPr>
                      <w:rFonts w:hint="eastAsia"/>
                      <w:color w:val="auto"/>
                      <w:sz w:val="21"/>
                      <w:szCs w:val="21"/>
                      <w:highlight w:val="none"/>
                    </w:rPr>
                    <w:t>内部净</w:t>
                  </w:r>
                  <w:r>
                    <w:rPr>
                      <w:color w:val="auto"/>
                      <w:sz w:val="21"/>
                      <w:szCs w:val="21"/>
                      <w:highlight w:val="none"/>
                    </w:rPr>
                    <w:t>尺寸</w:t>
                  </w:r>
                </w:p>
              </w:tc>
              <w:tc>
                <w:tcPr>
                  <w:tcW w:w="3354" w:type="pct"/>
                  <w:gridSpan w:val="4"/>
                  <w:vAlign w:val="center"/>
                </w:tcPr>
                <w:p w14:paraId="0A32E909">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color w:val="auto"/>
                      <w:sz w:val="21"/>
                      <w:szCs w:val="21"/>
                      <w:highlight w:val="none"/>
                    </w:rPr>
                  </w:pPr>
                  <w:r>
                    <w:rPr>
                      <w:rFonts w:hint="eastAsia"/>
                      <w:color w:val="auto"/>
                      <w:sz w:val="21"/>
                      <w:szCs w:val="21"/>
                      <w:highlight w:val="none"/>
                      <w:lang w:val="en-US" w:eastAsia="zh-CN"/>
                    </w:rPr>
                    <w:t>4</w:t>
                  </w:r>
                  <w:r>
                    <w:rPr>
                      <w:color w:val="auto"/>
                      <w:sz w:val="21"/>
                      <w:szCs w:val="21"/>
                      <w:highlight w:val="none"/>
                    </w:rPr>
                    <w:t>m（长）×</w:t>
                  </w:r>
                  <w:r>
                    <w:rPr>
                      <w:rFonts w:hint="eastAsia"/>
                      <w:color w:val="auto"/>
                      <w:sz w:val="21"/>
                      <w:szCs w:val="21"/>
                      <w:highlight w:val="none"/>
                      <w:lang w:val="en-US" w:eastAsia="zh-CN"/>
                    </w:rPr>
                    <w:t>2.6</w:t>
                  </w:r>
                  <w:r>
                    <w:rPr>
                      <w:color w:val="auto"/>
                      <w:sz w:val="21"/>
                      <w:szCs w:val="21"/>
                      <w:highlight w:val="none"/>
                    </w:rPr>
                    <w:t>m（宽）×</w:t>
                  </w:r>
                  <w:r>
                    <w:rPr>
                      <w:rFonts w:hint="eastAsia"/>
                      <w:color w:val="auto"/>
                      <w:sz w:val="21"/>
                      <w:szCs w:val="21"/>
                      <w:highlight w:val="none"/>
                      <w:lang w:val="en-US" w:eastAsia="zh-CN"/>
                    </w:rPr>
                    <w:t>2.5</w:t>
                  </w:r>
                  <w:r>
                    <w:rPr>
                      <w:color w:val="auto"/>
                      <w:sz w:val="21"/>
                      <w:szCs w:val="21"/>
                      <w:highlight w:val="none"/>
                    </w:rPr>
                    <w:t>m（高）</w:t>
                  </w:r>
                </w:p>
              </w:tc>
              <w:tc>
                <w:tcPr>
                  <w:tcW w:w="842" w:type="pct"/>
                  <w:vMerge w:val="continue"/>
                  <w:vAlign w:val="center"/>
                </w:tcPr>
                <w:p w14:paraId="6F7C1681">
                  <w:pPr>
                    <w:keepNext w:val="0"/>
                    <w:keepLines w:val="0"/>
                    <w:pageBreakBefore w:val="0"/>
                    <w:kinsoku/>
                    <w:wordWrap/>
                    <w:overflowPunct/>
                    <w:topLinePunct w:val="0"/>
                    <w:autoSpaceDE/>
                    <w:autoSpaceDN/>
                    <w:bidi w:val="0"/>
                    <w:adjustRightInd/>
                    <w:snapToGrid/>
                    <w:spacing w:line="280" w:lineRule="exact"/>
                    <w:jc w:val="center"/>
                    <w:textAlignment w:val="auto"/>
                    <w:rPr>
                      <w:color w:val="auto"/>
                      <w:sz w:val="21"/>
                      <w:szCs w:val="21"/>
                      <w:highlight w:val="none"/>
                    </w:rPr>
                  </w:pPr>
                </w:p>
              </w:tc>
            </w:tr>
            <w:tr w14:paraId="18410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57" w:type="pct"/>
                  <w:gridSpan w:val="5"/>
                  <w:vAlign w:val="center"/>
                </w:tcPr>
                <w:p w14:paraId="54C6A905">
                  <w:pPr>
                    <w:keepNext w:val="0"/>
                    <w:keepLines w:val="0"/>
                    <w:pageBreakBefore w:val="0"/>
                    <w:widowControl/>
                    <w:suppressLineNumbers w:val="0"/>
                    <w:kinsoku/>
                    <w:wordWrap/>
                    <w:overflowPunct/>
                    <w:topLinePunct w:val="0"/>
                    <w:autoSpaceDE/>
                    <w:autoSpaceDN/>
                    <w:bidi w:val="0"/>
                    <w:adjustRightInd/>
                    <w:snapToGrid/>
                    <w:spacing w:line="280" w:lineRule="exact"/>
                    <w:jc w:val="left"/>
                    <w:textAlignment w:val="auto"/>
                    <w:rPr>
                      <w:rFonts w:hint="eastAsia"/>
                      <w:color w:val="auto"/>
                      <w:sz w:val="21"/>
                      <w:szCs w:val="21"/>
                      <w:highlight w:val="none"/>
                      <w:lang w:val="en-US" w:eastAsia="zh-CN"/>
                    </w:rPr>
                  </w:pPr>
                  <w:r>
                    <w:rPr>
                      <w:rFonts w:hint="eastAsia"/>
                      <w:b/>
                      <w:bCs/>
                      <w:color w:val="auto"/>
                      <w:sz w:val="21"/>
                      <w:szCs w:val="21"/>
                      <w:highlight w:val="none"/>
                      <w:lang w:val="en-US" w:eastAsia="zh-CN"/>
                    </w:rPr>
                    <w:t>注：</w:t>
                  </w:r>
                  <w:r>
                    <w:rPr>
                      <w:rFonts w:hint="eastAsia" w:ascii="宋体" w:hAnsi="宋体" w:eastAsia="宋体" w:cs="宋体"/>
                      <w:b/>
                      <w:bCs/>
                      <w:color w:val="auto"/>
                      <w:kern w:val="0"/>
                      <w:sz w:val="21"/>
                      <w:szCs w:val="21"/>
                      <w:lang w:val="en-US" w:eastAsia="zh-CN" w:bidi="ar"/>
                    </w:rPr>
                    <w:t>项目重晶石混凝土密度</w:t>
                  </w:r>
                  <w:r>
                    <w:rPr>
                      <w:rFonts w:hint="default" w:ascii="Times New Roman" w:hAnsi="Times New Roman" w:eastAsia="宋体" w:cs="Times New Roman"/>
                      <w:b/>
                      <w:bCs/>
                      <w:color w:val="auto"/>
                      <w:kern w:val="0"/>
                      <w:sz w:val="21"/>
                      <w:szCs w:val="21"/>
                      <w:lang w:val="en-US" w:eastAsia="zh-CN" w:bidi="ar"/>
                    </w:rPr>
                    <w:t>3.2g/cm</w:t>
                  </w:r>
                  <w:r>
                    <w:rPr>
                      <w:rFonts w:hint="eastAsia" w:ascii="Times New Roman" w:hAnsi="Times New Roman" w:eastAsia="宋体" w:cs="Times New Roman"/>
                      <w:b/>
                      <w:bCs/>
                      <w:color w:val="auto"/>
                      <w:kern w:val="0"/>
                      <w:sz w:val="21"/>
                      <w:szCs w:val="21"/>
                      <w:vertAlign w:val="superscript"/>
                      <w:lang w:val="en-US" w:eastAsia="zh-CN" w:bidi="ar"/>
                    </w:rPr>
                    <w:t>3</w:t>
                  </w:r>
                  <w:r>
                    <w:rPr>
                      <w:rFonts w:hint="eastAsia" w:ascii="宋体" w:hAnsi="宋体" w:eastAsia="宋体" w:cs="宋体"/>
                      <w:b/>
                      <w:bCs/>
                      <w:color w:val="auto"/>
                      <w:kern w:val="0"/>
                      <w:sz w:val="21"/>
                      <w:szCs w:val="21"/>
                      <w:lang w:val="en-US" w:eastAsia="zh-CN" w:bidi="ar"/>
                    </w:rPr>
                    <w:t>，钢板密度</w:t>
                  </w:r>
                  <w:r>
                    <w:rPr>
                      <w:rFonts w:hint="default" w:ascii="Times New Roman" w:hAnsi="Times New Roman" w:eastAsia="宋体" w:cs="Times New Roman"/>
                      <w:b/>
                      <w:bCs/>
                      <w:color w:val="auto"/>
                      <w:kern w:val="0"/>
                      <w:sz w:val="21"/>
                      <w:szCs w:val="21"/>
                      <w:lang w:val="en-US" w:eastAsia="zh-CN" w:bidi="ar"/>
                    </w:rPr>
                    <w:t>7.9g/cm</w:t>
                  </w:r>
                  <w:r>
                    <w:rPr>
                      <w:rFonts w:hint="eastAsia" w:ascii="Times New Roman" w:hAnsi="Times New Roman" w:eastAsia="宋体" w:cs="Times New Roman"/>
                      <w:b/>
                      <w:bCs/>
                      <w:color w:val="auto"/>
                      <w:kern w:val="0"/>
                      <w:sz w:val="21"/>
                      <w:szCs w:val="21"/>
                      <w:vertAlign w:val="superscript"/>
                      <w:lang w:val="en-US" w:eastAsia="zh-CN" w:bidi="ar"/>
                    </w:rPr>
                    <w:t>3</w:t>
                  </w:r>
                  <w:r>
                    <w:rPr>
                      <w:rFonts w:hint="eastAsia" w:ascii="宋体" w:hAnsi="宋体" w:eastAsia="宋体" w:cs="宋体"/>
                      <w:b/>
                      <w:bCs/>
                      <w:color w:val="auto"/>
                      <w:kern w:val="0"/>
                      <w:sz w:val="21"/>
                      <w:szCs w:val="21"/>
                      <w:lang w:val="en-US" w:eastAsia="zh-CN" w:bidi="ar"/>
                    </w:rPr>
                    <w:t>，防护铅门铅板密度</w:t>
                  </w:r>
                  <w:r>
                    <w:rPr>
                      <w:rFonts w:hint="default" w:ascii="Times New Roman" w:hAnsi="Times New Roman" w:eastAsia="宋体" w:cs="Times New Roman"/>
                      <w:b/>
                      <w:bCs/>
                      <w:color w:val="auto"/>
                      <w:kern w:val="0"/>
                      <w:sz w:val="21"/>
                      <w:szCs w:val="21"/>
                      <w:lang w:val="en-US" w:eastAsia="zh-CN" w:bidi="ar"/>
                    </w:rPr>
                    <w:t>11.3g/cm</w:t>
                  </w:r>
                  <w:r>
                    <w:rPr>
                      <w:rFonts w:hint="eastAsia" w:ascii="Times New Roman" w:hAnsi="Times New Roman" w:eastAsia="宋体" w:cs="Times New Roman"/>
                      <w:b/>
                      <w:bCs/>
                      <w:color w:val="auto"/>
                      <w:kern w:val="0"/>
                      <w:sz w:val="21"/>
                      <w:szCs w:val="21"/>
                      <w:vertAlign w:val="superscript"/>
                      <w:lang w:val="en-US" w:eastAsia="zh-CN" w:bidi="ar"/>
                    </w:rPr>
                    <w:t>3</w:t>
                  </w:r>
                  <w:r>
                    <w:rPr>
                      <w:rFonts w:hint="eastAsia" w:ascii="宋体" w:hAnsi="宋体" w:eastAsia="宋体" w:cs="宋体"/>
                      <w:b/>
                      <w:bCs/>
                      <w:color w:val="auto"/>
                      <w:kern w:val="0"/>
                      <w:sz w:val="21"/>
                      <w:szCs w:val="21"/>
                      <w:lang w:val="en-US" w:eastAsia="zh-CN" w:bidi="ar"/>
                    </w:rPr>
                    <w:t>。</w:t>
                  </w:r>
                </w:p>
              </w:tc>
              <w:tc>
                <w:tcPr>
                  <w:tcW w:w="842" w:type="pct"/>
                  <w:vMerge w:val="continue"/>
                  <w:vAlign w:val="center"/>
                </w:tcPr>
                <w:p w14:paraId="009B298E">
                  <w:pPr>
                    <w:keepNext w:val="0"/>
                    <w:keepLines w:val="0"/>
                    <w:pageBreakBefore w:val="0"/>
                    <w:kinsoku/>
                    <w:wordWrap/>
                    <w:overflowPunct/>
                    <w:topLinePunct w:val="0"/>
                    <w:autoSpaceDE/>
                    <w:autoSpaceDN/>
                    <w:bidi w:val="0"/>
                    <w:adjustRightInd/>
                    <w:snapToGrid/>
                    <w:spacing w:line="280" w:lineRule="exact"/>
                    <w:jc w:val="both"/>
                    <w:textAlignment w:val="auto"/>
                    <w:rPr>
                      <w:rFonts w:hint="eastAsia"/>
                      <w:color w:val="auto"/>
                      <w:sz w:val="21"/>
                      <w:szCs w:val="21"/>
                      <w:highlight w:val="none"/>
                      <w:lang w:val="en-US" w:eastAsia="zh-CN"/>
                    </w:rPr>
                  </w:pPr>
                </w:p>
              </w:tc>
            </w:tr>
          </w:tbl>
          <w:p w14:paraId="33160351">
            <w:pPr>
              <w:keepNext w:val="0"/>
              <w:keepLines w:val="0"/>
              <w:pageBreakBefore w:val="0"/>
              <w:widowControl w:val="0"/>
              <w:kinsoku/>
              <w:wordWrap/>
              <w:overflowPunct/>
              <w:topLinePunct w:val="0"/>
              <w:autoSpaceDE/>
              <w:autoSpaceDN/>
              <w:bidi w:val="0"/>
              <w:adjustRightInd/>
              <w:snapToGrid/>
              <w:spacing w:line="360" w:lineRule="auto"/>
              <w:ind w:left="0" w:leftChars="0" w:firstLine="448" w:firstLineChars="186"/>
              <w:contextualSpacing/>
              <w:textAlignment w:val="auto"/>
              <w:rPr>
                <w:b/>
                <w:color w:val="auto"/>
                <w:sz w:val="24"/>
                <w:szCs w:val="24"/>
                <w:highlight w:val="none"/>
              </w:rPr>
            </w:pPr>
            <w:r>
              <w:rPr>
                <w:b/>
                <w:color w:val="auto"/>
                <w:sz w:val="24"/>
                <w:szCs w:val="24"/>
                <w:highlight w:val="none"/>
              </w:rPr>
              <w:t>（</w:t>
            </w:r>
            <w:r>
              <w:rPr>
                <w:rFonts w:hint="eastAsia"/>
                <w:b/>
                <w:color w:val="auto"/>
                <w:sz w:val="24"/>
                <w:szCs w:val="24"/>
                <w:highlight w:val="none"/>
              </w:rPr>
              <w:t>2</w:t>
            </w:r>
            <w:r>
              <w:rPr>
                <w:b/>
                <w:color w:val="auto"/>
                <w:sz w:val="24"/>
                <w:szCs w:val="24"/>
                <w:highlight w:val="none"/>
              </w:rPr>
              <w:t>）</w:t>
            </w:r>
            <w:r>
              <w:rPr>
                <w:rFonts w:hint="eastAsia"/>
                <w:b/>
                <w:color w:val="auto"/>
                <w:sz w:val="24"/>
                <w:szCs w:val="24"/>
                <w:highlight w:val="none"/>
              </w:rPr>
              <w:t>防护门边界搭接</w:t>
            </w:r>
          </w:p>
          <w:p w14:paraId="20586F0A">
            <w:pPr>
              <w:pStyle w:val="5"/>
              <w:keepNext w:val="0"/>
              <w:keepLines w:val="0"/>
              <w:pageBreakBefore w:val="0"/>
              <w:widowControl w:val="0"/>
              <w:kinsoku/>
              <w:wordWrap/>
              <w:overflowPunct/>
              <w:topLinePunct w:val="0"/>
              <w:autoSpaceDE/>
              <w:autoSpaceDN/>
              <w:bidi w:val="0"/>
              <w:adjustRightInd/>
              <w:snapToGrid/>
              <w:spacing w:line="360" w:lineRule="auto"/>
              <w:ind w:left="0" w:leftChars="0" w:firstLine="480"/>
              <w:textAlignment w:val="auto"/>
              <w:rPr>
                <w:rFonts w:hint="eastAsia" w:eastAsia="宋体"/>
                <w:color w:val="auto"/>
                <w:kern w:val="0"/>
                <w:sz w:val="24"/>
                <w:szCs w:val="24"/>
                <w:highlight w:val="none"/>
                <w:lang w:val="en-US" w:eastAsia="zh-CN"/>
              </w:rPr>
            </w:pPr>
            <w:r>
              <w:rPr>
                <w:rFonts w:hint="eastAsia"/>
                <w:color w:val="auto"/>
                <w:kern w:val="0"/>
                <w:sz w:val="24"/>
                <w:szCs w:val="24"/>
                <w:highlight w:val="none"/>
              </w:rPr>
              <w:t>探伤房</w:t>
            </w:r>
            <w:r>
              <w:rPr>
                <w:color w:val="auto"/>
                <w:kern w:val="0"/>
                <w:sz w:val="24"/>
                <w:szCs w:val="24"/>
                <w:highlight w:val="none"/>
              </w:rPr>
              <w:t>的防护大门以钢板与铅板组合而成，上下端设置滑轮。根据建设单位提供的</w:t>
            </w:r>
            <w:r>
              <w:rPr>
                <w:rFonts w:hint="eastAsia"/>
                <w:color w:val="auto"/>
                <w:kern w:val="0"/>
                <w:sz w:val="24"/>
                <w:szCs w:val="24"/>
                <w:highlight w:val="none"/>
              </w:rPr>
              <w:t>材料</w:t>
            </w:r>
            <w:r>
              <w:rPr>
                <w:color w:val="auto"/>
                <w:kern w:val="0"/>
                <w:sz w:val="24"/>
                <w:szCs w:val="24"/>
                <w:highlight w:val="none"/>
              </w:rPr>
              <w:t>，</w:t>
            </w:r>
            <w:r>
              <w:rPr>
                <w:rFonts w:hint="eastAsia"/>
                <w:color w:val="auto"/>
                <w:sz w:val="24"/>
                <w:highlight w:val="none"/>
              </w:rPr>
              <w:t>本项目</w:t>
            </w:r>
            <w:r>
              <w:rPr>
                <w:color w:val="auto"/>
                <w:sz w:val="24"/>
                <w:highlight w:val="none"/>
              </w:rPr>
              <w:t>探伤</w:t>
            </w:r>
            <w:r>
              <w:rPr>
                <w:rFonts w:hint="eastAsia"/>
                <w:color w:val="auto"/>
                <w:sz w:val="24"/>
                <w:highlight w:val="none"/>
              </w:rPr>
              <w:t>房防护</w:t>
            </w:r>
            <w:r>
              <w:rPr>
                <w:color w:val="auto"/>
                <w:sz w:val="24"/>
                <w:highlight w:val="none"/>
              </w:rPr>
              <w:t>门门洞</w:t>
            </w:r>
            <w:r>
              <w:rPr>
                <w:rFonts w:hint="eastAsia"/>
                <w:color w:val="auto"/>
                <w:sz w:val="24"/>
                <w:highlight w:val="none"/>
              </w:rPr>
              <w:t>尺寸为3</w:t>
            </w:r>
            <w:r>
              <w:rPr>
                <w:color w:val="auto"/>
                <w:sz w:val="24"/>
                <w:highlight w:val="none"/>
              </w:rPr>
              <w:t>m</w:t>
            </w:r>
            <w:r>
              <w:rPr>
                <w:rFonts w:hint="eastAsia"/>
                <w:color w:val="auto"/>
                <w:sz w:val="24"/>
                <w:highlight w:val="none"/>
              </w:rPr>
              <w:t>长</w:t>
            </w:r>
            <w:r>
              <w:rPr>
                <w:color w:val="auto"/>
                <w:sz w:val="24"/>
                <w:highlight w:val="none"/>
              </w:rPr>
              <w:t>×</w:t>
            </w:r>
            <w:r>
              <w:rPr>
                <w:rFonts w:hint="eastAsia"/>
                <w:color w:val="auto"/>
                <w:sz w:val="24"/>
                <w:highlight w:val="none"/>
                <w:lang w:val="en-US" w:eastAsia="zh-CN"/>
              </w:rPr>
              <w:t>2.5</w:t>
            </w:r>
            <w:r>
              <w:rPr>
                <w:color w:val="auto"/>
                <w:sz w:val="24"/>
                <w:highlight w:val="none"/>
              </w:rPr>
              <w:t>m高，门左右各搭接</w:t>
            </w:r>
            <w:r>
              <w:rPr>
                <w:rFonts w:hint="eastAsia"/>
                <w:color w:val="auto"/>
                <w:sz w:val="24"/>
                <w:highlight w:val="none"/>
                <w:lang w:val="en-US" w:eastAsia="zh-CN"/>
              </w:rPr>
              <w:t>2</w:t>
            </w:r>
            <w:r>
              <w:rPr>
                <w:rFonts w:hint="eastAsia"/>
                <w:color w:val="auto"/>
                <w:sz w:val="24"/>
                <w:highlight w:val="none"/>
              </w:rPr>
              <w:t>00</w:t>
            </w:r>
            <w:r>
              <w:rPr>
                <w:color w:val="auto"/>
                <w:sz w:val="24"/>
                <w:highlight w:val="none"/>
              </w:rPr>
              <w:t>mm，上下各搭接</w:t>
            </w:r>
            <w:r>
              <w:rPr>
                <w:rFonts w:hint="eastAsia"/>
                <w:color w:val="auto"/>
                <w:sz w:val="24"/>
                <w:highlight w:val="none"/>
              </w:rPr>
              <w:t>1</w:t>
            </w:r>
            <w:r>
              <w:rPr>
                <w:rFonts w:hint="eastAsia"/>
                <w:color w:val="auto"/>
                <w:sz w:val="24"/>
                <w:highlight w:val="none"/>
                <w:lang w:val="en-US" w:eastAsia="zh-CN"/>
              </w:rPr>
              <w:t>50</w:t>
            </w:r>
            <w:r>
              <w:rPr>
                <w:color w:val="auto"/>
                <w:sz w:val="24"/>
                <w:highlight w:val="none"/>
              </w:rPr>
              <w:t>mm</w:t>
            </w:r>
            <w:r>
              <w:rPr>
                <w:color w:val="auto"/>
                <w:kern w:val="0"/>
                <w:sz w:val="24"/>
                <w:szCs w:val="24"/>
                <w:highlight w:val="none"/>
              </w:rPr>
              <w:t>，</w:t>
            </w:r>
            <w:r>
              <w:rPr>
                <w:rFonts w:hint="eastAsia"/>
                <w:color w:val="auto"/>
                <w:kern w:val="0"/>
                <w:sz w:val="24"/>
                <w:szCs w:val="24"/>
                <w:highlight w:val="none"/>
                <w:lang w:val="zh-CN"/>
              </w:rPr>
              <w:t>尽量减少防护门与墙壁之间的缝隙，确保缝隙小于</w:t>
            </w:r>
            <w:r>
              <w:rPr>
                <w:color w:val="auto"/>
                <w:kern w:val="0"/>
                <w:sz w:val="24"/>
                <w:szCs w:val="24"/>
                <w:highlight w:val="none"/>
                <w:lang w:val="zh-CN"/>
              </w:rPr>
              <w:t>1cm</w:t>
            </w:r>
            <w:r>
              <w:rPr>
                <w:rFonts w:hint="eastAsia"/>
                <w:color w:val="auto"/>
                <w:kern w:val="0"/>
                <w:sz w:val="24"/>
                <w:szCs w:val="24"/>
                <w:highlight w:val="none"/>
                <w:lang w:val="zh-CN"/>
              </w:rPr>
              <w:t>，</w:t>
            </w:r>
            <w:r>
              <w:rPr>
                <w:rFonts w:hint="eastAsia"/>
                <w:color w:val="auto"/>
                <w:kern w:val="0"/>
                <w:sz w:val="24"/>
                <w:szCs w:val="24"/>
                <w:highlight w:val="none"/>
              </w:rPr>
              <w:t>以</w:t>
            </w:r>
            <w:r>
              <w:rPr>
                <w:color w:val="auto"/>
                <w:kern w:val="0"/>
                <w:sz w:val="24"/>
                <w:szCs w:val="24"/>
                <w:highlight w:val="none"/>
              </w:rPr>
              <w:t>便防止射线由门缝隙泄漏到室外，并处理好门的移动轨道与</w:t>
            </w:r>
            <w:r>
              <w:rPr>
                <w:rFonts w:hint="eastAsia"/>
                <w:color w:val="auto"/>
                <w:kern w:val="0"/>
                <w:sz w:val="24"/>
                <w:szCs w:val="24"/>
                <w:highlight w:val="none"/>
              </w:rPr>
              <w:t>工件</w:t>
            </w:r>
            <w:r>
              <w:rPr>
                <w:color w:val="auto"/>
                <w:kern w:val="0"/>
                <w:sz w:val="24"/>
                <w:szCs w:val="24"/>
                <w:highlight w:val="none"/>
              </w:rPr>
              <w:t>进出探伤</w:t>
            </w:r>
            <w:r>
              <w:rPr>
                <w:rFonts w:hint="eastAsia"/>
                <w:color w:val="auto"/>
                <w:kern w:val="0"/>
                <w:sz w:val="24"/>
                <w:szCs w:val="24"/>
                <w:highlight w:val="none"/>
              </w:rPr>
              <w:t>房</w:t>
            </w:r>
            <w:r>
              <w:rPr>
                <w:color w:val="auto"/>
                <w:kern w:val="0"/>
                <w:sz w:val="24"/>
                <w:szCs w:val="24"/>
                <w:highlight w:val="none"/>
              </w:rPr>
              <w:t>的轨道交叉连接问题</w:t>
            </w:r>
            <w:r>
              <w:rPr>
                <w:rFonts w:hint="eastAsia"/>
                <w:color w:val="auto"/>
                <w:kern w:val="0"/>
                <w:sz w:val="24"/>
                <w:szCs w:val="24"/>
                <w:highlight w:val="none"/>
              </w:rPr>
              <w:t>。</w:t>
            </w:r>
            <w:r>
              <w:rPr>
                <w:rFonts w:hint="eastAsia"/>
                <w:color w:val="auto"/>
                <w:kern w:val="0"/>
                <w:sz w:val="24"/>
                <w:szCs w:val="24"/>
                <w:highlight w:val="none"/>
                <w:lang w:val="en-US" w:eastAsia="zh-CN"/>
              </w:rPr>
              <w:t>因此，南侧防护门尺寸为</w:t>
            </w:r>
            <w:r>
              <w:rPr>
                <w:rFonts w:hint="eastAsia"/>
                <w:color w:val="auto"/>
                <w:sz w:val="24"/>
                <w:highlight w:val="none"/>
              </w:rPr>
              <w:t>3</w:t>
            </w:r>
            <w:r>
              <w:rPr>
                <w:rFonts w:hint="eastAsia"/>
                <w:color w:val="auto"/>
                <w:sz w:val="24"/>
                <w:highlight w:val="none"/>
                <w:lang w:val="en-US" w:eastAsia="zh-CN"/>
              </w:rPr>
              <w:t>.4</w:t>
            </w:r>
            <w:r>
              <w:rPr>
                <w:color w:val="auto"/>
                <w:sz w:val="24"/>
                <w:highlight w:val="none"/>
              </w:rPr>
              <w:t>m</w:t>
            </w:r>
            <w:r>
              <w:rPr>
                <w:rFonts w:hint="eastAsia"/>
                <w:color w:val="auto"/>
                <w:sz w:val="24"/>
                <w:highlight w:val="none"/>
              </w:rPr>
              <w:t>长</w:t>
            </w:r>
            <w:r>
              <w:rPr>
                <w:color w:val="auto"/>
                <w:sz w:val="24"/>
                <w:highlight w:val="none"/>
              </w:rPr>
              <w:t>×</w:t>
            </w:r>
            <w:r>
              <w:rPr>
                <w:rFonts w:hint="eastAsia"/>
                <w:color w:val="auto"/>
                <w:sz w:val="24"/>
                <w:highlight w:val="none"/>
                <w:lang w:val="en-US" w:eastAsia="zh-CN"/>
              </w:rPr>
              <w:t>2.8</w:t>
            </w:r>
            <w:r>
              <w:rPr>
                <w:color w:val="auto"/>
                <w:sz w:val="24"/>
                <w:highlight w:val="none"/>
              </w:rPr>
              <w:t>m高</w:t>
            </w:r>
            <w:r>
              <w:rPr>
                <w:rFonts w:hint="eastAsia"/>
                <w:color w:val="auto"/>
                <w:sz w:val="24"/>
                <w:highlight w:val="none"/>
                <w:lang w:eastAsia="zh-CN"/>
              </w:rPr>
              <w:t>。</w:t>
            </w:r>
          </w:p>
          <w:p w14:paraId="38674F7A">
            <w:pPr>
              <w:keepNext w:val="0"/>
              <w:keepLines w:val="0"/>
              <w:pageBreakBefore w:val="0"/>
              <w:widowControl w:val="0"/>
              <w:kinsoku/>
              <w:wordWrap/>
              <w:overflowPunct/>
              <w:topLinePunct w:val="0"/>
              <w:autoSpaceDE/>
              <w:autoSpaceDN/>
              <w:bidi w:val="0"/>
              <w:adjustRightInd/>
              <w:snapToGrid/>
              <w:spacing w:line="360" w:lineRule="auto"/>
              <w:ind w:left="0" w:leftChars="0" w:firstLine="448" w:firstLineChars="186"/>
              <w:contextualSpacing/>
              <w:textAlignment w:val="auto"/>
              <w:rPr>
                <w:b/>
                <w:color w:val="auto"/>
                <w:sz w:val="24"/>
                <w:szCs w:val="24"/>
                <w:highlight w:val="none"/>
              </w:rPr>
            </w:pPr>
            <w:r>
              <w:rPr>
                <w:b/>
                <w:color w:val="auto"/>
                <w:sz w:val="24"/>
                <w:szCs w:val="24"/>
                <w:highlight w:val="none"/>
              </w:rPr>
              <w:t>（</w:t>
            </w:r>
            <w:r>
              <w:rPr>
                <w:rFonts w:hint="eastAsia"/>
                <w:b/>
                <w:color w:val="auto"/>
                <w:sz w:val="24"/>
                <w:szCs w:val="24"/>
                <w:highlight w:val="none"/>
              </w:rPr>
              <w:t>3</w:t>
            </w:r>
            <w:r>
              <w:rPr>
                <w:b/>
                <w:color w:val="auto"/>
                <w:sz w:val="24"/>
                <w:szCs w:val="24"/>
                <w:highlight w:val="none"/>
              </w:rPr>
              <w:t>）</w:t>
            </w:r>
            <w:r>
              <w:rPr>
                <w:rFonts w:hint="eastAsia"/>
                <w:b/>
                <w:color w:val="auto"/>
                <w:sz w:val="24"/>
                <w:szCs w:val="24"/>
                <w:highlight w:val="none"/>
              </w:rPr>
              <w:t>通风系统与穿墙管线设计</w:t>
            </w:r>
          </w:p>
          <w:p w14:paraId="5E93D4FF">
            <w:pPr>
              <w:keepNext w:val="0"/>
              <w:keepLines w:val="0"/>
              <w:pageBreakBefore w:val="0"/>
              <w:widowControl w:val="0"/>
              <w:kinsoku/>
              <w:wordWrap/>
              <w:overflowPunct/>
              <w:topLinePunct w:val="0"/>
              <w:autoSpaceDE/>
              <w:autoSpaceDN/>
              <w:bidi w:val="0"/>
              <w:adjustRightInd/>
              <w:snapToGrid/>
              <w:spacing w:line="360" w:lineRule="auto"/>
              <w:ind w:left="0" w:leftChars="0" w:firstLine="472" w:firstLineChars="200"/>
              <w:textAlignment w:val="auto"/>
              <w:rPr>
                <w:color w:val="auto"/>
                <w:spacing w:val="-2"/>
                <w:sz w:val="24"/>
                <w:szCs w:val="24"/>
                <w:highlight w:val="none"/>
              </w:rPr>
            </w:pPr>
            <w:r>
              <w:rPr>
                <w:rFonts w:hint="eastAsia"/>
                <w:color w:val="auto"/>
                <w:spacing w:val="-2"/>
                <w:sz w:val="24"/>
                <w:szCs w:val="24"/>
                <w:highlight w:val="none"/>
              </w:rPr>
              <w:t>根据建设单位提供的项目设计图纸，本项目探伤房机械排风管道以及穿墙管线均以“U”型穿越探伤房墙体，不破坏原本墙体结构，设计较为合理，示意图见图10-2。</w:t>
            </w:r>
          </w:p>
          <w:p w14:paraId="2E5091BD">
            <w:pPr>
              <w:snapToGrid w:val="0"/>
              <w:jc w:val="center"/>
              <w:rPr>
                <w:color w:val="auto"/>
                <w:highlight w:val="none"/>
              </w:rPr>
            </w:pPr>
            <w:r>
              <w:rPr>
                <w:color w:val="auto"/>
                <w:highlight w:val="none"/>
              </w:rPr>
              <w:drawing>
                <wp:inline distT="0" distB="0" distL="114300" distR="114300">
                  <wp:extent cx="5273675" cy="3072130"/>
                  <wp:effectExtent l="9525" t="9525" r="12700" b="23495"/>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pic:cNvPicPr>
                            <a:picLocks noChangeAspect="1"/>
                          </pic:cNvPicPr>
                        </pic:nvPicPr>
                        <pic:blipFill>
                          <a:blip r:embed="rId42"/>
                          <a:stretch>
                            <a:fillRect/>
                          </a:stretch>
                        </pic:blipFill>
                        <pic:spPr>
                          <a:xfrm>
                            <a:off x="0" y="0"/>
                            <a:ext cx="5273675" cy="3072130"/>
                          </a:xfrm>
                          <a:prstGeom prst="rect">
                            <a:avLst/>
                          </a:prstGeom>
                          <a:noFill/>
                          <a:ln>
                            <a:solidFill>
                              <a:schemeClr val="tx1"/>
                            </a:solidFill>
                          </a:ln>
                        </pic:spPr>
                      </pic:pic>
                    </a:graphicData>
                  </a:graphic>
                </wp:inline>
              </w:drawing>
            </w:r>
            <w:r>
              <w:rPr>
                <w:rFonts w:hint="eastAsia"/>
                <w:b/>
                <w:color w:val="auto"/>
                <w:szCs w:val="21"/>
                <w:highlight w:val="none"/>
              </w:rPr>
              <w:t>图10-2 管道穿墙剖面示意图</w:t>
            </w:r>
          </w:p>
          <w:p w14:paraId="3F177BBD">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r>
              <w:rPr>
                <w:rFonts w:hint="eastAsia"/>
                <w:b/>
                <w:bCs/>
                <w:color w:val="auto"/>
                <w:sz w:val="24"/>
                <w:szCs w:val="24"/>
                <w:highlight w:val="none"/>
              </w:rPr>
              <w:t>3、辐射安全与防护设施</w:t>
            </w:r>
            <w:bookmarkEnd w:id="138"/>
            <w:bookmarkEnd w:id="139"/>
            <w:bookmarkEnd w:id="140"/>
            <w:bookmarkEnd w:id="141"/>
            <w:bookmarkEnd w:id="142"/>
            <w:bookmarkEnd w:id="143"/>
            <w:bookmarkEnd w:id="144"/>
            <w:bookmarkEnd w:id="145"/>
            <w:bookmarkEnd w:id="146"/>
          </w:p>
          <w:p w14:paraId="67237DF1">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b/>
                <w:color w:val="auto"/>
                <w:szCs w:val="21"/>
                <w:highlight w:val="none"/>
              </w:rPr>
            </w:pPr>
            <w:r>
              <w:rPr>
                <w:rFonts w:hint="eastAsia"/>
                <w:color w:val="auto"/>
                <w:kern w:val="0"/>
                <w:sz w:val="24"/>
                <w:szCs w:val="24"/>
                <w:highlight w:val="none"/>
              </w:rPr>
              <w:t>本项目拟（已）采取的污染防治措施详见下表。</w:t>
            </w:r>
          </w:p>
          <w:p w14:paraId="6910814E">
            <w:pPr>
              <w:pStyle w:val="5"/>
              <w:ind w:firstLine="0" w:firstLineChars="0"/>
              <w:jc w:val="center"/>
              <w:rPr>
                <w:b/>
                <w:color w:val="auto"/>
                <w:szCs w:val="21"/>
                <w:highlight w:val="none"/>
              </w:rPr>
            </w:pPr>
            <w:r>
              <w:rPr>
                <w:rFonts w:hint="eastAsia"/>
                <w:b/>
                <w:color w:val="auto"/>
                <w:szCs w:val="21"/>
                <w:highlight w:val="none"/>
              </w:rPr>
              <w:t>表10-3  本项目污染防治措施</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1714"/>
              <w:gridCol w:w="5823"/>
            </w:tblGrid>
            <w:tr w14:paraId="37453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14:paraId="509D454A">
                  <w:pPr>
                    <w:jc w:val="center"/>
                    <w:rPr>
                      <w:b/>
                      <w:bCs/>
                      <w:color w:val="auto"/>
                      <w:highlight w:val="none"/>
                    </w:rPr>
                  </w:pPr>
                  <w:r>
                    <w:rPr>
                      <w:b/>
                      <w:bCs/>
                      <w:color w:val="auto"/>
                      <w:highlight w:val="none"/>
                    </w:rPr>
                    <w:t>项目</w:t>
                  </w:r>
                </w:p>
              </w:tc>
              <w:tc>
                <w:tcPr>
                  <w:tcW w:w="1020" w:type="pct"/>
                  <w:vAlign w:val="center"/>
                </w:tcPr>
                <w:p w14:paraId="016A106A">
                  <w:pPr>
                    <w:jc w:val="center"/>
                    <w:rPr>
                      <w:b/>
                      <w:bCs/>
                      <w:color w:val="auto"/>
                      <w:highlight w:val="none"/>
                    </w:rPr>
                  </w:pPr>
                  <w:r>
                    <w:rPr>
                      <w:b/>
                      <w:bCs/>
                      <w:color w:val="auto"/>
                      <w:highlight w:val="none"/>
                    </w:rPr>
                    <w:t>内容</w:t>
                  </w:r>
                </w:p>
              </w:tc>
              <w:tc>
                <w:tcPr>
                  <w:tcW w:w="3465" w:type="pct"/>
                </w:tcPr>
                <w:p w14:paraId="32F09A12">
                  <w:pPr>
                    <w:jc w:val="center"/>
                    <w:rPr>
                      <w:b/>
                      <w:bCs/>
                      <w:color w:val="auto"/>
                      <w:highlight w:val="none"/>
                    </w:rPr>
                  </w:pPr>
                  <w:r>
                    <w:rPr>
                      <w:b/>
                      <w:bCs/>
                      <w:color w:val="auto"/>
                      <w:highlight w:val="none"/>
                    </w:rPr>
                    <w:t>拟</w:t>
                  </w:r>
                  <w:r>
                    <w:rPr>
                      <w:rFonts w:hint="eastAsia"/>
                      <w:b/>
                      <w:bCs/>
                      <w:color w:val="auto"/>
                      <w:highlight w:val="none"/>
                    </w:rPr>
                    <w:t>（已）</w:t>
                  </w:r>
                  <w:r>
                    <w:rPr>
                      <w:b/>
                      <w:bCs/>
                      <w:color w:val="auto"/>
                      <w:highlight w:val="none"/>
                    </w:rPr>
                    <w:t>采取措施</w:t>
                  </w:r>
                </w:p>
              </w:tc>
            </w:tr>
            <w:tr w14:paraId="55599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14:paraId="7AE251FE">
                  <w:pPr>
                    <w:jc w:val="center"/>
                    <w:rPr>
                      <w:color w:val="auto"/>
                      <w:highlight w:val="none"/>
                    </w:rPr>
                  </w:pPr>
                  <w:r>
                    <w:rPr>
                      <w:color w:val="auto"/>
                      <w:highlight w:val="none"/>
                    </w:rPr>
                    <w:t>辐射安全管理机构</w:t>
                  </w:r>
                </w:p>
              </w:tc>
              <w:tc>
                <w:tcPr>
                  <w:tcW w:w="1020" w:type="pct"/>
                  <w:vAlign w:val="center"/>
                </w:tcPr>
                <w:p w14:paraId="2D17645A">
                  <w:pPr>
                    <w:jc w:val="center"/>
                    <w:rPr>
                      <w:color w:val="auto"/>
                      <w:highlight w:val="none"/>
                    </w:rPr>
                  </w:pPr>
                  <w:r>
                    <w:rPr>
                      <w:color w:val="auto"/>
                      <w:highlight w:val="none"/>
                    </w:rPr>
                    <w:t>辐射安全管理</w:t>
                  </w:r>
                </w:p>
                <w:p w14:paraId="6252EBFF">
                  <w:pPr>
                    <w:jc w:val="center"/>
                    <w:rPr>
                      <w:color w:val="auto"/>
                      <w:highlight w:val="none"/>
                    </w:rPr>
                  </w:pPr>
                  <w:r>
                    <w:rPr>
                      <w:color w:val="auto"/>
                      <w:highlight w:val="none"/>
                    </w:rPr>
                    <w:t>机构</w:t>
                  </w:r>
                </w:p>
              </w:tc>
              <w:tc>
                <w:tcPr>
                  <w:tcW w:w="3465" w:type="pct"/>
                  <w:vAlign w:val="center"/>
                </w:tcPr>
                <w:p w14:paraId="6376FF14">
                  <w:pPr>
                    <w:jc w:val="center"/>
                    <w:rPr>
                      <w:rFonts w:hint="default" w:eastAsia="宋体"/>
                      <w:color w:val="auto"/>
                      <w:highlight w:val="none"/>
                      <w:lang w:val="en-US" w:eastAsia="zh-CN"/>
                    </w:rPr>
                  </w:pPr>
                  <w:r>
                    <w:rPr>
                      <w:rFonts w:hint="eastAsia"/>
                      <w:color w:val="auto"/>
                      <w:highlight w:val="none"/>
                    </w:rPr>
                    <w:t>已设置</w:t>
                  </w:r>
                  <w:r>
                    <w:rPr>
                      <w:rFonts w:hint="eastAsia"/>
                      <w:color w:val="auto"/>
                      <w:highlight w:val="none"/>
                      <w:lang w:val="zh-CN"/>
                    </w:rPr>
                    <w:t>专门的安全和防护管理机构</w:t>
                  </w:r>
                  <w:r>
                    <w:rPr>
                      <w:rFonts w:hint="eastAsia"/>
                      <w:color w:val="auto"/>
                      <w:highlight w:val="none"/>
                    </w:rPr>
                    <w:t>-</w:t>
                  </w:r>
                  <w:r>
                    <w:rPr>
                      <w:rFonts w:hint="eastAsia"/>
                      <w:color w:val="auto"/>
                      <w:highlight w:val="none"/>
                      <w:lang w:eastAsia="zh-CN"/>
                    </w:rPr>
                    <w:t>安徽泓济环境科技有限公司</w:t>
                  </w:r>
                  <w:r>
                    <w:rPr>
                      <w:rFonts w:hint="eastAsia"/>
                      <w:color w:val="auto"/>
                      <w:highlight w:val="none"/>
                      <w:lang w:val="zh-CN"/>
                    </w:rPr>
                    <w:t>辐射防护安全管理小组，负责辐射安全与环境保护管理工作以及应急救援指挥工作</w:t>
                  </w:r>
                  <w:r>
                    <w:rPr>
                      <w:rFonts w:hint="eastAsia"/>
                      <w:color w:val="auto"/>
                      <w:highlight w:val="none"/>
                      <w:lang w:eastAsia="zh-CN"/>
                    </w:rPr>
                    <w:t>，</w:t>
                  </w:r>
                  <w:r>
                    <w:rPr>
                      <w:rFonts w:hint="eastAsia"/>
                      <w:color w:val="auto"/>
                      <w:highlight w:val="none"/>
                      <w:lang w:val="en-US" w:eastAsia="zh-CN"/>
                    </w:rPr>
                    <w:t>组长为白英。</w:t>
                  </w:r>
                </w:p>
              </w:tc>
            </w:tr>
            <w:tr w14:paraId="1BDFD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Merge w:val="restart"/>
                  <w:vAlign w:val="center"/>
                </w:tcPr>
                <w:p w14:paraId="61367CE0">
                  <w:pPr>
                    <w:jc w:val="center"/>
                    <w:rPr>
                      <w:color w:val="auto"/>
                      <w:highlight w:val="none"/>
                    </w:rPr>
                  </w:pPr>
                  <w:r>
                    <w:rPr>
                      <w:color w:val="auto"/>
                      <w:highlight w:val="none"/>
                    </w:rPr>
                    <w:t>X射线探伤</w:t>
                  </w:r>
                </w:p>
              </w:tc>
              <w:tc>
                <w:tcPr>
                  <w:tcW w:w="1020" w:type="pct"/>
                  <w:vAlign w:val="center"/>
                </w:tcPr>
                <w:p w14:paraId="2ED2D63F">
                  <w:pPr>
                    <w:jc w:val="center"/>
                    <w:rPr>
                      <w:color w:val="auto"/>
                      <w:highlight w:val="none"/>
                    </w:rPr>
                  </w:pPr>
                  <w:r>
                    <w:rPr>
                      <w:color w:val="auto"/>
                      <w:highlight w:val="none"/>
                    </w:rPr>
                    <w:t>安全措施</w:t>
                  </w:r>
                </w:p>
              </w:tc>
              <w:tc>
                <w:tcPr>
                  <w:tcW w:w="3465" w:type="pct"/>
                  <w:vAlign w:val="center"/>
                </w:tcPr>
                <w:p w14:paraId="5E6BD03F">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①探伤房设置隔室操作。</w:t>
                  </w:r>
                </w:p>
                <w:p w14:paraId="1FFB3C5D">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②门机联锁装置：门机联锁装置即是关上探伤房的防护门，才能启动X射线机的高压，启动X射线机高压时，要发出报警信号，如果开启探伤房防护门，X射线机会自动切断高压，停止放射X射线。</w:t>
                  </w:r>
                </w:p>
                <w:p w14:paraId="02D3E5ED">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③报警和指示装置：X射线探伤房防护门门口和内部均同时设有显示“预备”和“照射”状态的指示灯和声音提示装置，并与X射线探伤机联锁。“预备”信号能持续足够长的时间，以确保探伤房内人员安全离开。“预备”信号和“照射”信号有明显的区别，并且与该工作场所内使用的其他报警信号有明显区别。在防护门和墙壁上拟设置对“照射”和“预备”信号意义的说明。</w:t>
                  </w:r>
                </w:p>
                <w:p w14:paraId="4310C6B6">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highlight w:val="yellow"/>
                    </w:rPr>
                  </w:pPr>
                  <w:r>
                    <w:rPr>
                      <w:rFonts w:hint="default" w:ascii="Times New Roman" w:hAnsi="Times New Roman" w:cs="Times New Roman"/>
                      <w:color w:val="auto"/>
                      <w:highlight w:val="none"/>
                    </w:rPr>
                    <w:t>④急停开关：本项目拟在探伤房内墙、防护门旁外墙体和操作间操作台上易于接触的地方设置紧急停止开关；按下按钮，探伤机高压电源立即被切断，停止出束，防护门可从内侧打开。急停开关使用后，需复位后方可进行下一次探伤工作。本项目探伤房内共设置5个急停开关（其中东、西墙各两个，</w:t>
                  </w:r>
                  <w:r>
                    <w:rPr>
                      <w:rFonts w:hint="eastAsia" w:cs="Times New Roman"/>
                      <w:color w:val="auto"/>
                      <w:highlight w:val="none"/>
                      <w:lang w:val="en-US" w:eastAsia="zh-CN"/>
                    </w:rPr>
                    <w:t>北</w:t>
                  </w:r>
                  <w:r>
                    <w:rPr>
                      <w:rFonts w:hint="default" w:ascii="Times New Roman" w:hAnsi="Times New Roman" w:cs="Times New Roman"/>
                      <w:color w:val="auto"/>
                      <w:highlight w:val="none"/>
                    </w:rPr>
                    <w:t>侧墙一个），并操作台处设置1个急停开关。</w:t>
                  </w:r>
                </w:p>
                <w:p w14:paraId="3E293E12">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⑤警示标志：本项目拟在探伤房外墙和防护门外醒目处张贴“当心电离辐射”警告标志。控制台应设置辐射警告、出束指示和禁止非授权使用的警告等标识。</w:t>
                  </w:r>
                </w:p>
                <w:p w14:paraId="7366F093">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⑥操作台钥匙开关：本项目拟在操作台设置钥匙开关，只有在打开操作台钥匙开关后，X射线管才能出束；钥匙只有在停机或待机状态时才能拔出。</w:t>
                  </w:r>
                </w:p>
                <w:p w14:paraId="6B552882">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⑦探伤房内及出入口处拟设置监控系统。</w:t>
                  </w:r>
                </w:p>
                <w:p w14:paraId="66A4C1F0">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⑧探伤房拟配置固定式场所辐射探测报警装置。</w:t>
                  </w:r>
                </w:p>
                <w:p w14:paraId="6414F980">
                  <w:pPr>
                    <w:keepNext w:val="0"/>
                    <w:keepLines w:val="0"/>
                    <w:pageBreakBefore w:val="0"/>
                    <w:widowControl w:val="0"/>
                    <w:kinsoku/>
                    <w:wordWrap/>
                    <w:overflowPunct/>
                    <w:topLinePunct w:val="0"/>
                    <w:autoSpaceDE/>
                    <w:autoSpaceDN/>
                    <w:bidi w:val="0"/>
                    <w:adjustRightInd/>
                    <w:snapToGrid/>
                    <w:jc w:val="both"/>
                    <w:textAlignment w:val="auto"/>
                    <w:rPr>
                      <w:color w:val="auto"/>
                      <w:highlight w:val="none"/>
                    </w:rPr>
                  </w:pPr>
                  <w:r>
                    <w:rPr>
                      <w:rFonts w:hint="default" w:ascii="Times New Roman" w:hAnsi="Times New Roman" w:cs="Times New Roman"/>
                      <w:color w:val="auto"/>
                      <w:highlight w:val="none"/>
                    </w:rPr>
                    <w:t>⑨通风系统：拟在探伤房</w:t>
                  </w:r>
                  <w:r>
                    <w:rPr>
                      <w:rFonts w:hint="eastAsia" w:cs="Times New Roman"/>
                      <w:color w:val="auto"/>
                      <w:highlight w:val="none"/>
                      <w:lang w:val="en-US" w:eastAsia="zh-CN"/>
                    </w:rPr>
                    <w:t>东</w:t>
                  </w:r>
                  <w:r>
                    <w:rPr>
                      <w:rFonts w:hint="eastAsia" w:ascii="Times New Roman" w:hAnsi="Times New Roman" w:cs="Times New Roman"/>
                      <w:color w:val="auto"/>
                      <w:highlight w:val="none"/>
                      <w:lang w:val="en-US" w:eastAsia="zh-CN"/>
                    </w:rPr>
                    <w:t>北角设置</w:t>
                  </w:r>
                  <w:r>
                    <w:rPr>
                      <w:rFonts w:hint="default" w:ascii="Times New Roman" w:hAnsi="Times New Roman" w:cs="Times New Roman"/>
                      <w:color w:val="auto"/>
                      <w:highlight w:val="none"/>
                    </w:rPr>
                    <w:t>1台风机，风量4</w:t>
                  </w:r>
                  <w:r>
                    <w:rPr>
                      <w:rFonts w:hint="eastAsia" w:cs="Times New Roman"/>
                      <w:color w:val="auto"/>
                      <w:highlight w:val="none"/>
                      <w:lang w:val="en-US" w:eastAsia="zh-CN"/>
                    </w:rPr>
                    <w:t>0</w:t>
                  </w:r>
                  <w:r>
                    <w:rPr>
                      <w:rFonts w:hint="default" w:ascii="Times New Roman" w:hAnsi="Times New Roman" w:cs="Times New Roman"/>
                      <w:color w:val="auto"/>
                      <w:highlight w:val="none"/>
                    </w:rPr>
                    <w:t>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/h，通风效率以80%计，有效换气次数</w:t>
                  </w:r>
                  <w:r>
                    <w:rPr>
                      <w:rFonts w:hint="eastAsia" w:cs="Times New Roman"/>
                      <w:color w:val="auto"/>
                      <w:highlight w:val="none"/>
                      <w:lang w:val="en-US" w:eastAsia="zh-CN"/>
                    </w:rPr>
                    <w:t>13.3</w:t>
                  </w:r>
                  <w:r>
                    <w:rPr>
                      <w:rFonts w:hint="default" w:ascii="Times New Roman" w:hAnsi="Times New Roman" w:cs="Times New Roman"/>
                      <w:color w:val="auto"/>
                      <w:highlight w:val="none"/>
                    </w:rPr>
                    <w:t>次/小时。</w:t>
                  </w:r>
                </w:p>
              </w:tc>
            </w:tr>
            <w:tr w14:paraId="2B500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Merge w:val="continue"/>
                  <w:vAlign w:val="center"/>
                </w:tcPr>
                <w:p w14:paraId="3AE97531">
                  <w:pPr>
                    <w:jc w:val="center"/>
                    <w:rPr>
                      <w:color w:val="auto"/>
                      <w:highlight w:val="none"/>
                    </w:rPr>
                  </w:pPr>
                </w:p>
              </w:tc>
              <w:tc>
                <w:tcPr>
                  <w:tcW w:w="1020" w:type="pct"/>
                  <w:vAlign w:val="center"/>
                </w:tcPr>
                <w:p w14:paraId="3308C30F">
                  <w:pPr>
                    <w:jc w:val="center"/>
                    <w:rPr>
                      <w:color w:val="auto"/>
                      <w:highlight w:val="none"/>
                    </w:rPr>
                  </w:pPr>
                  <w:r>
                    <w:rPr>
                      <w:color w:val="auto"/>
                      <w:highlight w:val="none"/>
                    </w:rPr>
                    <w:t>人员配备和仪器</w:t>
                  </w:r>
                </w:p>
              </w:tc>
              <w:tc>
                <w:tcPr>
                  <w:tcW w:w="3465" w:type="pct"/>
                  <w:vAlign w:val="center"/>
                </w:tcPr>
                <w:p w14:paraId="6F5A19A6">
                  <w:pPr>
                    <w:jc w:val="center"/>
                    <w:rPr>
                      <w:color w:val="auto"/>
                      <w:highlight w:val="none"/>
                    </w:rPr>
                  </w:pPr>
                  <w:r>
                    <w:rPr>
                      <w:rFonts w:hint="eastAsia"/>
                      <w:color w:val="auto"/>
                      <w:highlight w:val="none"/>
                    </w:rPr>
                    <w:t>拟</w:t>
                  </w:r>
                  <w:r>
                    <w:rPr>
                      <w:color w:val="auto"/>
                      <w:highlight w:val="none"/>
                    </w:rPr>
                    <w:t>配备2名辐射工作人员，人员必须经过辐射安全及防护考核合格，配备1台辐射巡测仪和2台个人剂量报警仪。</w:t>
                  </w:r>
                </w:p>
              </w:tc>
            </w:tr>
            <w:tr w14:paraId="28690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Merge w:val="restart"/>
                  <w:vAlign w:val="center"/>
                </w:tcPr>
                <w:p w14:paraId="5093D0D4">
                  <w:pPr>
                    <w:jc w:val="center"/>
                    <w:rPr>
                      <w:b w:val="0"/>
                      <w:bCs w:val="0"/>
                      <w:color w:val="auto"/>
                      <w:highlight w:val="none"/>
                    </w:rPr>
                  </w:pPr>
                  <w:r>
                    <w:rPr>
                      <w:b w:val="0"/>
                      <w:bCs w:val="0"/>
                      <w:color w:val="auto"/>
                      <w:highlight w:val="none"/>
                    </w:rPr>
                    <w:t>人员</w:t>
                  </w:r>
                </w:p>
                <w:p w14:paraId="2A657C5D">
                  <w:pPr>
                    <w:jc w:val="center"/>
                    <w:rPr>
                      <w:b w:val="0"/>
                      <w:bCs w:val="0"/>
                      <w:color w:val="auto"/>
                      <w:highlight w:val="none"/>
                    </w:rPr>
                  </w:pPr>
                  <w:r>
                    <w:rPr>
                      <w:b w:val="0"/>
                      <w:bCs w:val="0"/>
                      <w:color w:val="auto"/>
                      <w:highlight w:val="none"/>
                    </w:rPr>
                    <w:t>配备</w:t>
                  </w:r>
                </w:p>
              </w:tc>
              <w:tc>
                <w:tcPr>
                  <w:tcW w:w="1020" w:type="pct"/>
                  <w:vAlign w:val="center"/>
                </w:tcPr>
                <w:p w14:paraId="464F33D3">
                  <w:pPr>
                    <w:jc w:val="center"/>
                    <w:rPr>
                      <w:b w:val="0"/>
                      <w:bCs w:val="0"/>
                      <w:color w:val="auto"/>
                      <w:highlight w:val="none"/>
                    </w:rPr>
                  </w:pPr>
                  <w:r>
                    <w:rPr>
                      <w:b w:val="0"/>
                      <w:bCs w:val="0"/>
                      <w:color w:val="auto"/>
                      <w:highlight w:val="none"/>
                    </w:rPr>
                    <w:t>辐射防护与安全培训和考核</w:t>
                  </w:r>
                </w:p>
              </w:tc>
              <w:tc>
                <w:tcPr>
                  <w:tcW w:w="3465" w:type="pct"/>
                  <w:vAlign w:val="center"/>
                </w:tcPr>
                <w:p w14:paraId="6355CAE1">
                  <w:pPr>
                    <w:jc w:val="center"/>
                    <w:rPr>
                      <w:color w:val="auto"/>
                      <w:highlight w:val="none"/>
                    </w:rPr>
                  </w:pPr>
                  <w:r>
                    <w:rPr>
                      <w:color w:val="auto"/>
                      <w:highlight w:val="none"/>
                    </w:rPr>
                    <w:t>拟配备辐射工作人员必须在国家核技术利用辐射安全与防护培训平台自行学习并取得考核合格成绩单后方可上岗。</w:t>
                  </w:r>
                </w:p>
              </w:tc>
            </w:tr>
            <w:tr w14:paraId="55504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Merge w:val="continue"/>
                  <w:vAlign w:val="center"/>
                </w:tcPr>
                <w:p w14:paraId="6D77F2B2">
                  <w:pPr>
                    <w:jc w:val="center"/>
                    <w:rPr>
                      <w:b w:val="0"/>
                      <w:bCs w:val="0"/>
                      <w:color w:val="auto"/>
                      <w:highlight w:val="none"/>
                    </w:rPr>
                  </w:pPr>
                </w:p>
              </w:tc>
              <w:tc>
                <w:tcPr>
                  <w:tcW w:w="1020" w:type="pct"/>
                  <w:vAlign w:val="center"/>
                </w:tcPr>
                <w:p w14:paraId="11E50BE8">
                  <w:pPr>
                    <w:jc w:val="center"/>
                    <w:rPr>
                      <w:b w:val="0"/>
                      <w:bCs w:val="0"/>
                      <w:color w:val="auto"/>
                      <w:highlight w:val="none"/>
                    </w:rPr>
                  </w:pPr>
                  <w:r>
                    <w:rPr>
                      <w:b w:val="0"/>
                      <w:bCs w:val="0"/>
                      <w:color w:val="auto"/>
                      <w:highlight w:val="none"/>
                    </w:rPr>
                    <w:t>个人剂量监测</w:t>
                  </w:r>
                </w:p>
              </w:tc>
              <w:tc>
                <w:tcPr>
                  <w:tcW w:w="3465" w:type="pct"/>
                  <w:vAlign w:val="center"/>
                </w:tcPr>
                <w:p w14:paraId="58BFC1DE">
                  <w:pPr>
                    <w:jc w:val="center"/>
                    <w:rPr>
                      <w:color w:val="auto"/>
                      <w:highlight w:val="none"/>
                    </w:rPr>
                  </w:pPr>
                  <w:r>
                    <w:rPr>
                      <w:color w:val="auto"/>
                      <w:highlight w:val="none"/>
                    </w:rPr>
                    <w:t>拟委托有资质单位进行个人剂量</w:t>
                  </w:r>
                  <w:r>
                    <w:rPr>
                      <w:rFonts w:hint="eastAsia"/>
                      <w:color w:val="auto"/>
                      <w:highlight w:val="none"/>
                    </w:rPr>
                    <w:t>监测</w:t>
                  </w:r>
                  <w:r>
                    <w:rPr>
                      <w:color w:val="auto"/>
                      <w:highlight w:val="none"/>
                    </w:rPr>
                    <w:t>，辐射工作人员需进行个人剂量</w:t>
                  </w:r>
                  <w:r>
                    <w:rPr>
                      <w:rFonts w:hint="eastAsia"/>
                      <w:color w:val="auto"/>
                      <w:highlight w:val="none"/>
                    </w:rPr>
                    <w:t>监测</w:t>
                  </w:r>
                  <w:r>
                    <w:rPr>
                      <w:color w:val="auto"/>
                      <w:highlight w:val="none"/>
                    </w:rPr>
                    <w:t>，</w:t>
                  </w:r>
                  <w:r>
                    <w:rPr>
                      <w:rFonts w:hint="eastAsia"/>
                      <w:color w:val="auto"/>
                      <w:highlight w:val="none"/>
                    </w:rPr>
                    <w:t>监测</w:t>
                  </w:r>
                  <w:r>
                    <w:rPr>
                      <w:color w:val="auto"/>
                      <w:highlight w:val="none"/>
                    </w:rPr>
                    <w:t>周期最长不得超过3个月。</w:t>
                  </w:r>
                </w:p>
              </w:tc>
            </w:tr>
            <w:tr w14:paraId="4D80F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Merge w:val="continue"/>
                  <w:vAlign w:val="center"/>
                </w:tcPr>
                <w:p w14:paraId="786AC161">
                  <w:pPr>
                    <w:jc w:val="center"/>
                    <w:rPr>
                      <w:b w:val="0"/>
                      <w:bCs w:val="0"/>
                      <w:color w:val="auto"/>
                      <w:highlight w:val="none"/>
                    </w:rPr>
                  </w:pPr>
                </w:p>
              </w:tc>
              <w:tc>
                <w:tcPr>
                  <w:tcW w:w="1020" w:type="pct"/>
                  <w:vAlign w:val="center"/>
                </w:tcPr>
                <w:p w14:paraId="143B90DA">
                  <w:pPr>
                    <w:jc w:val="center"/>
                    <w:rPr>
                      <w:b w:val="0"/>
                      <w:bCs w:val="0"/>
                      <w:color w:val="auto"/>
                      <w:highlight w:val="none"/>
                    </w:rPr>
                  </w:pPr>
                  <w:r>
                    <w:rPr>
                      <w:b w:val="0"/>
                      <w:bCs w:val="0"/>
                      <w:color w:val="auto"/>
                      <w:highlight w:val="none"/>
                    </w:rPr>
                    <w:t>人员职业健康</w:t>
                  </w:r>
                </w:p>
                <w:p w14:paraId="69182B65">
                  <w:pPr>
                    <w:jc w:val="center"/>
                    <w:rPr>
                      <w:b w:val="0"/>
                      <w:bCs w:val="0"/>
                      <w:color w:val="auto"/>
                      <w:highlight w:val="none"/>
                    </w:rPr>
                  </w:pPr>
                  <w:r>
                    <w:rPr>
                      <w:b w:val="0"/>
                      <w:bCs w:val="0"/>
                      <w:color w:val="auto"/>
                      <w:highlight w:val="none"/>
                    </w:rPr>
                    <w:t>监护</w:t>
                  </w:r>
                </w:p>
              </w:tc>
              <w:tc>
                <w:tcPr>
                  <w:tcW w:w="3465" w:type="pct"/>
                  <w:vAlign w:val="center"/>
                </w:tcPr>
                <w:p w14:paraId="5E04C800">
                  <w:pPr>
                    <w:jc w:val="center"/>
                    <w:rPr>
                      <w:color w:val="auto"/>
                      <w:highlight w:val="none"/>
                    </w:rPr>
                  </w:pPr>
                  <w:r>
                    <w:rPr>
                      <w:color w:val="auto"/>
                      <w:highlight w:val="none"/>
                    </w:rPr>
                    <w:t>拟配备</w:t>
                  </w:r>
                  <w:r>
                    <w:rPr>
                      <w:rFonts w:hint="eastAsia"/>
                      <w:color w:val="auto"/>
                      <w:highlight w:val="none"/>
                    </w:rPr>
                    <w:t>2</w:t>
                  </w:r>
                  <w:r>
                    <w:rPr>
                      <w:color w:val="auto"/>
                      <w:highlight w:val="none"/>
                    </w:rPr>
                    <w:t>名辐射工作人员需职业健康体检，体检合格方可从事辐射相关工作，相关规定要求两次检查的时间间隔不应超过2年，并建立职业健康档案，人员离岗必须职业健康体检</w:t>
                  </w:r>
                  <w:r>
                    <w:rPr>
                      <w:rFonts w:hint="eastAsia"/>
                      <w:color w:val="auto"/>
                      <w:highlight w:val="none"/>
                    </w:rPr>
                    <w:t>。</w:t>
                  </w:r>
                </w:p>
              </w:tc>
            </w:tr>
            <w:tr w14:paraId="062A0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Merge w:val="restart"/>
                  <w:vAlign w:val="center"/>
                </w:tcPr>
                <w:p w14:paraId="2701E380">
                  <w:pPr>
                    <w:jc w:val="center"/>
                    <w:rPr>
                      <w:color w:val="auto"/>
                      <w:highlight w:val="none"/>
                    </w:rPr>
                  </w:pPr>
                  <w:r>
                    <w:rPr>
                      <w:color w:val="auto"/>
                      <w:highlight w:val="none"/>
                    </w:rPr>
                    <w:t>监测仪器和防护用品</w:t>
                  </w:r>
                </w:p>
              </w:tc>
              <w:tc>
                <w:tcPr>
                  <w:tcW w:w="1020" w:type="pct"/>
                  <w:vAlign w:val="center"/>
                </w:tcPr>
                <w:p w14:paraId="7BB7842A">
                  <w:pPr>
                    <w:jc w:val="center"/>
                    <w:rPr>
                      <w:b w:val="0"/>
                      <w:bCs w:val="0"/>
                      <w:color w:val="auto"/>
                      <w:highlight w:val="none"/>
                    </w:rPr>
                  </w:pPr>
                  <w:r>
                    <w:rPr>
                      <w:b w:val="0"/>
                      <w:bCs w:val="0"/>
                      <w:color w:val="auto"/>
                      <w:highlight w:val="none"/>
                    </w:rPr>
                    <w:t>辐射巡检仪</w:t>
                  </w:r>
                </w:p>
              </w:tc>
              <w:tc>
                <w:tcPr>
                  <w:tcW w:w="3465" w:type="pct"/>
                  <w:vAlign w:val="center"/>
                </w:tcPr>
                <w:p w14:paraId="0F6CDD4A">
                  <w:pPr>
                    <w:jc w:val="center"/>
                    <w:rPr>
                      <w:color w:val="auto"/>
                      <w:highlight w:val="none"/>
                    </w:rPr>
                  </w:pPr>
                  <w:r>
                    <w:rPr>
                      <w:color w:val="auto"/>
                      <w:highlight w:val="none"/>
                    </w:rPr>
                    <w:t>拟配备1台</w:t>
                  </w:r>
                </w:p>
              </w:tc>
            </w:tr>
            <w:tr w14:paraId="54E4A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Merge w:val="continue"/>
                  <w:vAlign w:val="center"/>
                </w:tcPr>
                <w:p w14:paraId="2D28EB64">
                  <w:pPr>
                    <w:jc w:val="center"/>
                    <w:rPr>
                      <w:color w:val="auto"/>
                      <w:highlight w:val="none"/>
                    </w:rPr>
                  </w:pPr>
                </w:p>
              </w:tc>
              <w:tc>
                <w:tcPr>
                  <w:tcW w:w="1020" w:type="pct"/>
                  <w:vAlign w:val="center"/>
                </w:tcPr>
                <w:p w14:paraId="2A58605F">
                  <w:pPr>
                    <w:jc w:val="center"/>
                    <w:rPr>
                      <w:b w:val="0"/>
                      <w:bCs w:val="0"/>
                      <w:color w:val="auto"/>
                      <w:highlight w:val="none"/>
                    </w:rPr>
                  </w:pPr>
                  <w:r>
                    <w:rPr>
                      <w:b w:val="0"/>
                      <w:bCs w:val="0"/>
                      <w:color w:val="auto"/>
                      <w:highlight w:val="none"/>
                    </w:rPr>
                    <w:t>剂量报警仪</w:t>
                  </w:r>
                </w:p>
              </w:tc>
              <w:tc>
                <w:tcPr>
                  <w:tcW w:w="3465" w:type="pct"/>
                  <w:vAlign w:val="center"/>
                </w:tcPr>
                <w:p w14:paraId="151E1AF9">
                  <w:pPr>
                    <w:jc w:val="center"/>
                    <w:rPr>
                      <w:color w:val="auto"/>
                      <w:highlight w:val="none"/>
                    </w:rPr>
                  </w:pPr>
                  <w:r>
                    <w:rPr>
                      <w:color w:val="auto"/>
                      <w:highlight w:val="none"/>
                    </w:rPr>
                    <w:t>拟配备2台</w:t>
                  </w:r>
                </w:p>
              </w:tc>
            </w:tr>
            <w:tr w14:paraId="0B807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Merge w:val="continue"/>
                  <w:vAlign w:val="center"/>
                </w:tcPr>
                <w:p w14:paraId="3812843D">
                  <w:pPr>
                    <w:jc w:val="center"/>
                    <w:rPr>
                      <w:color w:val="auto"/>
                      <w:highlight w:val="none"/>
                    </w:rPr>
                  </w:pPr>
                </w:p>
              </w:tc>
              <w:tc>
                <w:tcPr>
                  <w:tcW w:w="1020" w:type="pct"/>
                  <w:vAlign w:val="center"/>
                </w:tcPr>
                <w:p w14:paraId="2B9263ED">
                  <w:pPr>
                    <w:jc w:val="center"/>
                    <w:rPr>
                      <w:b w:val="0"/>
                      <w:bCs w:val="0"/>
                      <w:color w:val="auto"/>
                      <w:highlight w:val="none"/>
                    </w:rPr>
                  </w:pPr>
                  <w:r>
                    <w:rPr>
                      <w:b w:val="0"/>
                      <w:bCs w:val="0"/>
                      <w:color w:val="auto"/>
                      <w:highlight w:val="none"/>
                    </w:rPr>
                    <w:t>个人剂量片</w:t>
                  </w:r>
                </w:p>
              </w:tc>
              <w:tc>
                <w:tcPr>
                  <w:tcW w:w="3465" w:type="pct"/>
                  <w:vAlign w:val="center"/>
                </w:tcPr>
                <w:p w14:paraId="1D8C8B9C">
                  <w:pPr>
                    <w:jc w:val="center"/>
                    <w:rPr>
                      <w:color w:val="auto"/>
                      <w:highlight w:val="none"/>
                    </w:rPr>
                  </w:pPr>
                  <w:r>
                    <w:rPr>
                      <w:color w:val="auto"/>
                      <w:highlight w:val="none"/>
                    </w:rPr>
                    <w:t>拟配备2个</w:t>
                  </w:r>
                </w:p>
              </w:tc>
            </w:tr>
            <w:tr w14:paraId="77FDC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Merge w:val="continue"/>
                  <w:vAlign w:val="center"/>
                </w:tcPr>
                <w:p w14:paraId="33EDA931">
                  <w:pPr>
                    <w:jc w:val="center"/>
                    <w:rPr>
                      <w:color w:val="auto"/>
                      <w:highlight w:val="none"/>
                    </w:rPr>
                  </w:pPr>
                </w:p>
              </w:tc>
              <w:tc>
                <w:tcPr>
                  <w:tcW w:w="1020" w:type="pct"/>
                  <w:vAlign w:val="center"/>
                </w:tcPr>
                <w:p w14:paraId="0BBD522B">
                  <w:pPr>
                    <w:jc w:val="center"/>
                    <w:rPr>
                      <w:color w:val="auto"/>
                      <w:highlight w:val="none"/>
                    </w:rPr>
                  </w:pPr>
                  <w:r>
                    <w:rPr>
                      <w:color w:val="auto"/>
                      <w:highlight w:val="none"/>
                    </w:rPr>
                    <w:t>固定式场所辐射探测报警装置</w:t>
                  </w:r>
                </w:p>
              </w:tc>
              <w:tc>
                <w:tcPr>
                  <w:tcW w:w="3465" w:type="pct"/>
                  <w:vAlign w:val="center"/>
                </w:tcPr>
                <w:p w14:paraId="2DC20E08">
                  <w:pPr>
                    <w:jc w:val="center"/>
                    <w:rPr>
                      <w:color w:val="auto"/>
                      <w:highlight w:val="none"/>
                    </w:rPr>
                  </w:pPr>
                  <w:r>
                    <w:rPr>
                      <w:color w:val="auto"/>
                      <w:highlight w:val="none"/>
                    </w:rPr>
                    <w:t>拟配备1台</w:t>
                  </w:r>
                </w:p>
              </w:tc>
            </w:tr>
            <w:tr w14:paraId="13982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14:paraId="0271D1A5">
                  <w:pPr>
                    <w:jc w:val="center"/>
                    <w:rPr>
                      <w:color w:val="auto"/>
                      <w:highlight w:val="none"/>
                    </w:rPr>
                  </w:pPr>
                  <w:r>
                    <w:rPr>
                      <w:color w:val="auto"/>
                      <w:highlight w:val="none"/>
                    </w:rPr>
                    <w:t>洗片废</w:t>
                  </w:r>
                  <w:r>
                    <w:rPr>
                      <w:rFonts w:hint="eastAsia"/>
                      <w:color w:val="auto"/>
                      <w:highlight w:val="none"/>
                      <w:lang w:val="en-US" w:eastAsia="zh-CN"/>
                    </w:rPr>
                    <w:t>液</w:t>
                  </w:r>
                  <w:r>
                    <w:rPr>
                      <w:color w:val="auto"/>
                      <w:highlight w:val="none"/>
                    </w:rPr>
                    <w:t>及废胶片</w:t>
                  </w:r>
                </w:p>
              </w:tc>
              <w:tc>
                <w:tcPr>
                  <w:tcW w:w="1020" w:type="pct"/>
                  <w:vAlign w:val="center"/>
                </w:tcPr>
                <w:p w14:paraId="54468B06">
                  <w:pPr>
                    <w:jc w:val="center"/>
                    <w:rPr>
                      <w:color w:val="auto"/>
                      <w:highlight w:val="none"/>
                    </w:rPr>
                  </w:pPr>
                  <w:r>
                    <w:rPr>
                      <w:color w:val="auto"/>
                      <w:highlight w:val="none"/>
                    </w:rPr>
                    <w:t>规范暂存，满足一定量后委托有资质单位进行处置</w:t>
                  </w:r>
                </w:p>
              </w:tc>
              <w:tc>
                <w:tcPr>
                  <w:tcW w:w="3465" w:type="pct"/>
                  <w:vAlign w:val="center"/>
                </w:tcPr>
                <w:p w14:paraId="16F71F9C">
                  <w:pPr>
                    <w:jc w:val="center"/>
                    <w:rPr>
                      <w:color w:val="auto"/>
                      <w:highlight w:val="none"/>
                    </w:rPr>
                  </w:pPr>
                  <w:r>
                    <w:rPr>
                      <w:rFonts w:hint="eastAsia"/>
                      <w:color w:val="auto"/>
                      <w:highlight w:val="none"/>
                      <w:lang w:val="en-US" w:eastAsia="zh-CN"/>
                    </w:rPr>
                    <w:t xml:space="preserve">项目运行期间的洗片废水、废显影液和废定影液以及废胶片均属于《国家危险废物名录》中 </w:t>
                  </w:r>
                  <w:r>
                    <w:rPr>
                      <w:rFonts w:hint="default"/>
                      <w:color w:val="auto"/>
                      <w:highlight w:val="none"/>
                      <w:lang w:val="en-US" w:eastAsia="zh-CN"/>
                    </w:rPr>
                    <w:t>HW16</w:t>
                  </w:r>
                  <w:r>
                    <w:rPr>
                      <w:rFonts w:hint="eastAsia"/>
                      <w:color w:val="auto"/>
                      <w:highlight w:val="none"/>
                      <w:lang w:val="en-US" w:eastAsia="zh-CN"/>
                    </w:rPr>
                    <w:t>：900-019-16感光材料废物，洗片废水中含有少量的</w:t>
                  </w:r>
                  <w:r>
                    <w:rPr>
                      <w:rFonts w:hint="default"/>
                      <w:color w:val="auto"/>
                      <w:highlight w:val="none"/>
                      <w:lang w:val="en-US" w:eastAsia="zh-CN"/>
                    </w:rPr>
                    <w:t>AgBr</w:t>
                  </w:r>
                  <w:r>
                    <w:rPr>
                      <w:rFonts w:hint="eastAsia"/>
                      <w:color w:val="auto"/>
                      <w:highlight w:val="none"/>
                      <w:lang w:val="en-US" w:eastAsia="zh-CN"/>
                    </w:rPr>
                    <w:t>、显影剂及氧化物，洗片废水参照危废处理。项目产生的危险废物依托厂区危险废物储存间暂存后，定期由有资质的单位进行处置。</w:t>
                  </w:r>
                </w:p>
              </w:tc>
            </w:tr>
            <w:tr w14:paraId="371B1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14:paraId="0C425274">
                  <w:pPr>
                    <w:jc w:val="center"/>
                    <w:rPr>
                      <w:color w:val="auto"/>
                      <w:highlight w:val="none"/>
                    </w:rPr>
                  </w:pPr>
                  <w:r>
                    <w:rPr>
                      <w:color w:val="auto"/>
                      <w:highlight w:val="none"/>
                    </w:rPr>
                    <w:t>辐射安全管理制度</w:t>
                  </w:r>
                </w:p>
              </w:tc>
              <w:tc>
                <w:tcPr>
                  <w:tcW w:w="1020" w:type="pct"/>
                  <w:vAlign w:val="center"/>
                </w:tcPr>
                <w:p w14:paraId="07C6CEF8">
                  <w:pPr>
                    <w:jc w:val="center"/>
                    <w:rPr>
                      <w:color w:val="auto"/>
                      <w:highlight w:val="none"/>
                    </w:rPr>
                  </w:pPr>
                  <w:r>
                    <w:rPr>
                      <w:color w:val="auto"/>
                      <w:highlight w:val="none"/>
                    </w:rPr>
                    <w:t>操作规程，岗位职责，辐射防护和安全保卫制度，设备检修维护制度，射线装置使用登记、 台帐管理制度，人员培训计划，监测方案，辐射事故应急措施</w:t>
                  </w:r>
                </w:p>
              </w:tc>
              <w:tc>
                <w:tcPr>
                  <w:tcW w:w="3465" w:type="pct"/>
                  <w:vAlign w:val="center"/>
                </w:tcPr>
                <w:p w14:paraId="5A78E6BA">
                  <w:pPr>
                    <w:jc w:val="center"/>
                    <w:rPr>
                      <w:color w:val="auto"/>
                      <w:highlight w:val="none"/>
                    </w:rPr>
                  </w:pPr>
                  <w:r>
                    <w:rPr>
                      <w:rFonts w:hint="eastAsia"/>
                      <w:color w:val="auto"/>
                      <w:highlight w:val="none"/>
                    </w:rPr>
                    <w:t>已制定了</w:t>
                  </w:r>
                  <w:r>
                    <w:rPr>
                      <w:color w:val="auto"/>
                      <w:highlight w:val="none"/>
                      <w:lang w:val="zh-CN"/>
                    </w:rPr>
                    <w:t>《</w:t>
                  </w:r>
                  <w:r>
                    <w:rPr>
                      <w:rFonts w:hint="eastAsia"/>
                      <w:color w:val="auto"/>
                      <w:highlight w:val="none"/>
                      <w:lang w:val="zh-CN"/>
                    </w:rPr>
                    <w:t>辐射防护和安全保卫制度</w:t>
                  </w:r>
                  <w:r>
                    <w:rPr>
                      <w:color w:val="auto"/>
                      <w:highlight w:val="none"/>
                      <w:lang w:val="zh-CN"/>
                    </w:rPr>
                    <w:t>》《</w:t>
                  </w:r>
                  <w:r>
                    <w:rPr>
                      <w:rFonts w:hint="eastAsia"/>
                      <w:color w:val="auto"/>
                      <w:highlight w:val="none"/>
                      <w:lang w:val="zh-CN"/>
                    </w:rPr>
                    <w:t>辐射工作人员管理制度</w:t>
                  </w:r>
                  <w:r>
                    <w:rPr>
                      <w:color w:val="auto"/>
                      <w:highlight w:val="none"/>
                      <w:lang w:val="zh-CN"/>
                    </w:rPr>
                    <w:t>》《</w:t>
                  </w:r>
                  <w:r>
                    <w:rPr>
                      <w:rFonts w:hint="eastAsia"/>
                      <w:color w:val="auto"/>
                      <w:highlight w:val="none"/>
                      <w:lang w:val="zh-CN"/>
                    </w:rPr>
                    <w:t>辐射工作人员岗位职责</w:t>
                  </w:r>
                  <w:r>
                    <w:rPr>
                      <w:color w:val="auto"/>
                      <w:highlight w:val="none"/>
                      <w:lang w:val="zh-CN"/>
                    </w:rPr>
                    <w:t>》《</w:t>
                  </w:r>
                  <w:r>
                    <w:rPr>
                      <w:rFonts w:hint="eastAsia"/>
                      <w:color w:val="auto"/>
                      <w:highlight w:val="none"/>
                      <w:lang w:val="zh-CN"/>
                    </w:rPr>
                    <w:t>设备检修、维护制度</w:t>
                  </w:r>
                  <w:r>
                    <w:rPr>
                      <w:color w:val="auto"/>
                      <w:highlight w:val="none"/>
                      <w:lang w:val="zh-CN"/>
                    </w:rPr>
                    <w:t>》</w:t>
                  </w:r>
                  <w:r>
                    <w:rPr>
                      <w:rFonts w:hint="eastAsia"/>
                      <w:color w:val="auto"/>
                      <w:highlight w:val="none"/>
                      <w:lang w:val="zh-CN"/>
                    </w:rPr>
                    <w:t>《X射线探伤安全操作规程》《辐射安全防护自行检查和评估制度》《射线装置使用登记、台帐管理制度》《辐射环境监测方案》</w:t>
                  </w:r>
                  <w:r>
                    <w:rPr>
                      <w:color w:val="auto"/>
                      <w:highlight w:val="none"/>
                      <w:lang w:val="zh-CN"/>
                    </w:rPr>
                    <w:t>《</w:t>
                  </w:r>
                  <w:r>
                    <w:rPr>
                      <w:rFonts w:hint="eastAsia"/>
                      <w:color w:val="auto"/>
                      <w:highlight w:val="none"/>
                      <w:lang w:eastAsia="zh-CN"/>
                    </w:rPr>
                    <w:t>安徽泓济环境科技有限公司</w:t>
                  </w:r>
                  <w:r>
                    <w:rPr>
                      <w:rFonts w:hint="eastAsia"/>
                      <w:color w:val="auto"/>
                      <w:highlight w:val="none"/>
                      <w:lang w:val="zh-CN"/>
                    </w:rPr>
                    <w:t>辐射事故应急预案</w:t>
                  </w:r>
                  <w:r>
                    <w:rPr>
                      <w:color w:val="auto"/>
                      <w:highlight w:val="none"/>
                      <w:lang w:val="zh-CN"/>
                    </w:rPr>
                    <w:t>》</w:t>
                  </w:r>
                  <w:r>
                    <w:rPr>
                      <w:color w:val="auto"/>
                      <w:highlight w:val="none"/>
                    </w:rPr>
                    <w:t>等一系列规章制度， 在该项目投入使用情况及实际遇到问题及时修订制度，使其具有实际操作性和可行性。</w:t>
                  </w:r>
                </w:p>
              </w:tc>
            </w:tr>
          </w:tbl>
          <w:p w14:paraId="353E8A26">
            <w:pPr>
              <w:snapToGrid w:val="0"/>
              <w:jc w:val="center"/>
              <w:rPr>
                <w:b/>
                <w:color w:val="auto"/>
                <w:szCs w:val="21"/>
                <w:highlight w:val="none"/>
              </w:rPr>
            </w:pPr>
            <w:r>
              <w:rPr>
                <w:color w:val="auto"/>
              </w:rPr>
              <w:drawing>
                <wp:inline distT="0" distB="0" distL="114300" distR="114300">
                  <wp:extent cx="5269865" cy="4095750"/>
                  <wp:effectExtent l="9525" t="9525" r="16510" b="9525"/>
                  <wp:docPr id="17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9"/>
                          <pic:cNvPicPr>
                            <a:picLocks noChangeAspect="1"/>
                          </pic:cNvPicPr>
                        </pic:nvPicPr>
                        <pic:blipFill>
                          <a:blip r:embed="rId39">
                            <a:lum bright="24000"/>
                          </a:blip>
                          <a:stretch>
                            <a:fillRect/>
                          </a:stretch>
                        </pic:blipFill>
                        <pic:spPr>
                          <a:xfrm>
                            <a:off x="0" y="0"/>
                            <a:ext cx="5269865" cy="4095750"/>
                          </a:xfrm>
                          <a:prstGeom prst="rect">
                            <a:avLst/>
                          </a:prstGeom>
                          <a:noFill/>
                          <a:ln>
                            <a:solidFill>
                              <a:schemeClr val="tx1"/>
                            </a:solidFill>
                          </a:ln>
                        </pic:spPr>
                      </pic:pic>
                    </a:graphicData>
                  </a:graphic>
                </wp:inline>
              </w:drawing>
            </w:r>
            <w:r>
              <w:rPr>
                <w:color w:val="auto"/>
                <w:sz w:val="21"/>
              </w:rPr>
              <mc:AlternateContent>
                <mc:Choice Requires="wps">
                  <w:drawing>
                    <wp:anchor distT="0" distB="0" distL="114300" distR="114300" simplePos="0" relativeHeight="251842560" behindDoc="0" locked="0" layoutInCell="1" allowOverlap="1">
                      <wp:simplePos x="0" y="0"/>
                      <wp:positionH relativeFrom="column">
                        <wp:posOffset>1851660</wp:posOffset>
                      </wp:positionH>
                      <wp:positionV relativeFrom="paragraph">
                        <wp:posOffset>1083310</wp:posOffset>
                      </wp:positionV>
                      <wp:extent cx="729615" cy="279400"/>
                      <wp:effectExtent l="0" t="0" r="0" b="0"/>
                      <wp:wrapNone/>
                      <wp:docPr id="256" name="矩形 256"/>
                      <wp:cNvGraphicFramePr/>
                      <a:graphic xmlns:a="http://schemas.openxmlformats.org/drawingml/2006/main">
                        <a:graphicData uri="http://schemas.microsoft.com/office/word/2010/wordprocessingShape">
                          <wps:wsp>
                            <wps:cNvSpPr/>
                            <wps:spPr>
                              <a:xfrm>
                                <a:off x="0" y="0"/>
                                <a:ext cx="729615" cy="2794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3027BB1">
                                  <w:pPr>
                                    <w:jc w:val="center"/>
                                    <w:rPr>
                                      <w:rFonts w:hint="default" w:eastAsia="宋体"/>
                                      <w:b/>
                                      <w:bCs/>
                                      <w:color w:val="FF0000"/>
                                      <w:sz w:val="15"/>
                                      <w:szCs w:val="13"/>
                                      <w:lang w:val="en-US" w:eastAsia="zh-CN"/>
                                    </w:rPr>
                                  </w:pPr>
                                  <w:r>
                                    <w:rPr>
                                      <w:rFonts w:hint="eastAsia"/>
                                      <w:b/>
                                      <w:bCs/>
                                      <w:color w:val="FF0000"/>
                                      <w:sz w:val="15"/>
                                      <w:szCs w:val="13"/>
                                      <w:lang w:val="en-US" w:eastAsia="zh-CN"/>
                                    </w:rPr>
                                    <w:t>线束孔</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5.8pt;margin-top:85.3pt;height:22pt;width:57.45pt;z-index:251842560;v-text-anchor:middle;mso-width-relative:page;mso-height-relative:page;" filled="f" stroked="f" coordsize="21600,21600" o:gfxdata="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E+P2k9cAAAALAQAADwAAAAAAAAABACAAAAAiAAAAZHJzL2Rvd25yZXYueG1sUEsBAhQAFAAA&#10;AAgAh07iQMKR1DdiAgAAsAQAAA4AAAAAAAAAAQAgAAAAJgEAAGRycy9lMm9Eb2MueG1sUEsFBgAA&#10;AAAGAAYAWQEAAPoFAAAAAA==&#10;">
                      <v:fill on="f" focussize="0,0"/>
                      <v:stroke on="f" weight="1pt" miterlimit="8" joinstyle="miter"/>
                      <v:imagedata o:title=""/>
                      <o:lock v:ext="edit" aspectratio="f"/>
                      <v:textbox>
                        <w:txbxContent>
                          <w:p w14:paraId="33027BB1">
                            <w:pPr>
                              <w:jc w:val="center"/>
                              <w:rPr>
                                <w:rFonts w:hint="default" w:eastAsia="宋体"/>
                                <w:b/>
                                <w:bCs/>
                                <w:color w:val="FF0000"/>
                                <w:sz w:val="15"/>
                                <w:szCs w:val="13"/>
                                <w:lang w:val="en-US" w:eastAsia="zh-CN"/>
                              </w:rPr>
                            </w:pPr>
                            <w:r>
                              <w:rPr>
                                <w:rFonts w:hint="eastAsia"/>
                                <w:b/>
                                <w:bCs/>
                                <w:color w:val="FF0000"/>
                                <w:sz w:val="15"/>
                                <w:szCs w:val="13"/>
                                <w:lang w:val="en-US" w:eastAsia="zh-CN"/>
                              </w:rPr>
                              <w:t>线束孔</w:t>
                            </w:r>
                          </w:p>
                        </w:txbxContent>
                      </v:textbox>
                    </v:rect>
                  </w:pict>
                </mc:Fallback>
              </mc:AlternateContent>
            </w:r>
            <w:r>
              <w:rPr>
                <w:color w:val="auto"/>
                <w:sz w:val="21"/>
              </w:rPr>
              <mc:AlternateContent>
                <mc:Choice Requires="wps">
                  <w:drawing>
                    <wp:anchor distT="0" distB="0" distL="114300" distR="114300" simplePos="0" relativeHeight="251822080" behindDoc="0" locked="0" layoutInCell="1" allowOverlap="1">
                      <wp:simplePos x="0" y="0"/>
                      <wp:positionH relativeFrom="column">
                        <wp:posOffset>2234565</wp:posOffset>
                      </wp:positionH>
                      <wp:positionV relativeFrom="paragraph">
                        <wp:posOffset>1042670</wp:posOffset>
                      </wp:positionV>
                      <wp:extent cx="114300" cy="104775"/>
                      <wp:effectExtent l="6350" t="6350" r="12700" b="22225"/>
                      <wp:wrapNone/>
                      <wp:docPr id="17" name="椭圆 17"/>
                      <wp:cNvGraphicFramePr/>
                      <a:graphic xmlns:a="http://schemas.openxmlformats.org/drawingml/2006/main">
                        <a:graphicData uri="http://schemas.microsoft.com/office/word/2010/wordprocessingShape">
                          <wps:wsp>
                            <wps:cNvSpPr/>
                            <wps:spPr>
                              <a:xfrm>
                                <a:off x="0" y="0"/>
                                <a:ext cx="114300" cy="10477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5.95pt;margin-top:82.1pt;height:8.25pt;width:9pt;z-index:251822080;v-text-anchor:middle;mso-width-relative:page;mso-height-relative:page;" fillcolor="#FF0000" filled="t" stroked="t" coordsize="21600,21600" o:gfxdata="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09FgLWAAAACwEAAA8AAAAAAAAAAQAgAAAAIgAAAGRycy9kb3ducmV2Lnht&#10;bFBLAQIUABQAAAAIAIdO4kAfiOSEbQIAAPgEAAAOAAAAAAAAAAEAIAAAACUBAABkcnMvZTJvRG9j&#10;LnhtbFBLBQYAAAAABgAGAFkBAAAEBgAAAAA=&#10;">
                      <v:fill on="t" focussize="0,0"/>
                      <v:stroke weight="1pt" color="#FF0000 [24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841536" behindDoc="0" locked="0" layoutInCell="1" allowOverlap="1">
                      <wp:simplePos x="0" y="0"/>
                      <wp:positionH relativeFrom="column">
                        <wp:posOffset>1663700</wp:posOffset>
                      </wp:positionH>
                      <wp:positionV relativeFrom="paragraph">
                        <wp:posOffset>399415</wp:posOffset>
                      </wp:positionV>
                      <wp:extent cx="729615" cy="279400"/>
                      <wp:effectExtent l="0" t="0" r="0" b="0"/>
                      <wp:wrapNone/>
                      <wp:docPr id="255" name="矩形 255"/>
                      <wp:cNvGraphicFramePr/>
                      <a:graphic xmlns:a="http://schemas.openxmlformats.org/drawingml/2006/main">
                        <a:graphicData uri="http://schemas.microsoft.com/office/word/2010/wordprocessingShape">
                          <wps:wsp>
                            <wps:cNvSpPr/>
                            <wps:spPr>
                              <a:xfrm>
                                <a:off x="2743200" y="4348480"/>
                                <a:ext cx="729615" cy="2794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21F1560">
                                  <w:pPr>
                                    <w:jc w:val="center"/>
                                    <w:rPr>
                                      <w:rFonts w:hint="default" w:eastAsia="宋体"/>
                                      <w:b/>
                                      <w:bCs/>
                                      <w:color w:val="FF0000"/>
                                      <w:sz w:val="15"/>
                                      <w:szCs w:val="13"/>
                                      <w:lang w:val="en-US" w:eastAsia="zh-CN"/>
                                    </w:rPr>
                                  </w:pPr>
                                  <w:r>
                                    <w:rPr>
                                      <w:rFonts w:hint="eastAsia"/>
                                      <w:b/>
                                      <w:bCs/>
                                      <w:color w:val="FF0000"/>
                                      <w:sz w:val="15"/>
                                      <w:szCs w:val="13"/>
                                      <w:lang w:val="en-US" w:eastAsia="zh-CN"/>
                                    </w:rPr>
                                    <w:t>排风口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1pt;margin-top:31.45pt;height:22pt;width:57.45pt;z-index:251841536;v-text-anchor:middle;mso-width-relative:page;mso-height-relative:page;" filled="f" stroked="f" coordsize="21600,21600" o:gfxdata="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sdPpvXAAAACgEAAA8AAAAAAAAAAQAgAAAAIgAAAGRycy9kb3ducmV2Lnht&#10;bFBLAQIUABQAAAAIAIdO4kC7YBRRbAIAALwEAAAOAAAAAAAAAAEAIAAAACYBAABkcnMvZTJvRG9j&#10;LnhtbFBLBQYAAAAABgAGAFkBAAAEBgAAAAA=&#10;">
                      <v:fill on="f" focussize="0,0"/>
                      <v:stroke on="f" weight="1pt" miterlimit="8" joinstyle="miter"/>
                      <v:imagedata o:title=""/>
                      <o:lock v:ext="edit" aspectratio="f"/>
                      <v:textbox>
                        <w:txbxContent>
                          <w:p w14:paraId="721F1560">
                            <w:pPr>
                              <w:jc w:val="center"/>
                              <w:rPr>
                                <w:rFonts w:hint="default" w:eastAsia="宋体"/>
                                <w:b/>
                                <w:bCs/>
                                <w:color w:val="FF0000"/>
                                <w:sz w:val="15"/>
                                <w:szCs w:val="13"/>
                                <w:lang w:val="en-US" w:eastAsia="zh-CN"/>
                              </w:rPr>
                            </w:pPr>
                            <w:r>
                              <w:rPr>
                                <w:rFonts w:hint="eastAsia"/>
                                <w:b/>
                                <w:bCs/>
                                <w:color w:val="FF0000"/>
                                <w:sz w:val="15"/>
                                <w:szCs w:val="13"/>
                                <w:lang w:val="en-US" w:eastAsia="zh-CN"/>
                              </w:rPr>
                              <w:t>排风口</w:t>
                            </w:r>
                          </w:p>
                        </w:txbxContent>
                      </v:textbox>
                    </v:rect>
                  </w:pict>
                </mc:Fallback>
              </mc:AlternateContent>
            </w:r>
            <w:r>
              <w:rPr>
                <w:color w:val="auto"/>
                <w:sz w:val="21"/>
              </w:rPr>
              <mc:AlternateContent>
                <mc:Choice Requires="wps">
                  <w:drawing>
                    <wp:anchor distT="0" distB="0" distL="114300" distR="114300" simplePos="0" relativeHeight="251821056" behindDoc="0" locked="0" layoutInCell="1" allowOverlap="1">
                      <wp:simplePos x="0" y="0"/>
                      <wp:positionH relativeFrom="column">
                        <wp:posOffset>2211070</wp:posOffset>
                      </wp:positionH>
                      <wp:positionV relativeFrom="paragraph">
                        <wp:posOffset>493395</wp:posOffset>
                      </wp:positionV>
                      <wp:extent cx="114300" cy="104775"/>
                      <wp:effectExtent l="6350" t="6350" r="12700" b="22225"/>
                      <wp:wrapNone/>
                      <wp:docPr id="15" name="椭圆 15"/>
                      <wp:cNvGraphicFramePr/>
                      <a:graphic xmlns:a="http://schemas.openxmlformats.org/drawingml/2006/main">
                        <a:graphicData uri="http://schemas.microsoft.com/office/word/2010/wordprocessingShape">
                          <wps:wsp>
                            <wps:cNvSpPr/>
                            <wps:spPr>
                              <a:xfrm>
                                <a:off x="3354070" y="5170170"/>
                                <a:ext cx="114300" cy="10477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4.1pt;margin-top:38.85pt;height:8.25pt;width:9pt;z-index:251821056;v-text-anchor:middle;mso-width-relative:page;mso-height-relative:page;" fillcolor="#FF0000" filled="t" stroked="t" coordsize="21600,21600" o:gfxdata="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&#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IWTtC1gAAAAkBAAAPAAAAAAAAAAEAIAAAACIAAABk&#10;cnMvZG93bnJldi54bWxQSwECFAAUAAAACACHTuJAwz/sInoCAAAEBQAADgAAAAAAAAABACAAAAAl&#10;AQAAZHJzL2Uyb0RvYy54bWxQSwUGAAAAAAYABgBZAQAAEQYAAAAA&#10;">
                      <v:fill on="t" focussize="0,0"/>
                      <v:stroke weight="1pt" color="#FF0000 [2404]" miterlimit="8" joinstyle="miter"/>
                      <v:imagedata o:title=""/>
                      <o:lock v:ext="edit" aspectratio="f"/>
                    </v:shape>
                  </w:pict>
                </mc:Fallback>
              </mc:AlternateContent>
            </w:r>
            <w:r>
              <w:rPr>
                <w:color w:val="auto"/>
              </w:rPr>
              <w:drawing>
                <wp:anchor distT="0" distB="0" distL="114300" distR="114300" simplePos="0" relativeHeight="251721728" behindDoc="0" locked="0" layoutInCell="1" allowOverlap="1">
                  <wp:simplePos x="0" y="0"/>
                  <wp:positionH relativeFrom="column">
                    <wp:posOffset>1357630</wp:posOffset>
                  </wp:positionH>
                  <wp:positionV relativeFrom="paragraph">
                    <wp:posOffset>3638550</wp:posOffset>
                  </wp:positionV>
                  <wp:extent cx="180975" cy="140335"/>
                  <wp:effectExtent l="0" t="0" r="9525" b="12065"/>
                  <wp:wrapNone/>
                  <wp:docPr id="18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3"/>
                          <pic:cNvPicPr>
                            <a:picLocks noChangeAspect="1"/>
                          </pic:cNvPicPr>
                        </pic:nvPicPr>
                        <pic:blipFill>
                          <a:blip r:embed="rId43"/>
                          <a:stretch>
                            <a:fillRect/>
                          </a:stretch>
                        </pic:blipFill>
                        <pic:spPr>
                          <a:xfrm>
                            <a:off x="0" y="0"/>
                            <a:ext cx="180975" cy="140335"/>
                          </a:xfrm>
                          <a:prstGeom prst="rect">
                            <a:avLst/>
                          </a:prstGeom>
                          <a:noFill/>
                          <a:ln>
                            <a:noFill/>
                          </a:ln>
                        </pic:spPr>
                      </pic:pic>
                    </a:graphicData>
                  </a:graphic>
                </wp:anchor>
              </w:drawing>
            </w:r>
            <w:r>
              <w:rPr>
                <w:color w:val="auto"/>
              </w:rPr>
              <w:drawing>
                <wp:anchor distT="0" distB="0" distL="114300" distR="114300" simplePos="0" relativeHeight="251720704" behindDoc="0" locked="0" layoutInCell="1" allowOverlap="1">
                  <wp:simplePos x="0" y="0"/>
                  <wp:positionH relativeFrom="column">
                    <wp:posOffset>1127125</wp:posOffset>
                  </wp:positionH>
                  <wp:positionV relativeFrom="paragraph">
                    <wp:posOffset>3640455</wp:posOffset>
                  </wp:positionV>
                  <wp:extent cx="177165" cy="152400"/>
                  <wp:effectExtent l="0" t="0" r="13335" b="0"/>
                  <wp:wrapNone/>
                  <wp:docPr id="18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42"/>
                          <pic:cNvPicPr>
                            <a:picLocks noChangeAspect="1"/>
                          </pic:cNvPicPr>
                        </pic:nvPicPr>
                        <pic:blipFill>
                          <a:blip r:embed="rId44"/>
                          <a:stretch>
                            <a:fillRect/>
                          </a:stretch>
                        </pic:blipFill>
                        <pic:spPr>
                          <a:xfrm>
                            <a:off x="0" y="0"/>
                            <a:ext cx="177165" cy="152400"/>
                          </a:xfrm>
                          <a:prstGeom prst="rect">
                            <a:avLst/>
                          </a:prstGeom>
                          <a:noFill/>
                          <a:ln>
                            <a:noFill/>
                          </a:ln>
                        </pic:spPr>
                      </pic:pic>
                    </a:graphicData>
                  </a:graphic>
                </wp:anchor>
              </w:drawing>
            </w:r>
            <w:r>
              <w:rPr>
                <w:color w:val="auto"/>
              </w:rPr>
              <w:drawing>
                <wp:anchor distT="0" distB="0" distL="114300" distR="114300" simplePos="0" relativeHeight="251729920" behindDoc="0" locked="0" layoutInCell="1" allowOverlap="1">
                  <wp:simplePos x="0" y="0"/>
                  <wp:positionH relativeFrom="column">
                    <wp:posOffset>447040</wp:posOffset>
                  </wp:positionH>
                  <wp:positionV relativeFrom="paragraph">
                    <wp:posOffset>3645535</wp:posOffset>
                  </wp:positionV>
                  <wp:extent cx="152400" cy="153670"/>
                  <wp:effectExtent l="0" t="0" r="0" b="17780"/>
                  <wp:wrapNone/>
                  <wp:docPr id="19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1"/>
                          <pic:cNvPicPr>
                            <a:picLocks noChangeAspect="1"/>
                          </pic:cNvPicPr>
                        </pic:nvPicPr>
                        <pic:blipFill>
                          <a:blip r:embed="rId45"/>
                          <a:stretch>
                            <a:fillRect/>
                          </a:stretch>
                        </pic:blipFill>
                        <pic:spPr>
                          <a:xfrm rot="10800000">
                            <a:off x="0" y="0"/>
                            <a:ext cx="152400" cy="153670"/>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728896" behindDoc="0" locked="0" layoutInCell="1" allowOverlap="1">
                      <wp:simplePos x="0" y="0"/>
                      <wp:positionH relativeFrom="column">
                        <wp:posOffset>4179570</wp:posOffset>
                      </wp:positionH>
                      <wp:positionV relativeFrom="paragraph">
                        <wp:posOffset>429895</wp:posOffset>
                      </wp:positionV>
                      <wp:extent cx="109855" cy="117475"/>
                      <wp:effectExtent l="6350" t="6350" r="17145" b="9525"/>
                      <wp:wrapNone/>
                      <wp:docPr id="195" name="椭圆 195"/>
                      <wp:cNvGraphicFramePr/>
                      <a:graphic xmlns:a="http://schemas.openxmlformats.org/drawingml/2006/main">
                        <a:graphicData uri="http://schemas.microsoft.com/office/word/2010/wordprocessingShape">
                          <wps:wsp>
                            <wps:cNvSpPr/>
                            <wps:spPr>
                              <a:xfrm>
                                <a:off x="5315585" y="3326130"/>
                                <a:ext cx="109855" cy="117475"/>
                              </a:xfrm>
                              <a:prstGeom prst="ellipse">
                                <a:avLst/>
                              </a:prstGeom>
                              <a:solidFill>
                                <a:schemeClr val="bg1">
                                  <a:lumMod val="95000"/>
                                </a:scheme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9.1pt;margin-top:33.85pt;height:9.25pt;width:8.65pt;z-index:251728896;v-text-anchor:middle;mso-width-relative:page;mso-height-relative:page;" fillcolor="#F2F2F2 [3052]" filled="t" stroked="t" coordsize="21600,21600" o:gfxdata="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f2zgp9oA&#10;AAAJAQAADwAAAAAAAAABACAAAAAiAAAAZHJzL2Rvd25yZXYueG1sUEsBAhQAFAAAAAgAh07iQIBd&#10;9PuPAgAAKAUAAA4AAAAAAAAAAQAgAAAAKQEAAGRycy9lMm9Eb2MueG1sUEsFBgAAAAAGAAYAWQEA&#10;ACoGAAAAAA==&#10;">
                      <v:fill on="t" focussize="0,0"/>
                      <v:stroke weight="1pt" color="#000000 [3213]" miterlimit="8" joinstyle="miter"/>
                      <v:imagedata o:title=""/>
                      <o:lock v:ext="edit" aspectratio="f"/>
                    </v:shape>
                  </w:pict>
                </mc:Fallback>
              </mc:AlternateContent>
            </w:r>
            <w:r>
              <w:rPr>
                <w:color w:val="auto"/>
              </w:rPr>
              <w:drawing>
                <wp:anchor distT="0" distB="0" distL="114300" distR="114300" simplePos="0" relativeHeight="251713536" behindDoc="0" locked="0" layoutInCell="1" allowOverlap="1">
                  <wp:simplePos x="0" y="0"/>
                  <wp:positionH relativeFrom="column">
                    <wp:posOffset>4392930</wp:posOffset>
                  </wp:positionH>
                  <wp:positionV relativeFrom="paragraph">
                    <wp:posOffset>1685925</wp:posOffset>
                  </wp:positionV>
                  <wp:extent cx="883285" cy="1150620"/>
                  <wp:effectExtent l="0" t="0" r="12065" b="11430"/>
                  <wp:wrapNone/>
                  <wp:docPr id="17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0"/>
                          <pic:cNvPicPr>
                            <a:picLocks noChangeAspect="1"/>
                          </pic:cNvPicPr>
                        </pic:nvPicPr>
                        <pic:blipFill>
                          <a:blip r:embed="rId46"/>
                          <a:stretch>
                            <a:fillRect/>
                          </a:stretch>
                        </pic:blipFill>
                        <pic:spPr>
                          <a:xfrm>
                            <a:off x="0" y="0"/>
                            <a:ext cx="883285" cy="1150620"/>
                          </a:xfrm>
                          <a:prstGeom prst="rect">
                            <a:avLst/>
                          </a:prstGeom>
                          <a:noFill/>
                          <a:ln>
                            <a:noFill/>
                          </a:ln>
                        </pic:spPr>
                      </pic:pic>
                    </a:graphicData>
                  </a:graphic>
                </wp:anchor>
              </w:drawing>
            </w:r>
            <w:r>
              <w:rPr>
                <w:color w:val="auto"/>
              </w:rPr>
              <w:drawing>
                <wp:anchor distT="0" distB="0" distL="114300" distR="114300" simplePos="0" relativeHeight="251727872" behindDoc="0" locked="0" layoutInCell="1" allowOverlap="1">
                  <wp:simplePos x="0" y="0"/>
                  <wp:positionH relativeFrom="column">
                    <wp:posOffset>2493010</wp:posOffset>
                  </wp:positionH>
                  <wp:positionV relativeFrom="paragraph">
                    <wp:posOffset>3344545</wp:posOffset>
                  </wp:positionV>
                  <wp:extent cx="240665" cy="118745"/>
                  <wp:effectExtent l="0" t="0" r="6985" b="14605"/>
                  <wp:wrapNone/>
                  <wp:docPr id="19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49"/>
                          <pic:cNvPicPr>
                            <a:picLocks noChangeAspect="1"/>
                          </pic:cNvPicPr>
                        </pic:nvPicPr>
                        <pic:blipFill>
                          <a:blip r:embed="rId47"/>
                          <a:stretch>
                            <a:fillRect/>
                          </a:stretch>
                        </pic:blipFill>
                        <pic:spPr>
                          <a:xfrm>
                            <a:off x="0" y="0"/>
                            <a:ext cx="240665" cy="118745"/>
                          </a:xfrm>
                          <a:prstGeom prst="rect">
                            <a:avLst/>
                          </a:prstGeom>
                          <a:noFill/>
                          <a:ln>
                            <a:noFill/>
                          </a:ln>
                        </pic:spPr>
                      </pic:pic>
                    </a:graphicData>
                  </a:graphic>
                </wp:anchor>
              </w:drawing>
            </w:r>
            <w:r>
              <w:rPr>
                <w:color w:val="auto"/>
              </w:rPr>
              <w:drawing>
                <wp:anchor distT="0" distB="0" distL="114300" distR="114300" simplePos="0" relativeHeight="251726848" behindDoc="0" locked="0" layoutInCell="1" allowOverlap="1">
                  <wp:simplePos x="0" y="0"/>
                  <wp:positionH relativeFrom="column">
                    <wp:posOffset>2187575</wp:posOffset>
                  </wp:positionH>
                  <wp:positionV relativeFrom="paragraph">
                    <wp:posOffset>3209290</wp:posOffset>
                  </wp:positionV>
                  <wp:extent cx="151765" cy="146685"/>
                  <wp:effectExtent l="0" t="0" r="635" b="5715"/>
                  <wp:wrapNone/>
                  <wp:docPr id="19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48"/>
                          <pic:cNvPicPr>
                            <a:picLocks noChangeAspect="1"/>
                          </pic:cNvPicPr>
                        </pic:nvPicPr>
                        <pic:blipFill>
                          <a:blip r:embed="rId48"/>
                          <a:stretch>
                            <a:fillRect/>
                          </a:stretch>
                        </pic:blipFill>
                        <pic:spPr>
                          <a:xfrm>
                            <a:off x="0" y="0"/>
                            <a:ext cx="151765" cy="146685"/>
                          </a:xfrm>
                          <a:prstGeom prst="rect">
                            <a:avLst/>
                          </a:prstGeom>
                          <a:noFill/>
                          <a:ln>
                            <a:noFill/>
                          </a:ln>
                        </pic:spPr>
                      </pic:pic>
                    </a:graphicData>
                  </a:graphic>
                </wp:anchor>
              </w:drawing>
            </w:r>
            <w:r>
              <w:rPr>
                <w:color w:val="auto"/>
              </w:rPr>
              <w:drawing>
                <wp:anchor distT="0" distB="0" distL="114300" distR="114300" simplePos="0" relativeHeight="251725824" behindDoc="0" locked="0" layoutInCell="1" allowOverlap="1">
                  <wp:simplePos x="0" y="0"/>
                  <wp:positionH relativeFrom="column">
                    <wp:posOffset>570230</wp:posOffset>
                  </wp:positionH>
                  <wp:positionV relativeFrom="paragraph">
                    <wp:posOffset>2334895</wp:posOffset>
                  </wp:positionV>
                  <wp:extent cx="144780" cy="119380"/>
                  <wp:effectExtent l="0" t="0" r="13970" b="7620"/>
                  <wp:wrapNone/>
                  <wp:docPr id="19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7"/>
                          <pic:cNvPicPr>
                            <a:picLocks noChangeAspect="1"/>
                          </pic:cNvPicPr>
                        </pic:nvPicPr>
                        <pic:blipFill>
                          <a:blip r:embed="rId49"/>
                          <a:stretch>
                            <a:fillRect/>
                          </a:stretch>
                        </pic:blipFill>
                        <pic:spPr>
                          <a:xfrm rot="5400000">
                            <a:off x="0" y="0"/>
                            <a:ext cx="144780" cy="119380"/>
                          </a:xfrm>
                          <a:prstGeom prst="rect">
                            <a:avLst/>
                          </a:prstGeom>
                          <a:noFill/>
                          <a:ln>
                            <a:noFill/>
                          </a:ln>
                        </pic:spPr>
                      </pic:pic>
                    </a:graphicData>
                  </a:graphic>
                </wp:anchor>
              </w:drawing>
            </w:r>
            <w:r>
              <w:rPr>
                <w:color w:val="auto"/>
              </w:rPr>
              <w:drawing>
                <wp:anchor distT="0" distB="0" distL="114300" distR="114300" simplePos="0" relativeHeight="251724800" behindDoc="0" locked="0" layoutInCell="1" allowOverlap="1">
                  <wp:simplePos x="0" y="0"/>
                  <wp:positionH relativeFrom="column">
                    <wp:posOffset>608330</wp:posOffset>
                  </wp:positionH>
                  <wp:positionV relativeFrom="paragraph">
                    <wp:posOffset>537845</wp:posOffset>
                  </wp:positionV>
                  <wp:extent cx="182880" cy="149225"/>
                  <wp:effectExtent l="41275" t="26670" r="57150" b="38100"/>
                  <wp:wrapNone/>
                  <wp:docPr id="19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6"/>
                          <pic:cNvPicPr>
                            <a:picLocks noChangeAspect="1"/>
                          </pic:cNvPicPr>
                        </pic:nvPicPr>
                        <pic:blipFill>
                          <a:blip r:embed="rId50"/>
                          <a:stretch>
                            <a:fillRect/>
                          </a:stretch>
                        </pic:blipFill>
                        <pic:spPr>
                          <a:xfrm rot="3060000">
                            <a:off x="0" y="0"/>
                            <a:ext cx="182880" cy="149225"/>
                          </a:xfrm>
                          <a:prstGeom prst="rect">
                            <a:avLst/>
                          </a:prstGeom>
                          <a:noFill/>
                          <a:ln>
                            <a:noFill/>
                          </a:ln>
                        </pic:spPr>
                      </pic:pic>
                    </a:graphicData>
                  </a:graphic>
                </wp:anchor>
              </w:drawing>
            </w:r>
            <w:r>
              <w:rPr>
                <w:color w:val="auto"/>
              </w:rPr>
              <w:drawing>
                <wp:anchor distT="0" distB="0" distL="114300" distR="114300" simplePos="0" relativeHeight="251723776" behindDoc="0" locked="0" layoutInCell="1" allowOverlap="1">
                  <wp:simplePos x="0" y="0"/>
                  <wp:positionH relativeFrom="column">
                    <wp:posOffset>619125</wp:posOffset>
                  </wp:positionH>
                  <wp:positionV relativeFrom="paragraph">
                    <wp:posOffset>3388360</wp:posOffset>
                  </wp:positionV>
                  <wp:extent cx="135255" cy="128270"/>
                  <wp:effectExtent l="0" t="0" r="17145" b="5080"/>
                  <wp:wrapNone/>
                  <wp:docPr id="19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5"/>
                          <pic:cNvPicPr>
                            <a:picLocks noChangeAspect="1"/>
                          </pic:cNvPicPr>
                        </pic:nvPicPr>
                        <pic:blipFill>
                          <a:blip r:embed="rId51"/>
                          <a:srcRect l="12908" r="19574"/>
                          <a:stretch>
                            <a:fillRect/>
                          </a:stretch>
                        </pic:blipFill>
                        <pic:spPr>
                          <a:xfrm>
                            <a:off x="0" y="0"/>
                            <a:ext cx="135255" cy="128270"/>
                          </a:xfrm>
                          <a:prstGeom prst="rect">
                            <a:avLst/>
                          </a:prstGeom>
                          <a:noFill/>
                          <a:ln>
                            <a:noFill/>
                          </a:ln>
                        </pic:spPr>
                      </pic:pic>
                    </a:graphicData>
                  </a:graphic>
                </wp:anchor>
              </w:drawing>
            </w:r>
            <w:r>
              <w:rPr>
                <w:color w:val="auto"/>
              </w:rPr>
              <w:drawing>
                <wp:anchor distT="0" distB="0" distL="114300" distR="114300" simplePos="0" relativeHeight="251722752" behindDoc="0" locked="0" layoutInCell="1" allowOverlap="1">
                  <wp:simplePos x="0" y="0"/>
                  <wp:positionH relativeFrom="column">
                    <wp:posOffset>2068830</wp:posOffset>
                  </wp:positionH>
                  <wp:positionV relativeFrom="paragraph">
                    <wp:posOffset>3625850</wp:posOffset>
                  </wp:positionV>
                  <wp:extent cx="222250" cy="137795"/>
                  <wp:effectExtent l="0" t="0" r="6350" b="14605"/>
                  <wp:wrapNone/>
                  <wp:docPr id="18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4"/>
                          <pic:cNvPicPr>
                            <a:picLocks noChangeAspect="1"/>
                          </pic:cNvPicPr>
                        </pic:nvPicPr>
                        <pic:blipFill>
                          <a:blip r:embed="rId52"/>
                          <a:stretch>
                            <a:fillRect/>
                          </a:stretch>
                        </pic:blipFill>
                        <pic:spPr>
                          <a:xfrm>
                            <a:off x="0" y="0"/>
                            <a:ext cx="222250" cy="137795"/>
                          </a:xfrm>
                          <a:prstGeom prst="rect">
                            <a:avLst/>
                          </a:prstGeom>
                          <a:noFill/>
                          <a:ln>
                            <a:noFill/>
                          </a:ln>
                        </pic:spPr>
                      </pic:pic>
                    </a:graphicData>
                  </a:graphic>
                </wp:anchor>
              </w:drawing>
            </w:r>
            <w:r>
              <w:rPr>
                <w:color w:val="auto"/>
              </w:rPr>
              <w:drawing>
                <wp:anchor distT="0" distB="0" distL="114300" distR="114300" simplePos="0" relativeHeight="251719680" behindDoc="0" locked="0" layoutInCell="1" allowOverlap="1">
                  <wp:simplePos x="0" y="0"/>
                  <wp:positionH relativeFrom="column">
                    <wp:posOffset>4173855</wp:posOffset>
                  </wp:positionH>
                  <wp:positionV relativeFrom="paragraph">
                    <wp:posOffset>2290445</wp:posOffset>
                  </wp:positionV>
                  <wp:extent cx="152400" cy="153670"/>
                  <wp:effectExtent l="0" t="0" r="17780" b="0"/>
                  <wp:wrapNone/>
                  <wp:docPr id="18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1"/>
                          <pic:cNvPicPr>
                            <a:picLocks noChangeAspect="1"/>
                          </pic:cNvPicPr>
                        </pic:nvPicPr>
                        <pic:blipFill>
                          <a:blip r:embed="rId45"/>
                          <a:stretch>
                            <a:fillRect/>
                          </a:stretch>
                        </pic:blipFill>
                        <pic:spPr>
                          <a:xfrm rot="16200000">
                            <a:off x="0" y="0"/>
                            <a:ext cx="152400" cy="153670"/>
                          </a:xfrm>
                          <a:prstGeom prst="rect">
                            <a:avLst/>
                          </a:prstGeom>
                          <a:noFill/>
                          <a:ln>
                            <a:noFill/>
                          </a:ln>
                        </pic:spPr>
                      </pic:pic>
                    </a:graphicData>
                  </a:graphic>
                </wp:anchor>
              </w:drawing>
            </w:r>
            <w:r>
              <w:rPr>
                <w:color w:val="auto"/>
              </w:rPr>
              <w:drawing>
                <wp:anchor distT="0" distB="0" distL="114300" distR="114300" simplePos="0" relativeHeight="251718656" behindDoc="0" locked="0" layoutInCell="1" allowOverlap="1">
                  <wp:simplePos x="0" y="0"/>
                  <wp:positionH relativeFrom="column">
                    <wp:posOffset>1411605</wp:posOffset>
                  </wp:positionH>
                  <wp:positionV relativeFrom="paragraph">
                    <wp:posOffset>493395</wp:posOffset>
                  </wp:positionV>
                  <wp:extent cx="152400" cy="153670"/>
                  <wp:effectExtent l="0" t="0" r="0" b="17780"/>
                  <wp:wrapNone/>
                  <wp:docPr id="18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1"/>
                          <pic:cNvPicPr>
                            <a:picLocks noChangeAspect="1"/>
                          </pic:cNvPicPr>
                        </pic:nvPicPr>
                        <pic:blipFill>
                          <a:blip r:embed="rId45"/>
                          <a:stretch>
                            <a:fillRect/>
                          </a:stretch>
                        </pic:blipFill>
                        <pic:spPr>
                          <a:xfrm rot="10800000">
                            <a:off x="0" y="0"/>
                            <a:ext cx="152400" cy="153670"/>
                          </a:xfrm>
                          <a:prstGeom prst="rect">
                            <a:avLst/>
                          </a:prstGeom>
                          <a:noFill/>
                          <a:ln>
                            <a:noFill/>
                          </a:ln>
                        </pic:spPr>
                      </pic:pic>
                    </a:graphicData>
                  </a:graphic>
                </wp:anchor>
              </w:drawing>
            </w:r>
            <w:r>
              <w:rPr>
                <w:color w:val="auto"/>
              </w:rPr>
              <w:drawing>
                <wp:anchor distT="0" distB="0" distL="114300" distR="114300" simplePos="0" relativeHeight="251717632" behindDoc="0" locked="0" layoutInCell="1" allowOverlap="1">
                  <wp:simplePos x="0" y="0"/>
                  <wp:positionH relativeFrom="column">
                    <wp:posOffset>2185035</wp:posOffset>
                  </wp:positionH>
                  <wp:positionV relativeFrom="paragraph">
                    <wp:posOffset>2823845</wp:posOffset>
                  </wp:positionV>
                  <wp:extent cx="152400" cy="153670"/>
                  <wp:effectExtent l="0" t="0" r="17780" b="0"/>
                  <wp:wrapNone/>
                  <wp:docPr id="18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41"/>
                          <pic:cNvPicPr>
                            <a:picLocks noChangeAspect="1"/>
                          </pic:cNvPicPr>
                        </pic:nvPicPr>
                        <pic:blipFill>
                          <a:blip r:embed="rId45"/>
                          <a:stretch>
                            <a:fillRect/>
                          </a:stretch>
                        </pic:blipFill>
                        <pic:spPr>
                          <a:xfrm rot="16200000">
                            <a:off x="0" y="0"/>
                            <a:ext cx="152400" cy="153670"/>
                          </a:xfrm>
                          <a:prstGeom prst="rect">
                            <a:avLst/>
                          </a:prstGeom>
                          <a:noFill/>
                          <a:ln>
                            <a:noFill/>
                          </a:ln>
                        </pic:spPr>
                      </pic:pic>
                    </a:graphicData>
                  </a:graphic>
                </wp:anchor>
              </w:drawing>
            </w:r>
            <w:r>
              <w:rPr>
                <w:color w:val="auto"/>
              </w:rPr>
              <w:drawing>
                <wp:anchor distT="0" distB="0" distL="114300" distR="114300" simplePos="0" relativeHeight="251716608" behindDoc="0" locked="0" layoutInCell="1" allowOverlap="1">
                  <wp:simplePos x="0" y="0"/>
                  <wp:positionH relativeFrom="column">
                    <wp:posOffset>2184400</wp:posOffset>
                  </wp:positionH>
                  <wp:positionV relativeFrom="paragraph">
                    <wp:posOffset>788670</wp:posOffset>
                  </wp:positionV>
                  <wp:extent cx="152400" cy="153670"/>
                  <wp:effectExtent l="0" t="0" r="17780" b="0"/>
                  <wp:wrapNone/>
                  <wp:docPr id="18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1"/>
                          <pic:cNvPicPr>
                            <a:picLocks noChangeAspect="1"/>
                          </pic:cNvPicPr>
                        </pic:nvPicPr>
                        <pic:blipFill>
                          <a:blip r:embed="rId45"/>
                          <a:stretch>
                            <a:fillRect/>
                          </a:stretch>
                        </pic:blipFill>
                        <pic:spPr>
                          <a:xfrm rot="16200000">
                            <a:off x="0" y="0"/>
                            <a:ext cx="152400" cy="153670"/>
                          </a:xfrm>
                          <a:prstGeom prst="rect">
                            <a:avLst/>
                          </a:prstGeom>
                          <a:noFill/>
                          <a:ln>
                            <a:noFill/>
                          </a:ln>
                        </pic:spPr>
                      </pic:pic>
                    </a:graphicData>
                  </a:graphic>
                </wp:anchor>
              </w:drawing>
            </w:r>
            <w:r>
              <w:rPr>
                <w:color w:val="auto"/>
              </w:rPr>
              <w:drawing>
                <wp:anchor distT="0" distB="0" distL="114300" distR="114300" simplePos="0" relativeHeight="251715584" behindDoc="0" locked="0" layoutInCell="1" allowOverlap="1">
                  <wp:simplePos x="0" y="0"/>
                  <wp:positionH relativeFrom="column">
                    <wp:posOffset>587375</wp:posOffset>
                  </wp:positionH>
                  <wp:positionV relativeFrom="paragraph">
                    <wp:posOffset>2855595</wp:posOffset>
                  </wp:positionV>
                  <wp:extent cx="152400" cy="153670"/>
                  <wp:effectExtent l="0" t="0" r="17780" b="0"/>
                  <wp:wrapNone/>
                  <wp:docPr id="18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1"/>
                          <pic:cNvPicPr>
                            <a:picLocks noChangeAspect="1"/>
                          </pic:cNvPicPr>
                        </pic:nvPicPr>
                        <pic:blipFill>
                          <a:blip r:embed="rId45"/>
                          <a:stretch>
                            <a:fillRect/>
                          </a:stretch>
                        </pic:blipFill>
                        <pic:spPr>
                          <a:xfrm rot="5400000">
                            <a:off x="0" y="0"/>
                            <a:ext cx="152400" cy="153670"/>
                          </a:xfrm>
                          <a:prstGeom prst="rect">
                            <a:avLst/>
                          </a:prstGeom>
                          <a:noFill/>
                          <a:ln>
                            <a:noFill/>
                          </a:ln>
                        </pic:spPr>
                      </pic:pic>
                    </a:graphicData>
                  </a:graphic>
                </wp:anchor>
              </w:drawing>
            </w:r>
            <w:r>
              <w:rPr>
                <w:color w:val="auto"/>
              </w:rPr>
              <w:drawing>
                <wp:anchor distT="0" distB="0" distL="114300" distR="114300" simplePos="0" relativeHeight="251714560" behindDoc="0" locked="0" layoutInCell="1" allowOverlap="1">
                  <wp:simplePos x="0" y="0"/>
                  <wp:positionH relativeFrom="column">
                    <wp:posOffset>586105</wp:posOffset>
                  </wp:positionH>
                  <wp:positionV relativeFrom="paragraph">
                    <wp:posOffset>809625</wp:posOffset>
                  </wp:positionV>
                  <wp:extent cx="152400" cy="153670"/>
                  <wp:effectExtent l="0" t="0" r="17780" b="0"/>
                  <wp:wrapNone/>
                  <wp:docPr id="18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1"/>
                          <pic:cNvPicPr>
                            <a:picLocks noChangeAspect="1"/>
                          </pic:cNvPicPr>
                        </pic:nvPicPr>
                        <pic:blipFill>
                          <a:blip r:embed="rId45"/>
                          <a:stretch>
                            <a:fillRect/>
                          </a:stretch>
                        </pic:blipFill>
                        <pic:spPr>
                          <a:xfrm rot="5400000">
                            <a:off x="0" y="0"/>
                            <a:ext cx="152400" cy="153670"/>
                          </a:xfrm>
                          <a:prstGeom prst="rect">
                            <a:avLst/>
                          </a:prstGeom>
                          <a:noFill/>
                          <a:ln>
                            <a:noFill/>
                          </a:ln>
                        </pic:spPr>
                      </pic:pic>
                    </a:graphicData>
                  </a:graphic>
                </wp:anchor>
              </w:drawing>
            </w:r>
            <w:r>
              <w:rPr>
                <w:rFonts w:hint="eastAsia"/>
                <w:b/>
                <w:color w:val="auto"/>
                <w:szCs w:val="21"/>
                <w:highlight w:val="none"/>
              </w:rPr>
              <w:drawing>
                <wp:anchor distT="0" distB="0" distL="114300" distR="114300" simplePos="0" relativeHeight="251712512" behindDoc="0" locked="0" layoutInCell="1" allowOverlap="1">
                  <wp:simplePos x="0" y="0"/>
                  <wp:positionH relativeFrom="column">
                    <wp:posOffset>4763135</wp:posOffset>
                  </wp:positionH>
                  <wp:positionV relativeFrom="paragraph">
                    <wp:posOffset>22860</wp:posOffset>
                  </wp:positionV>
                  <wp:extent cx="497205" cy="466725"/>
                  <wp:effectExtent l="0" t="0" r="17145" b="9525"/>
                  <wp:wrapNone/>
                  <wp:docPr id="171" name="图片 171" descr="7cb1dc3bc0824f6b768fb174a86d5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7cb1dc3bc0824f6b768fb174a86d5b3"/>
                          <pic:cNvPicPr>
                            <a:picLocks noChangeAspect="1"/>
                          </pic:cNvPicPr>
                        </pic:nvPicPr>
                        <pic:blipFill>
                          <a:blip r:embed="rId27"/>
                          <a:stretch>
                            <a:fillRect/>
                          </a:stretch>
                        </pic:blipFill>
                        <pic:spPr>
                          <a:xfrm>
                            <a:off x="0" y="0"/>
                            <a:ext cx="497205" cy="466725"/>
                          </a:xfrm>
                          <a:prstGeom prst="rect">
                            <a:avLst/>
                          </a:prstGeom>
                        </pic:spPr>
                      </pic:pic>
                    </a:graphicData>
                  </a:graphic>
                </wp:anchor>
              </w:drawing>
            </w:r>
          </w:p>
          <w:p w14:paraId="37584DA3">
            <w:pPr>
              <w:pStyle w:val="5"/>
              <w:ind w:firstLine="0" w:firstLineChars="0"/>
              <w:jc w:val="center"/>
              <w:rPr>
                <w:color w:val="auto"/>
                <w:highlight w:val="none"/>
              </w:rPr>
            </w:pPr>
            <w:r>
              <w:rPr>
                <w:rFonts w:hint="eastAsia"/>
                <w:b/>
                <w:color w:val="auto"/>
                <w:szCs w:val="21"/>
                <w:highlight w:val="none"/>
              </w:rPr>
              <w:t>图10-3 项目监控探头、急停按钮布置示意图</w:t>
            </w:r>
          </w:p>
          <w:p w14:paraId="75D2102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r>
              <w:rPr>
                <w:rFonts w:hint="eastAsia"/>
                <w:b/>
                <w:bCs/>
                <w:color w:val="auto"/>
                <w:sz w:val="24"/>
                <w:szCs w:val="24"/>
                <w:highlight w:val="none"/>
              </w:rPr>
              <w:t>4、标准符合性分析</w:t>
            </w:r>
          </w:p>
          <w:p w14:paraId="3371161C">
            <w:pPr>
              <w:spacing w:line="360" w:lineRule="auto"/>
              <w:ind w:firstLine="480" w:firstLineChars="200"/>
              <w:rPr>
                <w:color w:val="auto"/>
                <w:sz w:val="24"/>
                <w:szCs w:val="24"/>
                <w:highlight w:val="none"/>
              </w:rPr>
            </w:pPr>
            <w:r>
              <w:rPr>
                <w:color w:val="auto"/>
                <w:sz w:val="24"/>
                <w:szCs w:val="24"/>
                <w:highlight w:val="none"/>
                <w:lang w:val="zh-CN"/>
              </w:rPr>
              <w:t>根据本项目特点依据</w:t>
            </w:r>
            <w:r>
              <w:rPr>
                <w:rFonts w:hint="eastAsia"/>
                <w:color w:val="auto"/>
                <w:sz w:val="24"/>
                <w:szCs w:val="24"/>
                <w:highlight w:val="none"/>
                <w:lang w:val="zh-CN"/>
              </w:rPr>
              <w:t>《工业探伤放射防护标准》（GBZ117-2022）</w:t>
            </w:r>
            <w:r>
              <w:rPr>
                <w:color w:val="auto"/>
                <w:sz w:val="24"/>
                <w:szCs w:val="24"/>
                <w:highlight w:val="none"/>
                <w:lang w:val="zh-CN"/>
              </w:rPr>
              <w:t>进行标准符合性分析，见表</w:t>
            </w:r>
            <w:r>
              <w:rPr>
                <w:color w:val="auto"/>
                <w:sz w:val="24"/>
                <w:szCs w:val="24"/>
                <w:highlight w:val="none"/>
              </w:rPr>
              <w:t>10-4</w:t>
            </w:r>
            <w:r>
              <w:rPr>
                <w:rFonts w:hint="eastAsia"/>
                <w:color w:val="auto"/>
                <w:sz w:val="24"/>
                <w:szCs w:val="24"/>
                <w:highlight w:val="none"/>
              </w:rPr>
              <w:t>。</w:t>
            </w:r>
          </w:p>
          <w:p w14:paraId="7A098698">
            <w:pPr>
              <w:pStyle w:val="5"/>
              <w:ind w:firstLine="0" w:firstLineChars="0"/>
              <w:jc w:val="center"/>
              <w:rPr>
                <w:b/>
                <w:color w:val="auto"/>
                <w:szCs w:val="21"/>
                <w:highlight w:val="none"/>
              </w:rPr>
            </w:pPr>
            <w:r>
              <w:rPr>
                <w:rFonts w:hint="eastAsia"/>
                <w:b/>
                <w:color w:val="auto"/>
                <w:szCs w:val="21"/>
                <w:highlight w:val="none"/>
              </w:rPr>
              <w:t>表10-4  与</w:t>
            </w:r>
            <w:r>
              <w:rPr>
                <w:rFonts w:hint="eastAsia"/>
                <w:b/>
                <w:color w:val="auto"/>
                <w:szCs w:val="21"/>
                <w:highlight w:val="none"/>
                <w:lang w:val="zh-CN"/>
              </w:rPr>
              <w:t>《工业探伤放射防护标准》（GBZ117-2022）</w:t>
            </w:r>
            <w:r>
              <w:rPr>
                <w:rFonts w:hint="eastAsia"/>
                <w:b/>
                <w:color w:val="auto"/>
                <w:szCs w:val="21"/>
                <w:highlight w:val="none"/>
              </w:rPr>
              <w:t>符合性分析</w:t>
            </w:r>
          </w:p>
          <w:tbl>
            <w:tblPr>
              <w:tblStyle w:val="36"/>
              <w:tblW w:w="498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569"/>
              <w:gridCol w:w="3453"/>
              <w:gridCol w:w="3690"/>
              <w:gridCol w:w="679"/>
            </w:tblGrid>
            <w:tr w14:paraId="779112C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24A88FBD">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b/>
                      <w:bCs/>
                      <w:color w:val="auto"/>
                      <w:highlight w:val="none"/>
                    </w:rPr>
                  </w:pPr>
                  <w:r>
                    <w:rPr>
                      <w:b/>
                      <w:bCs/>
                      <w:color w:val="auto"/>
                      <w:highlight w:val="none"/>
                    </w:rPr>
                    <w:t>序号</w:t>
                  </w:r>
                </w:p>
              </w:tc>
              <w:tc>
                <w:tcPr>
                  <w:tcW w:w="2057" w:type="pct"/>
                  <w:tcBorders>
                    <w:tl2br w:val="nil"/>
                    <w:tr2bl w:val="nil"/>
                  </w:tcBorders>
                  <w:vAlign w:val="center"/>
                </w:tcPr>
                <w:p w14:paraId="28331E87">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b/>
                      <w:bCs/>
                      <w:color w:val="auto"/>
                      <w:highlight w:val="none"/>
                    </w:rPr>
                  </w:pPr>
                  <w:r>
                    <w:rPr>
                      <w:b/>
                      <w:bCs/>
                      <w:color w:val="auto"/>
                      <w:highlight w:val="none"/>
                    </w:rPr>
                    <w:t>标准要求</w:t>
                  </w:r>
                </w:p>
              </w:tc>
              <w:tc>
                <w:tcPr>
                  <w:tcW w:w="2198" w:type="pct"/>
                  <w:tcBorders>
                    <w:tl2br w:val="nil"/>
                    <w:tr2bl w:val="nil"/>
                  </w:tcBorders>
                  <w:vAlign w:val="center"/>
                </w:tcPr>
                <w:p w14:paraId="57CA510E">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b/>
                      <w:bCs/>
                      <w:color w:val="auto"/>
                      <w:highlight w:val="none"/>
                    </w:rPr>
                  </w:pPr>
                  <w:r>
                    <w:rPr>
                      <w:b/>
                      <w:bCs/>
                      <w:color w:val="auto"/>
                      <w:highlight w:val="none"/>
                    </w:rPr>
                    <w:t>拟采取措施</w:t>
                  </w:r>
                </w:p>
              </w:tc>
              <w:tc>
                <w:tcPr>
                  <w:tcW w:w="404" w:type="pct"/>
                  <w:tcBorders>
                    <w:tl2br w:val="nil"/>
                    <w:tr2bl w:val="nil"/>
                  </w:tcBorders>
                  <w:vAlign w:val="center"/>
                </w:tcPr>
                <w:p w14:paraId="1729E83C">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b/>
                      <w:bCs/>
                      <w:color w:val="auto"/>
                      <w:highlight w:val="none"/>
                    </w:rPr>
                  </w:pPr>
                  <w:r>
                    <w:rPr>
                      <w:b/>
                      <w:bCs/>
                      <w:color w:val="auto"/>
                      <w:highlight w:val="none"/>
                    </w:rPr>
                    <w:t>是否符合</w:t>
                  </w:r>
                </w:p>
              </w:tc>
            </w:tr>
            <w:tr w14:paraId="3F607D5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177A30D3">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1</w:t>
                  </w:r>
                </w:p>
              </w:tc>
              <w:tc>
                <w:tcPr>
                  <w:tcW w:w="2057" w:type="pct"/>
                  <w:tcBorders>
                    <w:tl2br w:val="nil"/>
                    <w:tr2bl w:val="nil"/>
                  </w:tcBorders>
                  <w:vAlign w:val="center"/>
                </w:tcPr>
                <w:p w14:paraId="40508679">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4.1 开展工业探伤工作的使用单位对放射防护安全应负主体责任。</w:t>
                  </w:r>
                </w:p>
              </w:tc>
              <w:tc>
                <w:tcPr>
                  <w:tcW w:w="2198" w:type="pct"/>
                  <w:tcBorders>
                    <w:tl2br w:val="nil"/>
                    <w:tr2bl w:val="nil"/>
                  </w:tcBorders>
                  <w:vAlign w:val="center"/>
                </w:tcPr>
                <w:p w14:paraId="1E0444A6">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lang w:eastAsia="zh-CN"/>
                    </w:rPr>
                    <w:t>安徽泓济环境科技有限公司</w:t>
                  </w:r>
                  <w:r>
                    <w:rPr>
                      <w:rFonts w:hint="eastAsia"/>
                      <w:color w:val="auto"/>
                      <w:highlight w:val="none"/>
                    </w:rPr>
                    <w:t>对本项目放射防护安全负主体责任。</w:t>
                  </w:r>
                </w:p>
              </w:tc>
              <w:tc>
                <w:tcPr>
                  <w:tcW w:w="404" w:type="pct"/>
                  <w:tcBorders>
                    <w:tl2br w:val="nil"/>
                    <w:tr2bl w:val="nil"/>
                  </w:tcBorders>
                  <w:vAlign w:val="center"/>
                </w:tcPr>
                <w:p w14:paraId="302B7F4F">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b/>
                      <w:bCs/>
                      <w:color w:val="auto"/>
                      <w:highlight w:val="none"/>
                    </w:rPr>
                  </w:pPr>
                  <w:r>
                    <w:rPr>
                      <w:rFonts w:hint="eastAsia"/>
                      <w:color w:val="auto"/>
                      <w:highlight w:val="none"/>
                    </w:rPr>
                    <w:t>符合</w:t>
                  </w:r>
                </w:p>
              </w:tc>
            </w:tr>
            <w:tr w14:paraId="7013BB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6FB7ABD9">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2</w:t>
                  </w:r>
                </w:p>
              </w:tc>
              <w:tc>
                <w:tcPr>
                  <w:tcW w:w="2057" w:type="pct"/>
                  <w:tcBorders>
                    <w:tl2br w:val="nil"/>
                    <w:tr2bl w:val="nil"/>
                  </w:tcBorders>
                  <w:vAlign w:val="center"/>
                </w:tcPr>
                <w:p w14:paraId="44B039D3">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4.2 应建立放射防护管理组织，明确放射防护管理人员及其职责，建立和实施放射防护管理制度和措施。</w:t>
                  </w:r>
                </w:p>
              </w:tc>
              <w:tc>
                <w:tcPr>
                  <w:tcW w:w="2198" w:type="pct"/>
                  <w:tcBorders>
                    <w:tl2br w:val="nil"/>
                    <w:tr2bl w:val="nil"/>
                  </w:tcBorders>
                  <w:vAlign w:val="center"/>
                </w:tcPr>
                <w:p w14:paraId="5EAC8127">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lang w:eastAsia="zh-CN"/>
                    </w:rPr>
                    <w:t>安徽泓济环境科技有限公司</w:t>
                  </w:r>
                  <w:r>
                    <w:rPr>
                      <w:rFonts w:hint="eastAsia"/>
                      <w:color w:val="auto"/>
                      <w:highlight w:val="none"/>
                    </w:rPr>
                    <w:t>已成立</w:t>
                  </w:r>
                  <w:r>
                    <w:rPr>
                      <w:rFonts w:hint="eastAsia"/>
                      <w:color w:val="auto"/>
                      <w:highlight w:val="none"/>
                      <w:lang w:val="zh-CN"/>
                    </w:rPr>
                    <w:t>辐射防护安全管理小组，</w:t>
                  </w:r>
                  <w:r>
                    <w:rPr>
                      <w:rFonts w:hint="eastAsia"/>
                      <w:color w:val="auto"/>
                      <w:highlight w:val="none"/>
                    </w:rPr>
                    <w:t>明确了</w:t>
                  </w:r>
                  <w:r>
                    <w:rPr>
                      <w:rFonts w:hint="eastAsia"/>
                      <w:color w:val="auto"/>
                      <w:highlight w:val="none"/>
                      <w:lang w:val="en-US" w:eastAsia="zh-CN"/>
                    </w:rPr>
                    <w:t>辐</w:t>
                  </w:r>
                  <w:r>
                    <w:rPr>
                      <w:rFonts w:hint="eastAsia"/>
                      <w:color w:val="auto"/>
                      <w:highlight w:val="none"/>
                    </w:rPr>
                    <w:t>射防护管理人员及其职责，建立了一系列的放射防护管理制度和措施。</w:t>
                  </w:r>
                </w:p>
              </w:tc>
              <w:tc>
                <w:tcPr>
                  <w:tcW w:w="404" w:type="pct"/>
                  <w:tcBorders>
                    <w:tl2br w:val="nil"/>
                    <w:tr2bl w:val="nil"/>
                  </w:tcBorders>
                  <w:vAlign w:val="center"/>
                </w:tcPr>
                <w:p w14:paraId="4EDD0CF0">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符合</w:t>
                  </w:r>
                </w:p>
              </w:tc>
            </w:tr>
            <w:tr w14:paraId="3F4EE28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3D8CB1E4">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3</w:t>
                  </w:r>
                </w:p>
              </w:tc>
              <w:tc>
                <w:tcPr>
                  <w:tcW w:w="2057" w:type="pct"/>
                  <w:tcBorders>
                    <w:tl2br w:val="nil"/>
                    <w:tr2bl w:val="nil"/>
                  </w:tcBorders>
                  <w:vAlign w:val="center"/>
                </w:tcPr>
                <w:p w14:paraId="0D5CD920">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4.3 应对从事探伤工作的人员按GBZ128的要求进行个人剂量监测，按GBZ98的要求进行职业健康监护。</w:t>
                  </w:r>
                </w:p>
              </w:tc>
              <w:tc>
                <w:tcPr>
                  <w:tcW w:w="2198" w:type="pct"/>
                  <w:tcBorders>
                    <w:tl2br w:val="nil"/>
                    <w:tr2bl w:val="nil"/>
                  </w:tcBorders>
                  <w:vAlign w:val="center"/>
                </w:tcPr>
                <w:p w14:paraId="4C58E042">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lang w:eastAsia="zh-CN"/>
                    </w:rPr>
                    <w:t>安徽泓济环境科技有限公司</w:t>
                  </w:r>
                  <w:r>
                    <w:rPr>
                      <w:rFonts w:hint="eastAsia"/>
                      <w:color w:val="auto"/>
                      <w:highlight w:val="none"/>
                    </w:rPr>
                    <w:t>拟与有资质的单位签订个人剂量监测协议，为辐射工作人员配置剂量片，要求个人剂量监测周期最长不超过3个月，定期安排辐射工作人员进行岗前、岗中、离岗职业健康体检（不超过两年一次）。</w:t>
                  </w:r>
                </w:p>
              </w:tc>
              <w:tc>
                <w:tcPr>
                  <w:tcW w:w="404" w:type="pct"/>
                  <w:tcBorders>
                    <w:tl2br w:val="nil"/>
                    <w:tr2bl w:val="nil"/>
                  </w:tcBorders>
                  <w:vAlign w:val="center"/>
                </w:tcPr>
                <w:p w14:paraId="2B7C568B">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符合</w:t>
                  </w:r>
                </w:p>
              </w:tc>
            </w:tr>
            <w:tr w14:paraId="0A9E659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6371E24C">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4</w:t>
                  </w:r>
                </w:p>
              </w:tc>
              <w:tc>
                <w:tcPr>
                  <w:tcW w:w="2057" w:type="pct"/>
                  <w:tcBorders>
                    <w:tl2br w:val="nil"/>
                    <w:tr2bl w:val="nil"/>
                  </w:tcBorders>
                  <w:vAlign w:val="center"/>
                </w:tcPr>
                <w:p w14:paraId="2D2CA6C0">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4.4 探伤工作人员正式工作前应取得符合GB/T 9445要求的无损探伤人员资格。</w:t>
                  </w:r>
                </w:p>
              </w:tc>
              <w:tc>
                <w:tcPr>
                  <w:tcW w:w="2198" w:type="pct"/>
                  <w:tcBorders>
                    <w:tl2br w:val="nil"/>
                    <w:tr2bl w:val="nil"/>
                  </w:tcBorders>
                  <w:vAlign w:val="center"/>
                </w:tcPr>
                <w:p w14:paraId="1EA33E73">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lang w:eastAsia="zh-CN"/>
                    </w:rPr>
                    <w:t>安徽泓济环境科技有限公司</w:t>
                  </w:r>
                  <w:r>
                    <w:rPr>
                      <w:rFonts w:hint="eastAsia"/>
                      <w:color w:val="auto"/>
                      <w:highlight w:val="none"/>
                    </w:rPr>
                    <w:t>要求本项目拟配备辐射工作人员取得符合GB/T 9445要求的无损探伤人员资格。</w:t>
                  </w:r>
                </w:p>
              </w:tc>
              <w:tc>
                <w:tcPr>
                  <w:tcW w:w="404" w:type="pct"/>
                  <w:tcBorders>
                    <w:tl2br w:val="nil"/>
                    <w:tr2bl w:val="nil"/>
                  </w:tcBorders>
                  <w:vAlign w:val="center"/>
                </w:tcPr>
                <w:p w14:paraId="3AB1E57F">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符合</w:t>
                  </w:r>
                </w:p>
              </w:tc>
            </w:tr>
            <w:tr w14:paraId="469DC94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5CBBAADC">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5</w:t>
                  </w:r>
                </w:p>
              </w:tc>
              <w:tc>
                <w:tcPr>
                  <w:tcW w:w="2057" w:type="pct"/>
                  <w:tcBorders>
                    <w:tl2br w:val="nil"/>
                    <w:tr2bl w:val="nil"/>
                  </w:tcBorders>
                  <w:vAlign w:val="center"/>
                </w:tcPr>
                <w:p w14:paraId="42597680">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 xml:space="preserve">4.5 </w:t>
                  </w:r>
                  <w:r>
                    <w:rPr>
                      <w:rFonts w:hint="eastAsia" w:ascii="宋体" w:hAnsi="宋体" w:cs="宋体"/>
                      <w:color w:val="auto"/>
                      <w:szCs w:val="21"/>
                      <w:highlight w:val="none"/>
                    </w:rPr>
                    <w:t>应配备辐射剂量率仪和个人剂量报警仪。</w:t>
                  </w:r>
                </w:p>
              </w:tc>
              <w:tc>
                <w:tcPr>
                  <w:tcW w:w="2198" w:type="pct"/>
                  <w:tcBorders>
                    <w:tl2br w:val="nil"/>
                    <w:tr2bl w:val="nil"/>
                  </w:tcBorders>
                  <w:vAlign w:val="center"/>
                </w:tcPr>
                <w:p w14:paraId="4CAFA54C">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lang w:eastAsia="zh-CN"/>
                    </w:rPr>
                    <w:t>安徽泓济环境科技有限公司</w:t>
                  </w:r>
                  <w:r>
                    <w:rPr>
                      <w:rFonts w:hint="eastAsia"/>
                      <w:color w:val="auto"/>
                      <w:highlight w:val="none"/>
                    </w:rPr>
                    <w:t>拟配备1台辐射巡测仪，2台个人剂量报警仪。</w:t>
                  </w:r>
                </w:p>
              </w:tc>
              <w:tc>
                <w:tcPr>
                  <w:tcW w:w="404" w:type="pct"/>
                  <w:tcBorders>
                    <w:tl2br w:val="nil"/>
                    <w:tr2bl w:val="nil"/>
                  </w:tcBorders>
                  <w:vAlign w:val="center"/>
                </w:tcPr>
                <w:p w14:paraId="09D62FD2">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符合</w:t>
                  </w:r>
                </w:p>
              </w:tc>
            </w:tr>
            <w:tr w14:paraId="57F03B4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3923B140">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6</w:t>
                  </w:r>
                </w:p>
              </w:tc>
              <w:tc>
                <w:tcPr>
                  <w:tcW w:w="2057" w:type="pct"/>
                  <w:tcBorders>
                    <w:tl2br w:val="nil"/>
                    <w:tr2bl w:val="nil"/>
                  </w:tcBorders>
                  <w:vAlign w:val="center"/>
                </w:tcPr>
                <w:p w14:paraId="5A54B1ED">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4.6 应制定辐射事故应急预案。</w:t>
                  </w:r>
                </w:p>
              </w:tc>
              <w:tc>
                <w:tcPr>
                  <w:tcW w:w="2198" w:type="pct"/>
                  <w:tcBorders>
                    <w:tl2br w:val="nil"/>
                    <w:tr2bl w:val="nil"/>
                  </w:tcBorders>
                  <w:vAlign w:val="center"/>
                </w:tcPr>
                <w:p w14:paraId="61B5925C">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lang w:eastAsia="zh-CN"/>
                    </w:rPr>
                    <w:t>安徽泓济环境科技有限公司</w:t>
                  </w:r>
                  <w:r>
                    <w:rPr>
                      <w:rFonts w:hint="eastAsia"/>
                      <w:color w:val="auto"/>
                      <w:highlight w:val="none"/>
                    </w:rPr>
                    <w:t>已预先</w:t>
                  </w:r>
                  <w:r>
                    <w:rPr>
                      <w:rFonts w:hint="eastAsia"/>
                      <w:color w:val="auto"/>
                      <w:highlight w:val="none"/>
                      <w:lang w:val="en-US" w:eastAsia="zh-CN"/>
                    </w:rPr>
                    <w:t>制定</w:t>
                  </w:r>
                  <w:r>
                    <w:rPr>
                      <w:rFonts w:hint="eastAsia"/>
                      <w:color w:val="auto"/>
                      <w:highlight w:val="none"/>
                    </w:rPr>
                    <w:t>《</w:t>
                  </w:r>
                  <w:r>
                    <w:rPr>
                      <w:rFonts w:hint="eastAsia"/>
                      <w:color w:val="auto"/>
                      <w:highlight w:val="none"/>
                      <w:lang w:eastAsia="zh-CN"/>
                    </w:rPr>
                    <w:t>安徽泓济环境科技有限公司</w:t>
                  </w:r>
                  <w:r>
                    <w:rPr>
                      <w:rFonts w:hint="eastAsia"/>
                      <w:color w:val="auto"/>
                      <w:highlight w:val="none"/>
                      <w:lang w:val="zh-CN"/>
                    </w:rPr>
                    <w:t>辐射事故应急预案</w:t>
                  </w:r>
                  <w:r>
                    <w:rPr>
                      <w:color w:val="auto"/>
                      <w:highlight w:val="none"/>
                      <w:lang w:val="zh-CN"/>
                    </w:rPr>
                    <w:t>》</w:t>
                  </w:r>
                  <w:r>
                    <w:rPr>
                      <w:rFonts w:hint="eastAsia"/>
                      <w:color w:val="auto"/>
                      <w:highlight w:val="none"/>
                      <w:lang w:val="zh-CN"/>
                    </w:rPr>
                    <w:t>。</w:t>
                  </w:r>
                </w:p>
              </w:tc>
              <w:tc>
                <w:tcPr>
                  <w:tcW w:w="404" w:type="pct"/>
                  <w:tcBorders>
                    <w:tl2br w:val="nil"/>
                    <w:tr2bl w:val="nil"/>
                  </w:tcBorders>
                  <w:vAlign w:val="center"/>
                </w:tcPr>
                <w:p w14:paraId="24CB8E77">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符合</w:t>
                  </w:r>
                </w:p>
              </w:tc>
            </w:tr>
            <w:tr w14:paraId="67C951E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4C8351C1">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7</w:t>
                  </w:r>
                </w:p>
              </w:tc>
              <w:tc>
                <w:tcPr>
                  <w:tcW w:w="2057" w:type="pct"/>
                  <w:tcBorders>
                    <w:tl2br w:val="nil"/>
                    <w:tr2bl w:val="nil"/>
                  </w:tcBorders>
                  <w:vAlign w:val="center"/>
                </w:tcPr>
                <w:p w14:paraId="5A75929A">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 xml:space="preserve">6.1.1 </w:t>
                  </w:r>
                  <w:r>
                    <w:rPr>
                      <w:color w:val="auto"/>
                      <w:highlight w:val="none"/>
                    </w:rPr>
                    <w:t>探伤室的设置应充分注意周围的辐射安全，操作室应避开有用线束照射的方向并应与探伤室分开。探伤室的屏蔽墙厚度应充分考虑源项大小、直射、散射、屏蔽物材料和结构等各种因素。无迷路探伤室门的防护性能应不小于同侧墙的防护性能。X射线探伤室的屏蔽计算方法参见GBZ/T250。</w:t>
                  </w:r>
                </w:p>
              </w:tc>
              <w:tc>
                <w:tcPr>
                  <w:tcW w:w="2198" w:type="pct"/>
                  <w:tcBorders>
                    <w:tl2br w:val="nil"/>
                    <w:tr2bl w:val="nil"/>
                  </w:tcBorders>
                  <w:vAlign w:val="center"/>
                </w:tcPr>
                <w:p w14:paraId="4DD247DC">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color w:val="auto"/>
                      <w:highlight w:val="none"/>
                    </w:rPr>
                    <w:t>本项目探伤</w:t>
                  </w:r>
                  <w:r>
                    <w:rPr>
                      <w:rFonts w:hint="eastAsia"/>
                      <w:color w:val="auto"/>
                      <w:highlight w:val="none"/>
                    </w:rPr>
                    <w:t>房</w:t>
                  </w:r>
                  <w:r>
                    <w:rPr>
                      <w:color w:val="auto"/>
                      <w:highlight w:val="none"/>
                    </w:rPr>
                    <w:t>设置隔室操作。</w:t>
                  </w:r>
                  <w:r>
                    <w:rPr>
                      <w:rFonts w:hint="eastAsia"/>
                      <w:color w:val="auto"/>
                      <w:highlight w:val="none"/>
                    </w:rPr>
                    <w:t>定向机工作过程中有用线束照射方向避开工件进出大门。</w:t>
                  </w:r>
                  <w:r>
                    <w:rPr>
                      <w:color w:val="auto"/>
                      <w:highlight w:val="none"/>
                    </w:rPr>
                    <w:t>操作</w:t>
                  </w:r>
                  <w:r>
                    <w:rPr>
                      <w:rFonts w:hint="eastAsia"/>
                      <w:color w:val="auto"/>
                      <w:highlight w:val="none"/>
                    </w:rPr>
                    <w:t>间</w:t>
                  </w:r>
                  <w:r>
                    <w:rPr>
                      <w:color w:val="auto"/>
                      <w:highlight w:val="none"/>
                    </w:rPr>
                    <w:t>位于</w:t>
                  </w:r>
                  <w:r>
                    <w:rPr>
                      <w:rFonts w:hint="eastAsia"/>
                      <w:color w:val="auto"/>
                      <w:highlight w:val="none"/>
                    </w:rPr>
                    <w:t>探伤房</w:t>
                  </w:r>
                  <w:r>
                    <w:rPr>
                      <w:color w:val="auto"/>
                      <w:highlight w:val="none"/>
                    </w:rPr>
                    <w:t>室</w:t>
                  </w:r>
                  <w:r>
                    <w:rPr>
                      <w:rFonts w:hint="eastAsia"/>
                      <w:color w:val="auto"/>
                      <w:highlight w:val="none"/>
                      <w:lang w:val="en-US" w:eastAsia="zh-CN"/>
                    </w:rPr>
                    <w:t>东</w:t>
                  </w:r>
                  <w:r>
                    <w:rPr>
                      <w:rFonts w:hint="eastAsia"/>
                      <w:color w:val="auto"/>
                      <w:highlight w:val="none"/>
                    </w:rPr>
                    <w:t>侧</w:t>
                  </w:r>
                  <w:r>
                    <w:rPr>
                      <w:color w:val="auto"/>
                      <w:highlight w:val="none"/>
                    </w:rPr>
                    <w:t>，避开了有用线束照射方向。</w:t>
                  </w:r>
                  <w:r>
                    <w:rPr>
                      <w:rFonts w:hint="eastAsia"/>
                      <w:color w:val="auto"/>
                      <w:highlight w:val="none"/>
                    </w:rPr>
                    <w:t>本次评价经</w:t>
                  </w:r>
                  <w:r>
                    <w:rPr>
                      <w:color w:val="auto"/>
                      <w:highlight w:val="none"/>
                    </w:rPr>
                    <w:t>考虑源项大小、直射、散射、屏蔽物材料和结构等各种因素</w:t>
                  </w:r>
                  <w:r>
                    <w:rPr>
                      <w:rFonts w:hint="eastAsia"/>
                      <w:color w:val="auto"/>
                      <w:highlight w:val="none"/>
                    </w:rPr>
                    <w:t>后，预测结果表明，探伤房屏蔽体外各关注点的剂量率、辐射工作人员及公众人员的累计剂量均满足相关标准限值要求；</w:t>
                  </w:r>
                  <w:r>
                    <w:rPr>
                      <w:rFonts w:hint="eastAsia"/>
                      <w:color w:val="auto"/>
                      <w:highlight w:val="none"/>
                      <w:lang w:val="en-US" w:eastAsia="zh-CN"/>
                    </w:rPr>
                    <w:t>通过</w:t>
                  </w:r>
                  <w:r>
                    <w:rPr>
                      <w:rFonts w:hint="eastAsia"/>
                      <w:color w:val="auto"/>
                      <w:highlight w:val="none"/>
                    </w:rPr>
                    <w:t>防护门的防护性能不小于</w:t>
                  </w:r>
                  <w:r>
                    <w:rPr>
                      <w:rFonts w:hint="eastAsia"/>
                      <w:color w:val="auto"/>
                      <w:highlight w:val="none"/>
                      <w:lang w:val="en-US" w:eastAsia="zh-CN"/>
                    </w:rPr>
                    <w:t>北</w:t>
                  </w:r>
                  <w:r>
                    <w:rPr>
                      <w:rFonts w:hint="eastAsia"/>
                      <w:color w:val="auto"/>
                      <w:highlight w:val="none"/>
                    </w:rPr>
                    <w:t>侧屏蔽墙的防护性能。</w:t>
                  </w:r>
                </w:p>
              </w:tc>
              <w:tc>
                <w:tcPr>
                  <w:tcW w:w="404" w:type="pct"/>
                  <w:tcBorders>
                    <w:tl2br w:val="nil"/>
                    <w:tr2bl w:val="nil"/>
                  </w:tcBorders>
                  <w:vAlign w:val="center"/>
                </w:tcPr>
                <w:p w14:paraId="6C8B8A4D">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color w:val="auto"/>
                      <w:highlight w:val="none"/>
                    </w:rPr>
                    <w:t>符合</w:t>
                  </w:r>
                </w:p>
              </w:tc>
            </w:tr>
            <w:tr w14:paraId="7DD20F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7CC36217">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8</w:t>
                  </w:r>
                </w:p>
              </w:tc>
              <w:tc>
                <w:tcPr>
                  <w:tcW w:w="2057" w:type="pct"/>
                  <w:tcBorders>
                    <w:tl2br w:val="nil"/>
                    <w:tr2bl w:val="nil"/>
                  </w:tcBorders>
                  <w:vAlign w:val="center"/>
                </w:tcPr>
                <w:p w14:paraId="01598BA5">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 xml:space="preserve">6.1.2 </w:t>
                  </w:r>
                  <w:r>
                    <w:rPr>
                      <w:color w:val="auto"/>
                      <w:highlight w:val="none"/>
                    </w:rPr>
                    <w:t>应对探伤工作场所实行分区管理，分区管理应符合GB18871的要求。</w:t>
                  </w:r>
                </w:p>
              </w:tc>
              <w:tc>
                <w:tcPr>
                  <w:tcW w:w="2198" w:type="pct"/>
                  <w:tcBorders>
                    <w:tl2br w:val="nil"/>
                    <w:tr2bl w:val="nil"/>
                  </w:tcBorders>
                  <w:vAlign w:val="center"/>
                </w:tcPr>
                <w:p w14:paraId="10CB1935">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本项目探伤工作场所实行分区管理，探伤房为控制区，</w:t>
                  </w:r>
                  <w:r>
                    <w:rPr>
                      <w:rFonts w:hint="eastAsia"/>
                      <w:color w:val="auto"/>
                      <w:szCs w:val="21"/>
                      <w:highlight w:val="none"/>
                    </w:rPr>
                    <w:t>操作间、评片室、洗片室、</w:t>
                  </w:r>
                  <w:r>
                    <w:rPr>
                      <w:rFonts w:hint="eastAsia"/>
                      <w:color w:val="auto"/>
                      <w:szCs w:val="21"/>
                      <w:highlight w:val="none"/>
                      <w:lang w:val="en-US" w:eastAsia="zh-CN"/>
                    </w:rPr>
                    <w:t>南侧、西侧和北侧屏蔽体外1m范围为监督区</w:t>
                  </w:r>
                  <w:r>
                    <w:rPr>
                      <w:rFonts w:hint="eastAsia"/>
                      <w:color w:val="auto"/>
                      <w:highlight w:val="none"/>
                    </w:rPr>
                    <w:t>；按要求落实相应的分区管控措施</w:t>
                  </w:r>
                  <w:r>
                    <w:rPr>
                      <w:color w:val="auto"/>
                      <w:highlight w:val="none"/>
                    </w:rPr>
                    <w:t>。</w:t>
                  </w:r>
                </w:p>
              </w:tc>
              <w:tc>
                <w:tcPr>
                  <w:tcW w:w="404" w:type="pct"/>
                  <w:tcBorders>
                    <w:tl2br w:val="nil"/>
                    <w:tr2bl w:val="nil"/>
                  </w:tcBorders>
                  <w:vAlign w:val="center"/>
                </w:tcPr>
                <w:p w14:paraId="67627031">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color w:val="auto"/>
                      <w:highlight w:val="none"/>
                    </w:rPr>
                    <w:t>符合</w:t>
                  </w:r>
                </w:p>
              </w:tc>
            </w:tr>
            <w:tr w14:paraId="709620E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7299CD9A">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9</w:t>
                  </w:r>
                </w:p>
              </w:tc>
              <w:tc>
                <w:tcPr>
                  <w:tcW w:w="2057" w:type="pct"/>
                  <w:tcBorders>
                    <w:tl2br w:val="nil"/>
                    <w:tr2bl w:val="nil"/>
                  </w:tcBorders>
                  <w:vAlign w:val="center"/>
                </w:tcPr>
                <w:p w14:paraId="5DEC13C3">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 xml:space="preserve">6.1.3 </w:t>
                  </w:r>
                  <w:r>
                    <w:rPr>
                      <w:color w:val="auto"/>
                      <w:highlight w:val="none"/>
                    </w:rPr>
                    <w:t>探伤室墙体和门的辐射屏蔽应同时满足：a)关注点的周围剂量当量参考控制水平，对放射工作场所，其值应不大于100 uSv/周，对公众场所，其值应不大于5uSv/周</w:t>
                  </w:r>
                  <w:r>
                    <w:rPr>
                      <w:rFonts w:hint="eastAsia"/>
                      <w:color w:val="auto"/>
                      <w:highlight w:val="none"/>
                    </w:rPr>
                    <w:t>；</w:t>
                  </w:r>
                  <w:r>
                    <w:rPr>
                      <w:color w:val="auto"/>
                      <w:highlight w:val="none"/>
                    </w:rPr>
                    <w:t>b)屏蔽体外30cm处周围剂量当量率参考控制水平应不大于2.5uSv/h。</w:t>
                  </w:r>
                </w:p>
              </w:tc>
              <w:tc>
                <w:tcPr>
                  <w:tcW w:w="2198" w:type="pct"/>
                  <w:tcBorders>
                    <w:tl2br w:val="nil"/>
                    <w:tr2bl w:val="nil"/>
                  </w:tcBorders>
                  <w:vAlign w:val="center"/>
                </w:tcPr>
                <w:p w14:paraId="60B4AFDE">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color w:val="auto"/>
                      <w:highlight w:val="none"/>
                    </w:rPr>
                    <w:t>通过</w:t>
                  </w:r>
                  <w:r>
                    <w:rPr>
                      <w:rFonts w:hint="eastAsia"/>
                      <w:color w:val="auto"/>
                      <w:highlight w:val="none"/>
                    </w:rPr>
                    <w:t>“</w:t>
                  </w:r>
                  <w:r>
                    <w:rPr>
                      <w:color w:val="auto"/>
                      <w:highlight w:val="none"/>
                    </w:rPr>
                    <w:t>环境影响分析</w:t>
                  </w:r>
                  <w:r>
                    <w:rPr>
                      <w:rFonts w:hint="eastAsia"/>
                      <w:color w:val="auto"/>
                      <w:highlight w:val="none"/>
                    </w:rPr>
                    <w:t>”</w:t>
                  </w:r>
                  <w:r>
                    <w:rPr>
                      <w:color w:val="auto"/>
                      <w:highlight w:val="none"/>
                    </w:rPr>
                    <w:t>章节的计算结果，本项目的探伤</w:t>
                  </w:r>
                  <w:r>
                    <w:rPr>
                      <w:rFonts w:hint="eastAsia"/>
                      <w:color w:val="auto"/>
                      <w:highlight w:val="none"/>
                    </w:rPr>
                    <w:t>房</w:t>
                  </w:r>
                  <w:r>
                    <w:rPr>
                      <w:color w:val="auto"/>
                      <w:highlight w:val="none"/>
                    </w:rPr>
                    <w:t>墙体和门的辐射屏蔽能够满足要求。</w:t>
                  </w:r>
                </w:p>
              </w:tc>
              <w:tc>
                <w:tcPr>
                  <w:tcW w:w="404" w:type="pct"/>
                  <w:tcBorders>
                    <w:tl2br w:val="nil"/>
                    <w:tr2bl w:val="nil"/>
                  </w:tcBorders>
                  <w:vAlign w:val="center"/>
                </w:tcPr>
                <w:p w14:paraId="0F105D92">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color w:val="auto"/>
                      <w:highlight w:val="none"/>
                    </w:rPr>
                    <w:t>符合</w:t>
                  </w:r>
                </w:p>
              </w:tc>
            </w:tr>
            <w:tr w14:paraId="4C0400C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00C96B69">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10</w:t>
                  </w:r>
                </w:p>
              </w:tc>
              <w:tc>
                <w:tcPr>
                  <w:tcW w:w="2057" w:type="pct"/>
                  <w:tcBorders>
                    <w:tl2br w:val="nil"/>
                    <w:tr2bl w:val="nil"/>
                  </w:tcBorders>
                  <w:vAlign w:val="center"/>
                </w:tcPr>
                <w:p w14:paraId="3068048F">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 xml:space="preserve">6.1.4 </w:t>
                  </w:r>
                  <w:r>
                    <w:rPr>
                      <w:color w:val="auto"/>
                      <w:highlight w:val="none"/>
                    </w:rPr>
                    <w:t>探伤室顶的辐射屏蔽应满足：</w:t>
                  </w:r>
                </w:p>
                <w:p w14:paraId="26385102">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color w:val="auto"/>
                      <w:highlight w:val="none"/>
                    </w:rPr>
                    <w:t>a)探伤室上方已建、拟建建筑物或探伤室旁邻近建筑物在自辐射源点到探伤室顶内表面边缘所张立体角区域内时，探伤室顶的辐射屏蔽要求同6.1.3；</w:t>
                  </w:r>
                </w:p>
                <w:p w14:paraId="58AC56CA">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color w:val="auto"/>
                      <w:highlight w:val="none"/>
                    </w:rPr>
                    <w:t>b)对没有人员到达的探伤室顶，探伤室顶外表面30cm处的周围剂量当量率参考控制水平通常可取100uSv/h。</w:t>
                  </w:r>
                </w:p>
              </w:tc>
              <w:tc>
                <w:tcPr>
                  <w:tcW w:w="2198" w:type="pct"/>
                  <w:tcBorders>
                    <w:tl2br w:val="nil"/>
                    <w:tr2bl w:val="nil"/>
                  </w:tcBorders>
                  <w:vAlign w:val="center"/>
                </w:tcPr>
                <w:p w14:paraId="469C8854">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color w:val="auto"/>
                      <w:highlight w:val="none"/>
                    </w:rPr>
                    <w:t>通过“环境影响分析”章节的计算结果，本项目的探伤</w:t>
                  </w:r>
                  <w:r>
                    <w:rPr>
                      <w:rFonts w:hint="eastAsia"/>
                      <w:color w:val="auto"/>
                      <w:highlight w:val="none"/>
                    </w:rPr>
                    <w:t>房</w:t>
                  </w:r>
                  <w:r>
                    <w:rPr>
                      <w:color w:val="auto"/>
                      <w:highlight w:val="none"/>
                    </w:rPr>
                    <w:t>顶的辐射屏蔽能够满足要求。</w:t>
                  </w:r>
                </w:p>
              </w:tc>
              <w:tc>
                <w:tcPr>
                  <w:tcW w:w="404" w:type="pct"/>
                  <w:tcBorders>
                    <w:tl2br w:val="nil"/>
                    <w:tr2bl w:val="nil"/>
                  </w:tcBorders>
                  <w:vAlign w:val="center"/>
                </w:tcPr>
                <w:p w14:paraId="77120A0A">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color w:val="auto"/>
                      <w:highlight w:val="none"/>
                    </w:rPr>
                    <w:t>符合</w:t>
                  </w:r>
                </w:p>
              </w:tc>
            </w:tr>
            <w:tr w14:paraId="489CCD6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665A3AE3">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11</w:t>
                  </w:r>
                </w:p>
              </w:tc>
              <w:tc>
                <w:tcPr>
                  <w:tcW w:w="2057" w:type="pct"/>
                  <w:tcBorders>
                    <w:tl2br w:val="nil"/>
                    <w:tr2bl w:val="nil"/>
                  </w:tcBorders>
                  <w:vAlign w:val="center"/>
                </w:tcPr>
                <w:p w14:paraId="20CA2E8A">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 xml:space="preserve">6.1.5 </w:t>
                  </w:r>
                  <w:r>
                    <w:rPr>
                      <w:color w:val="auto"/>
                      <w:highlight w:val="none"/>
                    </w:rPr>
                    <w:t>探伤室应设置门-机联锁装置，应在门（包括人员进出门和探伤工件进出门）关闭后才能进行探伤作业。门-机联锁装置的设置应方便探伤室内部的人员在紧急情况下离开探伤室。在探伤过程中，防护门被意外打开时，应能立刻停止出束或回源。探伤室内有多台探伤装置时，每台装置均应与防护门联锁。</w:t>
                  </w:r>
                </w:p>
              </w:tc>
              <w:tc>
                <w:tcPr>
                  <w:tcW w:w="2198" w:type="pct"/>
                  <w:tcBorders>
                    <w:tl2br w:val="nil"/>
                    <w:tr2bl w:val="nil"/>
                  </w:tcBorders>
                  <w:vAlign w:val="center"/>
                </w:tcPr>
                <w:p w14:paraId="702F8D04">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项目拟</w:t>
                  </w:r>
                  <w:r>
                    <w:rPr>
                      <w:color w:val="auto"/>
                      <w:highlight w:val="none"/>
                    </w:rPr>
                    <w:t>设置探伤</w:t>
                  </w:r>
                  <w:r>
                    <w:rPr>
                      <w:rFonts w:hint="eastAsia"/>
                      <w:color w:val="auto"/>
                      <w:highlight w:val="none"/>
                    </w:rPr>
                    <w:t>房</w:t>
                  </w:r>
                  <w:r>
                    <w:rPr>
                      <w:color w:val="auto"/>
                      <w:highlight w:val="none"/>
                    </w:rPr>
                    <w:t>门-机</w:t>
                  </w:r>
                  <w:r>
                    <w:rPr>
                      <w:rFonts w:hint="eastAsia"/>
                      <w:color w:val="auto"/>
                      <w:highlight w:val="none"/>
                    </w:rPr>
                    <w:t>联</w:t>
                  </w:r>
                  <w:r>
                    <w:rPr>
                      <w:color w:val="auto"/>
                      <w:highlight w:val="none"/>
                    </w:rPr>
                    <w:t>锁装置，在</w:t>
                  </w:r>
                  <w:r>
                    <w:rPr>
                      <w:rFonts w:hint="eastAsia"/>
                      <w:color w:val="auto"/>
                      <w:highlight w:val="none"/>
                    </w:rPr>
                    <w:t>防护</w:t>
                  </w:r>
                  <w:r>
                    <w:rPr>
                      <w:color w:val="auto"/>
                      <w:highlight w:val="none"/>
                    </w:rPr>
                    <w:t>门关闭后</w:t>
                  </w:r>
                  <w:r>
                    <w:rPr>
                      <w:rFonts w:hint="eastAsia"/>
                      <w:color w:val="auto"/>
                      <w:highlight w:val="none"/>
                    </w:rPr>
                    <w:t>探伤机才可进行出束</w:t>
                  </w:r>
                  <w:r>
                    <w:rPr>
                      <w:color w:val="auto"/>
                      <w:highlight w:val="none"/>
                    </w:rPr>
                    <w:t>作业，</w:t>
                  </w:r>
                  <w:r>
                    <w:rPr>
                      <w:rFonts w:hint="eastAsia"/>
                      <w:color w:val="auto"/>
                      <w:highlight w:val="none"/>
                    </w:rPr>
                    <w:t>探伤房内部</w:t>
                  </w:r>
                  <w:r>
                    <w:rPr>
                      <w:color w:val="auto"/>
                      <w:highlight w:val="none"/>
                    </w:rPr>
                    <w:t>拟设置</w:t>
                  </w:r>
                  <w:r>
                    <w:rPr>
                      <w:rFonts w:hint="eastAsia"/>
                      <w:color w:val="auto"/>
                      <w:highlight w:val="none"/>
                    </w:rPr>
                    <w:t>5</w:t>
                  </w:r>
                  <w:r>
                    <w:rPr>
                      <w:color w:val="auto"/>
                      <w:highlight w:val="none"/>
                    </w:rPr>
                    <w:t>个急停开关，</w:t>
                  </w:r>
                  <w:r>
                    <w:rPr>
                      <w:rFonts w:hint="eastAsia"/>
                      <w:color w:val="auto"/>
                      <w:highlight w:val="none"/>
                    </w:rPr>
                    <w:t>操作台设置1个急停开关，</w:t>
                  </w:r>
                  <w:r>
                    <w:rPr>
                      <w:color w:val="auto"/>
                      <w:highlight w:val="none"/>
                    </w:rPr>
                    <w:t>以确保</w:t>
                  </w:r>
                  <w:r>
                    <w:rPr>
                      <w:rFonts w:hint="eastAsia"/>
                      <w:color w:val="auto"/>
                      <w:highlight w:val="none"/>
                    </w:rPr>
                    <w:t>在</w:t>
                  </w:r>
                  <w:r>
                    <w:rPr>
                      <w:color w:val="auto"/>
                      <w:highlight w:val="none"/>
                    </w:rPr>
                    <w:t>防护门意外打开时，能及时立刻停止出束，</w:t>
                  </w:r>
                  <w:r>
                    <w:rPr>
                      <w:rFonts w:hint="eastAsia"/>
                      <w:color w:val="auto"/>
                      <w:highlight w:val="none"/>
                      <w:lang w:val="en-US" w:eastAsia="zh-CN"/>
                    </w:rPr>
                    <w:t>探伤设备</w:t>
                  </w:r>
                  <w:r>
                    <w:rPr>
                      <w:color w:val="auto"/>
                      <w:highlight w:val="none"/>
                    </w:rPr>
                    <w:t>均与防护门</w:t>
                  </w:r>
                  <w:r>
                    <w:rPr>
                      <w:rFonts w:hint="eastAsia"/>
                      <w:color w:val="auto"/>
                      <w:highlight w:val="none"/>
                      <w:lang w:val="en-US" w:eastAsia="zh-CN"/>
                    </w:rPr>
                    <w:t>高压</w:t>
                  </w:r>
                  <w:r>
                    <w:rPr>
                      <w:color w:val="auto"/>
                      <w:highlight w:val="none"/>
                    </w:rPr>
                    <w:t>联锁。</w:t>
                  </w:r>
                </w:p>
              </w:tc>
              <w:tc>
                <w:tcPr>
                  <w:tcW w:w="404" w:type="pct"/>
                  <w:tcBorders>
                    <w:tl2br w:val="nil"/>
                    <w:tr2bl w:val="nil"/>
                  </w:tcBorders>
                  <w:vAlign w:val="center"/>
                </w:tcPr>
                <w:p w14:paraId="0C0E4EA0">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color w:val="auto"/>
                      <w:highlight w:val="none"/>
                    </w:rPr>
                    <w:t>符合</w:t>
                  </w:r>
                </w:p>
              </w:tc>
            </w:tr>
            <w:tr w14:paraId="26F6A43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126F3F16">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12</w:t>
                  </w:r>
                </w:p>
              </w:tc>
              <w:tc>
                <w:tcPr>
                  <w:tcW w:w="2057" w:type="pct"/>
                  <w:tcBorders>
                    <w:tl2br w:val="nil"/>
                    <w:tr2bl w:val="nil"/>
                  </w:tcBorders>
                  <w:vAlign w:val="center"/>
                </w:tcPr>
                <w:p w14:paraId="05B63972">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 xml:space="preserve">6.1.6 </w:t>
                  </w:r>
                  <w:r>
                    <w:rPr>
                      <w:color w:val="auto"/>
                      <w:highlight w:val="none"/>
                    </w:rPr>
                    <w:t>探伤室门口和内部应同时设有显示“预备”和“照射”状态的指示灯和声音提示装置，并与探伤机联锁。“预备”信号应持续足够长的时间，以确保探伤室内人员安全离开。“预备”信号和“照射”信号应有明显的区别，并且应与该工作场所内使用的其他报警信号有明显区别。在醒目的位置处应有对“照射”和“预备”信号意义的说明。</w:t>
                  </w:r>
                </w:p>
              </w:tc>
              <w:tc>
                <w:tcPr>
                  <w:tcW w:w="2198" w:type="pct"/>
                  <w:tcBorders>
                    <w:tl2br w:val="nil"/>
                    <w:tr2bl w:val="nil"/>
                  </w:tcBorders>
                  <w:vAlign w:val="center"/>
                </w:tcPr>
                <w:p w14:paraId="6B8A03B0">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color w:val="auto"/>
                      <w:highlight w:val="none"/>
                    </w:rPr>
                    <w:t>X射线探伤房</w:t>
                  </w:r>
                  <w:r>
                    <w:rPr>
                      <w:rFonts w:hint="eastAsia"/>
                      <w:color w:val="auto"/>
                      <w:highlight w:val="none"/>
                    </w:rPr>
                    <w:t>防护门门口</w:t>
                  </w:r>
                  <w:r>
                    <w:rPr>
                      <w:color w:val="auto"/>
                      <w:highlight w:val="none"/>
                    </w:rPr>
                    <w:t>和内部均同时设有显示</w:t>
                  </w:r>
                  <w:r>
                    <w:rPr>
                      <w:rFonts w:hint="eastAsia"/>
                      <w:color w:val="auto"/>
                      <w:highlight w:val="none"/>
                    </w:rPr>
                    <w:t>“</w:t>
                  </w:r>
                  <w:r>
                    <w:rPr>
                      <w:color w:val="auto"/>
                      <w:highlight w:val="none"/>
                    </w:rPr>
                    <w:t>预备</w:t>
                  </w:r>
                  <w:r>
                    <w:rPr>
                      <w:rFonts w:hint="eastAsia"/>
                      <w:color w:val="auto"/>
                      <w:highlight w:val="none"/>
                    </w:rPr>
                    <w:t>”</w:t>
                  </w:r>
                  <w:r>
                    <w:rPr>
                      <w:color w:val="auto"/>
                      <w:highlight w:val="none"/>
                    </w:rPr>
                    <w:t>和</w:t>
                  </w:r>
                  <w:r>
                    <w:rPr>
                      <w:rFonts w:hint="eastAsia"/>
                      <w:color w:val="auto"/>
                      <w:highlight w:val="none"/>
                    </w:rPr>
                    <w:t>“</w:t>
                  </w:r>
                  <w:r>
                    <w:rPr>
                      <w:color w:val="auto"/>
                      <w:highlight w:val="none"/>
                    </w:rPr>
                    <w:t>照射</w:t>
                  </w:r>
                  <w:r>
                    <w:rPr>
                      <w:rFonts w:hint="eastAsia"/>
                      <w:color w:val="auto"/>
                      <w:highlight w:val="none"/>
                    </w:rPr>
                    <w:t>”</w:t>
                  </w:r>
                  <w:r>
                    <w:rPr>
                      <w:color w:val="auto"/>
                      <w:highlight w:val="none"/>
                    </w:rPr>
                    <w:t>状态的指示灯和声音提示装置，并与X射线探伤机联锁。</w:t>
                  </w:r>
                  <w:r>
                    <w:rPr>
                      <w:rFonts w:hint="eastAsia"/>
                      <w:color w:val="auto"/>
                      <w:highlight w:val="none"/>
                    </w:rPr>
                    <w:t>“</w:t>
                  </w:r>
                  <w:r>
                    <w:rPr>
                      <w:color w:val="auto"/>
                      <w:highlight w:val="none"/>
                    </w:rPr>
                    <w:t>预备</w:t>
                  </w:r>
                  <w:r>
                    <w:rPr>
                      <w:rFonts w:hint="eastAsia"/>
                      <w:color w:val="auto"/>
                      <w:highlight w:val="none"/>
                    </w:rPr>
                    <w:t>”</w:t>
                  </w:r>
                  <w:r>
                    <w:rPr>
                      <w:color w:val="auto"/>
                      <w:highlight w:val="none"/>
                    </w:rPr>
                    <w:t>信号能持续足够长的时间，以确保</w:t>
                  </w:r>
                  <w:r>
                    <w:rPr>
                      <w:rFonts w:hint="eastAsia"/>
                      <w:color w:val="auto"/>
                      <w:highlight w:val="none"/>
                    </w:rPr>
                    <w:t>探伤房</w:t>
                  </w:r>
                  <w:r>
                    <w:rPr>
                      <w:color w:val="auto"/>
                      <w:highlight w:val="none"/>
                    </w:rPr>
                    <w:t>内人员安全离开。</w:t>
                  </w:r>
                  <w:r>
                    <w:rPr>
                      <w:rFonts w:hint="eastAsia"/>
                      <w:color w:val="auto"/>
                      <w:highlight w:val="none"/>
                    </w:rPr>
                    <w:t>“</w:t>
                  </w:r>
                  <w:r>
                    <w:rPr>
                      <w:color w:val="auto"/>
                      <w:highlight w:val="none"/>
                    </w:rPr>
                    <w:t>预备</w:t>
                  </w:r>
                  <w:r>
                    <w:rPr>
                      <w:rFonts w:hint="eastAsia"/>
                      <w:color w:val="auto"/>
                      <w:highlight w:val="none"/>
                    </w:rPr>
                    <w:t>”</w:t>
                  </w:r>
                  <w:r>
                    <w:rPr>
                      <w:color w:val="auto"/>
                      <w:highlight w:val="none"/>
                    </w:rPr>
                    <w:t>信号和</w:t>
                  </w:r>
                  <w:r>
                    <w:rPr>
                      <w:rFonts w:hint="eastAsia"/>
                      <w:color w:val="auto"/>
                      <w:highlight w:val="none"/>
                    </w:rPr>
                    <w:t>“</w:t>
                  </w:r>
                  <w:r>
                    <w:rPr>
                      <w:color w:val="auto"/>
                      <w:highlight w:val="none"/>
                    </w:rPr>
                    <w:t>照射</w:t>
                  </w:r>
                  <w:r>
                    <w:rPr>
                      <w:rFonts w:hint="eastAsia"/>
                      <w:color w:val="auto"/>
                      <w:highlight w:val="none"/>
                    </w:rPr>
                    <w:t>”</w:t>
                  </w:r>
                  <w:r>
                    <w:rPr>
                      <w:color w:val="auto"/>
                      <w:highlight w:val="none"/>
                    </w:rPr>
                    <w:t>信号有明显的区别，并且与该工作场所内使用的其他报警信号有明显区别。在</w:t>
                  </w:r>
                  <w:r>
                    <w:rPr>
                      <w:rFonts w:hint="eastAsia"/>
                      <w:color w:val="auto"/>
                      <w:highlight w:val="none"/>
                    </w:rPr>
                    <w:t>防护门和墙壁上</w:t>
                  </w:r>
                  <w:r>
                    <w:rPr>
                      <w:color w:val="auto"/>
                      <w:highlight w:val="none"/>
                    </w:rPr>
                    <w:t>拟设置对</w:t>
                  </w:r>
                  <w:r>
                    <w:rPr>
                      <w:rFonts w:hint="eastAsia"/>
                      <w:color w:val="auto"/>
                      <w:highlight w:val="none"/>
                    </w:rPr>
                    <w:t>“</w:t>
                  </w:r>
                  <w:r>
                    <w:rPr>
                      <w:color w:val="auto"/>
                      <w:highlight w:val="none"/>
                    </w:rPr>
                    <w:t>照射</w:t>
                  </w:r>
                  <w:r>
                    <w:rPr>
                      <w:rFonts w:hint="eastAsia"/>
                      <w:color w:val="auto"/>
                      <w:highlight w:val="none"/>
                    </w:rPr>
                    <w:t>”</w:t>
                  </w:r>
                  <w:r>
                    <w:rPr>
                      <w:color w:val="auto"/>
                      <w:highlight w:val="none"/>
                    </w:rPr>
                    <w:t>和</w:t>
                  </w:r>
                  <w:r>
                    <w:rPr>
                      <w:rFonts w:hint="eastAsia"/>
                      <w:color w:val="auto"/>
                      <w:highlight w:val="none"/>
                    </w:rPr>
                    <w:t>“</w:t>
                  </w:r>
                  <w:r>
                    <w:rPr>
                      <w:color w:val="auto"/>
                      <w:highlight w:val="none"/>
                    </w:rPr>
                    <w:t>预备</w:t>
                  </w:r>
                  <w:r>
                    <w:rPr>
                      <w:rFonts w:hint="eastAsia"/>
                      <w:color w:val="auto"/>
                      <w:highlight w:val="none"/>
                    </w:rPr>
                    <w:t>”</w:t>
                  </w:r>
                  <w:r>
                    <w:rPr>
                      <w:color w:val="auto"/>
                      <w:highlight w:val="none"/>
                    </w:rPr>
                    <w:t>信号意义的说明。</w:t>
                  </w:r>
                </w:p>
              </w:tc>
              <w:tc>
                <w:tcPr>
                  <w:tcW w:w="404" w:type="pct"/>
                  <w:tcBorders>
                    <w:tl2br w:val="nil"/>
                    <w:tr2bl w:val="nil"/>
                  </w:tcBorders>
                  <w:vAlign w:val="center"/>
                </w:tcPr>
                <w:p w14:paraId="3B63C16A">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color w:val="auto"/>
                      <w:highlight w:val="none"/>
                    </w:rPr>
                    <w:t>符合</w:t>
                  </w:r>
                </w:p>
              </w:tc>
            </w:tr>
            <w:tr w14:paraId="27735AA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497DE65A">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13</w:t>
                  </w:r>
                </w:p>
              </w:tc>
              <w:tc>
                <w:tcPr>
                  <w:tcW w:w="2057" w:type="pct"/>
                  <w:tcBorders>
                    <w:tl2br w:val="nil"/>
                    <w:tr2bl w:val="nil"/>
                  </w:tcBorders>
                  <w:vAlign w:val="center"/>
                </w:tcPr>
                <w:p w14:paraId="15D7C94F">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 xml:space="preserve">6.1.7 </w:t>
                  </w:r>
                  <w:r>
                    <w:rPr>
                      <w:color w:val="auto"/>
                      <w:highlight w:val="none"/>
                    </w:rPr>
                    <w:t>探伤室内和探伤室出入口应安装监视装置，在</w:t>
                  </w:r>
                  <w:r>
                    <w:rPr>
                      <w:rFonts w:hint="eastAsia"/>
                      <w:color w:val="auto"/>
                      <w:highlight w:val="none"/>
                      <w:lang w:eastAsia="zh-CN"/>
                    </w:rPr>
                    <w:t>操作室</w:t>
                  </w:r>
                  <w:r>
                    <w:rPr>
                      <w:color w:val="auto"/>
                      <w:highlight w:val="none"/>
                    </w:rPr>
                    <w:t>的操作台应有专用的监视器，可监视探伤室内人员的活动和探伤设备的运行情况。</w:t>
                  </w:r>
                </w:p>
              </w:tc>
              <w:tc>
                <w:tcPr>
                  <w:tcW w:w="2198" w:type="pct"/>
                  <w:tcBorders>
                    <w:tl2br w:val="nil"/>
                    <w:tr2bl w:val="nil"/>
                  </w:tcBorders>
                  <w:vAlign w:val="center"/>
                </w:tcPr>
                <w:p w14:paraId="4C150030">
                  <w:pPr>
                    <w:keepNext w:val="0"/>
                    <w:keepLines w:val="0"/>
                    <w:pageBreakBefore w:val="0"/>
                    <w:widowControl w:val="0"/>
                    <w:kinsoku/>
                    <w:wordWrap/>
                    <w:overflowPunct/>
                    <w:topLinePunct w:val="0"/>
                    <w:autoSpaceDE/>
                    <w:autoSpaceDN/>
                    <w:bidi w:val="0"/>
                    <w:adjustRightInd/>
                    <w:snapToGrid/>
                    <w:spacing w:line="260" w:lineRule="exact"/>
                    <w:jc w:val="both"/>
                    <w:textAlignment w:val="auto"/>
                    <w:rPr>
                      <w:rFonts w:hint="eastAsia" w:eastAsia="宋体"/>
                      <w:color w:val="auto"/>
                      <w:highlight w:val="none"/>
                      <w:lang w:eastAsia="zh-CN"/>
                    </w:rPr>
                  </w:pPr>
                  <w:r>
                    <w:rPr>
                      <w:color w:val="auto"/>
                      <w:highlight w:val="none"/>
                    </w:rPr>
                    <w:t>本项目拟在探伤</w:t>
                  </w:r>
                  <w:r>
                    <w:rPr>
                      <w:rFonts w:hint="eastAsia"/>
                      <w:color w:val="auto"/>
                      <w:highlight w:val="none"/>
                    </w:rPr>
                    <w:t>房</w:t>
                  </w:r>
                  <w:r>
                    <w:rPr>
                      <w:color w:val="auto"/>
                      <w:highlight w:val="none"/>
                    </w:rPr>
                    <w:t>内及出入口安装监视装置，并在操作台</w:t>
                  </w:r>
                  <w:r>
                    <w:rPr>
                      <w:rFonts w:hint="eastAsia"/>
                      <w:color w:val="auto"/>
                      <w:highlight w:val="none"/>
                    </w:rPr>
                    <w:t>处</w:t>
                  </w:r>
                  <w:r>
                    <w:rPr>
                      <w:color w:val="auto"/>
                      <w:highlight w:val="none"/>
                    </w:rPr>
                    <w:t>配备专用监视器用以监视探伤</w:t>
                  </w:r>
                  <w:r>
                    <w:rPr>
                      <w:rFonts w:hint="eastAsia"/>
                      <w:color w:val="auto"/>
                      <w:highlight w:val="none"/>
                    </w:rPr>
                    <w:t>房</w:t>
                  </w:r>
                  <w:r>
                    <w:rPr>
                      <w:color w:val="auto"/>
                      <w:highlight w:val="none"/>
                    </w:rPr>
                    <w:t>内人员的活动和探伤设备的运行情况</w:t>
                  </w:r>
                  <w:r>
                    <w:rPr>
                      <w:rFonts w:hint="eastAsia"/>
                      <w:color w:val="auto"/>
                      <w:highlight w:val="none"/>
                      <w:lang w:eastAsia="zh-CN"/>
                    </w:rPr>
                    <w:t>。</w:t>
                  </w:r>
                </w:p>
              </w:tc>
              <w:tc>
                <w:tcPr>
                  <w:tcW w:w="404" w:type="pct"/>
                  <w:tcBorders>
                    <w:tl2br w:val="nil"/>
                    <w:tr2bl w:val="nil"/>
                  </w:tcBorders>
                  <w:vAlign w:val="center"/>
                </w:tcPr>
                <w:p w14:paraId="42AF977E">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color w:val="auto"/>
                      <w:highlight w:val="none"/>
                    </w:rPr>
                    <w:t>符合</w:t>
                  </w:r>
                </w:p>
              </w:tc>
            </w:tr>
            <w:tr w14:paraId="38C377F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297773B6">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14</w:t>
                  </w:r>
                </w:p>
              </w:tc>
              <w:tc>
                <w:tcPr>
                  <w:tcW w:w="2057" w:type="pct"/>
                  <w:tcBorders>
                    <w:tl2br w:val="nil"/>
                    <w:tr2bl w:val="nil"/>
                  </w:tcBorders>
                  <w:vAlign w:val="center"/>
                </w:tcPr>
                <w:p w14:paraId="7E1E0906">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 xml:space="preserve">6.1.8 </w:t>
                  </w:r>
                  <w:r>
                    <w:rPr>
                      <w:color w:val="auto"/>
                      <w:highlight w:val="none"/>
                    </w:rPr>
                    <w:t>探伤室防护门上应有符合GB 18871要求的电离辐射警告标志和中文警示说明。</w:t>
                  </w:r>
                </w:p>
              </w:tc>
              <w:tc>
                <w:tcPr>
                  <w:tcW w:w="2198" w:type="pct"/>
                  <w:tcBorders>
                    <w:tl2br w:val="nil"/>
                    <w:tr2bl w:val="nil"/>
                  </w:tcBorders>
                  <w:vAlign w:val="center"/>
                </w:tcPr>
                <w:p w14:paraId="1D9DA67E">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color w:val="auto"/>
                      <w:highlight w:val="none"/>
                    </w:rPr>
                    <w:t>本项目拟在探伤</w:t>
                  </w:r>
                  <w:r>
                    <w:rPr>
                      <w:rFonts w:hint="eastAsia"/>
                      <w:color w:val="auto"/>
                      <w:highlight w:val="none"/>
                    </w:rPr>
                    <w:t>房</w:t>
                  </w:r>
                  <w:r>
                    <w:rPr>
                      <w:color w:val="auto"/>
                      <w:highlight w:val="none"/>
                    </w:rPr>
                    <w:t>外墙和防护门外醒目处张贴</w:t>
                  </w:r>
                  <w:r>
                    <w:rPr>
                      <w:rFonts w:hint="eastAsia"/>
                      <w:color w:val="auto"/>
                      <w:highlight w:val="none"/>
                    </w:rPr>
                    <w:t>“</w:t>
                  </w:r>
                  <w:r>
                    <w:rPr>
                      <w:color w:val="auto"/>
                      <w:highlight w:val="none"/>
                    </w:rPr>
                    <w:t>当心电离辐射</w:t>
                  </w:r>
                  <w:r>
                    <w:rPr>
                      <w:rFonts w:hint="eastAsia"/>
                      <w:color w:val="auto"/>
                      <w:highlight w:val="none"/>
                    </w:rPr>
                    <w:t>”</w:t>
                  </w:r>
                  <w:r>
                    <w:rPr>
                      <w:color w:val="auto"/>
                      <w:highlight w:val="none"/>
                    </w:rPr>
                    <w:t>警告标志。控制台</w:t>
                  </w:r>
                  <w:r>
                    <w:rPr>
                      <w:rFonts w:hint="eastAsia"/>
                      <w:color w:val="auto"/>
                      <w:highlight w:val="none"/>
                    </w:rPr>
                    <w:t>拟</w:t>
                  </w:r>
                  <w:r>
                    <w:rPr>
                      <w:color w:val="auto"/>
                      <w:highlight w:val="none"/>
                    </w:rPr>
                    <w:t>设置辐射警告、出束指示和禁止非授权使用的警告等标识。</w:t>
                  </w:r>
                </w:p>
              </w:tc>
              <w:tc>
                <w:tcPr>
                  <w:tcW w:w="404" w:type="pct"/>
                  <w:tcBorders>
                    <w:tl2br w:val="nil"/>
                    <w:tr2bl w:val="nil"/>
                  </w:tcBorders>
                  <w:vAlign w:val="center"/>
                </w:tcPr>
                <w:p w14:paraId="56E64794">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color w:val="auto"/>
                      <w:highlight w:val="none"/>
                    </w:rPr>
                    <w:t>符合</w:t>
                  </w:r>
                </w:p>
              </w:tc>
            </w:tr>
            <w:tr w14:paraId="5114796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0F30E41F">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rFonts w:hint="eastAsia"/>
                      <w:color w:val="auto"/>
                      <w:highlight w:val="none"/>
                    </w:rPr>
                    <w:t>15</w:t>
                  </w:r>
                </w:p>
              </w:tc>
              <w:tc>
                <w:tcPr>
                  <w:tcW w:w="2057" w:type="pct"/>
                  <w:tcBorders>
                    <w:tl2br w:val="nil"/>
                    <w:tr2bl w:val="nil"/>
                  </w:tcBorders>
                  <w:vAlign w:val="center"/>
                </w:tcPr>
                <w:p w14:paraId="5F253E0E">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 xml:space="preserve">6.1.9 </w:t>
                  </w:r>
                  <w:r>
                    <w:rPr>
                      <w:color w:val="auto"/>
                      <w:highlight w:val="none"/>
                    </w:rPr>
                    <w:t>探伤室内应安装紧急停机按钮或拉绳，确保出现紧急事故时，能立即停止照射。按钮或拉绳的安装，应使人员处在探伤室内任何位置时都不需要穿过主射线束就能够使用。按钮或拉绳应带有标签，标明使用方法。</w:t>
                  </w:r>
                </w:p>
              </w:tc>
              <w:tc>
                <w:tcPr>
                  <w:tcW w:w="2198" w:type="pct"/>
                  <w:tcBorders>
                    <w:tl2br w:val="nil"/>
                    <w:tr2bl w:val="nil"/>
                  </w:tcBorders>
                  <w:vAlign w:val="center"/>
                </w:tcPr>
                <w:p w14:paraId="75825EEE">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color w:val="auto"/>
                      <w:highlight w:val="none"/>
                    </w:rPr>
                    <w:t>本项目拟在探伤</w:t>
                  </w:r>
                  <w:r>
                    <w:rPr>
                      <w:rFonts w:hint="eastAsia"/>
                      <w:color w:val="auto"/>
                      <w:highlight w:val="none"/>
                    </w:rPr>
                    <w:t>房</w:t>
                  </w:r>
                  <w:r>
                    <w:rPr>
                      <w:color w:val="auto"/>
                      <w:highlight w:val="none"/>
                    </w:rPr>
                    <w:t>内墙和</w:t>
                  </w:r>
                  <w:r>
                    <w:rPr>
                      <w:rFonts w:hint="eastAsia"/>
                      <w:color w:val="auto"/>
                      <w:highlight w:val="none"/>
                    </w:rPr>
                    <w:t>操作间</w:t>
                  </w:r>
                  <w:r>
                    <w:rPr>
                      <w:color w:val="auto"/>
                      <w:highlight w:val="none"/>
                    </w:rPr>
                    <w:t>操作台上易于接触的地方设置紧急停止开关；按下按钮，探伤机高压电源立即被切断，停止出束，防护门可从内侧打开。急停开关使用后，需复位后方可进行下一次探伤工作。</w:t>
                  </w:r>
                </w:p>
              </w:tc>
              <w:tc>
                <w:tcPr>
                  <w:tcW w:w="404" w:type="pct"/>
                  <w:tcBorders>
                    <w:tl2br w:val="nil"/>
                    <w:tr2bl w:val="nil"/>
                  </w:tcBorders>
                  <w:vAlign w:val="center"/>
                </w:tcPr>
                <w:p w14:paraId="687D5FA4">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color w:val="auto"/>
                      <w:highlight w:val="none"/>
                    </w:rPr>
                    <w:t>符合</w:t>
                  </w:r>
                </w:p>
              </w:tc>
            </w:tr>
            <w:tr w14:paraId="6D8BCAF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292998CD">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color w:val="auto"/>
                      <w:highlight w:val="none"/>
                    </w:rPr>
                    <w:t>1</w:t>
                  </w:r>
                  <w:r>
                    <w:rPr>
                      <w:rFonts w:hint="eastAsia"/>
                      <w:color w:val="auto"/>
                      <w:highlight w:val="none"/>
                    </w:rPr>
                    <w:t>6</w:t>
                  </w:r>
                </w:p>
              </w:tc>
              <w:tc>
                <w:tcPr>
                  <w:tcW w:w="2057" w:type="pct"/>
                  <w:tcBorders>
                    <w:tl2br w:val="nil"/>
                    <w:tr2bl w:val="nil"/>
                  </w:tcBorders>
                  <w:vAlign w:val="center"/>
                </w:tcPr>
                <w:p w14:paraId="19E99259">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 xml:space="preserve">6.1.10 </w:t>
                  </w:r>
                  <w:r>
                    <w:rPr>
                      <w:color w:val="auto"/>
                      <w:highlight w:val="none"/>
                    </w:rPr>
                    <w:t>探伤室应设置机械通风装置，排风管道外口避免朝向人员活动密集区。每小时有效通风换气次数应不小于3次。</w:t>
                  </w:r>
                </w:p>
              </w:tc>
              <w:tc>
                <w:tcPr>
                  <w:tcW w:w="2198" w:type="pct"/>
                  <w:tcBorders>
                    <w:tl2br w:val="nil"/>
                    <w:tr2bl w:val="nil"/>
                  </w:tcBorders>
                  <w:vAlign w:val="center"/>
                </w:tcPr>
                <w:p w14:paraId="6D6A3ACC">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color w:val="auto"/>
                      <w:highlight w:val="none"/>
                    </w:rPr>
                    <w:t>本项目探伤</w:t>
                  </w:r>
                  <w:r>
                    <w:rPr>
                      <w:rFonts w:hint="eastAsia"/>
                      <w:color w:val="auto"/>
                      <w:highlight w:val="none"/>
                    </w:rPr>
                    <w:t>房</w:t>
                  </w:r>
                  <w:r>
                    <w:rPr>
                      <w:color w:val="auto"/>
                      <w:highlight w:val="none"/>
                    </w:rPr>
                    <w:t>拟</w:t>
                  </w:r>
                  <w:r>
                    <w:rPr>
                      <w:rFonts w:hint="eastAsia"/>
                      <w:color w:val="auto"/>
                      <w:highlight w:val="none"/>
                    </w:rPr>
                    <w:t>设置</w:t>
                  </w:r>
                  <w:r>
                    <w:rPr>
                      <w:color w:val="auto"/>
                      <w:highlight w:val="none"/>
                    </w:rPr>
                    <w:t>机械排风装置，排风量为</w:t>
                  </w:r>
                  <w:r>
                    <w:rPr>
                      <w:rFonts w:hint="eastAsia"/>
                      <w:color w:val="auto"/>
                      <w:highlight w:val="none"/>
                    </w:rPr>
                    <w:t>4</w:t>
                  </w:r>
                  <w:r>
                    <w:rPr>
                      <w:rFonts w:hint="eastAsia"/>
                      <w:color w:val="auto"/>
                      <w:highlight w:val="none"/>
                      <w:lang w:val="en-US" w:eastAsia="zh-CN"/>
                    </w:rPr>
                    <w:t>0</w:t>
                  </w:r>
                  <w:r>
                    <w:rPr>
                      <w:rFonts w:hint="eastAsia"/>
                      <w:color w:val="auto"/>
                      <w:highlight w:val="none"/>
                    </w:rPr>
                    <w:t>0</w:t>
                  </w:r>
                  <w:r>
                    <w:rPr>
                      <w:color w:val="auto"/>
                      <w:highlight w:val="none"/>
                    </w:rPr>
                    <w:t>m</w:t>
                  </w:r>
                  <w:r>
                    <w:rPr>
                      <w:color w:val="auto"/>
                      <w:highlight w:val="none"/>
                      <w:vertAlign w:val="superscript"/>
                    </w:rPr>
                    <w:t>3</w:t>
                  </w:r>
                  <w:r>
                    <w:rPr>
                      <w:color w:val="auto"/>
                      <w:highlight w:val="none"/>
                    </w:rPr>
                    <w:t>/h，探伤</w:t>
                  </w:r>
                  <w:r>
                    <w:rPr>
                      <w:rFonts w:hint="eastAsia"/>
                      <w:color w:val="auto"/>
                      <w:highlight w:val="none"/>
                    </w:rPr>
                    <w:t>房</w:t>
                  </w:r>
                  <w:r>
                    <w:rPr>
                      <w:color w:val="auto"/>
                      <w:highlight w:val="none"/>
                    </w:rPr>
                    <w:t>内部净空体积为</w:t>
                  </w:r>
                  <w:r>
                    <w:rPr>
                      <w:rFonts w:hint="eastAsia"/>
                      <w:color w:val="auto"/>
                      <w:highlight w:val="none"/>
                      <w:lang w:val="en-US" w:eastAsia="zh-CN"/>
                    </w:rPr>
                    <w:t>26</w:t>
                  </w:r>
                  <w:r>
                    <w:rPr>
                      <w:color w:val="auto"/>
                      <w:highlight w:val="none"/>
                    </w:rPr>
                    <w:t>m</w:t>
                  </w:r>
                  <w:r>
                    <w:rPr>
                      <w:color w:val="auto"/>
                      <w:highlight w:val="none"/>
                      <w:vertAlign w:val="superscript"/>
                    </w:rPr>
                    <w:t>3</w:t>
                  </w:r>
                  <w:r>
                    <w:rPr>
                      <w:color w:val="auto"/>
                      <w:highlight w:val="none"/>
                    </w:rPr>
                    <w:t>（</w:t>
                  </w:r>
                  <w:r>
                    <w:rPr>
                      <w:rFonts w:hint="eastAsia"/>
                      <w:color w:val="auto"/>
                      <w:highlight w:val="none"/>
                      <w:lang w:val="en-US" w:eastAsia="zh-CN"/>
                    </w:rPr>
                    <w:t>4</w:t>
                  </w:r>
                  <w:r>
                    <w:rPr>
                      <w:color w:val="auto"/>
                      <w:highlight w:val="none"/>
                    </w:rPr>
                    <w:t>m×</w:t>
                  </w:r>
                  <w:r>
                    <w:rPr>
                      <w:rFonts w:hint="eastAsia"/>
                      <w:color w:val="auto"/>
                      <w:highlight w:val="none"/>
                      <w:lang w:val="en-US" w:eastAsia="zh-CN"/>
                    </w:rPr>
                    <w:t>2.6</w:t>
                  </w:r>
                  <w:r>
                    <w:rPr>
                      <w:color w:val="auto"/>
                      <w:highlight w:val="none"/>
                    </w:rPr>
                    <w:t>m×</w:t>
                  </w:r>
                  <w:r>
                    <w:rPr>
                      <w:rFonts w:hint="eastAsia"/>
                      <w:color w:val="auto"/>
                      <w:highlight w:val="none"/>
                      <w:lang w:val="en-US" w:eastAsia="zh-CN"/>
                    </w:rPr>
                    <w:t>2.5</w:t>
                  </w:r>
                  <w:r>
                    <w:rPr>
                      <w:color w:val="auto"/>
                      <w:highlight w:val="none"/>
                    </w:rPr>
                    <w:t>m），有效换风效率以</w:t>
                  </w:r>
                  <w:r>
                    <w:rPr>
                      <w:rFonts w:hint="eastAsia"/>
                      <w:color w:val="auto"/>
                      <w:highlight w:val="none"/>
                    </w:rPr>
                    <w:t>80</w:t>
                  </w:r>
                  <w:r>
                    <w:rPr>
                      <w:color w:val="auto"/>
                      <w:highlight w:val="none"/>
                    </w:rPr>
                    <w:t>%计，则每小时有效换风次数为</w:t>
                  </w:r>
                  <w:r>
                    <w:rPr>
                      <w:rFonts w:hint="eastAsia"/>
                      <w:color w:val="auto"/>
                      <w:highlight w:val="none"/>
                      <w:lang w:val="en-US" w:eastAsia="zh-CN"/>
                    </w:rPr>
                    <w:t>13.3</w:t>
                  </w:r>
                  <w:r>
                    <w:rPr>
                      <w:color w:val="auto"/>
                      <w:highlight w:val="none"/>
                    </w:rPr>
                    <w:t>次，每小时有效排风换气次数不小于3次。</w:t>
                  </w:r>
                </w:p>
              </w:tc>
              <w:tc>
                <w:tcPr>
                  <w:tcW w:w="404" w:type="pct"/>
                  <w:tcBorders>
                    <w:tl2br w:val="nil"/>
                    <w:tr2bl w:val="nil"/>
                  </w:tcBorders>
                  <w:vAlign w:val="center"/>
                </w:tcPr>
                <w:p w14:paraId="73C55C23">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color w:val="auto"/>
                      <w:highlight w:val="none"/>
                    </w:rPr>
                    <w:t>符合</w:t>
                  </w:r>
                </w:p>
              </w:tc>
            </w:tr>
            <w:tr w14:paraId="1CF3599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339" w:type="pct"/>
                  <w:tcBorders>
                    <w:tl2br w:val="nil"/>
                    <w:tr2bl w:val="nil"/>
                  </w:tcBorders>
                  <w:vAlign w:val="center"/>
                </w:tcPr>
                <w:p w14:paraId="395C8B4D">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color w:val="auto"/>
                      <w:highlight w:val="none"/>
                    </w:rPr>
                    <w:t>1</w:t>
                  </w:r>
                  <w:r>
                    <w:rPr>
                      <w:rFonts w:hint="eastAsia"/>
                      <w:color w:val="auto"/>
                      <w:highlight w:val="none"/>
                    </w:rPr>
                    <w:t>7</w:t>
                  </w:r>
                </w:p>
              </w:tc>
              <w:tc>
                <w:tcPr>
                  <w:tcW w:w="2057" w:type="pct"/>
                  <w:tcBorders>
                    <w:tl2br w:val="nil"/>
                    <w:tr2bl w:val="nil"/>
                  </w:tcBorders>
                  <w:vAlign w:val="center"/>
                </w:tcPr>
                <w:p w14:paraId="7EE7F7D4">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rFonts w:hint="eastAsia"/>
                      <w:color w:val="auto"/>
                      <w:highlight w:val="none"/>
                    </w:rPr>
                    <w:t xml:space="preserve">6.1.11 </w:t>
                  </w:r>
                  <w:r>
                    <w:rPr>
                      <w:color w:val="auto"/>
                      <w:highlight w:val="none"/>
                    </w:rPr>
                    <w:t>探伤室应配置固定式场所辐射探测报警装置。</w:t>
                  </w:r>
                </w:p>
              </w:tc>
              <w:tc>
                <w:tcPr>
                  <w:tcW w:w="2198" w:type="pct"/>
                  <w:tcBorders>
                    <w:tl2br w:val="nil"/>
                    <w:tr2bl w:val="nil"/>
                  </w:tcBorders>
                  <w:vAlign w:val="center"/>
                </w:tcPr>
                <w:p w14:paraId="2BB7DF3F">
                  <w:pPr>
                    <w:keepNext w:val="0"/>
                    <w:keepLines w:val="0"/>
                    <w:pageBreakBefore w:val="0"/>
                    <w:widowControl w:val="0"/>
                    <w:kinsoku/>
                    <w:wordWrap/>
                    <w:overflowPunct/>
                    <w:topLinePunct w:val="0"/>
                    <w:autoSpaceDE/>
                    <w:autoSpaceDN/>
                    <w:bidi w:val="0"/>
                    <w:adjustRightInd/>
                    <w:snapToGrid/>
                    <w:spacing w:line="260" w:lineRule="exact"/>
                    <w:jc w:val="both"/>
                    <w:textAlignment w:val="auto"/>
                    <w:rPr>
                      <w:color w:val="auto"/>
                      <w:highlight w:val="none"/>
                    </w:rPr>
                  </w:pPr>
                  <w:r>
                    <w:rPr>
                      <w:color w:val="auto"/>
                      <w:highlight w:val="none"/>
                    </w:rPr>
                    <w:t>拟配备1台固定式场所辐射探伤报警装置</w:t>
                  </w:r>
                  <w:r>
                    <w:rPr>
                      <w:rFonts w:hint="eastAsia"/>
                      <w:color w:val="auto"/>
                      <w:highlight w:val="none"/>
                    </w:rPr>
                    <w:t>。</w:t>
                  </w:r>
                </w:p>
              </w:tc>
              <w:tc>
                <w:tcPr>
                  <w:tcW w:w="404" w:type="pct"/>
                  <w:tcBorders>
                    <w:tl2br w:val="nil"/>
                    <w:tr2bl w:val="nil"/>
                  </w:tcBorders>
                  <w:vAlign w:val="center"/>
                </w:tcPr>
                <w:p w14:paraId="3E3FA5D9">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color w:val="auto"/>
                      <w:highlight w:val="none"/>
                    </w:rPr>
                  </w:pPr>
                  <w:r>
                    <w:rPr>
                      <w:color w:val="auto"/>
                      <w:highlight w:val="none"/>
                    </w:rPr>
                    <w:t>符合</w:t>
                  </w:r>
                </w:p>
              </w:tc>
            </w:tr>
          </w:tbl>
          <w:p w14:paraId="1F3D7385">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lang w:val="zh-CN"/>
              </w:rPr>
            </w:pPr>
            <w:r>
              <w:rPr>
                <w:rFonts w:hint="eastAsia"/>
                <w:b/>
                <w:bCs/>
                <w:color w:val="auto"/>
                <w:sz w:val="24"/>
                <w:szCs w:val="24"/>
                <w:highlight w:val="none"/>
              </w:rPr>
              <w:t>5、</w:t>
            </w:r>
            <w:r>
              <w:rPr>
                <w:b/>
                <w:bCs/>
                <w:color w:val="auto"/>
                <w:sz w:val="24"/>
                <w:szCs w:val="24"/>
                <w:highlight w:val="none"/>
                <w:lang w:val="zh-CN"/>
              </w:rPr>
              <w:t>其他管理措施</w:t>
            </w:r>
          </w:p>
          <w:p w14:paraId="06E8C997">
            <w:pPr>
              <w:spacing w:line="360" w:lineRule="auto"/>
              <w:ind w:firstLine="480" w:firstLineChars="200"/>
              <w:rPr>
                <w:color w:val="auto"/>
                <w:sz w:val="24"/>
                <w:szCs w:val="24"/>
                <w:highlight w:val="none"/>
                <w:lang w:val="zh-CN"/>
              </w:rPr>
            </w:pPr>
            <w:r>
              <w:rPr>
                <w:rFonts w:hint="eastAsia"/>
                <w:color w:val="auto"/>
                <w:sz w:val="24"/>
                <w:szCs w:val="24"/>
                <w:highlight w:val="none"/>
                <w:lang w:val="zh-CN"/>
              </w:rPr>
              <w:t>（</w:t>
            </w:r>
            <w:r>
              <w:rPr>
                <w:rFonts w:hint="eastAsia"/>
                <w:color w:val="auto"/>
                <w:sz w:val="24"/>
                <w:szCs w:val="24"/>
                <w:highlight w:val="none"/>
              </w:rPr>
              <w:t>1</w:t>
            </w:r>
            <w:r>
              <w:rPr>
                <w:rFonts w:hint="eastAsia"/>
                <w:color w:val="auto"/>
                <w:sz w:val="24"/>
                <w:szCs w:val="24"/>
                <w:highlight w:val="none"/>
                <w:lang w:val="zh-CN"/>
              </w:rPr>
              <w:t>）</w:t>
            </w:r>
            <w:r>
              <w:rPr>
                <w:color w:val="auto"/>
                <w:sz w:val="24"/>
                <w:szCs w:val="24"/>
                <w:highlight w:val="none"/>
                <w:lang w:val="zh-CN"/>
              </w:rPr>
              <w:t>探伤工作人员进入</w:t>
            </w:r>
            <w:r>
              <w:rPr>
                <w:rFonts w:hint="eastAsia"/>
                <w:color w:val="auto"/>
                <w:sz w:val="24"/>
                <w:szCs w:val="24"/>
                <w:highlight w:val="none"/>
                <w:lang w:val="zh-CN"/>
              </w:rPr>
              <w:t>探伤</w:t>
            </w:r>
            <w:r>
              <w:rPr>
                <w:rFonts w:hint="eastAsia"/>
                <w:color w:val="auto"/>
                <w:sz w:val="24"/>
                <w:szCs w:val="24"/>
                <w:highlight w:val="none"/>
              </w:rPr>
              <w:t>房</w:t>
            </w:r>
            <w:r>
              <w:rPr>
                <w:color w:val="auto"/>
                <w:sz w:val="24"/>
                <w:szCs w:val="24"/>
                <w:highlight w:val="none"/>
                <w:lang w:val="zh-CN"/>
              </w:rPr>
              <w:t>时应佩戴常规个人剂量计外，还应配备个人剂量报警仪。当辐射水平达到设定的报警水平时，剂量仪报警，探伤工作人员应立即</w:t>
            </w:r>
            <w:r>
              <w:rPr>
                <w:rFonts w:hint="eastAsia"/>
                <w:color w:val="auto"/>
                <w:sz w:val="24"/>
                <w:szCs w:val="24"/>
                <w:highlight w:val="none"/>
              </w:rPr>
              <w:t>将</w:t>
            </w:r>
            <w:r>
              <w:rPr>
                <w:rFonts w:hint="eastAsia" w:ascii="宋体" w:hAnsi="宋体" w:cs="宋体"/>
                <w:color w:val="auto"/>
                <w:spacing w:val="-2"/>
                <w:sz w:val="24"/>
                <w:szCs w:val="24"/>
                <w:highlight w:val="none"/>
              </w:rPr>
              <w:t>X射线探伤机</w:t>
            </w:r>
            <w:r>
              <w:rPr>
                <w:rFonts w:hint="eastAsia"/>
                <w:color w:val="auto"/>
                <w:sz w:val="24"/>
                <w:szCs w:val="24"/>
                <w:highlight w:val="none"/>
              </w:rPr>
              <w:t>断电，并</w:t>
            </w:r>
            <w:r>
              <w:rPr>
                <w:color w:val="auto"/>
                <w:sz w:val="24"/>
                <w:szCs w:val="24"/>
                <w:highlight w:val="none"/>
                <w:lang w:val="zh-CN"/>
              </w:rPr>
              <w:t>离开</w:t>
            </w:r>
            <w:r>
              <w:rPr>
                <w:rFonts w:hint="eastAsia"/>
                <w:color w:val="auto"/>
                <w:sz w:val="24"/>
                <w:szCs w:val="24"/>
                <w:highlight w:val="none"/>
                <w:lang w:val="zh-CN"/>
              </w:rPr>
              <w:t>探伤</w:t>
            </w:r>
            <w:r>
              <w:rPr>
                <w:rFonts w:hint="eastAsia"/>
                <w:color w:val="auto"/>
                <w:sz w:val="24"/>
                <w:szCs w:val="24"/>
                <w:highlight w:val="none"/>
              </w:rPr>
              <w:t>房</w:t>
            </w:r>
            <w:r>
              <w:rPr>
                <w:color w:val="auto"/>
                <w:sz w:val="24"/>
                <w:szCs w:val="24"/>
                <w:highlight w:val="none"/>
                <w:lang w:val="zh-CN"/>
              </w:rPr>
              <w:t>，同时阻止其他人进入</w:t>
            </w:r>
            <w:r>
              <w:rPr>
                <w:rFonts w:hint="eastAsia"/>
                <w:color w:val="auto"/>
                <w:sz w:val="24"/>
                <w:szCs w:val="24"/>
                <w:highlight w:val="none"/>
                <w:lang w:val="zh-CN"/>
              </w:rPr>
              <w:t>探伤</w:t>
            </w:r>
            <w:r>
              <w:rPr>
                <w:rFonts w:hint="eastAsia"/>
                <w:color w:val="auto"/>
                <w:sz w:val="24"/>
                <w:szCs w:val="24"/>
                <w:highlight w:val="none"/>
              </w:rPr>
              <w:t>房</w:t>
            </w:r>
            <w:r>
              <w:rPr>
                <w:color w:val="auto"/>
                <w:sz w:val="24"/>
                <w:szCs w:val="24"/>
                <w:highlight w:val="none"/>
                <w:lang w:val="zh-CN"/>
              </w:rPr>
              <w:t>，并立即向辐射防护负责人报告；交接班或当班使用剂量仪前，应检查剂量仪是否正常工作。如在检查过程中发现剂量仪不能正常工作，则不能开始探伤工作</w:t>
            </w:r>
            <w:r>
              <w:rPr>
                <w:rFonts w:hint="eastAsia"/>
                <w:color w:val="auto"/>
                <w:sz w:val="24"/>
                <w:szCs w:val="24"/>
                <w:highlight w:val="none"/>
                <w:lang w:val="zh-CN"/>
              </w:rPr>
              <w:t>。</w:t>
            </w:r>
          </w:p>
          <w:p w14:paraId="6EC9A674">
            <w:pPr>
              <w:spacing w:line="360" w:lineRule="auto"/>
              <w:ind w:firstLine="480" w:firstLineChars="200"/>
              <w:rPr>
                <w:color w:val="auto"/>
                <w:sz w:val="24"/>
                <w:szCs w:val="24"/>
                <w:highlight w:val="none"/>
                <w:lang w:val="zh-CN"/>
              </w:rPr>
            </w:pPr>
            <w:r>
              <w:rPr>
                <w:rFonts w:hint="eastAsia"/>
                <w:color w:val="auto"/>
                <w:sz w:val="24"/>
                <w:szCs w:val="24"/>
                <w:highlight w:val="none"/>
                <w:lang w:val="zh-CN"/>
              </w:rPr>
              <w:t>（</w:t>
            </w:r>
            <w:r>
              <w:rPr>
                <w:rFonts w:hint="eastAsia"/>
                <w:color w:val="auto"/>
                <w:sz w:val="24"/>
                <w:szCs w:val="24"/>
                <w:highlight w:val="none"/>
              </w:rPr>
              <w:t>2</w:t>
            </w:r>
            <w:r>
              <w:rPr>
                <w:rFonts w:hint="eastAsia"/>
                <w:color w:val="auto"/>
                <w:sz w:val="24"/>
                <w:szCs w:val="24"/>
                <w:highlight w:val="none"/>
                <w:lang w:val="zh-CN"/>
              </w:rPr>
              <w:t>）</w:t>
            </w:r>
            <w:r>
              <w:rPr>
                <w:color w:val="auto"/>
                <w:sz w:val="24"/>
                <w:szCs w:val="24"/>
                <w:highlight w:val="none"/>
                <w:lang w:val="zh-CN"/>
              </w:rPr>
              <w:t>定期测量</w:t>
            </w:r>
            <w:r>
              <w:rPr>
                <w:rFonts w:hint="eastAsia"/>
                <w:color w:val="auto"/>
                <w:sz w:val="24"/>
                <w:szCs w:val="24"/>
                <w:highlight w:val="none"/>
                <w:lang w:val="zh-CN"/>
              </w:rPr>
              <w:t>探伤</w:t>
            </w:r>
            <w:r>
              <w:rPr>
                <w:rFonts w:hint="eastAsia"/>
                <w:color w:val="auto"/>
                <w:sz w:val="24"/>
                <w:szCs w:val="24"/>
                <w:highlight w:val="none"/>
              </w:rPr>
              <w:t>房</w:t>
            </w:r>
            <w:r>
              <w:rPr>
                <w:color w:val="auto"/>
                <w:sz w:val="24"/>
                <w:szCs w:val="24"/>
                <w:highlight w:val="none"/>
                <w:lang w:val="zh-CN"/>
              </w:rPr>
              <w:t>外周围区域的辐射水平或环境的周围剂量当量率，当测量值高于参考控制水平时，应终止探伤工作并向辐射防护负责人报告</w:t>
            </w:r>
            <w:r>
              <w:rPr>
                <w:rFonts w:hint="eastAsia"/>
                <w:color w:val="auto"/>
                <w:sz w:val="24"/>
                <w:szCs w:val="24"/>
                <w:highlight w:val="none"/>
                <w:lang w:val="zh-CN"/>
              </w:rPr>
              <w:t>。</w:t>
            </w:r>
          </w:p>
          <w:p w14:paraId="7051011B">
            <w:pPr>
              <w:spacing w:line="360" w:lineRule="auto"/>
              <w:ind w:firstLine="480" w:firstLineChars="200"/>
              <w:rPr>
                <w:color w:val="auto"/>
                <w:sz w:val="24"/>
                <w:szCs w:val="24"/>
                <w:highlight w:val="none"/>
                <w:lang w:val="zh-CN"/>
              </w:rPr>
            </w:pPr>
            <w:r>
              <w:rPr>
                <w:rFonts w:hint="eastAsia"/>
                <w:color w:val="auto"/>
                <w:sz w:val="24"/>
                <w:szCs w:val="24"/>
                <w:highlight w:val="none"/>
                <w:lang w:val="zh-CN"/>
              </w:rPr>
              <w:t>（</w:t>
            </w:r>
            <w:r>
              <w:rPr>
                <w:rFonts w:hint="eastAsia"/>
                <w:color w:val="auto"/>
                <w:sz w:val="24"/>
                <w:szCs w:val="24"/>
                <w:highlight w:val="none"/>
              </w:rPr>
              <w:t>3</w:t>
            </w:r>
            <w:r>
              <w:rPr>
                <w:rFonts w:hint="eastAsia"/>
                <w:color w:val="auto"/>
                <w:sz w:val="24"/>
                <w:szCs w:val="24"/>
                <w:highlight w:val="none"/>
                <w:lang w:val="zh-CN"/>
              </w:rPr>
              <w:t>）</w:t>
            </w:r>
            <w:r>
              <w:rPr>
                <w:color w:val="auto"/>
                <w:sz w:val="24"/>
                <w:szCs w:val="24"/>
                <w:highlight w:val="none"/>
                <w:lang w:val="zh-CN"/>
              </w:rPr>
              <w:t>制作各项辐射环境管理规章和操作规程制度，并张贴于</w:t>
            </w:r>
            <w:r>
              <w:rPr>
                <w:rFonts w:hint="eastAsia"/>
                <w:color w:val="auto"/>
                <w:sz w:val="24"/>
                <w:szCs w:val="24"/>
                <w:highlight w:val="none"/>
                <w:lang w:val="zh-CN"/>
              </w:rPr>
              <w:t>探伤</w:t>
            </w:r>
            <w:r>
              <w:rPr>
                <w:rFonts w:hint="eastAsia"/>
                <w:color w:val="auto"/>
                <w:sz w:val="24"/>
                <w:szCs w:val="24"/>
                <w:highlight w:val="none"/>
              </w:rPr>
              <w:t>房和操作间</w:t>
            </w:r>
            <w:r>
              <w:rPr>
                <w:color w:val="auto"/>
                <w:sz w:val="24"/>
                <w:szCs w:val="24"/>
                <w:highlight w:val="none"/>
                <w:lang w:val="zh-CN"/>
              </w:rPr>
              <w:t>醒目位置</w:t>
            </w:r>
            <w:r>
              <w:rPr>
                <w:rFonts w:hint="eastAsia"/>
                <w:color w:val="auto"/>
                <w:sz w:val="24"/>
                <w:szCs w:val="24"/>
                <w:highlight w:val="none"/>
                <w:lang w:val="zh-CN"/>
              </w:rPr>
              <w:t>。</w:t>
            </w:r>
          </w:p>
          <w:p w14:paraId="5A3FD85F">
            <w:pPr>
              <w:spacing w:line="360" w:lineRule="auto"/>
              <w:ind w:firstLine="472" w:firstLineChars="200"/>
              <w:rPr>
                <w:color w:val="auto"/>
                <w:sz w:val="24"/>
                <w:szCs w:val="24"/>
                <w:highlight w:val="none"/>
              </w:rPr>
            </w:pPr>
            <w:r>
              <w:rPr>
                <w:rFonts w:hint="eastAsia"/>
                <w:color w:val="auto"/>
                <w:spacing w:val="-2"/>
                <w:sz w:val="24"/>
                <w:szCs w:val="24"/>
                <w:highlight w:val="none"/>
              </w:rPr>
              <w:t>（4）</w:t>
            </w:r>
            <w:r>
              <w:rPr>
                <w:color w:val="auto"/>
                <w:spacing w:val="-2"/>
                <w:sz w:val="24"/>
                <w:szCs w:val="24"/>
                <w:highlight w:val="none"/>
              </w:rPr>
              <w:t>探伤工作人员</w:t>
            </w:r>
            <w:r>
              <w:rPr>
                <w:rFonts w:hint="eastAsia"/>
                <w:color w:val="auto"/>
                <w:spacing w:val="6"/>
                <w:sz w:val="24"/>
                <w:szCs w:val="24"/>
                <w:highlight w:val="none"/>
              </w:rPr>
              <w:t>拟</w:t>
            </w:r>
            <w:r>
              <w:rPr>
                <w:color w:val="auto"/>
                <w:spacing w:val="-2"/>
                <w:sz w:val="24"/>
                <w:szCs w:val="24"/>
                <w:highlight w:val="none"/>
              </w:rPr>
              <w:t>正确使用配备的辐射防护装置，如准直器和附加屏蔽，把潜在的辐射降到最低</w:t>
            </w:r>
            <w:r>
              <w:rPr>
                <w:rFonts w:hint="eastAsia"/>
                <w:color w:val="auto"/>
                <w:spacing w:val="-2"/>
                <w:sz w:val="24"/>
                <w:szCs w:val="24"/>
                <w:highlight w:val="none"/>
              </w:rPr>
              <w:t>。</w:t>
            </w:r>
          </w:p>
          <w:p w14:paraId="282DE395">
            <w:pPr>
              <w:spacing w:line="360" w:lineRule="auto"/>
              <w:ind w:firstLine="472" w:firstLineChars="200"/>
              <w:rPr>
                <w:color w:val="auto"/>
                <w:sz w:val="24"/>
                <w:szCs w:val="24"/>
                <w:highlight w:val="none"/>
                <w:lang w:val="zh-CN"/>
              </w:rPr>
            </w:pPr>
            <w:r>
              <w:rPr>
                <w:rFonts w:hint="eastAsia"/>
                <w:color w:val="auto"/>
                <w:spacing w:val="-2"/>
                <w:sz w:val="24"/>
                <w:szCs w:val="24"/>
                <w:highlight w:val="none"/>
              </w:rPr>
              <w:t>（5）</w:t>
            </w:r>
            <w:r>
              <w:rPr>
                <w:color w:val="auto"/>
                <w:spacing w:val="-2"/>
                <w:sz w:val="24"/>
                <w:szCs w:val="24"/>
                <w:highlight w:val="none"/>
              </w:rPr>
              <w:t>在每一次照射前，操作人员都</w:t>
            </w:r>
            <w:r>
              <w:rPr>
                <w:rFonts w:hint="eastAsia"/>
                <w:color w:val="auto"/>
                <w:spacing w:val="6"/>
                <w:sz w:val="24"/>
                <w:szCs w:val="24"/>
                <w:highlight w:val="none"/>
              </w:rPr>
              <w:t>应</w:t>
            </w:r>
            <w:r>
              <w:rPr>
                <w:color w:val="auto"/>
                <w:spacing w:val="-2"/>
                <w:sz w:val="24"/>
                <w:szCs w:val="24"/>
                <w:highlight w:val="none"/>
              </w:rPr>
              <w:t>确认</w:t>
            </w:r>
            <w:r>
              <w:rPr>
                <w:rFonts w:hint="eastAsia"/>
                <w:color w:val="auto"/>
                <w:spacing w:val="-2"/>
                <w:sz w:val="24"/>
                <w:szCs w:val="24"/>
                <w:highlight w:val="none"/>
              </w:rPr>
              <w:t>探伤房</w:t>
            </w:r>
            <w:r>
              <w:rPr>
                <w:color w:val="auto"/>
                <w:spacing w:val="-2"/>
                <w:sz w:val="24"/>
                <w:szCs w:val="24"/>
                <w:highlight w:val="none"/>
              </w:rPr>
              <w:t>内部没有人员驻留并关闭防护门。只有在防护门关闭、所有防护与安全装置系统都启动并正常运行的情况下，才能开始检测工作</w:t>
            </w:r>
            <w:r>
              <w:rPr>
                <w:rFonts w:hint="eastAsia"/>
                <w:color w:val="auto"/>
                <w:spacing w:val="-2"/>
                <w:sz w:val="24"/>
                <w:szCs w:val="24"/>
                <w:highlight w:val="none"/>
              </w:rPr>
              <w:t>。</w:t>
            </w:r>
          </w:p>
          <w:p w14:paraId="5C83D1FC">
            <w:pPr>
              <w:spacing w:line="360" w:lineRule="auto"/>
              <w:ind w:firstLine="480" w:firstLineChars="200"/>
              <w:rPr>
                <w:color w:val="auto"/>
                <w:sz w:val="24"/>
                <w:szCs w:val="24"/>
                <w:highlight w:val="none"/>
                <w:lang w:val="zh-CN"/>
              </w:rPr>
            </w:pPr>
            <w:r>
              <w:rPr>
                <w:rFonts w:hint="eastAsia"/>
                <w:color w:val="auto"/>
                <w:sz w:val="24"/>
                <w:szCs w:val="24"/>
                <w:highlight w:val="none"/>
                <w:lang w:val="zh-CN"/>
              </w:rPr>
              <w:t>（</w:t>
            </w:r>
            <w:r>
              <w:rPr>
                <w:rFonts w:hint="eastAsia"/>
                <w:color w:val="auto"/>
                <w:sz w:val="24"/>
                <w:szCs w:val="24"/>
                <w:highlight w:val="none"/>
              </w:rPr>
              <w:t>6</w:t>
            </w:r>
            <w:r>
              <w:rPr>
                <w:rFonts w:hint="eastAsia"/>
                <w:color w:val="auto"/>
                <w:sz w:val="24"/>
                <w:szCs w:val="24"/>
                <w:highlight w:val="none"/>
                <w:lang w:val="zh-CN"/>
              </w:rPr>
              <w:t>）</w:t>
            </w:r>
            <w:r>
              <w:rPr>
                <w:color w:val="auto"/>
                <w:sz w:val="24"/>
                <w:szCs w:val="24"/>
                <w:highlight w:val="none"/>
                <w:lang w:val="zh-CN"/>
              </w:rPr>
              <w:t>严格按照国家关于个人剂量监测和健康管理的规定，对辐射工作人员进行个人剂量监测（不超过3个月）和职业健康检查（不得超过2年），建立个人剂量档案和职业健康监护档案，辐射工作人员进行上岗前体检和离岗时体检。</w:t>
            </w:r>
          </w:p>
          <w:p w14:paraId="518AB550">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bookmarkStart w:id="147" w:name="_Toc66010028"/>
            <w:bookmarkStart w:id="148" w:name="_Toc24755"/>
            <w:bookmarkStart w:id="149" w:name="_Toc8527"/>
            <w:bookmarkStart w:id="150" w:name="_Toc31826"/>
            <w:bookmarkStart w:id="151" w:name="_Toc66001594"/>
            <w:r>
              <w:rPr>
                <w:rFonts w:hint="eastAsia"/>
                <w:b/>
                <w:bCs/>
                <w:color w:val="auto"/>
                <w:sz w:val="24"/>
                <w:szCs w:val="24"/>
                <w:highlight w:val="none"/>
              </w:rPr>
              <w:t>6、探伤设施的退役</w:t>
            </w:r>
          </w:p>
          <w:p w14:paraId="66DD5F2E">
            <w:pPr>
              <w:spacing w:line="360" w:lineRule="auto"/>
              <w:ind w:firstLine="472" w:firstLineChars="200"/>
              <w:rPr>
                <w:color w:val="auto"/>
                <w:spacing w:val="-2"/>
                <w:sz w:val="24"/>
                <w:szCs w:val="24"/>
                <w:highlight w:val="none"/>
              </w:rPr>
            </w:pPr>
            <w:r>
              <w:rPr>
                <w:color w:val="auto"/>
                <w:spacing w:val="-2"/>
                <w:sz w:val="24"/>
                <w:szCs w:val="24"/>
                <w:highlight w:val="none"/>
              </w:rPr>
              <w:t>（1）X射线发生器应处置至无法使用，或经监管机构批准后，转移给其他已获许可机构。</w:t>
            </w:r>
          </w:p>
          <w:p w14:paraId="771D7DD4">
            <w:pPr>
              <w:spacing w:line="360" w:lineRule="auto"/>
              <w:ind w:firstLine="472" w:firstLineChars="200"/>
              <w:rPr>
                <w:color w:val="auto"/>
                <w:spacing w:val="-2"/>
                <w:sz w:val="24"/>
                <w:szCs w:val="24"/>
                <w:highlight w:val="none"/>
              </w:rPr>
            </w:pPr>
            <w:r>
              <w:rPr>
                <w:color w:val="auto"/>
                <w:spacing w:val="-2"/>
                <w:sz w:val="24"/>
                <w:szCs w:val="24"/>
                <w:highlight w:val="none"/>
              </w:rPr>
              <w:t>（</w:t>
            </w:r>
            <w:r>
              <w:rPr>
                <w:rFonts w:hint="eastAsia"/>
                <w:color w:val="auto"/>
                <w:spacing w:val="-2"/>
                <w:sz w:val="24"/>
                <w:szCs w:val="24"/>
                <w:highlight w:val="none"/>
              </w:rPr>
              <w:t>2</w:t>
            </w:r>
            <w:r>
              <w:rPr>
                <w:color w:val="auto"/>
                <w:spacing w:val="-2"/>
                <w:sz w:val="24"/>
                <w:szCs w:val="24"/>
                <w:highlight w:val="none"/>
              </w:rPr>
              <w:t>）清除所有电离辐射警告标志和安全告知。</w:t>
            </w:r>
          </w:p>
          <w:p w14:paraId="14A63173">
            <w:pPr>
              <w:pStyle w:val="12"/>
              <w:spacing w:line="360" w:lineRule="auto"/>
              <w:ind w:firstLine="480" w:firstLineChars="200"/>
              <w:rPr>
                <w:color w:val="auto"/>
                <w:highlight w:val="none"/>
              </w:rPr>
            </w:pPr>
            <w:r>
              <w:rPr>
                <w:rFonts w:hint="eastAsia"/>
                <w:color w:val="auto"/>
                <w:szCs w:val="24"/>
                <w:highlight w:val="none"/>
              </w:rPr>
              <w:t>在满足以上要求的前提下，本项目辐射安全与防护措施符合《工业探伤放射防护标准》（GBZ117-2022）中相关标准要求。</w:t>
            </w:r>
          </w:p>
          <w:p w14:paraId="0888713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r>
              <w:rPr>
                <w:rFonts w:hint="eastAsia"/>
                <w:b/>
                <w:bCs/>
                <w:color w:val="auto"/>
                <w:sz w:val="24"/>
                <w:szCs w:val="24"/>
                <w:highlight w:val="none"/>
              </w:rPr>
              <w:t>7、三废</w:t>
            </w:r>
            <w:bookmarkEnd w:id="147"/>
            <w:bookmarkEnd w:id="148"/>
            <w:bookmarkEnd w:id="149"/>
            <w:bookmarkEnd w:id="150"/>
            <w:bookmarkEnd w:id="151"/>
            <w:r>
              <w:rPr>
                <w:rFonts w:hint="eastAsia"/>
                <w:b/>
                <w:bCs/>
                <w:color w:val="auto"/>
                <w:sz w:val="24"/>
                <w:szCs w:val="24"/>
                <w:highlight w:val="none"/>
              </w:rPr>
              <w:t>及噪声的治理</w:t>
            </w:r>
          </w:p>
          <w:p w14:paraId="36C24AC1">
            <w:pPr>
              <w:snapToGrid w:val="0"/>
              <w:spacing w:line="360" w:lineRule="auto"/>
              <w:ind w:firstLine="482" w:firstLineChars="200"/>
              <w:rPr>
                <w:b/>
                <w:color w:val="auto"/>
                <w:kern w:val="0"/>
                <w:sz w:val="24"/>
                <w:szCs w:val="24"/>
                <w:highlight w:val="none"/>
                <w:lang w:val="zh-CN"/>
              </w:rPr>
            </w:pPr>
            <w:r>
              <w:rPr>
                <w:rFonts w:hint="eastAsia"/>
                <w:b/>
                <w:color w:val="auto"/>
                <w:kern w:val="0"/>
                <w:sz w:val="24"/>
                <w:szCs w:val="24"/>
                <w:highlight w:val="none"/>
                <w:lang w:val="zh-CN"/>
              </w:rPr>
              <w:t>（</w:t>
            </w:r>
            <w:r>
              <w:rPr>
                <w:rFonts w:hint="eastAsia"/>
                <w:b/>
                <w:color w:val="auto"/>
                <w:kern w:val="0"/>
                <w:sz w:val="24"/>
                <w:szCs w:val="24"/>
                <w:highlight w:val="none"/>
              </w:rPr>
              <w:t>1</w:t>
            </w:r>
            <w:r>
              <w:rPr>
                <w:rFonts w:hint="eastAsia"/>
                <w:b/>
                <w:color w:val="auto"/>
                <w:kern w:val="0"/>
                <w:sz w:val="24"/>
                <w:szCs w:val="24"/>
                <w:highlight w:val="none"/>
                <w:lang w:val="zh-CN"/>
              </w:rPr>
              <w:t>）废气</w:t>
            </w:r>
          </w:p>
          <w:p w14:paraId="724957D6">
            <w:pPr>
              <w:pStyle w:val="22"/>
              <w:snapToGrid w:val="0"/>
              <w:spacing w:after="0" w:line="360" w:lineRule="auto"/>
              <w:ind w:left="0" w:leftChars="0" w:firstLine="480" w:firstLineChars="200"/>
              <w:rPr>
                <w:color w:val="auto"/>
                <w:sz w:val="24"/>
                <w:szCs w:val="24"/>
                <w:highlight w:val="none"/>
              </w:rPr>
            </w:pPr>
            <w:r>
              <w:rPr>
                <w:rFonts w:hint="eastAsia"/>
                <w:color w:val="auto"/>
                <w:sz w:val="24"/>
                <w:szCs w:val="24"/>
                <w:highlight w:val="none"/>
              </w:rPr>
              <w:t>X射线探伤房</w:t>
            </w:r>
            <w:r>
              <w:rPr>
                <w:color w:val="auto"/>
                <w:sz w:val="24"/>
                <w:szCs w:val="24"/>
                <w:highlight w:val="none"/>
              </w:rPr>
              <w:t>在曝光过程中会产生有害气体臭氧和氮氧化物，</w:t>
            </w:r>
            <w:r>
              <w:rPr>
                <w:rFonts w:hint="eastAsia"/>
                <w:color w:val="auto"/>
                <w:sz w:val="24"/>
                <w:szCs w:val="24"/>
                <w:highlight w:val="none"/>
              </w:rPr>
              <w:t>X射线</w:t>
            </w:r>
            <w:r>
              <w:rPr>
                <w:rFonts w:hint="eastAsia"/>
                <w:color w:val="auto"/>
                <w:kern w:val="0"/>
                <w:sz w:val="24"/>
                <w:szCs w:val="24"/>
                <w:highlight w:val="none"/>
              </w:rPr>
              <w:t>探伤</w:t>
            </w:r>
            <w:r>
              <w:rPr>
                <w:rFonts w:hint="eastAsia"/>
                <w:color w:val="auto"/>
                <w:sz w:val="24"/>
                <w:szCs w:val="24"/>
                <w:highlight w:val="none"/>
              </w:rPr>
              <w:t>房设置</w:t>
            </w:r>
            <w:r>
              <w:rPr>
                <w:color w:val="auto"/>
                <w:sz w:val="24"/>
                <w:szCs w:val="24"/>
                <w:highlight w:val="none"/>
              </w:rPr>
              <w:t>机械</w:t>
            </w:r>
            <w:r>
              <w:rPr>
                <w:rFonts w:hint="eastAsia"/>
                <w:color w:val="auto"/>
                <w:sz w:val="24"/>
                <w:szCs w:val="24"/>
                <w:highlight w:val="none"/>
              </w:rPr>
              <w:t>排风机，</w:t>
            </w:r>
            <w:r>
              <w:rPr>
                <w:color w:val="auto"/>
                <w:kern w:val="0"/>
                <w:sz w:val="24"/>
                <w:szCs w:val="24"/>
                <w:highlight w:val="none"/>
                <w:lang w:val="zh-CN"/>
              </w:rPr>
              <w:t>X射线</w:t>
            </w:r>
            <w:r>
              <w:rPr>
                <w:rFonts w:hint="eastAsia"/>
                <w:color w:val="auto"/>
                <w:kern w:val="0"/>
                <w:sz w:val="24"/>
                <w:szCs w:val="24"/>
                <w:highlight w:val="none"/>
              </w:rPr>
              <w:t>探伤</w:t>
            </w:r>
            <w:r>
              <w:rPr>
                <w:rFonts w:hint="eastAsia"/>
                <w:color w:val="auto"/>
                <w:sz w:val="24"/>
                <w:szCs w:val="24"/>
                <w:highlight w:val="none"/>
              </w:rPr>
              <w:t>房产生的</w:t>
            </w:r>
            <w:r>
              <w:rPr>
                <w:color w:val="auto"/>
                <w:sz w:val="24"/>
                <w:szCs w:val="24"/>
                <w:highlight w:val="none"/>
              </w:rPr>
              <w:t>少量的臭氧、氮氧化物等气体，通过机械通风装置排风机</w:t>
            </w:r>
            <w:r>
              <w:rPr>
                <w:rFonts w:hint="eastAsia"/>
                <w:color w:val="auto"/>
                <w:sz w:val="24"/>
                <w:szCs w:val="24"/>
                <w:highlight w:val="none"/>
              </w:rPr>
              <w:t>排出，并通过管道从探伤房</w:t>
            </w:r>
            <w:r>
              <w:rPr>
                <w:rFonts w:hint="eastAsia"/>
                <w:color w:val="auto"/>
                <w:sz w:val="24"/>
                <w:szCs w:val="24"/>
                <w:highlight w:val="none"/>
                <w:lang w:val="en-US" w:eastAsia="zh-CN"/>
              </w:rPr>
              <w:t>地面东北角</w:t>
            </w:r>
            <w:r>
              <w:rPr>
                <w:rFonts w:hint="eastAsia"/>
                <w:color w:val="auto"/>
                <w:sz w:val="24"/>
                <w:szCs w:val="24"/>
                <w:highlight w:val="none"/>
              </w:rPr>
              <w:t>侧</w:t>
            </w:r>
            <w:r>
              <w:rPr>
                <w:rFonts w:hint="eastAsia"/>
                <w:color w:val="auto"/>
                <w:sz w:val="24"/>
                <w:szCs w:val="24"/>
                <w:highlight w:val="none"/>
                <w:lang w:val="en-US" w:eastAsia="zh-CN"/>
              </w:rPr>
              <w:t>穿墙</w:t>
            </w:r>
            <w:r>
              <w:rPr>
                <w:rFonts w:hint="eastAsia"/>
                <w:color w:val="auto"/>
                <w:sz w:val="24"/>
                <w:szCs w:val="24"/>
                <w:highlight w:val="none"/>
              </w:rPr>
              <w:t>引出室外，</w:t>
            </w:r>
            <w:r>
              <w:rPr>
                <w:color w:val="auto"/>
                <w:sz w:val="24"/>
                <w:szCs w:val="24"/>
                <w:highlight w:val="none"/>
              </w:rPr>
              <w:t>排入大气环境</w:t>
            </w:r>
            <w:r>
              <w:rPr>
                <w:rFonts w:hint="eastAsia"/>
                <w:color w:val="auto"/>
                <w:sz w:val="24"/>
                <w:szCs w:val="24"/>
                <w:highlight w:val="none"/>
              </w:rPr>
              <w:t>。</w:t>
            </w:r>
            <w:r>
              <w:rPr>
                <w:color w:val="auto"/>
                <w:sz w:val="24"/>
                <w:szCs w:val="24"/>
                <w:highlight w:val="none"/>
              </w:rPr>
              <w:t>项目</w:t>
            </w:r>
            <w:r>
              <w:rPr>
                <w:color w:val="auto"/>
                <w:kern w:val="0"/>
                <w:sz w:val="24"/>
                <w:szCs w:val="24"/>
                <w:highlight w:val="none"/>
                <w:lang w:val="zh-CN"/>
              </w:rPr>
              <w:t>X射线</w:t>
            </w:r>
            <w:r>
              <w:rPr>
                <w:rFonts w:hint="eastAsia"/>
                <w:color w:val="auto"/>
                <w:kern w:val="0"/>
                <w:sz w:val="24"/>
                <w:szCs w:val="24"/>
                <w:highlight w:val="none"/>
              </w:rPr>
              <w:t>探伤房</w:t>
            </w:r>
            <w:r>
              <w:rPr>
                <w:rFonts w:hint="eastAsia"/>
                <w:color w:val="auto"/>
                <w:sz w:val="24"/>
                <w:szCs w:val="24"/>
                <w:highlight w:val="none"/>
              </w:rPr>
              <w:t>内</w:t>
            </w:r>
            <w:r>
              <w:rPr>
                <w:color w:val="auto"/>
                <w:sz w:val="24"/>
                <w:szCs w:val="24"/>
                <w:highlight w:val="none"/>
              </w:rPr>
              <w:t>设置</w:t>
            </w:r>
            <w:r>
              <w:rPr>
                <w:rFonts w:hint="eastAsia"/>
                <w:color w:val="auto"/>
                <w:sz w:val="24"/>
                <w:szCs w:val="24"/>
                <w:highlight w:val="none"/>
              </w:rPr>
              <w:t>有</w:t>
            </w:r>
            <w:r>
              <w:rPr>
                <w:color w:val="auto"/>
                <w:sz w:val="24"/>
                <w:szCs w:val="24"/>
                <w:highlight w:val="none"/>
              </w:rPr>
              <w:t>机械通风装置，</w:t>
            </w:r>
            <w:r>
              <w:rPr>
                <w:color w:val="auto"/>
                <w:kern w:val="0"/>
                <w:sz w:val="24"/>
                <w:szCs w:val="24"/>
                <w:highlight w:val="none"/>
                <w:lang w:val="zh-CN"/>
              </w:rPr>
              <w:t>X射线</w:t>
            </w:r>
            <w:r>
              <w:rPr>
                <w:rFonts w:hint="eastAsia"/>
                <w:color w:val="auto"/>
                <w:kern w:val="0"/>
                <w:sz w:val="24"/>
                <w:szCs w:val="24"/>
                <w:highlight w:val="none"/>
              </w:rPr>
              <w:t>探伤房</w:t>
            </w:r>
            <w:r>
              <w:rPr>
                <w:color w:val="auto"/>
                <w:sz w:val="24"/>
                <w:szCs w:val="24"/>
                <w:highlight w:val="none"/>
              </w:rPr>
              <w:t>容积</w:t>
            </w:r>
            <w:r>
              <w:rPr>
                <w:rFonts w:hint="eastAsia"/>
                <w:color w:val="auto"/>
                <w:sz w:val="24"/>
                <w:szCs w:val="24"/>
                <w:highlight w:val="none"/>
              </w:rPr>
              <w:t>为</w:t>
            </w:r>
            <w:r>
              <w:rPr>
                <w:rFonts w:hint="eastAsia"/>
                <w:color w:val="auto"/>
                <w:sz w:val="24"/>
                <w:szCs w:val="24"/>
                <w:highlight w:val="none"/>
                <w:lang w:val="en-US" w:eastAsia="zh-CN"/>
              </w:rPr>
              <w:t>26</w:t>
            </w:r>
            <w:r>
              <w:rPr>
                <w:color w:val="auto"/>
                <w:sz w:val="24"/>
                <w:szCs w:val="24"/>
                <w:highlight w:val="none"/>
              </w:rPr>
              <w:t>m</w:t>
            </w:r>
            <w:r>
              <w:rPr>
                <w:color w:val="auto"/>
                <w:sz w:val="24"/>
                <w:szCs w:val="24"/>
                <w:highlight w:val="none"/>
                <w:vertAlign w:val="superscript"/>
              </w:rPr>
              <w:t>3</w:t>
            </w:r>
            <w:r>
              <w:rPr>
                <w:color w:val="auto"/>
                <w:sz w:val="24"/>
                <w:szCs w:val="24"/>
                <w:highlight w:val="none"/>
              </w:rPr>
              <w:t>，排风机风量为</w:t>
            </w:r>
            <w:r>
              <w:rPr>
                <w:rFonts w:hint="eastAsia"/>
                <w:color w:val="auto"/>
                <w:sz w:val="24"/>
                <w:szCs w:val="24"/>
                <w:highlight w:val="none"/>
              </w:rPr>
              <w:t>4</w:t>
            </w:r>
            <w:r>
              <w:rPr>
                <w:rFonts w:hint="eastAsia"/>
                <w:color w:val="auto"/>
                <w:sz w:val="24"/>
                <w:szCs w:val="24"/>
                <w:highlight w:val="none"/>
                <w:lang w:val="en-US" w:eastAsia="zh-CN"/>
              </w:rPr>
              <w:t>0</w:t>
            </w:r>
            <w:r>
              <w:rPr>
                <w:rFonts w:hint="eastAsia"/>
                <w:color w:val="auto"/>
                <w:sz w:val="24"/>
                <w:szCs w:val="24"/>
                <w:highlight w:val="none"/>
              </w:rPr>
              <w:t>0</w:t>
            </w:r>
            <w:r>
              <w:rPr>
                <w:color w:val="auto"/>
                <w:sz w:val="24"/>
                <w:szCs w:val="24"/>
                <w:highlight w:val="none"/>
              </w:rPr>
              <w:t>m</w:t>
            </w:r>
            <w:r>
              <w:rPr>
                <w:color w:val="auto"/>
                <w:sz w:val="24"/>
                <w:szCs w:val="24"/>
                <w:highlight w:val="none"/>
                <w:vertAlign w:val="superscript"/>
              </w:rPr>
              <w:t>3</w:t>
            </w:r>
            <w:r>
              <w:rPr>
                <w:color w:val="auto"/>
                <w:sz w:val="24"/>
                <w:szCs w:val="24"/>
                <w:highlight w:val="none"/>
              </w:rPr>
              <w:t>/h</w:t>
            </w:r>
            <w:r>
              <w:rPr>
                <w:rFonts w:hint="eastAsia"/>
                <w:color w:val="auto"/>
                <w:sz w:val="24"/>
                <w:szCs w:val="24"/>
                <w:highlight w:val="none"/>
              </w:rPr>
              <w:t>，通风效率以80%计，</w:t>
            </w:r>
            <w:r>
              <w:rPr>
                <w:color w:val="auto"/>
                <w:sz w:val="24"/>
                <w:szCs w:val="24"/>
                <w:highlight w:val="none"/>
              </w:rPr>
              <w:t>通风换气次数为</w:t>
            </w:r>
            <w:r>
              <w:rPr>
                <w:rFonts w:hint="eastAsia"/>
                <w:color w:val="auto"/>
                <w:sz w:val="24"/>
                <w:szCs w:val="24"/>
                <w:highlight w:val="none"/>
                <w:lang w:val="en-US" w:eastAsia="zh-CN"/>
              </w:rPr>
              <w:t>13.3</w:t>
            </w:r>
            <w:r>
              <w:rPr>
                <w:color w:val="auto"/>
                <w:sz w:val="24"/>
                <w:szCs w:val="24"/>
                <w:highlight w:val="none"/>
              </w:rPr>
              <w:t>次/h。</w:t>
            </w:r>
            <w:r>
              <w:rPr>
                <w:rFonts w:hint="eastAsia"/>
                <w:color w:val="auto"/>
                <w:sz w:val="24"/>
                <w:szCs w:val="24"/>
                <w:highlight w:val="none"/>
              </w:rPr>
              <w:t>本项目产生的</w:t>
            </w:r>
            <w:r>
              <w:rPr>
                <w:color w:val="auto"/>
                <w:sz w:val="24"/>
                <w:szCs w:val="24"/>
                <w:highlight w:val="none"/>
              </w:rPr>
              <w:t>少量的臭氧、氮氧化物等气体，通过机械通风装置排风机排入大气环境，臭氧在常温下可自行分解为氧气，对环境影响较小。</w:t>
            </w:r>
          </w:p>
          <w:p w14:paraId="5B5FEBE0">
            <w:pPr>
              <w:pStyle w:val="22"/>
              <w:snapToGrid w:val="0"/>
              <w:spacing w:after="0" w:line="360" w:lineRule="auto"/>
              <w:ind w:left="0" w:leftChars="0" w:firstLine="482" w:firstLineChars="200"/>
              <w:rPr>
                <w:b/>
                <w:bCs/>
                <w:color w:val="auto"/>
                <w:kern w:val="0"/>
                <w:sz w:val="24"/>
                <w:szCs w:val="24"/>
                <w:highlight w:val="none"/>
                <w:lang w:val="zh-CN"/>
              </w:rPr>
            </w:pPr>
            <w:r>
              <w:rPr>
                <w:b/>
                <w:bCs/>
                <w:color w:val="auto"/>
                <w:sz w:val="24"/>
                <w:szCs w:val="24"/>
                <w:highlight w:val="none"/>
              </w:rPr>
              <w:drawing>
                <wp:anchor distT="0" distB="0" distL="114300" distR="114300" simplePos="0" relativeHeight="251659264" behindDoc="0" locked="0" layoutInCell="1" allowOverlap="1">
                  <wp:simplePos x="0" y="0"/>
                  <wp:positionH relativeFrom="column">
                    <wp:posOffset>9004935</wp:posOffset>
                  </wp:positionH>
                  <wp:positionV relativeFrom="paragraph">
                    <wp:posOffset>1144270</wp:posOffset>
                  </wp:positionV>
                  <wp:extent cx="433705" cy="567690"/>
                  <wp:effectExtent l="0" t="0" r="10795" b="3810"/>
                  <wp:wrapNone/>
                  <wp:docPr id="104" name="图片 1" descr="说明: QQ截图2012121618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 descr="说明: QQ截图20121216183346"/>
                          <pic:cNvPicPr>
                            <a:picLocks noChangeAspect="1"/>
                          </pic:cNvPicPr>
                        </pic:nvPicPr>
                        <pic:blipFill>
                          <a:blip r:embed="rId53"/>
                          <a:stretch>
                            <a:fillRect/>
                          </a:stretch>
                        </pic:blipFill>
                        <pic:spPr>
                          <a:xfrm>
                            <a:off x="0" y="0"/>
                            <a:ext cx="433705" cy="567690"/>
                          </a:xfrm>
                          <a:prstGeom prst="rect">
                            <a:avLst/>
                          </a:prstGeom>
                          <a:noFill/>
                          <a:ln>
                            <a:noFill/>
                          </a:ln>
                        </pic:spPr>
                      </pic:pic>
                    </a:graphicData>
                  </a:graphic>
                </wp:anchor>
              </w:drawing>
            </w:r>
            <w:r>
              <w:rPr>
                <w:rFonts w:hint="eastAsia"/>
                <w:b/>
                <w:bCs/>
                <w:color w:val="auto"/>
                <w:sz w:val="24"/>
                <w:szCs w:val="24"/>
                <w:highlight w:val="none"/>
              </w:rPr>
              <w:t>（2）</w:t>
            </w:r>
            <w:r>
              <w:rPr>
                <w:rFonts w:hint="eastAsia"/>
                <w:b/>
                <w:bCs/>
                <w:color w:val="auto"/>
                <w:kern w:val="0"/>
                <w:sz w:val="24"/>
                <w:szCs w:val="24"/>
                <w:highlight w:val="none"/>
                <w:lang w:val="zh-CN"/>
              </w:rPr>
              <w:t>固体废物</w:t>
            </w:r>
          </w:p>
          <w:p w14:paraId="6246189E">
            <w:pPr>
              <w:keepNext w:val="0"/>
              <w:keepLines w:val="0"/>
              <w:pageBreakBefore w:val="0"/>
              <w:widowControl w:val="0"/>
              <w:kinsoku/>
              <w:wordWrap/>
              <w:overflowPunct/>
              <w:topLinePunct w:val="0"/>
              <w:autoSpaceDE/>
              <w:autoSpaceDN/>
              <w:bidi w:val="0"/>
              <w:adjustRightInd/>
              <w:snapToGrid/>
              <w:spacing w:line="360" w:lineRule="auto"/>
              <w:ind w:firstLine="472" w:firstLineChars="200"/>
              <w:textAlignment w:val="auto"/>
              <w:rPr>
                <w:color w:val="auto"/>
                <w:spacing w:val="-2"/>
                <w:sz w:val="24"/>
                <w:szCs w:val="24"/>
                <w:highlight w:val="none"/>
              </w:rPr>
            </w:pPr>
            <w:r>
              <w:rPr>
                <w:rFonts w:hint="eastAsia"/>
                <w:color w:val="auto"/>
                <w:spacing w:val="-2"/>
                <w:sz w:val="24"/>
                <w:szCs w:val="24"/>
                <w:highlight w:val="none"/>
              </w:rPr>
              <w:t>本项目涉及2名辐射工作人员，</w:t>
            </w:r>
            <w:r>
              <w:rPr>
                <w:rFonts w:hint="eastAsia"/>
                <w:color w:val="auto"/>
                <w:spacing w:val="-2"/>
                <w:sz w:val="24"/>
                <w:szCs w:val="24"/>
                <w:highlight w:val="none"/>
                <w:lang w:val="en-US" w:eastAsia="zh-CN"/>
              </w:rPr>
              <w:t>由现有厂区进行调剂，无新增生活垃圾产生</w:t>
            </w:r>
            <w:r>
              <w:rPr>
                <w:rFonts w:hint="eastAsia"/>
                <w:color w:val="auto"/>
                <w:spacing w:val="-2"/>
                <w:sz w:val="24"/>
                <w:szCs w:val="24"/>
                <w:highlight w:val="none"/>
              </w:rPr>
              <w:t>。</w:t>
            </w:r>
          </w:p>
          <w:p w14:paraId="34384E3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bCs/>
                <w:color w:val="auto"/>
                <w:kern w:val="0"/>
                <w:sz w:val="24"/>
                <w:szCs w:val="24"/>
                <w:highlight w:val="none"/>
                <w:lang w:val="en-US" w:eastAsia="zh-CN"/>
              </w:rPr>
            </w:pPr>
            <w:r>
              <w:rPr>
                <w:rFonts w:hint="eastAsia"/>
                <w:bCs/>
                <w:color w:val="auto"/>
                <w:kern w:val="0"/>
                <w:sz w:val="24"/>
                <w:szCs w:val="24"/>
                <w:highlight w:val="none"/>
              </w:rPr>
              <w:t>本项目运行期间，</w:t>
            </w:r>
            <w:r>
              <w:rPr>
                <w:rFonts w:hint="eastAsia" w:eastAsia="宋体"/>
                <w:color w:val="auto"/>
                <w:sz w:val="24"/>
                <w:szCs w:val="24"/>
                <w:highlight w:val="none"/>
                <w:lang w:val="en-US" w:eastAsia="zh-CN"/>
              </w:rPr>
              <w:t>曝光室每年拍片约700张，每张片子平均约</w:t>
            </w:r>
            <w:r>
              <w:rPr>
                <w:rFonts w:hint="eastAsia"/>
                <w:color w:val="auto"/>
                <w:sz w:val="24"/>
                <w:szCs w:val="24"/>
                <w:highlight w:val="none"/>
                <w:lang w:val="en-US" w:eastAsia="zh-CN"/>
              </w:rPr>
              <w:t>50</w:t>
            </w:r>
            <w:r>
              <w:rPr>
                <w:rFonts w:hint="default" w:eastAsia="宋体"/>
                <w:color w:val="auto"/>
                <w:sz w:val="24"/>
                <w:szCs w:val="24"/>
                <w:highlight w:val="none"/>
                <w:lang w:val="en-US" w:eastAsia="zh-CN"/>
              </w:rPr>
              <w:t>g</w:t>
            </w:r>
            <w:r>
              <w:rPr>
                <w:rFonts w:hint="eastAsia" w:eastAsia="宋体"/>
                <w:color w:val="auto"/>
                <w:sz w:val="24"/>
                <w:szCs w:val="24"/>
                <w:highlight w:val="none"/>
                <w:lang w:val="en-US" w:eastAsia="zh-CN"/>
              </w:rPr>
              <w:t>，胶片产生量约</w:t>
            </w:r>
            <w:r>
              <w:rPr>
                <w:rFonts w:hint="eastAsia"/>
                <w:color w:val="auto"/>
                <w:sz w:val="24"/>
                <w:szCs w:val="24"/>
                <w:highlight w:val="none"/>
                <w:lang w:val="en-US" w:eastAsia="zh-CN"/>
              </w:rPr>
              <w:t>35kg</w:t>
            </w:r>
            <w:r>
              <w:rPr>
                <w:rFonts w:hint="default" w:eastAsia="宋体"/>
                <w:color w:val="auto"/>
                <w:sz w:val="24"/>
                <w:szCs w:val="24"/>
                <w:highlight w:val="none"/>
                <w:lang w:val="en-US" w:eastAsia="zh-CN"/>
              </w:rPr>
              <w:t>/a</w:t>
            </w:r>
            <w:r>
              <w:rPr>
                <w:rFonts w:hint="eastAsia"/>
                <w:color w:val="auto"/>
                <w:sz w:val="24"/>
                <w:szCs w:val="24"/>
                <w:highlight w:val="none"/>
                <w:lang w:val="en-US" w:eastAsia="zh-CN"/>
              </w:rPr>
              <w:t>，废胶片约占胶片总量的5%，则废胶片产生量为1.75kg/a</w:t>
            </w:r>
            <w:r>
              <w:rPr>
                <w:rFonts w:hint="eastAsia" w:eastAsia="宋体"/>
                <w:color w:val="auto"/>
                <w:sz w:val="24"/>
                <w:szCs w:val="24"/>
                <w:highlight w:val="none"/>
                <w:lang w:val="en-US" w:eastAsia="zh-CN"/>
              </w:rPr>
              <w:t>。废显（定）影液预计产生量共计约</w:t>
            </w:r>
            <w:r>
              <w:rPr>
                <w:rFonts w:hint="default" w:eastAsia="宋体"/>
                <w:color w:val="auto"/>
                <w:sz w:val="24"/>
                <w:szCs w:val="24"/>
                <w:highlight w:val="none"/>
                <w:lang w:val="en-US" w:eastAsia="zh-CN"/>
              </w:rPr>
              <w:t>0.</w:t>
            </w:r>
            <w:r>
              <w:rPr>
                <w:rFonts w:hint="eastAsia" w:eastAsia="宋体"/>
                <w:color w:val="auto"/>
                <w:sz w:val="24"/>
                <w:szCs w:val="24"/>
                <w:highlight w:val="none"/>
                <w:lang w:val="en-US" w:eastAsia="zh-CN"/>
              </w:rPr>
              <w:t>014</w:t>
            </w:r>
            <w:r>
              <w:rPr>
                <w:rFonts w:hint="default" w:eastAsia="宋体"/>
                <w:color w:val="auto"/>
                <w:sz w:val="24"/>
                <w:szCs w:val="24"/>
                <w:highlight w:val="none"/>
                <w:lang w:val="en-US" w:eastAsia="zh-CN"/>
              </w:rPr>
              <w:t>t/a</w:t>
            </w:r>
            <w:r>
              <w:rPr>
                <w:rFonts w:hint="eastAsia" w:eastAsia="宋体"/>
                <w:color w:val="auto"/>
                <w:sz w:val="24"/>
                <w:szCs w:val="24"/>
                <w:highlight w:val="none"/>
                <w:lang w:val="en-US" w:eastAsia="zh-CN"/>
              </w:rPr>
              <w:t>。</w:t>
            </w:r>
            <w:r>
              <w:rPr>
                <w:rFonts w:hint="eastAsia"/>
                <w:color w:val="auto"/>
                <w:sz w:val="24"/>
                <w:szCs w:val="24"/>
                <w:highlight w:val="none"/>
                <w:lang w:val="en-US" w:eastAsia="zh-CN"/>
              </w:rPr>
              <w:t>胶片冲洗废液为0.12t/a。</w:t>
            </w:r>
            <w:r>
              <w:rPr>
                <w:rFonts w:hint="eastAsia"/>
                <w:bCs/>
                <w:color w:val="auto"/>
                <w:kern w:val="0"/>
                <w:sz w:val="24"/>
                <w:szCs w:val="24"/>
                <w:highlight w:val="none"/>
                <w:lang w:val="en-US" w:eastAsia="zh-CN"/>
              </w:rPr>
              <w:t>其中废胶片、</w:t>
            </w:r>
            <w:r>
              <w:rPr>
                <w:rFonts w:hint="eastAsia"/>
                <w:bCs/>
                <w:color w:val="auto"/>
                <w:kern w:val="0"/>
                <w:sz w:val="24"/>
                <w:szCs w:val="24"/>
                <w:highlight w:val="none"/>
                <w:lang w:val="en-GB"/>
              </w:rPr>
              <w:t>废显</w:t>
            </w:r>
            <w:r>
              <w:rPr>
                <w:rFonts w:hint="eastAsia"/>
                <w:bCs/>
                <w:color w:val="auto"/>
                <w:kern w:val="0"/>
                <w:sz w:val="24"/>
                <w:szCs w:val="24"/>
                <w:highlight w:val="none"/>
                <w:lang w:val="en-GB" w:eastAsia="zh-CN"/>
              </w:rPr>
              <w:t>（</w:t>
            </w:r>
            <w:r>
              <w:rPr>
                <w:rFonts w:hint="eastAsia"/>
                <w:bCs/>
                <w:color w:val="auto"/>
                <w:kern w:val="0"/>
                <w:sz w:val="24"/>
                <w:szCs w:val="24"/>
                <w:highlight w:val="none"/>
                <w:lang w:val="en-GB"/>
              </w:rPr>
              <w:t>定</w:t>
            </w:r>
            <w:r>
              <w:rPr>
                <w:rFonts w:hint="eastAsia"/>
                <w:bCs/>
                <w:color w:val="auto"/>
                <w:kern w:val="0"/>
                <w:sz w:val="24"/>
                <w:szCs w:val="24"/>
                <w:highlight w:val="none"/>
                <w:lang w:val="en-GB" w:eastAsia="zh-CN"/>
              </w:rPr>
              <w:t>）</w:t>
            </w:r>
            <w:r>
              <w:rPr>
                <w:rFonts w:hint="eastAsia"/>
                <w:bCs/>
                <w:color w:val="auto"/>
                <w:kern w:val="0"/>
                <w:sz w:val="24"/>
                <w:szCs w:val="24"/>
                <w:highlight w:val="none"/>
                <w:lang w:val="en-GB"/>
              </w:rPr>
              <w:t>影液</w:t>
            </w:r>
            <w:r>
              <w:rPr>
                <w:rFonts w:hint="eastAsia"/>
                <w:bCs/>
                <w:color w:val="auto"/>
                <w:kern w:val="0"/>
                <w:sz w:val="24"/>
                <w:szCs w:val="24"/>
                <w:highlight w:val="none"/>
                <w:lang w:val="zh-CN"/>
              </w:rPr>
              <w:t>属《国家危险废物名录》中编号为HW16</w:t>
            </w:r>
            <w:r>
              <w:rPr>
                <w:rFonts w:hint="eastAsia"/>
                <w:bCs/>
                <w:color w:val="auto"/>
                <w:kern w:val="0"/>
                <w:sz w:val="24"/>
                <w:szCs w:val="24"/>
                <w:highlight w:val="none"/>
                <w:lang w:val="en-US" w:eastAsia="zh-CN"/>
              </w:rPr>
              <w:t xml:space="preserve"> 900-019-16</w:t>
            </w:r>
            <w:r>
              <w:rPr>
                <w:rFonts w:hint="eastAsia"/>
                <w:bCs/>
                <w:color w:val="auto"/>
                <w:kern w:val="0"/>
                <w:sz w:val="24"/>
                <w:szCs w:val="24"/>
                <w:highlight w:val="none"/>
                <w:lang w:val="zh-CN"/>
              </w:rPr>
              <w:t>的危险废物，</w:t>
            </w:r>
            <w:r>
              <w:rPr>
                <w:rFonts w:hint="eastAsia"/>
                <w:bCs/>
                <w:color w:val="auto"/>
                <w:kern w:val="0"/>
                <w:sz w:val="24"/>
                <w:szCs w:val="24"/>
                <w:highlight w:val="none"/>
                <w:lang w:val="en-US" w:eastAsia="zh-CN"/>
              </w:rPr>
              <w:t>胶片冲洗废液</w:t>
            </w:r>
            <w:r>
              <w:rPr>
                <w:rFonts w:hint="eastAsia"/>
                <w:bCs/>
                <w:color w:val="auto"/>
                <w:kern w:val="0"/>
                <w:sz w:val="24"/>
                <w:szCs w:val="24"/>
                <w:highlight w:val="none"/>
                <w:lang w:val="zh-CN"/>
              </w:rPr>
              <w:t>拟按危险废物进行管理处置，不得随意排放。</w:t>
            </w:r>
            <w:r>
              <w:rPr>
                <w:rFonts w:hint="eastAsia"/>
                <w:bCs/>
                <w:color w:val="auto"/>
                <w:kern w:val="0"/>
                <w:sz w:val="24"/>
                <w:szCs w:val="24"/>
                <w:highlight w:val="none"/>
              </w:rPr>
              <w:t>建设单位拟将产生的废胶片</w:t>
            </w:r>
            <w:r>
              <w:rPr>
                <w:rFonts w:hint="eastAsia"/>
                <w:bCs/>
                <w:color w:val="auto"/>
                <w:kern w:val="0"/>
                <w:sz w:val="24"/>
                <w:szCs w:val="24"/>
                <w:highlight w:val="none"/>
                <w:lang w:val="en-US" w:eastAsia="zh-CN"/>
              </w:rPr>
              <w:t>、</w:t>
            </w:r>
            <w:r>
              <w:rPr>
                <w:rFonts w:hint="eastAsia"/>
                <w:bCs/>
                <w:color w:val="auto"/>
                <w:kern w:val="0"/>
                <w:sz w:val="24"/>
                <w:szCs w:val="24"/>
                <w:highlight w:val="none"/>
                <w:lang w:val="en-GB"/>
              </w:rPr>
              <w:t>废显</w:t>
            </w:r>
            <w:r>
              <w:rPr>
                <w:rFonts w:hint="eastAsia"/>
                <w:bCs/>
                <w:color w:val="auto"/>
                <w:kern w:val="0"/>
                <w:sz w:val="24"/>
                <w:szCs w:val="24"/>
                <w:highlight w:val="none"/>
                <w:lang w:val="en-GB" w:eastAsia="zh-CN"/>
              </w:rPr>
              <w:t>（</w:t>
            </w:r>
            <w:r>
              <w:rPr>
                <w:rFonts w:hint="eastAsia"/>
                <w:bCs/>
                <w:color w:val="auto"/>
                <w:kern w:val="0"/>
                <w:sz w:val="24"/>
                <w:szCs w:val="24"/>
                <w:highlight w:val="none"/>
                <w:lang w:val="en-GB"/>
              </w:rPr>
              <w:t>定</w:t>
            </w:r>
            <w:r>
              <w:rPr>
                <w:rFonts w:hint="eastAsia"/>
                <w:bCs/>
                <w:color w:val="auto"/>
                <w:kern w:val="0"/>
                <w:sz w:val="24"/>
                <w:szCs w:val="24"/>
                <w:highlight w:val="none"/>
                <w:lang w:val="en-GB" w:eastAsia="zh-CN"/>
              </w:rPr>
              <w:t>）</w:t>
            </w:r>
            <w:r>
              <w:rPr>
                <w:rFonts w:hint="eastAsia"/>
                <w:bCs/>
                <w:color w:val="auto"/>
                <w:kern w:val="0"/>
                <w:sz w:val="24"/>
                <w:szCs w:val="24"/>
                <w:highlight w:val="none"/>
                <w:lang w:val="en-GB"/>
              </w:rPr>
              <w:t>影液</w:t>
            </w:r>
            <w:r>
              <w:rPr>
                <w:rFonts w:hint="eastAsia"/>
                <w:bCs/>
                <w:color w:val="auto"/>
                <w:kern w:val="0"/>
                <w:sz w:val="24"/>
                <w:szCs w:val="24"/>
                <w:highlight w:val="none"/>
              </w:rPr>
              <w:t>收集于危废暂存间内并委托有资质的单位定期处理处置。危废暂存间平时上锁，钥匙由专人保管，并建立危废管理台账。</w:t>
            </w:r>
            <w:r>
              <w:rPr>
                <w:rFonts w:hint="eastAsia"/>
                <w:bCs/>
                <w:color w:val="auto"/>
                <w:kern w:val="0"/>
                <w:sz w:val="24"/>
                <w:szCs w:val="24"/>
                <w:highlight w:val="none"/>
                <w:lang w:val="en-US" w:eastAsia="zh-CN"/>
              </w:rPr>
              <w:t>本项目危废暂存间依托现有厂区危废暂存间，位于厂区东北角，现状危废间</w:t>
            </w:r>
            <w:r>
              <w:rPr>
                <w:rFonts w:hint="eastAsia"/>
                <w:bCs/>
                <w:color w:val="auto"/>
                <w:kern w:val="0"/>
                <w:sz w:val="24"/>
                <w:szCs w:val="24"/>
                <w:highlight w:val="none"/>
              </w:rPr>
              <w:t>地面与裙脚采用达到标准要求防渗的材料建造，</w:t>
            </w:r>
            <w:r>
              <w:rPr>
                <w:rFonts w:hint="eastAsia"/>
                <w:bCs/>
                <w:color w:val="auto"/>
                <w:kern w:val="0"/>
                <w:sz w:val="24"/>
                <w:szCs w:val="24"/>
                <w:highlight w:val="none"/>
                <w:lang w:val="en-US" w:eastAsia="zh-CN"/>
              </w:rPr>
              <w:t>尚有一定的空间容量，故本项目</w:t>
            </w:r>
            <w:r>
              <w:rPr>
                <w:rFonts w:hint="eastAsia"/>
                <w:bCs/>
                <w:color w:val="auto"/>
                <w:kern w:val="0"/>
                <w:sz w:val="24"/>
                <w:szCs w:val="24"/>
                <w:highlight w:val="none"/>
              </w:rPr>
              <w:t>依托公司危废间暂存具有可行性</w:t>
            </w:r>
            <w:r>
              <w:rPr>
                <w:rFonts w:hint="eastAsia"/>
                <w:bCs/>
                <w:color w:val="auto"/>
                <w:kern w:val="0"/>
                <w:sz w:val="24"/>
                <w:szCs w:val="24"/>
                <w:highlight w:val="none"/>
                <w:lang w:eastAsia="zh-CN"/>
              </w:rPr>
              <w:t>。</w:t>
            </w:r>
          </w:p>
          <w:p w14:paraId="0F0C2A7D">
            <w:pPr>
              <w:snapToGrid w:val="0"/>
              <w:spacing w:line="360" w:lineRule="auto"/>
              <w:ind w:firstLine="482" w:firstLineChars="200"/>
              <w:rPr>
                <w:b/>
                <w:color w:val="auto"/>
                <w:kern w:val="0"/>
                <w:sz w:val="24"/>
                <w:szCs w:val="24"/>
                <w:highlight w:val="none"/>
                <w:lang w:val="zh-CN"/>
              </w:rPr>
            </w:pPr>
            <w:r>
              <w:rPr>
                <w:rFonts w:hint="eastAsia"/>
                <w:b/>
                <w:color w:val="auto"/>
                <w:kern w:val="0"/>
                <w:sz w:val="24"/>
                <w:szCs w:val="24"/>
                <w:highlight w:val="none"/>
                <w:lang w:val="zh-CN"/>
              </w:rPr>
              <w:t>（</w:t>
            </w:r>
            <w:r>
              <w:rPr>
                <w:rFonts w:hint="eastAsia"/>
                <w:b/>
                <w:color w:val="auto"/>
                <w:kern w:val="0"/>
                <w:sz w:val="24"/>
                <w:szCs w:val="24"/>
                <w:highlight w:val="none"/>
              </w:rPr>
              <w:t>3</w:t>
            </w:r>
            <w:r>
              <w:rPr>
                <w:rFonts w:hint="eastAsia"/>
                <w:b/>
                <w:color w:val="auto"/>
                <w:kern w:val="0"/>
                <w:sz w:val="24"/>
                <w:szCs w:val="24"/>
                <w:highlight w:val="none"/>
                <w:lang w:val="zh-CN"/>
              </w:rPr>
              <w:t>）废水</w:t>
            </w:r>
          </w:p>
          <w:p w14:paraId="72A48D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Cs/>
                <w:color w:val="auto"/>
                <w:kern w:val="0"/>
                <w:sz w:val="24"/>
                <w:szCs w:val="24"/>
                <w:highlight w:val="none"/>
              </w:rPr>
            </w:pPr>
            <w:r>
              <w:rPr>
                <w:rFonts w:hint="eastAsia"/>
                <w:bCs/>
                <w:color w:val="auto"/>
                <w:kern w:val="0"/>
                <w:sz w:val="24"/>
                <w:szCs w:val="24"/>
                <w:highlight w:val="none"/>
                <w:lang w:val="en-US" w:eastAsia="zh-CN"/>
              </w:rPr>
              <w:t>本项目暂定辐射工作人员</w:t>
            </w:r>
            <w:r>
              <w:rPr>
                <w:rFonts w:hint="default"/>
                <w:bCs/>
                <w:color w:val="auto"/>
                <w:kern w:val="0"/>
                <w:sz w:val="24"/>
                <w:szCs w:val="24"/>
                <w:highlight w:val="none"/>
                <w:lang w:val="en-US" w:eastAsia="zh-CN"/>
              </w:rPr>
              <w:t>2</w:t>
            </w:r>
            <w:r>
              <w:rPr>
                <w:rFonts w:hint="eastAsia"/>
                <w:bCs/>
                <w:color w:val="auto"/>
                <w:kern w:val="0"/>
                <w:sz w:val="24"/>
                <w:szCs w:val="24"/>
                <w:highlight w:val="none"/>
                <w:lang w:val="en-US" w:eastAsia="zh-CN"/>
              </w:rPr>
              <w:t>人，年工作</w:t>
            </w:r>
            <w:r>
              <w:rPr>
                <w:rFonts w:hint="default"/>
                <w:bCs/>
                <w:color w:val="auto"/>
                <w:kern w:val="0"/>
                <w:sz w:val="24"/>
                <w:szCs w:val="24"/>
                <w:highlight w:val="none"/>
                <w:lang w:val="en-US" w:eastAsia="zh-CN"/>
              </w:rPr>
              <w:t>250</w:t>
            </w:r>
            <w:r>
              <w:rPr>
                <w:rFonts w:hint="eastAsia"/>
                <w:bCs/>
                <w:color w:val="auto"/>
                <w:kern w:val="0"/>
                <w:sz w:val="24"/>
                <w:szCs w:val="24"/>
                <w:highlight w:val="none"/>
                <w:lang w:val="en-US" w:eastAsia="zh-CN"/>
              </w:rPr>
              <w:t>天，均从厂区内部进行调剂，故不新增生活污水产生量和其他废水。</w:t>
            </w:r>
          </w:p>
          <w:p w14:paraId="3A8B3F39">
            <w:pPr>
              <w:snapToGrid w:val="0"/>
              <w:spacing w:line="360" w:lineRule="auto"/>
              <w:ind w:firstLine="482" w:firstLineChars="200"/>
              <w:rPr>
                <w:b/>
                <w:color w:val="auto"/>
                <w:kern w:val="0"/>
                <w:sz w:val="24"/>
                <w:szCs w:val="24"/>
                <w:highlight w:val="none"/>
              </w:rPr>
            </w:pPr>
            <w:r>
              <w:rPr>
                <w:rFonts w:hint="eastAsia"/>
                <w:b/>
                <w:color w:val="auto"/>
                <w:kern w:val="0"/>
                <w:sz w:val="24"/>
                <w:szCs w:val="24"/>
                <w:highlight w:val="none"/>
              </w:rPr>
              <w:t>（4）噪声</w:t>
            </w:r>
          </w:p>
          <w:p w14:paraId="133E7CEB">
            <w:pPr>
              <w:pStyle w:val="12"/>
              <w:snapToGrid w:val="0"/>
              <w:spacing w:line="360" w:lineRule="auto"/>
              <w:ind w:firstLine="480" w:firstLineChars="200"/>
              <w:rPr>
                <w:color w:val="auto"/>
                <w:kern w:val="0"/>
                <w:szCs w:val="24"/>
                <w:highlight w:val="none"/>
              </w:rPr>
            </w:pPr>
            <w:r>
              <w:rPr>
                <w:color w:val="auto"/>
                <w:kern w:val="0"/>
                <w:szCs w:val="24"/>
                <w:highlight w:val="none"/>
              </w:rPr>
              <w:t>项目</w:t>
            </w:r>
            <w:r>
              <w:rPr>
                <w:rFonts w:hint="eastAsia"/>
                <w:color w:val="auto"/>
                <w:kern w:val="0"/>
                <w:szCs w:val="24"/>
                <w:highlight w:val="none"/>
              </w:rPr>
              <w:t>探伤房内</w:t>
            </w:r>
            <w:r>
              <w:rPr>
                <w:color w:val="auto"/>
                <w:kern w:val="0"/>
                <w:szCs w:val="24"/>
                <w:highlight w:val="none"/>
              </w:rPr>
              <w:t>设置</w:t>
            </w:r>
            <w:r>
              <w:rPr>
                <w:rFonts w:hint="eastAsia"/>
                <w:color w:val="auto"/>
                <w:kern w:val="0"/>
                <w:szCs w:val="24"/>
                <w:highlight w:val="none"/>
              </w:rPr>
              <w:t>有</w:t>
            </w:r>
            <w:r>
              <w:rPr>
                <w:color w:val="auto"/>
                <w:kern w:val="0"/>
                <w:szCs w:val="24"/>
                <w:highlight w:val="none"/>
              </w:rPr>
              <w:t>机械通风装置，</w:t>
            </w:r>
            <w:r>
              <w:rPr>
                <w:rFonts w:hint="eastAsia"/>
                <w:color w:val="auto"/>
                <w:kern w:val="0"/>
                <w:szCs w:val="24"/>
                <w:highlight w:val="none"/>
                <w:lang w:val="en-US" w:eastAsia="zh-CN"/>
              </w:rPr>
              <w:t>采用地下排风，</w:t>
            </w:r>
            <w:r>
              <w:rPr>
                <w:color w:val="auto"/>
                <w:kern w:val="0"/>
                <w:szCs w:val="24"/>
                <w:highlight w:val="none"/>
              </w:rPr>
              <w:t>运行时会产生噪声。项目减轻风机噪声对厂界影响的主要控制措施</w:t>
            </w:r>
            <w:r>
              <w:rPr>
                <w:rFonts w:hint="eastAsia"/>
                <w:color w:val="auto"/>
                <w:kern w:val="0"/>
                <w:szCs w:val="24"/>
                <w:highlight w:val="none"/>
              </w:rPr>
              <w:t>主要</w:t>
            </w:r>
            <w:r>
              <w:rPr>
                <w:color w:val="auto"/>
                <w:kern w:val="0"/>
                <w:szCs w:val="24"/>
                <w:highlight w:val="none"/>
              </w:rPr>
              <w:t>为选取低噪声设备及距离衰减。</w:t>
            </w:r>
          </w:p>
          <w:p w14:paraId="5A3F533F">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bookmarkStart w:id="152" w:name="_Toc66001596"/>
            <w:bookmarkStart w:id="153" w:name="_Toc8531"/>
            <w:bookmarkStart w:id="154" w:name="_Toc12581"/>
            <w:bookmarkStart w:id="155" w:name="_Toc520"/>
            <w:bookmarkStart w:id="156" w:name="_Toc36829720"/>
            <w:bookmarkStart w:id="157" w:name="_Toc66010030"/>
            <w:r>
              <w:rPr>
                <w:rFonts w:hint="eastAsia"/>
                <w:b/>
                <w:bCs/>
                <w:color w:val="auto"/>
                <w:sz w:val="24"/>
                <w:szCs w:val="24"/>
                <w:highlight w:val="none"/>
              </w:rPr>
              <w:t>8、事故预防措施</w:t>
            </w:r>
            <w:bookmarkEnd w:id="152"/>
            <w:bookmarkEnd w:id="153"/>
            <w:bookmarkEnd w:id="154"/>
            <w:bookmarkEnd w:id="155"/>
            <w:bookmarkEnd w:id="156"/>
            <w:bookmarkEnd w:id="157"/>
          </w:p>
          <w:p w14:paraId="797E0223">
            <w:pPr>
              <w:keepNext w:val="0"/>
              <w:keepLines w:val="0"/>
              <w:pageBreakBefore w:val="0"/>
              <w:widowControl w:val="0"/>
              <w:kinsoku/>
              <w:wordWrap/>
              <w:overflowPunct/>
              <w:topLinePunct w:val="0"/>
              <w:autoSpaceDE/>
              <w:autoSpaceDN/>
              <w:bidi w:val="0"/>
              <w:adjustRightInd/>
              <w:snapToGrid/>
              <w:spacing w:line="360" w:lineRule="auto"/>
              <w:ind w:right="0" w:firstLine="472" w:firstLineChars="200"/>
              <w:textAlignment w:val="auto"/>
              <w:rPr>
                <w:rFonts w:hint="default" w:ascii="Times New Roman" w:hAnsi="Times New Roman" w:cs="Times New Roman"/>
                <w:color w:val="auto"/>
                <w:spacing w:val="-2"/>
                <w:sz w:val="24"/>
                <w:highlight w:val="none"/>
              </w:rPr>
            </w:pPr>
            <w:r>
              <w:rPr>
                <w:rFonts w:hint="default" w:ascii="Times New Roman" w:hAnsi="Times New Roman" w:cs="Times New Roman"/>
                <w:color w:val="auto"/>
                <w:spacing w:val="-2"/>
                <w:sz w:val="24"/>
                <w:szCs w:val="24"/>
                <w:highlight w:val="none"/>
              </w:rPr>
              <w:t>辐射工作人员必须严格按照操作程序进行探伤作业，防止事故照射的发生，避免工作人员和公众接受不必要的辐射照射。按照《放射性同位素与射线装置安全和防护条例》第四十二条和原国家环境保护总局环发[2006]145号文件的规定，发生辐射事故时，事故单位应当立即启动本单位的辐</w:t>
            </w:r>
            <w:r>
              <w:rPr>
                <w:rFonts w:hint="default" w:ascii="Times New Roman" w:hAnsi="Times New Roman" w:cs="Times New Roman"/>
                <w:color w:val="auto"/>
                <w:spacing w:val="-2"/>
                <w:sz w:val="24"/>
                <w:highlight w:val="none"/>
              </w:rPr>
              <w:t>射事故应急方案，采取必要防范措施，向当地生态环境部门报告，涉及人为故意破坏的还应向公安部门报告，造成或可能造成人员超剂量照射的，还应同时向当地卫生行政部门报告。</w:t>
            </w:r>
          </w:p>
          <w:p w14:paraId="72B4ACDD">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eastAsia" w:eastAsia="宋体"/>
                <w:bCs/>
                <w:color w:val="auto"/>
                <w:sz w:val="24"/>
                <w:szCs w:val="24"/>
                <w:highlight w:val="none"/>
                <w:lang w:eastAsia="zh-CN"/>
              </w:rPr>
            </w:pPr>
          </w:p>
          <w:p w14:paraId="598D3E32">
            <w:pPr>
              <w:pStyle w:val="2"/>
              <w:keepNext w:val="0"/>
              <w:keepLines w:val="0"/>
              <w:pageBreakBefore w:val="0"/>
              <w:widowControl w:val="0"/>
              <w:kinsoku/>
              <w:wordWrap/>
              <w:topLinePunct w:val="0"/>
              <w:autoSpaceDE/>
              <w:autoSpaceDN/>
              <w:bidi w:val="0"/>
              <w:adjustRightInd/>
              <w:ind w:firstLine="0"/>
              <w:textAlignment w:val="auto"/>
              <w:rPr>
                <w:rFonts w:hint="eastAsia" w:eastAsia="宋体"/>
                <w:bCs/>
                <w:color w:val="auto"/>
                <w:sz w:val="24"/>
                <w:szCs w:val="24"/>
                <w:highlight w:val="none"/>
                <w:lang w:eastAsia="zh-CN"/>
              </w:rPr>
            </w:pPr>
          </w:p>
          <w:p w14:paraId="27A6F797">
            <w:pPr>
              <w:keepNext w:val="0"/>
              <w:keepLines w:val="0"/>
              <w:pageBreakBefore w:val="0"/>
              <w:widowControl w:val="0"/>
              <w:kinsoku/>
              <w:wordWrap/>
              <w:topLinePunct w:val="0"/>
              <w:autoSpaceDE/>
              <w:autoSpaceDN/>
              <w:bidi w:val="0"/>
              <w:adjustRightInd/>
              <w:ind w:firstLine="0"/>
              <w:textAlignment w:val="auto"/>
              <w:rPr>
                <w:rFonts w:hint="eastAsia" w:eastAsia="宋体"/>
                <w:bCs/>
                <w:color w:val="auto"/>
                <w:sz w:val="24"/>
                <w:szCs w:val="24"/>
                <w:highlight w:val="none"/>
                <w:lang w:eastAsia="zh-CN"/>
              </w:rPr>
            </w:pPr>
          </w:p>
          <w:p w14:paraId="4518633B">
            <w:pPr>
              <w:pStyle w:val="2"/>
              <w:keepNext w:val="0"/>
              <w:keepLines w:val="0"/>
              <w:pageBreakBefore w:val="0"/>
              <w:widowControl w:val="0"/>
              <w:kinsoku/>
              <w:wordWrap/>
              <w:topLinePunct w:val="0"/>
              <w:autoSpaceDE/>
              <w:autoSpaceDN/>
              <w:bidi w:val="0"/>
              <w:adjustRightInd/>
              <w:ind w:firstLine="0"/>
              <w:textAlignment w:val="auto"/>
              <w:rPr>
                <w:rFonts w:hint="eastAsia" w:eastAsia="宋体"/>
                <w:bCs/>
                <w:color w:val="auto"/>
                <w:sz w:val="24"/>
                <w:szCs w:val="24"/>
                <w:highlight w:val="none"/>
                <w:lang w:eastAsia="zh-CN"/>
              </w:rPr>
            </w:pPr>
          </w:p>
          <w:p w14:paraId="17298D77">
            <w:pPr>
              <w:keepNext w:val="0"/>
              <w:keepLines w:val="0"/>
              <w:pageBreakBefore w:val="0"/>
              <w:widowControl w:val="0"/>
              <w:kinsoku/>
              <w:wordWrap/>
              <w:topLinePunct w:val="0"/>
              <w:autoSpaceDE/>
              <w:autoSpaceDN/>
              <w:bidi w:val="0"/>
              <w:adjustRightInd/>
              <w:ind w:firstLine="0"/>
              <w:textAlignment w:val="auto"/>
              <w:rPr>
                <w:rFonts w:hint="eastAsia" w:eastAsia="宋体"/>
                <w:bCs/>
                <w:color w:val="auto"/>
                <w:sz w:val="24"/>
                <w:szCs w:val="24"/>
                <w:highlight w:val="none"/>
                <w:lang w:eastAsia="zh-CN"/>
              </w:rPr>
            </w:pPr>
          </w:p>
          <w:p w14:paraId="519AEA5E">
            <w:pPr>
              <w:pStyle w:val="2"/>
              <w:keepNext w:val="0"/>
              <w:keepLines w:val="0"/>
              <w:pageBreakBefore w:val="0"/>
              <w:widowControl w:val="0"/>
              <w:kinsoku/>
              <w:wordWrap/>
              <w:topLinePunct w:val="0"/>
              <w:autoSpaceDE/>
              <w:autoSpaceDN/>
              <w:bidi w:val="0"/>
              <w:adjustRightInd/>
              <w:ind w:firstLine="0"/>
              <w:textAlignment w:val="auto"/>
              <w:rPr>
                <w:rFonts w:hint="eastAsia" w:eastAsia="宋体"/>
                <w:bCs/>
                <w:color w:val="auto"/>
                <w:sz w:val="24"/>
                <w:szCs w:val="24"/>
                <w:highlight w:val="none"/>
                <w:lang w:eastAsia="zh-CN"/>
              </w:rPr>
            </w:pPr>
          </w:p>
          <w:p w14:paraId="7A01BD05">
            <w:pPr>
              <w:keepNext w:val="0"/>
              <w:keepLines w:val="0"/>
              <w:pageBreakBefore w:val="0"/>
              <w:widowControl w:val="0"/>
              <w:kinsoku/>
              <w:wordWrap/>
              <w:topLinePunct w:val="0"/>
              <w:autoSpaceDE/>
              <w:autoSpaceDN/>
              <w:bidi w:val="0"/>
              <w:adjustRightInd/>
              <w:ind w:firstLine="0"/>
              <w:textAlignment w:val="auto"/>
              <w:rPr>
                <w:rFonts w:hint="eastAsia"/>
                <w:color w:val="auto"/>
                <w:lang w:eastAsia="zh-CN"/>
              </w:rPr>
            </w:pPr>
          </w:p>
          <w:p w14:paraId="4B31B8C0">
            <w:pPr>
              <w:pStyle w:val="2"/>
              <w:rPr>
                <w:rFonts w:hint="eastAsia"/>
                <w:color w:val="auto"/>
                <w:lang w:eastAsia="zh-CN"/>
              </w:rPr>
            </w:pPr>
          </w:p>
        </w:tc>
      </w:tr>
    </w:tbl>
    <w:p w14:paraId="0EF882A7">
      <w:pPr>
        <w:pStyle w:val="3"/>
        <w:spacing w:before="0" w:after="0" w:line="240" w:lineRule="auto"/>
        <w:rPr>
          <w:color w:val="auto"/>
          <w:sz w:val="28"/>
          <w:szCs w:val="28"/>
          <w:highlight w:val="none"/>
        </w:rPr>
      </w:pPr>
      <w:bookmarkStart w:id="158" w:name="_Toc66010031"/>
      <w:bookmarkStart w:id="159" w:name="_Toc20025"/>
      <w:bookmarkStart w:id="160" w:name="_Toc15389558"/>
      <w:r>
        <w:rPr>
          <w:color w:val="auto"/>
          <w:sz w:val="28"/>
          <w:szCs w:val="28"/>
          <w:highlight w:val="none"/>
        </w:rPr>
        <w:t>表11 环境影响分析</w:t>
      </w:r>
      <w:bookmarkEnd w:id="158"/>
      <w:bookmarkEnd w:id="159"/>
      <w:bookmarkEnd w:id="160"/>
    </w:p>
    <w:tbl>
      <w:tblPr>
        <w:tblStyle w:val="35"/>
        <w:tblW w:w="86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1"/>
      </w:tblGrid>
      <w:tr w14:paraId="718DD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23" w:hRule="atLeast"/>
          <w:jc w:val="center"/>
        </w:trPr>
        <w:tc>
          <w:tcPr>
            <w:tcW w:w="8661" w:type="dxa"/>
          </w:tcPr>
          <w:p w14:paraId="3559FFA0">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bookmarkStart w:id="161" w:name="_Toc66001598"/>
            <w:bookmarkStart w:id="162" w:name="_Toc36829722"/>
            <w:bookmarkStart w:id="163" w:name="_Toc66010032"/>
            <w:bookmarkStart w:id="164" w:name="_Toc19211"/>
            <w:bookmarkStart w:id="165" w:name="_Toc27115"/>
            <w:bookmarkStart w:id="166" w:name="_Toc11334"/>
            <w:bookmarkStart w:id="167" w:name="_Toc26786"/>
            <w:bookmarkStart w:id="168" w:name="_Toc9306"/>
            <w:bookmarkStart w:id="169" w:name="_Toc2175"/>
            <w:bookmarkStart w:id="170" w:name="_Toc9544"/>
            <w:bookmarkStart w:id="171" w:name="_Toc8120"/>
            <w:bookmarkStart w:id="172" w:name="_Toc31585"/>
            <w:bookmarkStart w:id="173" w:name="_Toc66010033"/>
            <w:bookmarkStart w:id="174" w:name="_Toc66001599"/>
            <w:bookmarkStart w:id="175" w:name="_Toc21823"/>
            <w:bookmarkStart w:id="176" w:name="_Toc36829723"/>
            <w:r>
              <w:rPr>
                <w:rFonts w:hint="eastAsia"/>
                <w:b/>
                <w:bCs/>
                <w:color w:val="auto"/>
                <w:sz w:val="24"/>
                <w:szCs w:val="24"/>
                <w:highlight w:val="none"/>
              </w:rPr>
              <w:t>1、施工期</w:t>
            </w:r>
            <w:r>
              <w:rPr>
                <w:b/>
                <w:bCs/>
                <w:color w:val="auto"/>
                <w:sz w:val="24"/>
                <w:szCs w:val="24"/>
                <w:highlight w:val="none"/>
              </w:rPr>
              <w:t>环境影响</w:t>
            </w:r>
            <w:bookmarkEnd w:id="161"/>
            <w:bookmarkEnd w:id="162"/>
            <w:bookmarkEnd w:id="163"/>
            <w:r>
              <w:rPr>
                <w:rFonts w:hint="eastAsia"/>
                <w:b/>
                <w:bCs/>
                <w:color w:val="auto"/>
                <w:sz w:val="24"/>
                <w:szCs w:val="24"/>
                <w:highlight w:val="none"/>
              </w:rPr>
              <w:t>分析</w:t>
            </w:r>
            <w:bookmarkEnd w:id="164"/>
            <w:bookmarkEnd w:id="165"/>
            <w:bookmarkEnd w:id="166"/>
            <w:bookmarkEnd w:id="167"/>
            <w:bookmarkEnd w:id="168"/>
            <w:bookmarkEnd w:id="169"/>
            <w:bookmarkEnd w:id="170"/>
          </w:p>
          <w:p w14:paraId="54845B3A">
            <w:pPr>
              <w:spacing w:line="360" w:lineRule="auto"/>
              <w:ind w:firstLine="472" w:firstLineChars="200"/>
              <w:rPr>
                <w:rFonts w:eastAsia="宋体"/>
                <w:color w:val="auto"/>
                <w:spacing w:val="-2"/>
                <w:sz w:val="24"/>
                <w:szCs w:val="24"/>
                <w:highlight w:val="none"/>
              </w:rPr>
            </w:pPr>
            <w:r>
              <w:rPr>
                <w:color w:val="auto"/>
                <w:spacing w:val="-2"/>
                <w:sz w:val="24"/>
                <w:szCs w:val="24"/>
                <w:highlight w:val="none"/>
              </w:rPr>
              <w:t>本项目</w:t>
            </w:r>
            <w:r>
              <w:rPr>
                <w:rFonts w:hint="eastAsia"/>
                <w:color w:val="auto"/>
                <w:spacing w:val="-2"/>
                <w:sz w:val="24"/>
                <w:szCs w:val="24"/>
                <w:highlight w:val="none"/>
              </w:rPr>
              <w:t>X</w:t>
            </w:r>
            <w:r>
              <w:rPr>
                <w:color w:val="auto"/>
                <w:spacing w:val="-2"/>
                <w:sz w:val="24"/>
                <w:szCs w:val="24"/>
                <w:highlight w:val="none"/>
              </w:rPr>
              <w:t>射线探伤房在</w:t>
            </w:r>
            <w:r>
              <w:rPr>
                <w:rFonts w:hint="eastAsia"/>
                <w:color w:val="auto"/>
                <w:spacing w:val="-2"/>
                <w:sz w:val="24"/>
                <w:szCs w:val="24"/>
                <w:highlight w:val="none"/>
                <w:lang w:val="en-US" w:eastAsia="zh-CN"/>
              </w:rPr>
              <w:t>安装</w:t>
            </w:r>
            <w:r>
              <w:rPr>
                <w:color w:val="auto"/>
                <w:spacing w:val="-2"/>
                <w:sz w:val="24"/>
                <w:szCs w:val="24"/>
                <w:highlight w:val="none"/>
              </w:rPr>
              <w:t>过程中将产生</w:t>
            </w:r>
            <w:r>
              <w:rPr>
                <w:rFonts w:hint="eastAsia"/>
                <w:color w:val="auto"/>
                <w:sz w:val="24"/>
                <w:szCs w:val="24"/>
                <w:highlight w:val="none"/>
              </w:rPr>
              <w:t>粉尘、噪声、固体废物、废</w:t>
            </w:r>
            <w:r>
              <w:rPr>
                <w:rFonts w:hint="eastAsia" w:eastAsia="宋体"/>
                <w:color w:val="auto"/>
                <w:spacing w:val="-2"/>
                <w:sz w:val="24"/>
                <w:szCs w:val="24"/>
                <w:highlight w:val="none"/>
              </w:rPr>
              <w:t>水等</w:t>
            </w:r>
            <w:r>
              <w:rPr>
                <w:rFonts w:eastAsia="宋体"/>
                <w:color w:val="auto"/>
                <w:spacing w:val="-2"/>
                <w:sz w:val="24"/>
                <w:szCs w:val="24"/>
                <w:highlight w:val="none"/>
              </w:rPr>
              <w:t>，对环境会产生如下影响：</w:t>
            </w:r>
          </w:p>
          <w:p w14:paraId="55B81DF7">
            <w:pPr>
              <w:numPr>
                <w:ilvl w:val="0"/>
                <w:numId w:val="3"/>
              </w:numPr>
              <w:spacing w:line="360" w:lineRule="auto"/>
              <w:ind w:firstLine="474" w:firstLineChars="200"/>
              <w:rPr>
                <w:rFonts w:hint="eastAsia" w:eastAsia="宋体"/>
                <w:b/>
                <w:bCs/>
                <w:color w:val="auto"/>
                <w:spacing w:val="-2"/>
                <w:sz w:val="24"/>
                <w:szCs w:val="24"/>
                <w:highlight w:val="none"/>
              </w:rPr>
            </w:pPr>
            <w:r>
              <w:rPr>
                <w:rFonts w:hint="eastAsia" w:eastAsia="宋体"/>
                <w:b/>
                <w:bCs/>
                <w:color w:val="auto"/>
                <w:spacing w:val="-2"/>
                <w:sz w:val="24"/>
                <w:szCs w:val="24"/>
                <w:highlight w:val="none"/>
              </w:rPr>
              <w:t>废气</w:t>
            </w:r>
          </w:p>
          <w:p w14:paraId="57B15C14">
            <w:pPr>
              <w:spacing w:line="360" w:lineRule="auto"/>
              <w:ind w:firstLine="472" w:firstLineChars="200"/>
              <w:rPr>
                <w:color w:val="auto"/>
              </w:rPr>
            </w:pPr>
            <w:r>
              <w:rPr>
                <w:rFonts w:hint="eastAsia"/>
                <w:color w:val="auto"/>
                <w:spacing w:val="-2"/>
                <w:sz w:val="24"/>
                <w:szCs w:val="24"/>
                <w:highlight w:val="none"/>
                <w:lang w:val="en-US" w:eastAsia="zh-CN"/>
              </w:rPr>
              <w:t>本项目仅涉及探伤房及辅助用房的组装和地面开槽，主要在地面开槽过程中电锤和电钻破除地面过程产生的粉尘。</w:t>
            </w:r>
            <w:r>
              <w:rPr>
                <w:rFonts w:hint="eastAsia" w:ascii="宋体" w:hAnsi="宋体" w:eastAsia="宋体" w:cs="宋体"/>
                <w:color w:val="auto"/>
                <w:kern w:val="0"/>
                <w:sz w:val="24"/>
                <w:szCs w:val="24"/>
                <w:lang w:val="en-US" w:eastAsia="zh-CN" w:bidi="ar"/>
              </w:rPr>
              <w:t xml:space="preserve"> </w:t>
            </w:r>
          </w:p>
          <w:p w14:paraId="66802DCF">
            <w:pPr>
              <w:numPr>
                <w:ilvl w:val="0"/>
                <w:numId w:val="3"/>
              </w:numPr>
              <w:spacing w:line="360" w:lineRule="auto"/>
              <w:ind w:left="0" w:leftChars="0" w:firstLine="474" w:firstLineChars="200"/>
              <w:rPr>
                <w:rFonts w:hint="eastAsia"/>
                <w:b/>
                <w:bCs/>
                <w:color w:val="auto"/>
                <w:spacing w:val="-2"/>
                <w:sz w:val="24"/>
                <w:szCs w:val="24"/>
                <w:highlight w:val="none"/>
              </w:rPr>
            </w:pPr>
            <w:r>
              <w:rPr>
                <w:rFonts w:hint="eastAsia"/>
                <w:b/>
                <w:bCs/>
                <w:color w:val="auto"/>
                <w:spacing w:val="-2"/>
                <w:sz w:val="24"/>
                <w:szCs w:val="24"/>
                <w:highlight w:val="none"/>
              </w:rPr>
              <w:t>噪声</w:t>
            </w:r>
          </w:p>
          <w:p w14:paraId="49C5F015">
            <w:pPr>
              <w:numPr>
                <w:ilvl w:val="0"/>
                <w:numId w:val="0"/>
              </w:numPr>
              <w:spacing w:line="360" w:lineRule="auto"/>
              <w:ind w:firstLine="472" w:firstLineChars="200"/>
              <w:rPr>
                <w:rFonts w:hint="eastAsia" w:eastAsia="宋体"/>
                <w:color w:val="auto"/>
                <w:spacing w:val="-2"/>
                <w:sz w:val="24"/>
                <w:szCs w:val="24"/>
                <w:highlight w:val="none"/>
                <w:lang w:eastAsia="zh-CN"/>
              </w:rPr>
            </w:pPr>
            <w:r>
              <w:rPr>
                <w:rFonts w:hint="eastAsia"/>
                <w:color w:val="auto"/>
                <w:spacing w:val="-2"/>
                <w:sz w:val="24"/>
                <w:szCs w:val="24"/>
                <w:highlight w:val="none"/>
                <w:lang w:val="en-US" w:eastAsia="zh-CN"/>
              </w:rPr>
              <w:t>本项目</w:t>
            </w:r>
            <w:r>
              <w:rPr>
                <w:rFonts w:hint="eastAsia"/>
                <w:color w:val="auto"/>
                <w:spacing w:val="-2"/>
                <w:sz w:val="24"/>
                <w:szCs w:val="24"/>
                <w:highlight w:val="none"/>
              </w:rPr>
              <w:t>施工期的噪声污染特点是随着施工阶段的不同，噪声源将发生明显的变化，噪声影响程度也有所不同。高噪声施工机械相对集中于基础</w:t>
            </w:r>
            <w:r>
              <w:rPr>
                <w:rFonts w:hint="eastAsia"/>
                <w:color w:val="auto"/>
                <w:spacing w:val="-2"/>
                <w:sz w:val="24"/>
                <w:szCs w:val="24"/>
                <w:highlight w:val="none"/>
                <w:lang w:val="en-US" w:eastAsia="zh-CN"/>
              </w:rPr>
              <w:t>施工</w:t>
            </w:r>
            <w:r>
              <w:rPr>
                <w:rFonts w:hint="eastAsia"/>
                <w:color w:val="auto"/>
                <w:spacing w:val="-2"/>
                <w:sz w:val="24"/>
                <w:szCs w:val="24"/>
                <w:highlight w:val="none"/>
              </w:rPr>
              <w:t>和</w:t>
            </w:r>
            <w:r>
              <w:rPr>
                <w:rFonts w:hint="eastAsia"/>
                <w:color w:val="auto"/>
                <w:spacing w:val="-2"/>
                <w:sz w:val="24"/>
                <w:szCs w:val="24"/>
                <w:highlight w:val="none"/>
                <w:lang w:val="en-US" w:eastAsia="zh-CN"/>
              </w:rPr>
              <w:t>主体施工</w:t>
            </w:r>
            <w:r>
              <w:rPr>
                <w:rFonts w:hint="eastAsia"/>
                <w:color w:val="auto"/>
                <w:spacing w:val="-2"/>
                <w:sz w:val="24"/>
                <w:szCs w:val="24"/>
                <w:highlight w:val="none"/>
              </w:rPr>
              <w:t>阶段，施工时间也相对较长。装修期声源源强较小，</w:t>
            </w:r>
            <w:r>
              <w:rPr>
                <w:rFonts w:hint="eastAsia"/>
                <w:color w:val="auto"/>
                <w:spacing w:val="-2"/>
                <w:sz w:val="24"/>
                <w:szCs w:val="24"/>
                <w:highlight w:val="none"/>
                <w:lang w:val="en-US" w:eastAsia="zh-CN"/>
              </w:rPr>
              <w:t>且</w:t>
            </w:r>
            <w:r>
              <w:rPr>
                <w:rFonts w:hint="eastAsia"/>
                <w:color w:val="auto"/>
                <w:spacing w:val="-2"/>
                <w:sz w:val="24"/>
                <w:szCs w:val="24"/>
                <w:highlight w:val="none"/>
              </w:rPr>
              <w:t>位于室内，有墙壁阻隔降噪，环境影响较小。综合分析，施工噪声具有阶段性、临时性和不固定性，不同的施工设备产生的噪声不同，在多台机械设备同时作业时，各台设备产生的噪声会产生叠加</w:t>
            </w:r>
            <w:r>
              <w:rPr>
                <w:rFonts w:hint="eastAsia"/>
                <w:color w:val="auto"/>
                <w:spacing w:val="-2"/>
                <w:sz w:val="24"/>
                <w:szCs w:val="24"/>
                <w:highlight w:val="none"/>
                <w:lang w:eastAsia="zh-CN"/>
              </w:rPr>
              <w:t>。</w:t>
            </w:r>
          </w:p>
          <w:p w14:paraId="588CF21E">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lang w:val="en-US" w:eastAsia="zh-CN"/>
              </w:rPr>
              <w:t>①</w:t>
            </w:r>
            <w:r>
              <w:rPr>
                <w:rFonts w:hint="eastAsia"/>
                <w:color w:val="auto"/>
                <w:spacing w:val="-2"/>
                <w:sz w:val="24"/>
                <w:szCs w:val="24"/>
                <w:highlight w:val="none"/>
              </w:rPr>
              <w:t>噪声预测模式</w:t>
            </w:r>
          </w:p>
          <w:p w14:paraId="0A4C0DDB">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rPr>
              <w:t>点声源选用半自由场点声源几何发散衰减公式和多声源相互叠加公式。</w:t>
            </w:r>
          </w:p>
          <w:p w14:paraId="06E3C894">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lang w:val="en-US" w:eastAsia="zh-CN"/>
              </w:rPr>
              <w:t>1）</w:t>
            </w:r>
            <w:r>
              <w:rPr>
                <w:rFonts w:hint="eastAsia"/>
                <w:color w:val="auto"/>
                <w:spacing w:val="-2"/>
                <w:sz w:val="24"/>
                <w:szCs w:val="24"/>
                <w:highlight w:val="none"/>
              </w:rPr>
              <w:t>点声源几何发散衰减模式</w:t>
            </w:r>
          </w:p>
          <w:p w14:paraId="156ED174">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rPr>
              <w:t>鉴于空气吸收引起的衰减很小，且频率、空气相对湿度等因素具有较大的不确定性，所以不考虑空气吸收引起的衰减。在本次预测中，主要考虑几何发散衰减。每个点源对预测点的声级L</w:t>
            </w:r>
            <w:r>
              <w:rPr>
                <w:rFonts w:hint="eastAsia"/>
                <w:color w:val="auto"/>
                <w:spacing w:val="-2"/>
                <w:sz w:val="24"/>
                <w:szCs w:val="24"/>
                <w:highlight w:val="none"/>
                <w:vertAlign w:val="subscript"/>
              </w:rPr>
              <w:t>P</w:t>
            </w:r>
            <w:r>
              <w:rPr>
                <w:rFonts w:hint="eastAsia"/>
                <w:color w:val="auto"/>
                <w:spacing w:val="-2"/>
                <w:sz w:val="24"/>
                <w:szCs w:val="24"/>
                <w:highlight w:val="none"/>
              </w:rPr>
              <w:t>按下式计算：</w:t>
            </w:r>
          </w:p>
          <w:p w14:paraId="36CAF3D1">
            <w:pPr>
              <w:spacing w:line="360" w:lineRule="auto"/>
              <w:jc w:val="center"/>
              <w:rPr>
                <w:rFonts w:hint="eastAsia"/>
                <w:color w:val="auto"/>
                <w:spacing w:val="-2"/>
                <w:sz w:val="24"/>
                <w:szCs w:val="24"/>
                <w:highlight w:val="none"/>
              </w:rPr>
            </w:pPr>
            <w:r>
              <w:rPr>
                <w:rFonts w:hint="eastAsia"/>
                <w:color w:val="auto"/>
                <w:spacing w:val="-2"/>
                <w:sz w:val="24"/>
                <w:szCs w:val="24"/>
                <w:highlight w:val="none"/>
              </w:rPr>
              <w:t>L</w:t>
            </w:r>
            <w:r>
              <w:rPr>
                <w:rFonts w:hint="eastAsia"/>
                <w:color w:val="auto"/>
                <w:spacing w:val="-2"/>
                <w:sz w:val="24"/>
                <w:szCs w:val="24"/>
                <w:highlight w:val="none"/>
                <w:vertAlign w:val="subscript"/>
              </w:rPr>
              <w:t>p</w:t>
            </w:r>
            <w:r>
              <w:rPr>
                <w:rFonts w:hint="eastAsia"/>
                <w:color w:val="auto"/>
                <w:spacing w:val="-2"/>
                <w:sz w:val="24"/>
                <w:szCs w:val="24"/>
                <w:highlight w:val="none"/>
              </w:rPr>
              <w:t>(r)=L</w:t>
            </w:r>
            <w:r>
              <w:rPr>
                <w:rFonts w:hint="eastAsia"/>
                <w:color w:val="auto"/>
                <w:spacing w:val="-2"/>
                <w:sz w:val="24"/>
                <w:szCs w:val="24"/>
                <w:highlight w:val="none"/>
                <w:vertAlign w:val="subscript"/>
              </w:rPr>
              <w:t>p</w:t>
            </w:r>
            <w:r>
              <w:rPr>
                <w:rFonts w:hint="eastAsia"/>
                <w:color w:val="auto"/>
                <w:spacing w:val="-2"/>
                <w:sz w:val="24"/>
                <w:szCs w:val="24"/>
                <w:highlight w:val="none"/>
              </w:rPr>
              <w:t>(r</w:t>
            </w:r>
            <w:r>
              <w:rPr>
                <w:rFonts w:hint="eastAsia"/>
                <w:color w:val="auto"/>
                <w:spacing w:val="-2"/>
                <w:sz w:val="24"/>
                <w:szCs w:val="24"/>
                <w:highlight w:val="none"/>
                <w:vertAlign w:val="subscript"/>
              </w:rPr>
              <w:t>0</w:t>
            </w:r>
            <w:r>
              <w:rPr>
                <w:rFonts w:hint="eastAsia"/>
                <w:color w:val="auto"/>
                <w:spacing w:val="-2"/>
                <w:sz w:val="24"/>
                <w:szCs w:val="24"/>
                <w:highlight w:val="none"/>
              </w:rPr>
              <w:t>)–20lg(r/r</w:t>
            </w:r>
            <w:r>
              <w:rPr>
                <w:rFonts w:hint="eastAsia"/>
                <w:color w:val="auto"/>
                <w:spacing w:val="-2"/>
                <w:sz w:val="24"/>
                <w:szCs w:val="24"/>
                <w:highlight w:val="none"/>
                <w:vertAlign w:val="subscript"/>
              </w:rPr>
              <w:t>0</w:t>
            </w:r>
            <w:r>
              <w:rPr>
                <w:rFonts w:hint="eastAsia"/>
                <w:color w:val="auto"/>
                <w:spacing w:val="-2"/>
                <w:sz w:val="24"/>
                <w:szCs w:val="24"/>
                <w:highlight w:val="none"/>
              </w:rPr>
              <w:t>)</w:t>
            </w:r>
          </w:p>
          <w:p w14:paraId="7CC6451B">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rPr>
              <w:t>式中：L</w:t>
            </w:r>
            <w:r>
              <w:rPr>
                <w:rFonts w:hint="eastAsia"/>
                <w:color w:val="auto"/>
                <w:spacing w:val="-2"/>
                <w:sz w:val="24"/>
                <w:szCs w:val="24"/>
                <w:highlight w:val="none"/>
                <w:vertAlign w:val="subscript"/>
              </w:rPr>
              <w:t>p</w:t>
            </w:r>
            <w:r>
              <w:rPr>
                <w:rFonts w:hint="eastAsia"/>
                <w:color w:val="auto"/>
                <w:spacing w:val="-2"/>
                <w:sz w:val="24"/>
                <w:szCs w:val="24"/>
                <w:highlight w:val="none"/>
              </w:rPr>
              <w:t>(r)—距离声源r处的声级dB(A)；</w:t>
            </w:r>
          </w:p>
          <w:p w14:paraId="47390C54">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rPr>
              <w:t>L</w:t>
            </w:r>
            <w:r>
              <w:rPr>
                <w:rFonts w:hint="eastAsia"/>
                <w:color w:val="auto"/>
                <w:spacing w:val="-2"/>
                <w:sz w:val="24"/>
                <w:szCs w:val="24"/>
                <w:highlight w:val="none"/>
                <w:vertAlign w:val="subscript"/>
              </w:rPr>
              <w:t>p</w:t>
            </w:r>
            <w:r>
              <w:rPr>
                <w:rFonts w:hint="eastAsia"/>
                <w:color w:val="auto"/>
                <w:spacing w:val="-2"/>
                <w:sz w:val="24"/>
                <w:szCs w:val="24"/>
                <w:highlight w:val="none"/>
              </w:rPr>
              <w:t>(r</w:t>
            </w:r>
            <w:r>
              <w:rPr>
                <w:rFonts w:hint="eastAsia"/>
                <w:color w:val="auto"/>
                <w:spacing w:val="-2"/>
                <w:sz w:val="24"/>
                <w:szCs w:val="24"/>
                <w:highlight w:val="none"/>
                <w:vertAlign w:val="subscript"/>
              </w:rPr>
              <w:t>0</w:t>
            </w:r>
            <w:r>
              <w:rPr>
                <w:rFonts w:hint="eastAsia"/>
                <w:color w:val="auto"/>
                <w:spacing w:val="-2"/>
                <w:sz w:val="24"/>
                <w:szCs w:val="24"/>
                <w:highlight w:val="none"/>
              </w:rPr>
              <w:t>)—距离声源r</w:t>
            </w:r>
            <w:r>
              <w:rPr>
                <w:rFonts w:hint="eastAsia"/>
                <w:color w:val="auto"/>
                <w:spacing w:val="-2"/>
                <w:sz w:val="24"/>
                <w:szCs w:val="24"/>
                <w:highlight w:val="none"/>
                <w:vertAlign w:val="subscript"/>
              </w:rPr>
              <w:t>0</w:t>
            </w:r>
            <w:r>
              <w:rPr>
                <w:rFonts w:hint="eastAsia"/>
                <w:color w:val="auto"/>
                <w:spacing w:val="-2"/>
                <w:sz w:val="24"/>
                <w:szCs w:val="24"/>
                <w:highlight w:val="none"/>
              </w:rPr>
              <w:t>处的声级dB(A)；</w:t>
            </w:r>
          </w:p>
          <w:p w14:paraId="745C648B">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rPr>
              <w:t>r—预测点与声源之间的距离（m）；</w:t>
            </w:r>
          </w:p>
          <w:p w14:paraId="6CA275FA">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rPr>
              <w:t>r</w:t>
            </w:r>
            <w:r>
              <w:rPr>
                <w:rFonts w:hint="eastAsia"/>
                <w:color w:val="auto"/>
                <w:spacing w:val="-2"/>
                <w:sz w:val="24"/>
                <w:szCs w:val="24"/>
                <w:highlight w:val="none"/>
                <w:vertAlign w:val="subscript"/>
              </w:rPr>
              <w:t>0</w:t>
            </w:r>
            <w:r>
              <w:rPr>
                <w:rFonts w:hint="eastAsia"/>
                <w:color w:val="auto"/>
                <w:spacing w:val="-2"/>
                <w:sz w:val="24"/>
                <w:szCs w:val="24"/>
                <w:highlight w:val="none"/>
              </w:rPr>
              <w:t>—参考处与声源之间的距离（m）。</w:t>
            </w:r>
          </w:p>
          <w:p w14:paraId="3D2B963D">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lang w:val="en-US" w:eastAsia="zh-CN"/>
              </w:rPr>
              <w:t>2）</w:t>
            </w:r>
            <w:r>
              <w:rPr>
                <w:rFonts w:hint="eastAsia"/>
                <w:color w:val="auto"/>
                <w:spacing w:val="-2"/>
                <w:sz w:val="24"/>
                <w:szCs w:val="24"/>
                <w:highlight w:val="none"/>
              </w:rPr>
              <w:t>多点源声级叠加模式</w:t>
            </w:r>
          </w:p>
          <w:p w14:paraId="344A6FFF">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rPr>
              <w:t>多个点源在预测点产生的总等效声级L</w:t>
            </w:r>
            <w:r>
              <w:rPr>
                <w:rFonts w:hint="eastAsia"/>
                <w:color w:val="auto"/>
                <w:spacing w:val="-2"/>
                <w:sz w:val="24"/>
                <w:szCs w:val="24"/>
                <w:highlight w:val="none"/>
                <w:vertAlign w:val="subscript"/>
              </w:rPr>
              <w:t>eq</w:t>
            </w:r>
            <w:r>
              <w:rPr>
                <w:rFonts w:hint="eastAsia"/>
                <w:color w:val="auto"/>
                <w:spacing w:val="-2"/>
                <w:sz w:val="24"/>
                <w:szCs w:val="24"/>
                <w:highlight w:val="none"/>
              </w:rPr>
              <w:t>采用以下计算公式：</w:t>
            </w:r>
          </w:p>
          <w:p w14:paraId="0FA95481">
            <w:pPr>
              <w:spacing w:line="360" w:lineRule="auto"/>
              <w:jc w:val="center"/>
              <w:rPr>
                <w:rFonts w:hint="eastAsia"/>
                <w:color w:val="auto"/>
                <w:spacing w:val="-2"/>
                <w:sz w:val="24"/>
                <w:szCs w:val="24"/>
                <w:highlight w:val="none"/>
              </w:rPr>
            </w:pPr>
            <w:r>
              <w:rPr>
                <w:rFonts w:hint="eastAsia"/>
                <w:color w:val="auto"/>
                <w:spacing w:val="-2"/>
                <w:sz w:val="24"/>
                <w:szCs w:val="24"/>
                <w:highlight w:val="none"/>
              </w:rPr>
              <w:drawing>
                <wp:inline distT="0" distB="0" distL="0" distR="0">
                  <wp:extent cx="1600200" cy="502285"/>
                  <wp:effectExtent l="0" t="0" r="0" b="12065"/>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54"/>
                          <a:stretch>
                            <a:fillRect/>
                          </a:stretch>
                        </pic:blipFill>
                        <pic:spPr>
                          <a:xfrm>
                            <a:off x="0" y="0"/>
                            <a:ext cx="1647465" cy="517320"/>
                          </a:xfrm>
                          <a:prstGeom prst="rect">
                            <a:avLst/>
                          </a:prstGeom>
                        </pic:spPr>
                      </pic:pic>
                    </a:graphicData>
                  </a:graphic>
                </wp:inline>
              </w:drawing>
            </w:r>
          </w:p>
          <w:p w14:paraId="71AD715D">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rPr>
              <w:t>式中：L</w:t>
            </w:r>
            <w:r>
              <w:rPr>
                <w:rFonts w:hint="eastAsia"/>
                <w:color w:val="auto"/>
                <w:spacing w:val="-2"/>
                <w:sz w:val="24"/>
                <w:szCs w:val="24"/>
                <w:highlight w:val="none"/>
                <w:vertAlign w:val="subscript"/>
              </w:rPr>
              <w:t>eq</w:t>
            </w:r>
            <w:r>
              <w:rPr>
                <w:rFonts w:hint="eastAsia"/>
                <w:color w:val="auto"/>
                <w:spacing w:val="-2"/>
                <w:sz w:val="24"/>
                <w:szCs w:val="24"/>
                <w:highlight w:val="none"/>
              </w:rPr>
              <w:t>—预测点的总等效声级dB（A）；</w:t>
            </w:r>
          </w:p>
          <w:p w14:paraId="1160BC68">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rPr>
              <w:t>L</w:t>
            </w:r>
            <w:r>
              <w:rPr>
                <w:rFonts w:hint="eastAsia"/>
                <w:color w:val="auto"/>
                <w:spacing w:val="-2"/>
                <w:sz w:val="24"/>
                <w:szCs w:val="24"/>
                <w:highlight w:val="none"/>
                <w:vertAlign w:val="subscript"/>
              </w:rPr>
              <w:t>eqi</w:t>
            </w:r>
            <w:r>
              <w:rPr>
                <w:rFonts w:hint="eastAsia"/>
                <w:color w:val="auto"/>
                <w:spacing w:val="-2"/>
                <w:sz w:val="24"/>
                <w:szCs w:val="24"/>
                <w:highlight w:val="none"/>
              </w:rPr>
              <w:t>—第i个声源对预测点的等效声级dB（A）；</w:t>
            </w:r>
          </w:p>
          <w:p w14:paraId="688A52DF">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rPr>
              <w:t>n—噪声源数。</w:t>
            </w:r>
          </w:p>
          <w:p w14:paraId="1838CDE3">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lang w:val="en-US" w:eastAsia="zh-CN"/>
              </w:rPr>
              <w:t>②</w:t>
            </w:r>
            <w:r>
              <w:rPr>
                <w:rFonts w:hint="eastAsia"/>
                <w:color w:val="auto"/>
                <w:spacing w:val="-2"/>
                <w:sz w:val="24"/>
                <w:szCs w:val="24"/>
                <w:highlight w:val="none"/>
              </w:rPr>
              <w:t>施工场界噪声预测</w:t>
            </w:r>
          </w:p>
          <w:p w14:paraId="2C296C6D">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rPr>
              <w:t>为了解施工期主要施工设备的噪声贡献值，本次预测选取施工期主要施工机械及各施工阶段常用组合，设定在对周边环境最为不利的位置预测噪声贡献值。</w:t>
            </w:r>
          </w:p>
          <w:p w14:paraId="7B48D0CD">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rPr>
              <w:t>施工期主要强噪声源距场界不同距离时的噪声预测值详见下表。</w:t>
            </w:r>
          </w:p>
          <w:p w14:paraId="6C78FC05">
            <w:pPr>
              <w:pStyle w:val="96"/>
              <w:spacing w:line="240" w:lineRule="auto"/>
              <w:rPr>
                <w:rFonts w:hint="eastAsia"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表11-1  施工期噪声源在不同距离的噪声预测值  单位：dB（A）</w:t>
            </w:r>
          </w:p>
          <w:tbl>
            <w:tblPr>
              <w:tblStyle w:val="36"/>
              <w:tblW w:w="497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052"/>
              <w:gridCol w:w="1049"/>
              <w:gridCol w:w="1354"/>
              <w:gridCol w:w="720"/>
              <w:gridCol w:w="715"/>
              <w:gridCol w:w="740"/>
              <w:gridCol w:w="923"/>
              <w:gridCol w:w="923"/>
              <w:gridCol w:w="925"/>
            </w:tblGrid>
            <w:tr w14:paraId="513AF9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66" w:hRule="atLeast"/>
                <w:jc w:val="center"/>
              </w:trPr>
              <w:tc>
                <w:tcPr>
                  <w:tcW w:w="626" w:type="pct"/>
                  <w:tcBorders>
                    <w:tl2br w:val="nil"/>
                    <w:tr2bl w:val="nil"/>
                  </w:tcBorders>
                  <w:vAlign w:val="center"/>
                </w:tcPr>
                <w:p w14:paraId="148F41D3">
                  <w:pPr>
                    <w:adjustRightInd w:val="0"/>
                    <w:snapToGrid w:val="0"/>
                    <w:jc w:val="center"/>
                    <w:textAlignment w:val="baseline"/>
                    <w:rPr>
                      <w:rFonts w:hint="default" w:eastAsia="宋体"/>
                      <w:b/>
                      <w:bCs/>
                      <w:color w:val="auto"/>
                      <w:szCs w:val="21"/>
                      <w:highlight w:val="none"/>
                      <w:lang w:val="en-US" w:eastAsia="zh-CN"/>
                    </w:rPr>
                  </w:pPr>
                  <w:r>
                    <w:rPr>
                      <w:rFonts w:hint="eastAsia"/>
                      <w:b/>
                      <w:bCs/>
                      <w:color w:val="auto"/>
                      <w:szCs w:val="21"/>
                      <w:highlight w:val="none"/>
                      <w:lang w:val="en-US" w:eastAsia="zh-CN"/>
                    </w:rPr>
                    <w:t>施工阶段</w:t>
                  </w:r>
                </w:p>
              </w:tc>
              <w:tc>
                <w:tcPr>
                  <w:tcW w:w="624" w:type="pct"/>
                  <w:tcBorders>
                    <w:tl2br w:val="nil"/>
                    <w:tr2bl w:val="nil"/>
                  </w:tcBorders>
                  <w:vAlign w:val="center"/>
                </w:tcPr>
                <w:p w14:paraId="207BAE8F">
                  <w:pPr>
                    <w:adjustRightInd w:val="0"/>
                    <w:snapToGrid w:val="0"/>
                    <w:jc w:val="center"/>
                    <w:textAlignment w:val="baseline"/>
                    <w:rPr>
                      <w:rFonts w:hint="eastAsia"/>
                      <w:b/>
                      <w:bCs/>
                      <w:color w:val="auto"/>
                      <w:szCs w:val="21"/>
                      <w:highlight w:val="none"/>
                    </w:rPr>
                  </w:pPr>
                  <w:r>
                    <w:rPr>
                      <w:rFonts w:hint="eastAsia"/>
                      <w:b/>
                      <w:bCs/>
                      <w:color w:val="auto"/>
                      <w:szCs w:val="21"/>
                      <w:highlight w:val="none"/>
                    </w:rPr>
                    <w:t>声源</w:t>
                  </w:r>
                </w:p>
              </w:tc>
              <w:tc>
                <w:tcPr>
                  <w:tcW w:w="805" w:type="pct"/>
                  <w:tcBorders>
                    <w:tl2br w:val="nil"/>
                    <w:tr2bl w:val="nil"/>
                  </w:tcBorders>
                  <w:vAlign w:val="center"/>
                </w:tcPr>
                <w:p w14:paraId="47223BE6">
                  <w:pPr>
                    <w:adjustRightInd w:val="0"/>
                    <w:snapToGrid w:val="0"/>
                    <w:jc w:val="center"/>
                    <w:textAlignment w:val="baseline"/>
                    <w:rPr>
                      <w:rFonts w:hint="default" w:eastAsia="宋体"/>
                      <w:b/>
                      <w:bCs/>
                      <w:color w:val="auto"/>
                      <w:szCs w:val="21"/>
                      <w:highlight w:val="none"/>
                      <w:lang w:val="en-US" w:eastAsia="zh-CN"/>
                    </w:rPr>
                  </w:pPr>
                  <w:r>
                    <w:rPr>
                      <w:rFonts w:hint="eastAsia"/>
                      <w:b/>
                      <w:bCs/>
                      <w:color w:val="auto"/>
                      <w:szCs w:val="21"/>
                      <w:highlight w:val="none"/>
                      <w:lang w:val="en-US" w:eastAsia="zh-CN"/>
                    </w:rPr>
                    <w:t>源强（5m处）</w:t>
                  </w:r>
                </w:p>
              </w:tc>
              <w:tc>
                <w:tcPr>
                  <w:tcW w:w="428" w:type="pct"/>
                  <w:tcBorders>
                    <w:tl2br w:val="nil"/>
                    <w:tr2bl w:val="nil"/>
                  </w:tcBorders>
                  <w:vAlign w:val="center"/>
                </w:tcPr>
                <w:p w14:paraId="65B8C6FF">
                  <w:pPr>
                    <w:adjustRightInd w:val="0"/>
                    <w:snapToGrid w:val="0"/>
                    <w:jc w:val="center"/>
                    <w:textAlignment w:val="baseline"/>
                    <w:rPr>
                      <w:rFonts w:hint="eastAsia"/>
                      <w:b/>
                      <w:bCs/>
                      <w:color w:val="auto"/>
                      <w:szCs w:val="21"/>
                      <w:highlight w:val="none"/>
                    </w:rPr>
                  </w:pPr>
                  <w:r>
                    <w:rPr>
                      <w:rFonts w:hint="eastAsia"/>
                      <w:b/>
                      <w:bCs/>
                      <w:color w:val="auto"/>
                      <w:szCs w:val="21"/>
                      <w:highlight w:val="none"/>
                    </w:rPr>
                    <w:t>10m</w:t>
                  </w:r>
                </w:p>
              </w:tc>
              <w:tc>
                <w:tcPr>
                  <w:tcW w:w="425" w:type="pct"/>
                  <w:tcBorders>
                    <w:tl2br w:val="nil"/>
                    <w:tr2bl w:val="nil"/>
                  </w:tcBorders>
                  <w:vAlign w:val="center"/>
                </w:tcPr>
                <w:p w14:paraId="25A48420">
                  <w:pPr>
                    <w:adjustRightInd w:val="0"/>
                    <w:snapToGrid w:val="0"/>
                    <w:jc w:val="center"/>
                    <w:textAlignment w:val="baseline"/>
                    <w:rPr>
                      <w:rFonts w:hint="eastAsia"/>
                      <w:b/>
                      <w:bCs/>
                      <w:color w:val="auto"/>
                      <w:szCs w:val="21"/>
                      <w:highlight w:val="none"/>
                    </w:rPr>
                  </w:pPr>
                  <w:r>
                    <w:rPr>
                      <w:rFonts w:hint="eastAsia"/>
                      <w:b/>
                      <w:bCs/>
                      <w:color w:val="auto"/>
                      <w:szCs w:val="21"/>
                      <w:highlight w:val="none"/>
                    </w:rPr>
                    <w:t>20m</w:t>
                  </w:r>
                </w:p>
              </w:tc>
              <w:tc>
                <w:tcPr>
                  <w:tcW w:w="440" w:type="pct"/>
                  <w:tcBorders>
                    <w:tl2br w:val="nil"/>
                    <w:tr2bl w:val="nil"/>
                  </w:tcBorders>
                  <w:vAlign w:val="center"/>
                </w:tcPr>
                <w:p w14:paraId="27C4E674">
                  <w:pPr>
                    <w:adjustRightInd w:val="0"/>
                    <w:snapToGrid w:val="0"/>
                    <w:jc w:val="center"/>
                    <w:textAlignment w:val="baseline"/>
                    <w:rPr>
                      <w:rFonts w:hint="eastAsia"/>
                      <w:b/>
                      <w:bCs/>
                      <w:color w:val="auto"/>
                      <w:szCs w:val="21"/>
                      <w:highlight w:val="none"/>
                    </w:rPr>
                  </w:pPr>
                  <w:r>
                    <w:rPr>
                      <w:rFonts w:hint="eastAsia"/>
                      <w:b/>
                      <w:bCs/>
                      <w:color w:val="auto"/>
                      <w:szCs w:val="21"/>
                      <w:highlight w:val="none"/>
                    </w:rPr>
                    <w:t>50m</w:t>
                  </w:r>
                </w:p>
              </w:tc>
              <w:tc>
                <w:tcPr>
                  <w:tcW w:w="549" w:type="pct"/>
                  <w:tcBorders>
                    <w:tl2br w:val="nil"/>
                    <w:tr2bl w:val="nil"/>
                  </w:tcBorders>
                  <w:vAlign w:val="center"/>
                </w:tcPr>
                <w:p w14:paraId="51556343">
                  <w:pPr>
                    <w:adjustRightInd w:val="0"/>
                    <w:snapToGrid w:val="0"/>
                    <w:jc w:val="center"/>
                    <w:textAlignment w:val="baseline"/>
                    <w:rPr>
                      <w:rFonts w:hint="eastAsia"/>
                      <w:b/>
                      <w:bCs/>
                      <w:color w:val="auto"/>
                      <w:szCs w:val="21"/>
                      <w:highlight w:val="none"/>
                    </w:rPr>
                  </w:pPr>
                  <w:r>
                    <w:rPr>
                      <w:rFonts w:hint="eastAsia"/>
                      <w:b/>
                      <w:bCs/>
                      <w:color w:val="auto"/>
                      <w:szCs w:val="21"/>
                      <w:highlight w:val="none"/>
                    </w:rPr>
                    <w:t>100m</w:t>
                  </w:r>
                </w:p>
              </w:tc>
              <w:tc>
                <w:tcPr>
                  <w:tcW w:w="549" w:type="pct"/>
                  <w:tcBorders>
                    <w:tl2br w:val="nil"/>
                    <w:tr2bl w:val="nil"/>
                  </w:tcBorders>
                  <w:vAlign w:val="center"/>
                </w:tcPr>
                <w:p w14:paraId="6B6ED284">
                  <w:pPr>
                    <w:adjustRightInd w:val="0"/>
                    <w:snapToGrid w:val="0"/>
                    <w:jc w:val="center"/>
                    <w:textAlignment w:val="baseline"/>
                    <w:rPr>
                      <w:rFonts w:hint="eastAsia"/>
                      <w:b/>
                      <w:bCs/>
                      <w:color w:val="auto"/>
                      <w:szCs w:val="21"/>
                      <w:highlight w:val="none"/>
                    </w:rPr>
                  </w:pPr>
                  <w:r>
                    <w:rPr>
                      <w:rFonts w:hint="eastAsia"/>
                      <w:b/>
                      <w:bCs/>
                      <w:color w:val="auto"/>
                      <w:szCs w:val="21"/>
                      <w:highlight w:val="none"/>
                    </w:rPr>
                    <w:t>150m</w:t>
                  </w:r>
                </w:p>
              </w:tc>
              <w:tc>
                <w:tcPr>
                  <w:tcW w:w="550" w:type="pct"/>
                  <w:tcBorders>
                    <w:tl2br w:val="nil"/>
                    <w:tr2bl w:val="nil"/>
                  </w:tcBorders>
                  <w:vAlign w:val="center"/>
                </w:tcPr>
                <w:p w14:paraId="2562954C">
                  <w:pPr>
                    <w:adjustRightInd w:val="0"/>
                    <w:snapToGrid w:val="0"/>
                    <w:jc w:val="center"/>
                    <w:textAlignment w:val="baseline"/>
                    <w:rPr>
                      <w:rFonts w:hint="eastAsia"/>
                      <w:b/>
                      <w:bCs/>
                      <w:color w:val="auto"/>
                      <w:szCs w:val="21"/>
                      <w:highlight w:val="none"/>
                    </w:rPr>
                  </w:pPr>
                  <w:r>
                    <w:rPr>
                      <w:rFonts w:hint="eastAsia"/>
                      <w:b/>
                      <w:bCs/>
                      <w:color w:val="auto"/>
                      <w:szCs w:val="21"/>
                      <w:highlight w:val="none"/>
                    </w:rPr>
                    <w:t>200m</w:t>
                  </w:r>
                </w:p>
              </w:tc>
            </w:tr>
            <w:tr w14:paraId="3D38FC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86" w:hRule="atLeast"/>
                <w:jc w:val="center"/>
              </w:trPr>
              <w:tc>
                <w:tcPr>
                  <w:tcW w:w="626" w:type="pct"/>
                  <w:vMerge w:val="restart"/>
                  <w:tcBorders>
                    <w:tl2br w:val="nil"/>
                    <w:tr2bl w:val="nil"/>
                  </w:tcBorders>
                  <w:vAlign w:val="center"/>
                </w:tcPr>
                <w:p w14:paraId="28C6CEDC">
                  <w:pPr>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基础工程</w:t>
                  </w:r>
                </w:p>
              </w:tc>
              <w:tc>
                <w:tcPr>
                  <w:tcW w:w="624" w:type="pct"/>
                  <w:tcBorders>
                    <w:tl2br w:val="nil"/>
                    <w:tr2bl w:val="nil"/>
                  </w:tcBorders>
                  <w:vAlign w:val="center"/>
                </w:tcPr>
                <w:p w14:paraId="5B1FF5A9">
                  <w:pPr>
                    <w:adjustRightInd w:val="0"/>
                    <w:snapToGrid w:val="0"/>
                    <w:jc w:val="center"/>
                    <w:textAlignment w:val="baseline"/>
                    <w:rPr>
                      <w:rFonts w:hint="eastAsia" w:eastAsia="宋体"/>
                      <w:color w:val="auto"/>
                      <w:szCs w:val="21"/>
                      <w:highlight w:val="none"/>
                      <w:lang w:eastAsia="zh-CN"/>
                    </w:rPr>
                  </w:pPr>
                  <w:r>
                    <w:rPr>
                      <w:rFonts w:hint="eastAsia"/>
                      <w:color w:val="auto"/>
                      <w:szCs w:val="21"/>
                      <w:highlight w:val="none"/>
                      <w:lang w:val="en-US" w:eastAsia="zh-CN"/>
                    </w:rPr>
                    <w:t>电锤</w:t>
                  </w:r>
                </w:p>
              </w:tc>
              <w:tc>
                <w:tcPr>
                  <w:tcW w:w="805" w:type="pct"/>
                  <w:tcBorders>
                    <w:tl2br w:val="nil"/>
                    <w:tr2bl w:val="nil"/>
                  </w:tcBorders>
                  <w:vAlign w:val="center"/>
                </w:tcPr>
                <w:p w14:paraId="7BB0E3D6">
                  <w:pPr>
                    <w:adjustRightInd w:val="0"/>
                    <w:snapToGrid w:val="0"/>
                    <w:jc w:val="center"/>
                    <w:textAlignment w:val="baseline"/>
                    <w:rPr>
                      <w:rFonts w:hint="eastAsia"/>
                      <w:color w:val="auto"/>
                      <w:szCs w:val="21"/>
                      <w:highlight w:val="none"/>
                    </w:rPr>
                  </w:pPr>
                  <w:r>
                    <w:rPr>
                      <w:rFonts w:hint="eastAsia"/>
                      <w:color w:val="auto"/>
                      <w:szCs w:val="21"/>
                      <w:highlight w:val="none"/>
                    </w:rPr>
                    <w:t>8</w:t>
                  </w:r>
                  <w:r>
                    <w:rPr>
                      <w:rFonts w:hint="eastAsia"/>
                      <w:color w:val="auto"/>
                      <w:szCs w:val="21"/>
                      <w:highlight w:val="none"/>
                      <w:lang w:val="en-US" w:eastAsia="zh-CN"/>
                    </w:rPr>
                    <w:t>5</w:t>
                  </w:r>
                  <w:r>
                    <w:rPr>
                      <w:rFonts w:hint="eastAsia"/>
                      <w:color w:val="auto"/>
                      <w:szCs w:val="21"/>
                      <w:highlight w:val="none"/>
                    </w:rPr>
                    <w:t>.0</w:t>
                  </w:r>
                </w:p>
              </w:tc>
              <w:tc>
                <w:tcPr>
                  <w:tcW w:w="428" w:type="pct"/>
                  <w:tcBorders>
                    <w:tl2br w:val="nil"/>
                    <w:tr2bl w:val="nil"/>
                  </w:tcBorders>
                  <w:vAlign w:val="center"/>
                </w:tcPr>
                <w:p w14:paraId="5EDADCAC">
                  <w:pPr>
                    <w:adjustRightInd w:val="0"/>
                    <w:snapToGrid w:val="0"/>
                    <w:jc w:val="center"/>
                    <w:textAlignment w:val="baseline"/>
                    <w:rPr>
                      <w:rFonts w:hint="eastAsia"/>
                      <w:color w:val="auto"/>
                      <w:szCs w:val="21"/>
                      <w:highlight w:val="none"/>
                    </w:rPr>
                  </w:pPr>
                  <w:r>
                    <w:rPr>
                      <w:rFonts w:hint="eastAsia"/>
                      <w:color w:val="auto"/>
                      <w:szCs w:val="21"/>
                      <w:highlight w:val="none"/>
                      <w:lang w:val="en-US" w:eastAsia="zh-CN"/>
                    </w:rPr>
                    <w:t>82</w:t>
                  </w:r>
                  <w:r>
                    <w:rPr>
                      <w:rFonts w:hint="eastAsia"/>
                      <w:color w:val="auto"/>
                      <w:szCs w:val="21"/>
                      <w:highlight w:val="none"/>
                    </w:rPr>
                    <w:t>.0</w:t>
                  </w:r>
                </w:p>
              </w:tc>
              <w:tc>
                <w:tcPr>
                  <w:tcW w:w="425" w:type="pct"/>
                  <w:tcBorders>
                    <w:tl2br w:val="nil"/>
                    <w:tr2bl w:val="nil"/>
                  </w:tcBorders>
                  <w:vAlign w:val="center"/>
                </w:tcPr>
                <w:p w14:paraId="398A1D8A">
                  <w:pPr>
                    <w:adjustRightInd w:val="0"/>
                    <w:snapToGrid w:val="0"/>
                    <w:jc w:val="center"/>
                    <w:textAlignment w:val="baseline"/>
                    <w:rPr>
                      <w:rFonts w:hint="eastAsia"/>
                      <w:color w:val="auto"/>
                      <w:szCs w:val="21"/>
                      <w:highlight w:val="none"/>
                    </w:rPr>
                  </w:pPr>
                  <w:r>
                    <w:rPr>
                      <w:rFonts w:hint="eastAsia"/>
                      <w:color w:val="auto"/>
                      <w:szCs w:val="21"/>
                      <w:highlight w:val="none"/>
                    </w:rPr>
                    <w:t>7</w:t>
                  </w:r>
                  <w:r>
                    <w:rPr>
                      <w:rFonts w:hint="eastAsia"/>
                      <w:color w:val="auto"/>
                      <w:szCs w:val="21"/>
                      <w:highlight w:val="none"/>
                      <w:lang w:val="en-US" w:eastAsia="zh-CN"/>
                    </w:rPr>
                    <w:t>1</w:t>
                  </w:r>
                  <w:r>
                    <w:rPr>
                      <w:rFonts w:hint="eastAsia"/>
                      <w:color w:val="auto"/>
                      <w:szCs w:val="21"/>
                      <w:highlight w:val="none"/>
                    </w:rPr>
                    <w:t>.0</w:t>
                  </w:r>
                </w:p>
              </w:tc>
              <w:tc>
                <w:tcPr>
                  <w:tcW w:w="440" w:type="pct"/>
                  <w:tcBorders>
                    <w:tl2br w:val="nil"/>
                    <w:tr2bl w:val="nil"/>
                  </w:tcBorders>
                  <w:vAlign w:val="center"/>
                </w:tcPr>
                <w:p w14:paraId="6A573AD6">
                  <w:pPr>
                    <w:adjustRightInd w:val="0"/>
                    <w:snapToGrid w:val="0"/>
                    <w:jc w:val="center"/>
                    <w:textAlignment w:val="baseline"/>
                    <w:rPr>
                      <w:rFonts w:hint="eastAsia"/>
                      <w:color w:val="auto"/>
                      <w:szCs w:val="21"/>
                      <w:highlight w:val="none"/>
                    </w:rPr>
                  </w:pPr>
                  <w:r>
                    <w:rPr>
                      <w:rFonts w:hint="eastAsia"/>
                      <w:color w:val="auto"/>
                      <w:szCs w:val="21"/>
                      <w:highlight w:val="none"/>
                    </w:rPr>
                    <w:t>6</w:t>
                  </w:r>
                  <w:r>
                    <w:rPr>
                      <w:rFonts w:hint="eastAsia"/>
                      <w:color w:val="auto"/>
                      <w:szCs w:val="21"/>
                      <w:highlight w:val="none"/>
                      <w:lang w:val="en-US" w:eastAsia="zh-CN"/>
                    </w:rPr>
                    <w:t>1.</w:t>
                  </w:r>
                  <w:r>
                    <w:rPr>
                      <w:rFonts w:hint="eastAsia"/>
                      <w:color w:val="auto"/>
                      <w:szCs w:val="21"/>
                      <w:highlight w:val="none"/>
                    </w:rPr>
                    <w:t>0</w:t>
                  </w:r>
                </w:p>
              </w:tc>
              <w:tc>
                <w:tcPr>
                  <w:tcW w:w="549" w:type="pct"/>
                  <w:tcBorders>
                    <w:tl2br w:val="nil"/>
                    <w:tr2bl w:val="nil"/>
                  </w:tcBorders>
                  <w:vAlign w:val="center"/>
                </w:tcPr>
                <w:p w14:paraId="15A9744D">
                  <w:pPr>
                    <w:adjustRightInd w:val="0"/>
                    <w:snapToGrid w:val="0"/>
                    <w:jc w:val="center"/>
                    <w:textAlignment w:val="baseline"/>
                    <w:rPr>
                      <w:rFonts w:hint="eastAsia"/>
                      <w:color w:val="auto"/>
                      <w:szCs w:val="21"/>
                      <w:highlight w:val="none"/>
                    </w:rPr>
                  </w:pPr>
                  <w:r>
                    <w:rPr>
                      <w:rFonts w:hint="eastAsia"/>
                      <w:color w:val="auto"/>
                      <w:szCs w:val="21"/>
                      <w:highlight w:val="none"/>
                    </w:rPr>
                    <w:t>56.0</w:t>
                  </w:r>
                </w:p>
              </w:tc>
              <w:tc>
                <w:tcPr>
                  <w:tcW w:w="549" w:type="pct"/>
                  <w:tcBorders>
                    <w:tl2br w:val="nil"/>
                    <w:tr2bl w:val="nil"/>
                  </w:tcBorders>
                  <w:vAlign w:val="center"/>
                </w:tcPr>
                <w:p w14:paraId="2E23DC99">
                  <w:pPr>
                    <w:adjustRightInd w:val="0"/>
                    <w:snapToGrid w:val="0"/>
                    <w:jc w:val="center"/>
                    <w:textAlignment w:val="baseline"/>
                    <w:rPr>
                      <w:rFonts w:hint="eastAsia"/>
                      <w:color w:val="auto"/>
                      <w:szCs w:val="21"/>
                      <w:highlight w:val="none"/>
                    </w:rPr>
                  </w:pPr>
                  <w:r>
                    <w:rPr>
                      <w:rFonts w:hint="eastAsia"/>
                      <w:color w:val="auto"/>
                      <w:szCs w:val="21"/>
                      <w:highlight w:val="none"/>
                    </w:rPr>
                    <w:t>5</w:t>
                  </w:r>
                  <w:r>
                    <w:rPr>
                      <w:rFonts w:hint="eastAsia"/>
                      <w:color w:val="auto"/>
                      <w:szCs w:val="21"/>
                      <w:highlight w:val="none"/>
                      <w:lang w:val="en-US" w:eastAsia="zh-CN"/>
                    </w:rPr>
                    <w:t>3</w:t>
                  </w:r>
                  <w:r>
                    <w:rPr>
                      <w:rFonts w:hint="eastAsia"/>
                      <w:color w:val="auto"/>
                      <w:szCs w:val="21"/>
                      <w:highlight w:val="none"/>
                    </w:rPr>
                    <w:t>.5</w:t>
                  </w:r>
                </w:p>
              </w:tc>
              <w:tc>
                <w:tcPr>
                  <w:tcW w:w="550" w:type="pct"/>
                  <w:tcBorders>
                    <w:tl2br w:val="nil"/>
                    <w:tr2bl w:val="nil"/>
                  </w:tcBorders>
                  <w:vAlign w:val="center"/>
                </w:tcPr>
                <w:p w14:paraId="16BB692D">
                  <w:pPr>
                    <w:adjustRightInd w:val="0"/>
                    <w:snapToGrid w:val="0"/>
                    <w:jc w:val="center"/>
                    <w:textAlignment w:val="baseline"/>
                    <w:rPr>
                      <w:rFonts w:hint="eastAsia"/>
                      <w:color w:val="auto"/>
                      <w:szCs w:val="21"/>
                      <w:highlight w:val="none"/>
                    </w:rPr>
                  </w:pPr>
                  <w:r>
                    <w:rPr>
                      <w:rFonts w:hint="eastAsia"/>
                      <w:color w:val="auto"/>
                      <w:szCs w:val="21"/>
                      <w:highlight w:val="none"/>
                    </w:rPr>
                    <w:t>5</w:t>
                  </w:r>
                  <w:r>
                    <w:rPr>
                      <w:rFonts w:hint="eastAsia"/>
                      <w:color w:val="auto"/>
                      <w:szCs w:val="21"/>
                      <w:highlight w:val="none"/>
                      <w:lang w:val="en-US" w:eastAsia="zh-CN"/>
                    </w:rPr>
                    <w:t>2</w:t>
                  </w:r>
                  <w:r>
                    <w:rPr>
                      <w:rFonts w:hint="eastAsia"/>
                      <w:color w:val="auto"/>
                      <w:szCs w:val="21"/>
                      <w:highlight w:val="none"/>
                    </w:rPr>
                    <w:t>.0</w:t>
                  </w:r>
                </w:p>
              </w:tc>
            </w:tr>
            <w:tr w14:paraId="4241C3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50" w:hRule="atLeast"/>
                <w:jc w:val="center"/>
              </w:trPr>
              <w:tc>
                <w:tcPr>
                  <w:tcW w:w="626" w:type="pct"/>
                  <w:vMerge w:val="continue"/>
                  <w:tcBorders>
                    <w:tl2br w:val="nil"/>
                    <w:tr2bl w:val="nil"/>
                  </w:tcBorders>
                  <w:vAlign w:val="center"/>
                </w:tcPr>
                <w:p w14:paraId="020AB468">
                  <w:pPr>
                    <w:adjustRightInd w:val="0"/>
                    <w:snapToGrid w:val="0"/>
                    <w:jc w:val="center"/>
                    <w:textAlignment w:val="baseline"/>
                    <w:rPr>
                      <w:rFonts w:hint="eastAsia"/>
                      <w:color w:val="auto"/>
                      <w:szCs w:val="21"/>
                      <w:highlight w:val="none"/>
                      <w:lang w:val="en-US" w:eastAsia="zh-CN"/>
                    </w:rPr>
                  </w:pPr>
                </w:p>
              </w:tc>
              <w:tc>
                <w:tcPr>
                  <w:tcW w:w="624" w:type="pct"/>
                  <w:tcBorders>
                    <w:tl2br w:val="nil"/>
                    <w:tr2bl w:val="nil"/>
                  </w:tcBorders>
                  <w:vAlign w:val="center"/>
                </w:tcPr>
                <w:p w14:paraId="22B43911">
                  <w:pPr>
                    <w:adjustRightInd w:val="0"/>
                    <w:snapToGrid w:val="0"/>
                    <w:jc w:val="center"/>
                    <w:textAlignment w:val="baseline"/>
                    <w:rPr>
                      <w:rFonts w:hint="eastAsia" w:eastAsia="宋体"/>
                      <w:color w:val="auto"/>
                      <w:szCs w:val="21"/>
                      <w:highlight w:val="none"/>
                      <w:lang w:eastAsia="zh-CN"/>
                    </w:rPr>
                  </w:pPr>
                  <w:r>
                    <w:rPr>
                      <w:rFonts w:hint="eastAsia"/>
                      <w:color w:val="auto"/>
                      <w:szCs w:val="21"/>
                      <w:highlight w:val="none"/>
                      <w:lang w:val="en-US" w:eastAsia="zh-CN"/>
                    </w:rPr>
                    <w:t>电钻</w:t>
                  </w:r>
                </w:p>
              </w:tc>
              <w:tc>
                <w:tcPr>
                  <w:tcW w:w="805" w:type="pct"/>
                  <w:tcBorders>
                    <w:tl2br w:val="nil"/>
                    <w:tr2bl w:val="nil"/>
                  </w:tcBorders>
                  <w:vAlign w:val="center"/>
                </w:tcPr>
                <w:p w14:paraId="76FAD706">
                  <w:pPr>
                    <w:adjustRightInd w:val="0"/>
                    <w:snapToGrid w:val="0"/>
                    <w:jc w:val="center"/>
                    <w:textAlignment w:val="baseline"/>
                    <w:rPr>
                      <w:rFonts w:hint="eastAsia"/>
                      <w:color w:val="auto"/>
                      <w:szCs w:val="21"/>
                      <w:highlight w:val="none"/>
                    </w:rPr>
                  </w:pPr>
                  <w:r>
                    <w:rPr>
                      <w:rFonts w:hint="eastAsia"/>
                      <w:color w:val="auto"/>
                      <w:szCs w:val="21"/>
                      <w:highlight w:val="none"/>
                    </w:rPr>
                    <w:t>8</w:t>
                  </w:r>
                  <w:r>
                    <w:rPr>
                      <w:rFonts w:hint="eastAsia"/>
                      <w:color w:val="auto"/>
                      <w:szCs w:val="21"/>
                      <w:highlight w:val="none"/>
                      <w:lang w:val="en-US" w:eastAsia="zh-CN"/>
                    </w:rPr>
                    <w:t>8</w:t>
                  </w:r>
                  <w:r>
                    <w:rPr>
                      <w:rFonts w:hint="eastAsia"/>
                      <w:color w:val="auto"/>
                      <w:szCs w:val="21"/>
                      <w:highlight w:val="none"/>
                    </w:rPr>
                    <w:t>.0</w:t>
                  </w:r>
                </w:p>
              </w:tc>
              <w:tc>
                <w:tcPr>
                  <w:tcW w:w="428" w:type="pct"/>
                  <w:tcBorders>
                    <w:tl2br w:val="nil"/>
                    <w:tr2bl w:val="nil"/>
                  </w:tcBorders>
                  <w:vAlign w:val="center"/>
                </w:tcPr>
                <w:p w14:paraId="23AB7833">
                  <w:pPr>
                    <w:adjustRightInd w:val="0"/>
                    <w:snapToGrid w:val="0"/>
                    <w:jc w:val="center"/>
                    <w:textAlignment w:val="baseline"/>
                    <w:rPr>
                      <w:rFonts w:hint="eastAsia"/>
                      <w:color w:val="auto"/>
                      <w:szCs w:val="21"/>
                      <w:highlight w:val="none"/>
                    </w:rPr>
                  </w:pPr>
                  <w:r>
                    <w:rPr>
                      <w:rFonts w:hint="eastAsia"/>
                      <w:color w:val="auto"/>
                      <w:szCs w:val="21"/>
                      <w:highlight w:val="none"/>
                      <w:lang w:val="en-US" w:eastAsia="zh-CN"/>
                    </w:rPr>
                    <w:t>83</w:t>
                  </w:r>
                  <w:r>
                    <w:rPr>
                      <w:rFonts w:hint="eastAsia"/>
                      <w:color w:val="auto"/>
                      <w:szCs w:val="21"/>
                      <w:highlight w:val="none"/>
                    </w:rPr>
                    <w:t>.0</w:t>
                  </w:r>
                </w:p>
              </w:tc>
              <w:tc>
                <w:tcPr>
                  <w:tcW w:w="425" w:type="pct"/>
                  <w:tcBorders>
                    <w:tl2br w:val="nil"/>
                    <w:tr2bl w:val="nil"/>
                  </w:tcBorders>
                  <w:vAlign w:val="center"/>
                </w:tcPr>
                <w:p w14:paraId="20901029">
                  <w:pPr>
                    <w:adjustRightInd w:val="0"/>
                    <w:snapToGrid w:val="0"/>
                    <w:jc w:val="center"/>
                    <w:textAlignment w:val="baseline"/>
                    <w:rPr>
                      <w:rFonts w:hint="eastAsia"/>
                      <w:color w:val="auto"/>
                      <w:szCs w:val="21"/>
                      <w:highlight w:val="none"/>
                    </w:rPr>
                  </w:pPr>
                  <w:r>
                    <w:rPr>
                      <w:rFonts w:hint="eastAsia"/>
                      <w:color w:val="auto"/>
                      <w:szCs w:val="21"/>
                      <w:highlight w:val="none"/>
                    </w:rPr>
                    <w:t>7</w:t>
                  </w:r>
                  <w:r>
                    <w:rPr>
                      <w:rFonts w:hint="eastAsia"/>
                      <w:color w:val="auto"/>
                      <w:szCs w:val="21"/>
                      <w:highlight w:val="none"/>
                      <w:lang w:val="en-US" w:eastAsia="zh-CN"/>
                    </w:rPr>
                    <w:t>1</w:t>
                  </w:r>
                  <w:r>
                    <w:rPr>
                      <w:rFonts w:hint="eastAsia"/>
                      <w:color w:val="auto"/>
                      <w:szCs w:val="21"/>
                      <w:highlight w:val="none"/>
                    </w:rPr>
                    <w:t>.0</w:t>
                  </w:r>
                </w:p>
              </w:tc>
              <w:tc>
                <w:tcPr>
                  <w:tcW w:w="440" w:type="pct"/>
                  <w:tcBorders>
                    <w:tl2br w:val="nil"/>
                    <w:tr2bl w:val="nil"/>
                  </w:tcBorders>
                  <w:vAlign w:val="center"/>
                </w:tcPr>
                <w:p w14:paraId="46E028AF">
                  <w:pPr>
                    <w:adjustRightInd w:val="0"/>
                    <w:snapToGrid w:val="0"/>
                    <w:jc w:val="center"/>
                    <w:textAlignment w:val="baseline"/>
                    <w:rPr>
                      <w:rFonts w:hint="eastAsia"/>
                      <w:color w:val="auto"/>
                      <w:szCs w:val="21"/>
                      <w:highlight w:val="none"/>
                    </w:rPr>
                  </w:pPr>
                  <w:r>
                    <w:rPr>
                      <w:rFonts w:hint="eastAsia"/>
                      <w:color w:val="auto"/>
                      <w:szCs w:val="21"/>
                      <w:highlight w:val="none"/>
                    </w:rPr>
                    <w:t>62.0</w:t>
                  </w:r>
                </w:p>
              </w:tc>
              <w:tc>
                <w:tcPr>
                  <w:tcW w:w="549" w:type="pct"/>
                  <w:tcBorders>
                    <w:tl2br w:val="nil"/>
                    <w:tr2bl w:val="nil"/>
                  </w:tcBorders>
                  <w:vAlign w:val="center"/>
                </w:tcPr>
                <w:p w14:paraId="6662ED8A">
                  <w:pPr>
                    <w:adjustRightInd w:val="0"/>
                    <w:snapToGrid w:val="0"/>
                    <w:jc w:val="center"/>
                    <w:textAlignment w:val="baseline"/>
                    <w:rPr>
                      <w:rFonts w:hint="eastAsia"/>
                      <w:color w:val="auto"/>
                      <w:szCs w:val="21"/>
                      <w:highlight w:val="none"/>
                    </w:rPr>
                  </w:pPr>
                  <w:r>
                    <w:rPr>
                      <w:rFonts w:hint="eastAsia"/>
                      <w:color w:val="auto"/>
                      <w:szCs w:val="21"/>
                      <w:highlight w:val="none"/>
                    </w:rPr>
                    <w:t>56.0</w:t>
                  </w:r>
                </w:p>
              </w:tc>
              <w:tc>
                <w:tcPr>
                  <w:tcW w:w="549" w:type="pct"/>
                  <w:tcBorders>
                    <w:tl2br w:val="nil"/>
                    <w:tr2bl w:val="nil"/>
                  </w:tcBorders>
                  <w:vAlign w:val="center"/>
                </w:tcPr>
                <w:p w14:paraId="41E153B4">
                  <w:pPr>
                    <w:adjustRightInd w:val="0"/>
                    <w:snapToGrid w:val="0"/>
                    <w:jc w:val="center"/>
                    <w:textAlignment w:val="baseline"/>
                    <w:rPr>
                      <w:rFonts w:hint="eastAsia"/>
                      <w:color w:val="auto"/>
                      <w:szCs w:val="21"/>
                      <w:highlight w:val="none"/>
                    </w:rPr>
                  </w:pPr>
                  <w:r>
                    <w:rPr>
                      <w:rFonts w:hint="eastAsia"/>
                      <w:color w:val="auto"/>
                      <w:szCs w:val="21"/>
                      <w:highlight w:val="none"/>
                    </w:rPr>
                    <w:t>5</w:t>
                  </w:r>
                  <w:r>
                    <w:rPr>
                      <w:rFonts w:hint="eastAsia"/>
                      <w:color w:val="auto"/>
                      <w:szCs w:val="21"/>
                      <w:highlight w:val="none"/>
                      <w:lang w:val="en-US" w:eastAsia="zh-CN"/>
                    </w:rPr>
                    <w:t>5</w:t>
                  </w:r>
                  <w:r>
                    <w:rPr>
                      <w:rFonts w:hint="eastAsia"/>
                      <w:color w:val="auto"/>
                      <w:szCs w:val="21"/>
                      <w:highlight w:val="none"/>
                    </w:rPr>
                    <w:t>.5</w:t>
                  </w:r>
                </w:p>
              </w:tc>
              <w:tc>
                <w:tcPr>
                  <w:tcW w:w="550" w:type="pct"/>
                  <w:tcBorders>
                    <w:tl2br w:val="nil"/>
                    <w:tr2bl w:val="nil"/>
                  </w:tcBorders>
                  <w:vAlign w:val="center"/>
                </w:tcPr>
                <w:p w14:paraId="28107BB4">
                  <w:pPr>
                    <w:adjustRightInd w:val="0"/>
                    <w:snapToGrid w:val="0"/>
                    <w:jc w:val="center"/>
                    <w:textAlignment w:val="baseline"/>
                    <w:rPr>
                      <w:rFonts w:hint="eastAsia"/>
                      <w:color w:val="auto"/>
                      <w:szCs w:val="21"/>
                      <w:highlight w:val="none"/>
                    </w:rPr>
                  </w:pPr>
                  <w:r>
                    <w:rPr>
                      <w:rFonts w:hint="eastAsia"/>
                      <w:color w:val="auto"/>
                      <w:szCs w:val="21"/>
                      <w:highlight w:val="none"/>
                    </w:rPr>
                    <w:t>5</w:t>
                  </w:r>
                  <w:r>
                    <w:rPr>
                      <w:rFonts w:hint="eastAsia"/>
                      <w:color w:val="auto"/>
                      <w:szCs w:val="21"/>
                      <w:highlight w:val="none"/>
                      <w:lang w:val="en-US" w:eastAsia="zh-CN"/>
                    </w:rPr>
                    <w:t>4</w:t>
                  </w:r>
                  <w:r>
                    <w:rPr>
                      <w:rFonts w:hint="eastAsia"/>
                      <w:color w:val="auto"/>
                      <w:szCs w:val="21"/>
                      <w:highlight w:val="none"/>
                    </w:rPr>
                    <w:t>.0</w:t>
                  </w:r>
                </w:p>
              </w:tc>
            </w:tr>
            <w:tr w14:paraId="5A91D07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50" w:hRule="atLeast"/>
                <w:jc w:val="center"/>
              </w:trPr>
              <w:tc>
                <w:tcPr>
                  <w:tcW w:w="626" w:type="pct"/>
                  <w:vMerge w:val="restart"/>
                  <w:tcBorders>
                    <w:tl2br w:val="nil"/>
                    <w:tr2bl w:val="nil"/>
                  </w:tcBorders>
                  <w:vAlign w:val="center"/>
                </w:tcPr>
                <w:p w14:paraId="67D834C1">
                  <w:pPr>
                    <w:adjustRightInd w:val="0"/>
                    <w:snapToGrid w:val="0"/>
                    <w:jc w:val="center"/>
                    <w:textAlignment w:val="baseline"/>
                    <w:rPr>
                      <w:rFonts w:hint="eastAsia"/>
                      <w:color w:val="auto"/>
                      <w:szCs w:val="21"/>
                      <w:highlight w:val="none"/>
                      <w:lang w:val="en-US" w:eastAsia="zh-CN"/>
                    </w:rPr>
                  </w:pPr>
                  <w:r>
                    <w:rPr>
                      <w:rFonts w:hint="eastAsia"/>
                      <w:color w:val="auto"/>
                      <w:szCs w:val="21"/>
                      <w:highlight w:val="none"/>
                      <w:lang w:val="en-US" w:eastAsia="zh-CN"/>
                    </w:rPr>
                    <w:t>装修阶段</w:t>
                  </w:r>
                </w:p>
              </w:tc>
              <w:tc>
                <w:tcPr>
                  <w:tcW w:w="624" w:type="pct"/>
                  <w:tcBorders>
                    <w:tl2br w:val="nil"/>
                    <w:tr2bl w:val="nil"/>
                  </w:tcBorders>
                  <w:vAlign w:val="center"/>
                </w:tcPr>
                <w:p w14:paraId="4BF501BD">
                  <w:pPr>
                    <w:adjustRightInd w:val="0"/>
                    <w:snapToGrid w:val="0"/>
                    <w:jc w:val="center"/>
                    <w:textAlignment w:val="baseline"/>
                    <w:rPr>
                      <w:rFonts w:hint="eastAsia"/>
                      <w:color w:val="auto"/>
                      <w:szCs w:val="21"/>
                      <w:highlight w:val="none"/>
                      <w:lang w:val="en-US" w:eastAsia="zh-CN"/>
                    </w:rPr>
                  </w:pPr>
                  <w:r>
                    <w:rPr>
                      <w:rFonts w:hint="eastAsia"/>
                      <w:color w:val="auto"/>
                      <w:szCs w:val="21"/>
                      <w:highlight w:val="none"/>
                      <w:lang w:val="en-US" w:eastAsia="zh-CN"/>
                    </w:rPr>
                    <w:t>空压机</w:t>
                  </w:r>
                </w:p>
              </w:tc>
              <w:tc>
                <w:tcPr>
                  <w:tcW w:w="805" w:type="pct"/>
                  <w:tcBorders>
                    <w:tl2br w:val="nil"/>
                    <w:tr2bl w:val="nil"/>
                  </w:tcBorders>
                  <w:vAlign w:val="center"/>
                </w:tcPr>
                <w:p w14:paraId="0E7E5E1D">
                  <w:pPr>
                    <w:adjustRightInd w:val="0"/>
                    <w:snapToGrid w:val="0"/>
                    <w:jc w:val="center"/>
                    <w:textAlignment w:val="baseline"/>
                    <w:rPr>
                      <w:rFonts w:hint="eastAsia"/>
                      <w:color w:val="auto"/>
                      <w:szCs w:val="21"/>
                      <w:highlight w:val="none"/>
                    </w:rPr>
                  </w:pPr>
                  <w:r>
                    <w:rPr>
                      <w:rFonts w:hint="eastAsia"/>
                      <w:color w:val="auto"/>
                      <w:szCs w:val="21"/>
                      <w:highlight w:val="none"/>
                    </w:rPr>
                    <w:t>8</w:t>
                  </w:r>
                  <w:r>
                    <w:rPr>
                      <w:rFonts w:hint="eastAsia"/>
                      <w:color w:val="auto"/>
                      <w:szCs w:val="21"/>
                      <w:highlight w:val="none"/>
                      <w:lang w:val="en-US" w:eastAsia="zh-CN"/>
                    </w:rPr>
                    <w:t>4</w:t>
                  </w:r>
                  <w:r>
                    <w:rPr>
                      <w:rFonts w:hint="eastAsia"/>
                      <w:color w:val="auto"/>
                      <w:szCs w:val="21"/>
                      <w:highlight w:val="none"/>
                    </w:rPr>
                    <w:t>.0</w:t>
                  </w:r>
                </w:p>
              </w:tc>
              <w:tc>
                <w:tcPr>
                  <w:tcW w:w="428" w:type="pct"/>
                  <w:tcBorders>
                    <w:tl2br w:val="nil"/>
                    <w:tr2bl w:val="nil"/>
                  </w:tcBorders>
                  <w:vAlign w:val="center"/>
                </w:tcPr>
                <w:p w14:paraId="358289D5">
                  <w:pPr>
                    <w:adjustRightInd w:val="0"/>
                    <w:snapToGrid w:val="0"/>
                    <w:jc w:val="center"/>
                    <w:textAlignment w:val="baseline"/>
                    <w:rPr>
                      <w:rFonts w:hint="eastAsia"/>
                      <w:color w:val="auto"/>
                      <w:szCs w:val="21"/>
                      <w:highlight w:val="none"/>
                      <w:lang w:val="en-US" w:eastAsia="zh-CN"/>
                    </w:rPr>
                  </w:pPr>
                  <w:r>
                    <w:rPr>
                      <w:rFonts w:hint="eastAsia"/>
                      <w:color w:val="auto"/>
                      <w:szCs w:val="21"/>
                      <w:highlight w:val="none"/>
                    </w:rPr>
                    <w:t>8</w:t>
                  </w:r>
                  <w:r>
                    <w:rPr>
                      <w:rFonts w:hint="eastAsia"/>
                      <w:color w:val="auto"/>
                      <w:szCs w:val="21"/>
                      <w:highlight w:val="none"/>
                      <w:lang w:val="en-US" w:eastAsia="zh-CN"/>
                    </w:rPr>
                    <w:t>2</w:t>
                  </w:r>
                  <w:r>
                    <w:rPr>
                      <w:rFonts w:hint="eastAsia"/>
                      <w:color w:val="auto"/>
                      <w:szCs w:val="21"/>
                      <w:highlight w:val="none"/>
                    </w:rPr>
                    <w:t>.0</w:t>
                  </w:r>
                </w:p>
              </w:tc>
              <w:tc>
                <w:tcPr>
                  <w:tcW w:w="425" w:type="pct"/>
                  <w:tcBorders>
                    <w:tl2br w:val="nil"/>
                    <w:tr2bl w:val="nil"/>
                  </w:tcBorders>
                  <w:vAlign w:val="center"/>
                </w:tcPr>
                <w:p w14:paraId="71C80E99">
                  <w:pPr>
                    <w:adjustRightInd w:val="0"/>
                    <w:snapToGrid w:val="0"/>
                    <w:jc w:val="center"/>
                    <w:textAlignment w:val="baseline"/>
                    <w:rPr>
                      <w:rFonts w:hint="eastAsia"/>
                      <w:color w:val="auto"/>
                      <w:szCs w:val="21"/>
                      <w:highlight w:val="none"/>
                    </w:rPr>
                  </w:pPr>
                  <w:r>
                    <w:rPr>
                      <w:rFonts w:hint="eastAsia"/>
                      <w:color w:val="auto"/>
                      <w:szCs w:val="21"/>
                      <w:highlight w:val="none"/>
                      <w:lang w:val="en-US" w:eastAsia="zh-CN"/>
                    </w:rPr>
                    <w:t>73</w:t>
                  </w:r>
                  <w:r>
                    <w:rPr>
                      <w:rFonts w:hint="eastAsia"/>
                      <w:color w:val="auto"/>
                      <w:szCs w:val="21"/>
                      <w:highlight w:val="none"/>
                    </w:rPr>
                    <w:t>.0</w:t>
                  </w:r>
                </w:p>
              </w:tc>
              <w:tc>
                <w:tcPr>
                  <w:tcW w:w="440" w:type="pct"/>
                  <w:tcBorders>
                    <w:tl2br w:val="nil"/>
                    <w:tr2bl w:val="nil"/>
                  </w:tcBorders>
                  <w:vAlign w:val="center"/>
                </w:tcPr>
                <w:p w14:paraId="4F3BC2BD">
                  <w:pPr>
                    <w:adjustRightInd w:val="0"/>
                    <w:snapToGrid w:val="0"/>
                    <w:jc w:val="center"/>
                    <w:textAlignment w:val="baseline"/>
                    <w:rPr>
                      <w:rFonts w:hint="eastAsia"/>
                      <w:color w:val="auto"/>
                      <w:szCs w:val="21"/>
                      <w:highlight w:val="none"/>
                    </w:rPr>
                  </w:pPr>
                  <w:r>
                    <w:rPr>
                      <w:rFonts w:hint="eastAsia"/>
                      <w:color w:val="auto"/>
                      <w:szCs w:val="21"/>
                      <w:highlight w:val="none"/>
                    </w:rPr>
                    <w:t>6</w:t>
                  </w:r>
                  <w:r>
                    <w:rPr>
                      <w:rFonts w:hint="eastAsia"/>
                      <w:color w:val="auto"/>
                      <w:szCs w:val="21"/>
                      <w:highlight w:val="none"/>
                      <w:lang w:val="en-US" w:eastAsia="zh-CN"/>
                    </w:rPr>
                    <w:t>2</w:t>
                  </w:r>
                  <w:r>
                    <w:rPr>
                      <w:rFonts w:hint="eastAsia"/>
                      <w:color w:val="auto"/>
                      <w:szCs w:val="21"/>
                      <w:highlight w:val="none"/>
                    </w:rPr>
                    <w:t>.0</w:t>
                  </w:r>
                </w:p>
              </w:tc>
              <w:tc>
                <w:tcPr>
                  <w:tcW w:w="549" w:type="pct"/>
                  <w:tcBorders>
                    <w:tl2br w:val="nil"/>
                    <w:tr2bl w:val="nil"/>
                  </w:tcBorders>
                  <w:vAlign w:val="center"/>
                </w:tcPr>
                <w:p w14:paraId="2B5C81ED">
                  <w:pPr>
                    <w:adjustRightInd w:val="0"/>
                    <w:snapToGrid w:val="0"/>
                    <w:jc w:val="center"/>
                    <w:textAlignment w:val="baseline"/>
                    <w:rPr>
                      <w:rFonts w:hint="eastAsia"/>
                      <w:color w:val="auto"/>
                      <w:szCs w:val="21"/>
                      <w:highlight w:val="none"/>
                    </w:rPr>
                  </w:pPr>
                  <w:r>
                    <w:rPr>
                      <w:rFonts w:hint="eastAsia"/>
                      <w:color w:val="auto"/>
                      <w:szCs w:val="21"/>
                      <w:highlight w:val="none"/>
                    </w:rPr>
                    <w:t>61.0</w:t>
                  </w:r>
                </w:p>
              </w:tc>
              <w:tc>
                <w:tcPr>
                  <w:tcW w:w="549" w:type="pct"/>
                  <w:tcBorders>
                    <w:tl2br w:val="nil"/>
                    <w:tr2bl w:val="nil"/>
                  </w:tcBorders>
                  <w:vAlign w:val="center"/>
                </w:tcPr>
                <w:p w14:paraId="3607BBDA">
                  <w:pPr>
                    <w:adjustRightInd w:val="0"/>
                    <w:snapToGrid w:val="0"/>
                    <w:jc w:val="center"/>
                    <w:textAlignment w:val="baseline"/>
                    <w:rPr>
                      <w:rFonts w:hint="eastAsia"/>
                      <w:color w:val="auto"/>
                      <w:szCs w:val="21"/>
                      <w:highlight w:val="none"/>
                    </w:rPr>
                  </w:pPr>
                  <w:r>
                    <w:rPr>
                      <w:rFonts w:hint="eastAsia"/>
                      <w:color w:val="auto"/>
                      <w:szCs w:val="21"/>
                      <w:highlight w:val="none"/>
                    </w:rPr>
                    <w:t>57.5</w:t>
                  </w:r>
                </w:p>
              </w:tc>
              <w:tc>
                <w:tcPr>
                  <w:tcW w:w="550" w:type="pct"/>
                  <w:tcBorders>
                    <w:tl2br w:val="nil"/>
                    <w:tr2bl w:val="nil"/>
                  </w:tcBorders>
                  <w:vAlign w:val="center"/>
                </w:tcPr>
                <w:p w14:paraId="21B219C5">
                  <w:pPr>
                    <w:adjustRightInd w:val="0"/>
                    <w:snapToGrid w:val="0"/>
                    <w:jc w:val="center"/>
                    <w:textAlignment w:val="baseline"/>
                    <w:rPr>
                      <w:rFonts w:hint="eastAsia"/>
                      <w:color w:val="auto"/>
                      <w:szCs w:val="21"/>
                      <w:highlight w:val="none"/>
                    </w:rPr>
                  </w:pPr>
                  <w:r>
                    <w:rPr>
                      <w:rFonts w:hint="eastAsia"/>
                      <w:color w:val="auto"/>
                      <w:szCs w:val="21"/>
                      <w:highlight w:val="none"/>
                    </w:rPr>
                    <w:t>5</w:t>
                  </w:r>
                  <w:r>
                    <w:rPr>
                      <w:rFonts w:hint="eastAsia"/>
                      <w:color w:val="auto"/>
                      <w:szCs w:val="21"/>
                      <w:highlight w:val="none"/>
                      <w:lang w:val="en-US" w:eastAsia="zh-CN"/>
                    </w:rPr>
                    <w:t>3</w:t>
                  </w:r>
                  <w:r>
                    <w:rPr>
                      <w:rFonts w:hint="eastAsia"/>
                      <w:color w:val="auto"/>
                      <w:szCs w:val="21"/>
                      <w:highlight w:val="none"/>
                    </w:rPr>
                    <w:t>.0</w:t>
                  </w:r>
                </w:p>
              </w:tc>
            </w:tr>
            <w:tr w14:paraId="6BE936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50" w:hRule="atLeast"/>
                <w:jc w:val="center"/>
              </w:trPr>
              <w:tc>
                <w:tcPr>
                  <w:tcW w:w="626" w:type="pct"/>
                  <w:vMerge w:val="continue"/>
                  <w:tcBorders>
                    <w:tl2br w:val="nil"/>
                    <w:tr2bl w:val="nil"/>
                  </w:tcBorders>
                  <w:vAlign w:val="center"/>
                </w:tcPr>
                <w:p w14:paraId="633A6B3C">
                  <w:pPr>
                    <w:adjustRightInd w:val="0"/>
                    <w:snapToGrid w:val="0"/>
                    <w:jc w:val="center"/>
                    <w:textAlignment w:val="baseline"/>
                    <w:rPr>
                      <w:rFonts w:hint="eastAsia"/>
                      <w:color w:val="auto"/>
                      <w:szCs w:val="21"/>
                      <w:highlight w:val="none"/>
                      <w:lang w:val="en-US" w:eastAsia="zh-CN"/>
                    </w:rPr>
                  </w:pPr>
                </w:p>
              </w:tc>
              <w:tc>
                <w:tcPr>
                  <w:tcW w:w="624" w:type="pct"/>
                  <w:tcBorders>
                    <w:tl2br w:val="nil"/>
                    <w:tr2bl w:val="nil"/>
                  </w:tcBorders>
                  <w:vAlign w:val="center"/>
                </w:tcPr>
                <w:p w14:paraId="27DFD7BB">
                  <w:pPr>
                    <w:adjustRightInd w:val="0"/>
                    <w:snapToGrid w:val="0"/>
                    <w:jc w:val="center"/>
                    <w:textAlignment w:val="baseline"/>
                    <w:rPr>
                      <w:rFonts w:hint="eastAsia"/>
                      <w:color w:val="auto"/>
                      <w:szCs w:val="21"/>
                      <w:highlight w:val="none"/>
                      <w:lang w:val="en-US" w:eastAsia="zh-CN"/>
                    </w:rPr>
                  </w:pPr>
                  <w:r>
                    <w:rPr>
                      <w:rFonts w:hint="eastAsia"/>
                      <w:color w:val="auto"/>
                      <w:szCs w:val="21"/>
                      <w:highlight w:val="none"/>
                      <w:lang w:val="en-US" w:eastAsia="zh-CN"/>
                    </w:rPr>
                    <w:t>角磨机</w:t>
                  </w:r>
                </w:p>
              </w:tc>
              <w:tc>
                <w:tcPr>
                  <w:tcW w:w="805" w:type="pct"/>
                  <w:tcBorders>
                    <w:tl2br w:val="nil"/>
                    <w:tr2bl w:val="nil"/>
                  </w:tcBorders>
                  <w:vAlign w:val="center"/>
                </w:tcPr>
                <w:p w14:paraId="59ABCC58">
                  <w:pPr>
                    <w:adjustRightInd w:val="0"/>
                    <w:snapToGrid w:val="0"/>
                    <w:jc w:val="center"/>
                    <w:textAlignment w:val="baseline"/>
                    <w:rPr>
                      <w:rFonts w:hint="eastAsia"/>
                      <w:color w:val="auto"/>
                      <w:szCs w:val="21"/>
                      <w:highlight w:val="none"/>
                    </w:rPr>
                  </w:pPr>
                  <w:r>
                    <w:rPr>
                      <w:rFonts w:hint="eastAsia"/>
                      <w:color w:val="auto"/>
                      <w:szCs w:val="21"/>
                      <w:highlight w:val="none"/>
                    </w:rPr>
                    <w:t>82.0</w:t>
                  </w:r>
                </w:p>
              </w:tc>
              <w:tc>
                <w:tcPr>
                  <w:tcW w:w="428" w:type="pct"/>
                  <w:tcBorders>
                    <w:tl2br w:val="nil"/>
                    <w:tr2bl w:val="nil"/>
                  </w:tcBorders>
                  <w:vAlign w:val="center"/>
                </w:tcPr>
                <w:p w14:paraId="555C2C16">
                  <w:pPr>
                    <w:adjustRightInd w:val="0"/>
                    <w:snapToGrid w:val="0"/>
                    <w:jc w:val="center"/>
                    <w:textAlignment w:val="baseline"/>
                    <w:rPr>
                      <w:rFonts w:hint="eastAsia"/>
                      <w:color w:val="auto"/>
                      <w:szCs w:val="21"/>
                      <w:highlight w:val="none"/>
                      <w:lang w:val="en-US" w:eastAsia="zh-CN"/>
                    </w:rPr>
                  </w:pPr>
                  <w:r>
                    <w:rPr>
                      <w:rFonts w:hint="eastAsia"/>
                      <w:color w:val="auto"/>
                      <w:szCs w:val="21"/>
                      <w:highlight w:val="none"/>
                    </w:rPr>
                    <w:t>7</w:t>
                  </w:r>
                  <w:r>
                    <w:rPr>
                      <w:rFonts w:hint="eastAsia"/>
                      <w:color w:val="auto"/>
                      <w:szCs w:val="21"/>
                      <w:highlight w:val="none"/>
                      <w:lang w:val="en-US" w:eastAsia="zh-CN"/>
                    </w:rPr>
                    <w:t>8</w:t>
                  </w:r>
                  <w:r>
                    <w:rPr>
                      <w:rFonts w:hint="eastAsia"/>
                      <w:color w:val="auto"/>
                      <w:szCs w:val="21"/>
                      <w:highlight w:val="none"/>
                    </w:rPr>
                    <w:t>.0</w:t>
                  </w:r>
                </w:p>
              </w:tc>
              <w:tc>
                <w:tcPr>
                  <w:tcW w:w="425" w:type="pct"/>
                  <w:tcBorders>
                    <w:tl2br w:val="nil"/>
                    <w:tr2bl w:val="nil"/>
                  </w:tcBorders>
                  <w:vAlign w:val="center"/>
                </w:tcPr>
                <w:p w14:paraId="40EFCA94">
                  <w:pPr>
                    <w:adjustRightInd w:val="0"/>
                    <w:snapToGrid w:val="0"/>
                    <w:jc w:val="center"/>
                    <w:textAlignment w:val="baseline"/>
                    <w:rPr>
                      <w:rFonts w:hint="eastAsia"/>
                      <w:color w:val="auto"/>
                      <w:szCs w:val="21"/>
                      <w:highlight w:val="none"/>
                    </w:rPr>
                  </w:pPr>
                  <w:r>
                    <w:rPr>
                      <w:rFonts w:hint="eastAsia"/>
                      <w:color w:val="auto"/>
                      <w:szCs w:val="21"/>
                      <w:highlight w:val="none"/>
                    </w:rPr>
                    <w:t>70.0</w:t>
                  </w:r>
                </w:p>
              </w:tc>
              <w:tc>
                <w:tcPr>
                  <w:tcW w:w="440" w:type="pct"/>
                  <w:tcBorders>
                    <w:tl2br w:val="nil"/>
                    <w:tr2bl w:val="nil"/>
                  </w:tcBorders>
                  <w:vAlign w:val="center"/>
                </w:tcPr>
                <w:p w14:paraId="02E7631E">
                  <w:pPr>
                    <w:adjustRightInd w:val="0"/>
                    <w:snapToGrid w:val="0"/>
                    <w:jc w:val="center"/>
                    <w:textAlignment w:val="baseline"/>
                    <w:rPr>
                      <w:rFonts w:hint="eastAsia"/>
                      <w:color w:val="auto"/>
                      <w:szCs w:val="21"/>
                      <w:highlight w:val="none"/>
                    </w:rPr>
                  </w:pPr>
                  <w:r>
                    <w:rPr>
                      <w:rFonts w:hint="eastAsia"/>
                      <w:color w:val="auto"/>
                      <w:szCs w:val="21"/>
                      <w:highlight w:val="none"/>
                    </w:rPr>
                    <w:t>6</w:t>
                  </w:r>
                  <w:r>
                    <w:rPr>
                      <w:rFonts w:hint="eastAsia"/>
                      <w:color w:val="auto"/>
                      <w:szCs w:val="21"/>
                      <w:highlight w:val="none"/>
                      <w:lang w:val="en-US" w:eastAsia="zh-CN"/>
                    </w:rPr>
                    <w:t>1</w:t>
                  </w:r>
                  <w:r>
                    <w:rPr>
                      <w:rFonts w:hint="eastAsia"/>
                      <w:color w:val="auto"/>
                      <w:szCs w:val="21"/>
                      <w:highlight w:val="none"/>
                    </w:rPr>
                    <w:t>.0</w:t>
                  </w:r>
                </w:p>
              </w:tc>
              <w:tc>
                <w:tcPr>
                  <w:tcW w:w="549" w:type="pct"/>
                  <w:tcBorders>
                    <w:tl2br w:val="nil"/>
                    <w:tr2bl w:val="nil"/>
                  </w:tcBorders>
                  <w:vAlign w:val="center"/>
                </w:tcPr>
                <w:p w14:paraId="2ADBE518">
                  <w:pPr>
                    <w:adjustRightInd w:val="0"/>
                    <w:snapToGrid w:val="0"/>
                    <w:jc w:val="center"/>
                    <w:textAlignment w:val="baseline"/>
                    <w:rPr>
                      <w:rFonts w:hint="eastAsia"/>
                      <w:color w:val="auto"/>
                      <w:szCs w:val="21"/>
                      <w:highlight w:val="none"/>
                    </w:rPr>
                  </w:pPr>
                  <w:r>
                    <w:rPr>
                      <w:rFonts w:hint="eastAsia"/>
                      <w:color w:val="auto"/>
                      <w:szCs w:val="21"/>
                      <w:highlight w:val="none"/>
                    </w:rPr>
                    <w:t>56.0</w:t>
                  </w:r>
                </w:p>
              </w:tc>
              <w:tc>
                <w:tcPr>
                  <w:tcW w:w="549" w:type="pct"/>
                  <w:tcBorders>
                    <w:tl2br w:val="nil"/>
                    <w:tr2bl w:val="nil"/>
                  </w:tcBorders>
                  <w:vAlign w:val="center"/>
                </w:tcPr>
                <w:p w14:paraId="3D187B29">
                  <w:pPr>
                    <w:adjustRightInd w:val="0"/>
                    <w:snapToGrid w:val="0"/>
                    <w:jc w:val="center"/>
                    <w:textAlignment w:val="baseline"/>
                    <w:rPr>
                      <w:rFonts w:hint="eastAsia"/>
                      <w:color w:val="auto"/>
                      <w:szCs w:val="21"/>
                      <w:highlight w:val="none"/>
                    </w:rPr>
                  </w:pPr>
                  <w:r>
                    <w:rPr>
                      <w:rFonts w:hint="eastAsia"/>
                      <w:color w:val="auto"/>
                      <w:szCs w:val="21"/>
                      <w:highlight w:val="none"/>
                    </w:rPr>
                    <w:t>5</w:t>
                  </w:r>
                  <w:r>
                    <w:rPr>
                      <w:rFonts w:hint="eastAsia"/>
                      <w:color w:val="auto"/>
                      <w:szCs w:val="21"/>
                      <w:highlight w:val="none"/>
                      <w:lang w:val="en-US" w:eastAsia="zh-CN"/>
                    </w:rPr>
                    <w:t>3</w:t>
                  </w:r>
                  <w:r>
                    <w:rPr>
                      <w:rFonts w:hint="eastAsia"/>
                      <w:color w:val="auto"/>
                      <w:szCs w:val="21"/>
                      <w:highlight w:val="none"/>
                    </w:rPr>
                    <w:t>.5</w:t>
                  </w:r>
                </w:p>
              </w:tc>
              <w:tc>
                <w:tcPr>
                  <w:tcW w:w="550" w:type="pct"/>
                  <w:tcBorders>
                    <w:tl2br w:val="nil"/>
                    <w:tr2bl w:val="nil"/>
                  </w:tcBorders>
                  <w:vAlign w:val="center"/>
                </w:tcPr>
                <w:p w14:paraId="67488D4F">
                  <w:pPr>
                    <w:adjustRightInd w:val="0"/>
                    <w:snapToGrid w:val="0"/>
                    <w:jc w:val="center"/>
                    <w:textAlignment w:val="baseline"/>
                    <w:rPr>
                      <w:rFonts w:hint="eastAsia"/>
                      <w:color w:val="auto"/>
                      <w:szCs w:val="21"/>
                      <w:highlight w:val="none"/>
                    </w:rPr>
                  </w:pPr>
                  <w:r>
                    <w:rPr>
                      <w:rFonts w:hint="eastAsia"/>
                      <w:color w:val="auto"/>
                      <w:szCs w:val="21"/>
                      <w:highlight w:val="none"/>
                    </w:rPr>
                    <w:t>5</w:t>
                  </w:r>
                  <w:r>
                    <w:rPr>
                      <w:rFonts w:hint="eastAsia"/>
                      <w:color w:val="auto"/>
                      <w:szCs w:val="21"/>
                      <w:highlight w:val="none"/>
                      <w:lang w:val="en-US" w:eastAsia="zh-CN"/>
                    </w:rPr>
                    <w:t>2</w:t>
                  </w:r>
                  <w:r>
                    <w:rPr>
                      <w:rFonts w:hint="eastAsia"/>
                      <w:color w:val="auto"/>
                      <w:szCs w:val="21"/>
                      <w:highlight w:val="none"/>
                    </w:rPr>
                    <w:t>.0</w:t>
                  </w:r>
                </w:p>
              </w:tc>
            </w:tr>
          </w:tbl>
          <w:p w14:paraId="03B1636A">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rPr>
              <w:t>上述预测结果表明，施工噪声影响较大，须采用相应的措施以减小施工噪声对周围环境影响。</w:t>
            </w:r>
          </w:p>
          <w:p w14:paraId="73EB5624">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lang w:val="en-US" w:eastAsia="zh-CN"/>
              </w:rPr>
              <w:t>③</w:t>
            </w:r>
            <w:r>
              <w:rPr>
                <w:rFonts w:hint="eastAsia"/>
                <w:color w:val="auto"/>
                <w:spacing w:val="-2"/>
                <w:sz w:val="24"/>
                <w:szCs w:val="24"/>
                <w:highlight w:val="none"/>
              </w:rPr>
              <w:t>施工期噪声影响减缓措施</w:t>
            </w:r>
          </w:p>
          <w:p w14:paraId="2F2ED266">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lang w:val="en-US" w:eastAsia="zh-CN"/>
              </w:rPr>
              <w:t>1）</w:t>
            </w:r>
            <w:r>
              <w:rPr>
                <w:rFonts w:hint="eastAsia"/>
                <w:color w:val="auto"/>
                <w:spacing w:val="-2"/>
                <w:sz w:val="24"/>
                <w:szCs w:val="24"/>
                <w:highlight w:val="none"/>
              </w:rPr>
              <w:t>项目施工期间应尽量选用低噪声施工机械，并保持其良好的运行状态；</w:t>
            </w:r>
          </w:p>
          <w:p w14:paraId="2BD0A5BD">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lang w:val="en-US" w:eastAsia="zh-CN"/>
              </w:rPr>
              <w:t>2）</w:t>
            </w:r>
            <w:r>
              <w:rPr>
                <w:rFonts w:hint="eastAsia"/>
                <w:color w:val="auto"/>
                <w:spacing w:val="-2"/>
                <w:sz w:val="24"/>
                <w:szCs w:val="24"/>
                <w:highlight w:val="none"/>
              </w:rPr>
              <w:t>尽量避免多台设备同时开启，减少噪声对环境的叠加影响；</w:t>
            </w:r>
          </w:p>
          <w:p w14:paraId="790FBA8F">
            <w:pPr>
              <w:spacing w:line="360" w:lineRule="auto"/>
              <w:ind w:firstLine="472" w:firstLineChars="200"/>
              <w:rPr>
                <w:rFonts w:hint="eastAsia"/>
                <w:color w:val="auto"/>
                <w:spacing w:val="-2"/>
                <w:sz w:val="24"/>
                <w:szCs w:val="24"/>
                <w:highlight w:val="none"/>
              </w:rPr>
            </w:pPr>
            <w:r>
              <w:rPr>
                <w:rFonts w:hint="eastAsia"/>
                <w:color w:val="auto"/>
                <w:spacing w:val="-2"/>
                <w:sz w:val="24"/>
                <w:szCs w:val="24"/>
                <w:highlight w:val="none"/>
                <w:lang w:val="en-US" w:eastAsia="zh-CN"/>
              </w:rPr>
              <w:t>3）</w:t>
            </w:r>
            <w:r>
              <w:rPr>
                <w:rFonts w:hint="eastAsia"/>
                <w:color w:val="auto"/>
                <w:spacing w:val="-2"/>
                <w:sz w:val="24"/>
                <w:szCs w:val="24"/>
                <w:highlight w:val="none"/>
              </w:rPr>
              <w:t>强化噪声环境管理，严格执行《建筑施工场界环境噪声排放标准》（GB 12523－2011）的标准要求和当地有关建筑施工管理的有关规定。</w:t>
            </w:r>
          </w:p>
          <w:p w14:paraId="4D20406D">
            <w:pPr>
              <w:pStyle w:val="109"/>
              <w:ind w:firstLine="472"/>
              <w:rPr>
                <w:rFonts w:hint="eastAsia"/>
                <w:b/>
                <w:bCs/>
                <w:color w:val="auto"/>
                <w:spacing w:val="-2"/>
                <w:szCs w:val="24"/>
                <w:highlight w:val="none"/>
              </w:rPr>
            </w:pPr>
            <w:r>
              <w:rPr>
                <w:rFonts w:hint="eastAsia"/>
                <w:b/>
                <w:bCs/>
                <w:color w:val="auto"/>
                <w:spacing w:val="-2"/>
                <w:szCs w:val="24"/>
                <w:highlight w:val="none"/>
                <w:lang w:eastAsia="zh-CN"/>
              </w:rPr>
              <w:t>（</w:t>
            </w:r>
            <w:r>
              <w:rPr>
                <w:rFonts w:hint="eastAsia"/>
                <w:b/>
                <w:bCs/>
                <w:color w:val="auto"/>
                <w:spacing w:val="-2"/>
                <w:szCs w:val="24"/>
                <w:highlight w:val="none"/>
                <w:lang w:val="en-US" w:eastAsia="zh-CN"/>
              </w:rPr>
              <w:t>3</w:t>
            </w:r>
            <w:r>
              <w:rPr>
                <w:rFonts w:hint="eastAsia"/>
                <w:b/>
                <w:bCs/>
                <w:color w:val="auto"/>
                <w:spacing w:val="-2"/>
                <w:szCs w:val="24"/>
                <w:highlight w:val="none"/>
                <w:lang w:eastAsia="zh-CN"/>
              </w:rPr>
              <w:t>）</w:t>
            </w:r>
            <w:r>
              <w:rPr>
                <w:rFonts w:hint="eastAsia"/>
                <w:b/>
                <w:bCs/>
                <w:color w:val="auto"/>
                <w:spacing w:val="-2"/>
                <w:szCs w:val="24"/>
                <w:highlight w:val="none"/>
              </w:rPr>
              <w:t>固体废物</w:t>
            </w:r>
          </w:p>
          <w:p w14:paraId="6B15D8CE">
            <w:pPr>
              <w:pStyle w:val="109"/>
              <w:ind w:firstLine="472"/>
              <w:rPr>
                <w:color w:val="auto"/>
                <w:highlight w:val="none"/>
              </w:rPr>
            </w:pPr>
            <w:r>
              <w:rPr>
                <w:rFonts w:hint="eastAsia"/>
                <w:color w:val="auto"/>
                <w:highlight w:val="none"/>
              </w:rPr>
              <w:t>项目施工期固废主要有建筑施工和装修过程中产生的</w:t>
            </w:r>
            <w:r>
              <w:rPr>
                <w:rFonts w:hint="eastAsia"/>
                <w:color w:val="auto"/>
                <w:highlight w:val="none"/>
                <w:lang w:val="en-US" w:eastAsia="zh-CN"/>
              </w:rPr>
              <w:t>地面破除废渣</w:t>
            </w:r>
            <w:r>
              <w:rPr>
                <w:rFonts w:hint="eastAsia"/>
                <w:color w:val="auto"/>
                <w:highlight w:val="none"/>
              </w:rPr>
              <w:t>、施工人员的生活垃圾。</w:t>
            </w:r>
          </w:p>
          <w:p w14:paraId="5EC23F30">
            <w:pPr>
              <w:spacing w:line="360" w:lineRule="auto"/>
              <w:ind w:firstLine="472" w:firstLineChars="200"/>
              <w:rPr>
                <w:color w:val="auto"/>
                <w:spacing w:val="-2"/>
                <w:sz w:val="24"/>
                <w:szCs w:val="24"/>
                <w:highlight w:val="none"/>
              </w:rPr>
            </w:pPr>
            <w:r>
              <w:rPr>
                <w:rFonts w:hint="eastAsia"/>
                <w:color w:val="auto"/>
                <w:spacing w:val="-2"/>
                <w:sz w:val="24"/>
                <w:szCs w:val="24"/>
                <w:highlight w:val="none"/>
              </w:rPr>
              <w:t>施工期建筑垃圾的主要成分是混凝土、石块、砂石、渣土等，一般不存在“二次污染”的问题，部分可回收利用，也可以用作其他工程回填，如铺设道路，剩余少量建筑垃圾可清运至城市建筑垃圾填埋场作无害化处置。施工期生活垃圾集中收集后，委托环卫部门进行安全处置。</w:t>
            </w:r>
          </w:p>
          <w:p w14:paraId="286FD1B4">
            <w:pPr>
              <w:numPr>
                <w:ilvl w:val="0"/>
                <w:numId w:val="0"/>
              </w:numPr>
              <w:spacing w:line="360" w:lineRule="auto"/>
              <w:ind w:leftChars="200"/>
              <w:rPr>
                <w:rFonts w:hint="eastAsia"/>
                <w:b/>
                <w:bCs/>
                <w:color w:val="auto"/>
                <w:spacing w:val="-2"/>
                <w:sz w:val="24"/>
                <w:szCs w:val="24"/>
                <w:highlight w:val="none"/>
              </w:rPr>
            </w:pPr>
            <w:r>
              <w:rPr>
                <w:rFonts w:hint="eastAsia"/>
                <w:b/>
                <w:bCs/>
                <w:color w:val="auto"/>
                <w:spacing w:val="-2"/>
                <w:sz w:val="24"/>
                <w:szCs w:val="24"/>
                <w:highlight w:val="none"/>
                <w:lang w:eastAsia="zh-CN"/>
              </w:rPr>
              <w:t>（</w:t>
            </w:r>
            <w:r>
              <w:rPr>
                <w:rFonts w:hint="eastAsia"/>
                <w:b/>
                <w:bCs/>
                <w:color w:val="auto"/>
                <w:spacing w:val="-2"/>
                <w:sz w:val="24"/>
                <w:szCs w:val="24"/>
                <w:highlight w:val="none"/>
                <w:lang w:val="en-US" w:eastAsia="zh-CN"/>
              </w:rPr>
              <w:t>4</w:t>
            </w:r>
            <w:r>
              <w:rPr>
                <w:rFonts w:hint="eastAsia"/>
                <w:b/>
                <w:bCs/>
                <w:color w:val="auto"/>
                <w:spacing w:val="-2"/>
                <w:sz w:val="24"/>
                <w:szCs w:val="24"/>
                <w:highlight w:val="none"/>
                <w:lang w:eastAsia="zh-CN"/>
              </w:rPr>
              <w:t>）</w:t>
            </w:r>
            <w:r>
              <w:rPr>
                <w:rFonts w:hint="eastAsia"/>
                <w:b/>
                <w:bCs/>
                <w:color w:val="auto"/>
                <w:spacing w:val="-2"/>
                <w:sz w:val="24"/>
                <w:szCs w:val="24"/>
                <w:highlight w:val="none"/>
              </w:rPr>
              <w:t>废水</w:t>
            </w:r>
          </w:p>
          <w:p w14:paraId="3F2E5768">
            <w:pPr>
              <w:spacing w:line="360" w:lineRule="auto"/>
              <w:ind w:firstLine="472" w:firstLineChars="200"/>
              <w:rPr>
                <w:color w:val="auto"/>
                <w:spacing w:val="-2"/>
                <w:sz w:val="24"/>
                <w:szCs w:val="24"/>
                <w:highlight w:val="none"/>
              </w:rPr>
            </w:pPr>
            <w:r>
              <w:rPr>
                <w:rFonts w:hint="eastAsia" w:eastAsia="宋体"/>
                <w:color w:val="auto"/>
                <w:spacing w:val="-2"/>
                <w:sz w:val="24"/>
                <w:szCs w:val="24"/>
                <w:highlight w:val="none"/>
                <w:lang w:val="en-US" w:eastAsia="zh-CN"/>
              </w:rPr>
              <w:t>施工期废水主要为施工人员的生活污水。施工人员生活污水的主要污染物指标为</w:t>
            </w:r>
            <w:r>
              <w:rPr>
                <w:rFonts w:hint="default" w:eastAsia="宋体"/>
                <w:color w:val="auto"/>
                <w:spacing w:val="-2"/>
                <w:sz w:val="24"/>
                <w:szCs w:val="24"/>
                <w:highlight w:val="none"/>
                <w:lang w:val="en-US" w:eastAsia="zh-CN"/>
              </w:rPr>
              <w:t>COD</w:t>
            </w:r>
            <w:r>
              <w:rPr>
                <w:rFonts w:hint="eastAsia" w:eastAsia="宋体"/>
                <w:color w:val="auto"/>
                <w:spacing w:val="-2"/>
                <w:sz w:val="24"/>
                <w:szCs w:val="24"/>
                <w:highlight w:val="none"/>
                <w:lang w:val="en-US" w:eastAsia="zh-CN"/>
              </w:rPr>
              <w:t>、</w:t>
            </w:r>
            <w:r>
              <w:rPr>
                <w:rFonts w:hint="default" w:eastAsia="宋体"/>
                <w:color w:val="auto"/>
                <w:spacing w:val="-2"/>
                <w:sz w:val="24"/>
                <w:szCs w:val="24"/>
                <w:highlight w:val="none"/>
                <w:lang w:val="en-US" w:eastAsia="zh-CN"/>
              </w:rPr>
              <w:t>BOD</w:t>
            </w:r>
            <w:r>
              <w:rPr>
                <w:rFonts w:hint="default" w:eastAsia="宋体"/>
                <w:color w:val="auto"/>
                <w:spacing w:val="-2"/>
                <w:sz w:val="24"/>
                <w:szCs w:val="24"/>
                <w:highlight w:val="none"/>
                <w:vertAlign w:val="subscript"/>
                <w:lang w:val="en-US" w:eastAsia="zh-CN"/>
              </w:rPr>
              <w:t>5</w:t>
            </w:r>
            <w:r>
              <w:rPr>
                <w:rFonts w:hint="eastAsia" w:eastAsia="宋体"/>
                <w:color w:val="auto"/>
                <w:spacing w:val="-2"/>
                <w:sz w:val="24"/>
                <w:szCs w:val="24"/>
                <w:highlight w:val="none"/>
                <w:lang w:val="en-US" w:eastAsia="zh-CN"/>
              </w:rPr>
              <w:t>、</w:t>
            </w:r>
            <w:r>
              <w:rPr>
                <w:rFonts w:hint="default" w:eastAsia="宋体"/>
                <w:color w:val="auto"/>
                <w:spacing w:val="-2"/>
                <w:sz w:val="24"/>
                <w:szCs w:val="24"/>
                <w:highlight w:val="none"/>
                <w:lang w:val="en-US" w:eastAsia="zh-CN"/>
              </w:rPr>
              <w:t>SS</w:t>
            </w:r>
            <w:r>
              <w:rPr>
                <w:rFonts w:hint="eastAsia" w:eastAsia="宋体"/>
                <w:color w:val="auto"/>
                <w:spacing w:val="-2"/>
                <w:sz w:val="24"/>
                <w:szCs w:val="24"/>
                <w:highlight w:val="none"/>
                <w:lang w:val="en-US" w:eastAsia="zh-CN"/>
              </w:rPr>
              <w:t>和</w:t>
            </w:r>
            <w:r>
              <w:rPr>
                <w:rFonts w:hint="default" w:eastAsia="宋体"/>
                <w:color w:val="auto"/>
                <w:spacing w:val="-2"/>
                <w:sz w:val="24"/>
                <w:szCs w:val="24"/>
                <w:highlight w:val="none"/>
                <w:lang w:val="en-US" w:eastAsia="zh-CN"/>
              </w:rPr>
              <w:t>NH</w:t>
            </w:r>
            <w:r>
              <w:rPr>
                <w:rFonts w:hint="default" w:eastAsia="宋体"/>
                <w:color w:val="auto"/>
                <w:spacing w:val="-2"/>
                <w:sz w:val="24"/>
                <w:szCs w:val="24"/>
                <w:highlight w:val="none"/>
                <w:vertAlign w:val="subscript"/>
                <w:lang w:val="en-US" w:eastAsia="zh-CN"/>
              </w:rPr>
              <w:t>3</w:t>
            </w:r>
            <w:r>
              <w:rPr>
                <w:rFonts w:hint="default" w:eastAsia="宋体"/>
                <w:color w:val="auto"/>
                <w:spacing w:val="-2"/>
                <w:sz w:val="24"/>
                <w:szCs w:val="24"/>
                <w:highlight w:val="none"/>
                <w:lang w:val="en-US" w:eastAsia="zh-CN"/>
              </w:rPr>
              <w:t>-N</w:t>
            </w:r>
            <w:r>
              <w:rPr>
                <w:rFonts w:hint="eastAsia" w:eastAsia="宋体"/>
                <w:color w:val="auto"/>
                <w:spacing w:val="-2"/>
                <w:sz w:val="24"/>
                <w:szCs w:val="24"/>
                <w:highlight w:val="none"/>
                <w:lang w:val="en-US" w:eastAsia="zh-CN"/>
              </w:rPr>
              <w:t>。本项目施工产生的生活污水依托厂区化粪池预处理后，进入市政污水管网。</w:t>
            </w:r>
          </w:p>
          <w:p w14:paraId="44C7B582">
            <w:pPr>
              <w:spacing w:line="360" w:lineRule="auto"/>
              <w:ind w:firstLine="474" w:firstLineChars="200"/>
              <w:rPr>
                <w:rFonts w:hint="default" w:eastAsia="宋体"/>
                <w:b/>
                <w:bCs/>
                <w:color w:val="auto"/>
                <w:spacing w:val="-2"/>
                <w:sz w:val="24"/>
                <w:szCs w:val="24"/>
                <w:highlight w:val="none"/>
                <w:lang w:val="en-US" w:eastAsia="zh-CN"/>
              </w:rPr>
            </w:pPr>
            <w:r>
              <w:rPr>
                <w:rFonts w:hint="eastAsia"/>
                <w:b/>
                <w:bCs/>
                <w:color w:val="auto"/>
                <w:spacing w:val="-2"/>
                <w:sz w:val="24"/>
                <w:szCs w:val="24"/>
                <w:highlight w:val="none"/>
                <w:lang w:eastAsia="zh-CN"/>
              </w:rPr>
              <w:t>（</w:t>
            </w:r>
            <w:r>
              <w:rPr>
                <w:rFonts w:hint="eastAsia"/>
                <w:b/>
                <w:bCs/>
                <w:color w:val="auto"/>
                <w:spacing w:val="-2"/>
                <w:sz w:val="24"/>
                <w:szCs w:val="24"/>
                <w:highlight w:val="none"/>
                <w:lang w:val="en-US" w:eastAsia="zh-CN"/>
              </w:rPr>
              <w:t>5</w:t>
            </w:r>
            <w:r>
              <w:rPr>
                <w:rFonts w:hint="eastAsia"/>
                <w:b/>
                <w:bCs/>
                <w:color w:val="auto"/>
                <w:spacing w:val="-2"/>
                <w:sz w:val="24"/>
                <w:szCs w:val="24"/>
                <w:highlight w:val="none"/>
                <w:lang w:eastAsia="zh-CN"/>
              </w:rPr>
              <w:t>）</w:t>
            </w:r>
            <w:r>
              <w:rPr>
                <w:rFonts w:hint="eastAsia"/>
                <w:b/>
                <w:bCs/>
                <w:color w:val="auto"/>
                <w:spacing w:val="-2"/>
                <w:sz w:val="24"/>
                <w:szCs w:val="24"/>
                <w:highlight w:val="none"/>
                <w:lang w:val="en-US" w:eastAsia="zh-CN"/>
              </w:rPr>
              <w:t>设备调试污染物</w:t>
            </w:r>
          </w:p>
          <w:p w14:paraId="0A5B105C">
            <w:pPr>
              <w:spacing w:line="360" w:lineRule="auto"/>
              <w:ind w:firstLine="472" w:firstLineChars="200"/>
              <w:rPr>
                <w:color w:val="auto"/>
                <w:spacing w:val="-2"/>
                <w:sz w:val="24"/>
                <w:szCs w:val="24"/>
                <w:highlight w:val="none"/>
              </w:rPr>
            </w:pPr>
            <w:r>
              <w:rPr>
                <w:rFonts w:hint="eastAsia"/>
                <w:color w:val="auto"/>
                <w:spacing w:val="-2"/>
                <w:sz w:val="24"/>
                <w:szCs w:val="24"/>
                <w:highlight w:val="none"/>
              </w:rPr>
              <w:t>X射线探伤机设备安装后，需进行设备调试。设备调试在已完成防护施工的探伤房内进行，调试过程射线装置会发出X射线，X射线电离空气会产生臭氧和氮氧化物。由于设备调试时，X射线探伤房的防护施工及排风装置等辅助工程已建设完成，调试人员佩戴个人防护用品，严格按照操作规程进行调试，对周围环境的影响很小。</w:t>
            </w:r>
          </w:p>
          <w:p w14:paraId="043586A6">
            <w:pPr>
              <w:spacing w:line="360" w:lineRule="auto"/>
              <w:ind w:firstLine="472" w:firstLineChars="200"/>
              <w:rPr>
                <w:color w:val="auto"/>
                <w:kern w:val="0"/>
                <w:sz w:val="24"/>
                <w:szCs w:val="24"/>
                <w:highlight w:val="none"/>
              </w:rPr>
            </w:pPr>
            <w:r>
              <w:rPr>
                <w:rFonts w:hint="eastAsia"/>
                <w:color w:val="auto"/>
                <w:spacing w:val="-2"/>
                <w:sz w:val="24"/>
                <w:szCs w:val="24"/>
                <w:highlight w:val="none"/>
              </w:rPr>
              <w:t>建设单位在施工阶段计划采取上述污染防治措施，将施工期的影响控制在局部区域，对周围环境影响较小</w:t>
            </w:r>
            <w:r>
              <w:rPr>
                <w:rFonts w:hint="eastAsia"/>
                <w:color w:val="auto"/>
                <w:kern w:val="0"/>
                <w:sz w:val="24"/>
                <w:szCs w:val="24"/>
                <w:highlight w:val="none"/>
              </w:rPr>
              <w:t>。</w:t>
            </w:r>
          </w:p>
          <w:bookmarkEnd w:id="171"/>
          <w:bookmarkEnd w:id="172"/>
          <w:bookmarkEnd w:id="173"/>
          <w:bookmarkEnd w:id="174"/>
          <w:bookmarkEnd w:id="175"/>
          <w:bookmarkEnd w:id="176"/>
          <w:p w14:paraId="7DF3BA2D">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z w:val="24"/>
                <w:szCs w:val="24"/>
                <w:highlight w:val="none"/>
              </w:rPr>
            </w:pPr>
            <w:r>
              <w:rPr>
                <w:rFonts w:hint="eastAsia"/>
                <w:b/>
                <w:bCs/>
                <w:color w:val="auto"/>
                <w:sz w:val="24"/>
                <w:szCs w:val="24"/>
                <w:highlight w:val="none"/>
              </w:rPr>
              <w:t>2、运行阶段非辐射环境影响分析</w:t>
            </w:r>
          </w:p>
          <w:p w14:paraId="5DE9CEBC">
            <w:pPr>
              <w:adjustRightInd w:val="0"/>
              <w:spacing w:line="360" w:lineRule="auto"/>
              <w:ind w:firstLine="482" w:firstLineChars="200"/>
              <w:textAlignment w:val="baseline"/>
              <w:rPr>
                <w:b/>
                <w:color w:val="auto"/>
                <w:sz w:val="24"/>
                <w:szCs w:val="24"/>
                <w:highlight w:val="none"/>
              </w:rPr>
            </w:pPr>
            <w:r>
              <w:rPr>
                <w:b/>
                <w:color w:val="auto"/>
                <w:sz w:val="24"/>
                <w:szCs w:val="24"/>
                <w:highlight w:val="none"/>
              </w:rPr>
              <w:t>（1）废气</w:t>
            </w:r>
          </w:p>
          <w:p w14:paraId="7F5BDA28">
            <w:pPr>
              <w:spacing w:line="360" w:lineRule="auto"/>
              <w:ind w:firstLine="480" w:firstLineChars="200"/>
              <w:rPr>
                <w:color w:val="auto"/>
                <w:kern w:val="0"/>
                <w:sz w:val="24"/>
                <w:szCs w:val="24"/>
                <w:highlight w:val="none"/>
                <w:lang w:val="zh-CN"/>
              </w:rPr>
            </w:pPr>
            <w:r>
              <w:rPr>
                <w:rFonts w:hint="eastAsia"/>
                <w:color w:val="auto"/>
                <w:kern w:val="0"/>
                <w:sz w:val="24"/>
                <w:szCs w:val="24"/>
                <w:highlight w:val="none"/>
                <w:lang w:val="zh-CN"/>
              </w:rPr>
              <w:t>本项目X射线探伤机进行探伤作业时，空气在射线的强辐射下，吸收能量并通过电离作用产生O</w:t>
            </w:r>
            <w:r>
              <w:rPr>
                <w:rFonts w:hint="eastAsia"/>
                <w:color w:val="auto"/>
                <w:kern w:val="0"/>
                <w:sz w:val="24"/>
                <w:szCs w:val="24"/>
                <w:highlight w:val="none"/>
                <w:vertAlign w:val="subscript"/>
                <w:lang w:val="zh-CN"/>
              </w:rPr>
              <w:t>3</w:t>
            </w:r>
            <w:r>
              <w:rPr>
                <w:rFonts w:hint="eastAsia"/>
                <w:color w:val="auto"/>
                <w:kern w:val="0"/>
                <w:sz w:val="24"/>
                <w:szCs w:val="24"/>
                <w:highlight w:val="none"/>
                <w:lang w:val="zh-CN"/>
              </w:rPr>
              <w:t>、氮氧化物等有害气体，其中以O</w:t>
            </w:r>
            <w:r>
              <w:rPr>
                <w:rFonts w:hint="eastAsia"/>
                <w:color w:val="auto"/>
                <w:kern w:val="0"/>
                <w:sz w:val="24"/>
                <w:szCs w:val="24"/>
                <w:highlight w:val="none"/>
                <w:vertAlign w:val="subscript"/>
                <w:lang w:val="zh-CN"/>
              </w:rPr>
              <w:t>3</w:t>
            </w:r>
            <w:r>
              <w:rPr>
                <w:rFonts w:hint="eastAsia"/>
                <w:color w:val="auto"/>
                <w:kern w:val="0"/>
                <w:sz w:val="24"/>
                <w:szCs w:val="24"/>
                <w:highlight w:val="none"/>
                <w:lang w:val="zh-CN"/>
              </w:rPr>
              <w:t>为主。</w:t>
            </w:r>
            <w:r>
              <w:rPr>
                <w:rFonts w:hint="eastAsia"/>
                <w:color w:val="auto"/>
                <w:kern w:val="0"/>
                <w:sz w:val="24"/>
                <w:szCs w:val="24"/>
                <w:highlight w:val="none"/>
                <w:lang w:val="en-US" w:eastAsia="zh-CN"/>
              </w:rPr>
              <w:t xml:space="preserve">本项目 </w:t>
            </w:r>
            <w:r>
              <w:rPr>
                <w:rFonts w:hint="default"/>
                <w:color w:val="auto"/>
                <w:kern w:val="0"/>
                <w:sz w:val="24"/>
                <w:szCs w:val="24"/>
                <w:highlight w:val="none"/>
                <w:lang w:val="en-US" w:eastAsia="zh-CN"/>
              </w:rPr>
              <w:t xml:space="preserve">X </w:t>
            </w:r>
            <w:r>
              <w:rPr>
                <w:rFonts w:hint="eastAsia"/>
                <w:color w:val="auto"/>
                <w:kern w:val="0"/>
                <w:sz w:val="24"/>
                <w:szCs w:val="24"/>
                <w:highlight w:val="none"/>
                <w:lang w:val="en-US" w:eastAsia="zh-CN"/>
              </w:rPr>
              <w:t>射线机系统运行最大管电压为250</w:t>
            </w:r>
            <w:r>
              <w:rPr>
                <w:rFonts w:hint="default"/>
                <w:color w:val="auto"/>
                <w:kern w:val="0"/>
                <w:sz w:val="24"/>
                <w:szCs w:val="24"/>
                <w:highlight w:val="none"/>
                <w:lang w:val="en-US" w:eastAsia="zh-CN"/>
              </w:rPr>
              <w:t>kV</w:t>
            </w:r>
            <w:r>
              <w:rPr>
                <w:rFonts w:hint="eastAsia"/>
                <w:color w:val="auto"/>
                <w:kern w:val="0"/>
                <w:sz w:val="24"/>
                <w:szCs w:val="24"/>
                <w:highlight w:val="none"/>
                <w:lang w:val="en-US" w:eastAsia="zh-CN"/>
              </w:rPr>
              <w:t>，辐射水平较低，与空气作用产生的</w:t>
            </w:r>
            <w:r>
              <w:rPr>
                <w:rFonts w:hint="default"/>
                <w:color w:val="auto"/>
                <w:kern w:val="0"/>
                <w:sz w:val="24"/>
                <w:szCs w:val="24"/>
                <w:highlight w:val="none"/>
                <w:lang w:val="en-US" w:eastAsia="zh-CN"/>
              </w:rPr>
              <w:t>O</w:t>
            </w:r>
            <w:r>
              <w:rPr>
                <w:rFonts w:hint="default"/>
                <w:color w:val="auto"/>
                <w:kern w:val="0"/>
                <w:sz w:val="24"/>
                <w:szCs w:val="24"/>
                <w:highlight w:val="none"/>
                <w:vertAlign w:val="subscript"/>
                <w:lang w:val="en-US" w:eastAsia="zh-CN"/>
              </w:rPr>
              <w:t>3</w:t>
            </w:r>
            <w:r>
              <w:rPr>
                <w:rFonts w:hint="eastAsia"/>
                <w:color w:val="auto"/>
                <w:kern w:val="0"/>
                <w:sz w:val="24"/>
                <w:szCs w:val="24"/>
                <w:highlight w:val="none"/>
                <w:lang w:val="en-US" w:eastAsia="zh-CN"/>
              </w:rPr>
              <w:t>量十分有限。</w:t>
            </w:r>
          </w:p>
          <w:p w14:paraId="0D9CD04A">
            <w:pPr>
              <w:spacing w:line="360" w:lineRule="auto"/>
              <w:ind w:firstLine="480" w:firstLineChars="200"/>
              <w:rPr>
                <w:rFonts w:hint="eastAsia" w:eastAsia="宋体"/>
                <w:color w:val="auto"/>
                <w:kern w:val="0"/>
                <w:sz w:val="24"/>
                <w:szCs w:val="24"/>
                <w:highlight w:val="none"/>
                <w:lang w:val="zh-CN" w:eastAsia="zh-CN"/>
              </w:rPr>
            </w:pPr>
            <w:r>
              <w:rPr>
                <w:color w:val="auto"/>
                <w:sz w:val="24"/>
                <w:szCs w:val="24"/>
                <w:highlight w:val="none"/>
              </w:rPr>
              <w:t>项目</w:t>
            </w:r>
            <w:r>
              <w:rPr>
                <w:color w:val="auto"/>
                <w:kern w:val="0"/>
                <w:sz w:val="24"/>
                <w:szCs w:val="24"/>
                <w:highlight w:val="none"/>
                <w:lang w:val="zh-CN"/>
              </w:rPr>
              <w:t>X射线</w:t>
            </w:r>
            <w:r>
              <w:rPr>
                <w:rFonts w:hint="eastAsia"/>
                <w:color w:val="auto"/>
                <w:kern w:val="0"/>
                <w:sz w:val="24"/>
                <w:szCs w:val="24"/>
                <w:highlight w:val="none"/>
              </w:rPr>
              <w:t>探伤房</w:t>
            </w:r>
            <w:r>
              <w:rPr>
                <w:color w:val="auto"/>
                <w:sz w:val="24"/>
                <w:szCs w:val="24"/>
                <w:highlight w:val="none"/>
              </w:rPr>
              <w:t>设置机械通风装置，</w:t>
            </w:r>
            <w:r>
              <w:rPr>
                <w:rFonts w:hint="eastAsia"/>
                <w:color w:val="auto"/>
                <w:kern w:val="0"/>
                <w:sz w:val="24"/>
                <w:szCs w:val="24"/>
                <w:highlight w:val="none"/>
              </w:rPr>
              <w:t>探伤房</w:t>
            </w:r>
            <w:r>
              <w:rPr>
                <w:color w:val="auto"/>
                <w:sz w:val="24"/>
                <w:szCs w:val="24"/>
                <w:highlight w:val="none"/>
              </w:rPr>
              <w:t>排风机风量为</w:t>
            </w:r>
            <w:r>
              <w:rPr>
                <w:rFonts w:hint="eastAsia"/>
                <w:color w:val="auto"/>
                <w:sz w:val="24"/>
                <w:szCs w:val="24"/>
                <w:highlight w:val="none"/>
                <w:lang w:val="en-US" w:eastAsia="zh-CN"/>
              </w:rPr>
              <w:t>40</w:t>
            </w:r>
            <w:r>
              <w:rPr>
                <w:rFonts w:hint="eastAsia"/>
                <w:color w:val="auto"/>
                <w:sz w:val="24"/>
                <w:szCs w:val="24"/>
                <w:highlight w:val="none"/>
              </w:rPr>
              <w:t>0</w:t>
            </w:r>
            <w:r>
              <w:rPr>
                <w:color w:val="auto"/>
                <w:sz w:val="24"/>
                <w:szCs w:val="24"/>
                <w:highlight w:val="none"/>
              </w:rPr>
              <w:t>m</w:t>
            </w:r>
            <w:r>
              <w:rPr>
                <w:color w:val="auto"/>
                <w:sz w:val="24"/>
                <w:szCs w:val="24"/>
                <w:highlight w:val="none"/>
                <w:vertAlign w:val="superscript"/>
              </w:rPr>
              <w:t>3</w:t>
            </w:r>
            <w:r>
              <w:rPr>
                <w:color w:val="auto"/>
                <w:sz w:val="24"/>
                <w:szCs w:val="24"/>
                <w:highlight w:val="none"/>
              </w:rPr>
              <w:t>/h</w:t>
            </w:r>
            <w:r>
              <w:rPr>
                <w:rFonts w:hint="eastAsia"/>
                <w:color w:val="auto"/>
                <w:sz w:val="24"/>
                <w:szCs w:val="24"/>
                <w:highlight w:val="none"/>
              </w:rPr>
              <w:t>，通风效率以80%计，</w:t>
            </w:r>
            <w:r>
              <w:rPr>
                <w:color w:val="auto"/>
                <w:sz w:val="24"/>
                <w:szCs w:val="24"/>
                <w:highlight w:val="none"/>
              </w:rPr>
              <w:t>通风换气次数为</w:t>
            </w:r>
            <w:r>
              <w:rPr>
                <w:rFonts w:hint="eastAsia"/>
                <w:color w:val="auto"/>
                <w:sz w:val="24"/>
                <w:szCs w:val="24"/>
                <w:highlight w:val="none"/>
                <w:lang w:val="en-US" w:eastAsia="zh-CN"/>
              </w:rPr>
              <w:t>13.3</w:t>
            </w:r>
            <w:r>
              <w:rPr>
                <w:color w:val="auto"/>
                <w:sz w:val="24"/>
                <w:szCs w:val="24"/>
                <w:highlight w:val="none"/>
              </w:rPr>
              <w:t>次/h。</w:t>
            </w:r>
            <w:r>
              <w:rPr>
                <w:rFonts w:hint="eastAsia"/>
                <w:color w:val="auto"/>
                <w:kern w:val="0"/>
                <w:sz w:val="24"/>
                <w:szCs w:val="24"/>
                <w:highlight w:val="none"/>
                <w:lang w:val="zh-CN"/>
              </w:rPr>
              <w:t>满足《工业探伤放射防护标准》（GBZ117-2022）中探伤</w:t>
            </w:r>
            <w:r>
              <w:rPr>
                <w:rFonts w:hint="eastAsia"/>
                <w:color w:val="auto"/>
                <w:kern w:val="0"/>
                <w:sz w:val="24"/>
                <w:szCs w:val="24"/>
                <w:highlight w:val="none"/>
              </w:rPr>
              <w:t>房</w:t>
            </w:r>
            <w:r>
              <w:rPr>
                <w:rFonts w:hint="eastAsia"/>
                <w:color w:val="auto"/>
                <w:kern w:val="0"/>
                <w:sz w:val="24"/>
                <w:szCs w:val="24"/>
                <w:highlight w:val="none"/>
                <w:lang w:val="zh-CN"/>
              </w:rPr>
              <w:t>每小时有效通风换气次数不小于3次的要求。</w:t>
            </w:r>
            <w:r>
              <w:rPr>
                <w:color w:val="auto"/>
                <w:kern w:val="0"/>
                <w:sz w:val="24"/>
                <w:szCs w:val="24"/>
                <w:highlight w:val="none"/>
                <w:lang w:val="zh-CN"/>
              </w:rPr>
              <w:t>X射线</w:t>
            </w:r>
            <w:r>
              <w:rPr>
                <w:rFonts w:hint="eastAsia"/>
                <w:color w:val="auto"/>
                <w:kern w:val="0"/>
                <w:sz w:val="24"/>
                <w:szCs w:val="24"/>
                <w:highlight w:val="none"/>
              </w:rPr>
              <w:t>探伤房</w:t>
            </w:r>
            <w:r>
              <w:rPr>
                <w:rFonts w:hint="eastAsia"/>
                <w:color w:val="auto"/>
                <w:sz w:val="24"/>
                <w:szCs w:val="24"/>
                <w:highlight w:val="none"/>
              </w:rPr>
              <w:t>产生的</w:t>
            </w:r>
            <w:r>
              <w:rPr>
                <w:color w:val="auto"/>
                <w:sz w:val="24"/>
                <w:szCs w:val="24"/>
                <w:highlight w:val="none"/>
              </w:rPr>
              <w:t>少量的臭氧、氮氧化物等气体，通过机械通风装置排风机</w:t>
            </w:r>
            <w:r>
              <w:rPr>
                <w:rFonts w:hint="eastAsia"/>
                <w:color w:val="auto"/>
                <w:sz w:val="24"/>
                <w:szCs w:val="24"/>
                <w:highlight w:val="none"/>
              </w:rPr>
              <w:t>排出，并通过管道从探伤房</w:t>
            </w:r>
            <w:r>
              <w:rPr>
                <w:rFonts w:hint="eastAsia"/>
                <w:color w:val="auto"/>
                <w:sz w:val="24"/>
                <w:szCs w:val="24"/>
                <w:highlight w:val="none"/>
                <w:lang w:val="en-US" w:eastAsia="zh-CN"/>
              </w:rPr>
              <w:t>东北侧地面下穿</w:t>
            </w:r>
            <w:r>
              <w:rPr>
                <w:rFonts w:hint="eastAsia"/>
                <w:color w:val="auto"/>
                <w:sz w:val="24"/>
                <w:szCs w:val="24"/>
                <w:highlight w:val="none"/>
              </w:rPr>
              <w:t>引出室外，</w:t>
            </w:r>
            <w:r>
              <w:rPr>
                <w:rFonts w:hint="eastAsia"/>
                <w:color w:val="auto"/>
                <w:sz w:val="24"/>
                <w:szCs w:val="24"/>
                <w:highlight w:val="none"/>
                <w:lang w:val="en-US" w:eastAsia="zh-CN"/>
              </w:rPr>
              <w:t>高于屋顶</w:t>
            </w:r>
            <w:r>
              <w:rPr>
                <w:color w:val="auto"/>
                <w:sz w:val="24"/>
                <w:szCs w:val="24"/>
                <w:highlight w:val="none"/>
              </w:rPr>
              <w:t>排入大气环境</w:t>
            </w:r>
            <w:r>
              <w:rPr>
                <w:rFonts w:hint="eastAsia"/>
                <w:color w:val="auto"/>
                <w:sz w:val="24"/>
                <w:szCs w:val="24"/>
                <w:highlight w:val="none"/>
              </w:rPr>
              <w:t>，</w:t>
            </w:r>
            <w:r>
              <w:rPr>
                <w:color w:val="auto"/>
                <w:sz w:val="24"/>
                <w:szCs w:val="24"/>
                <w:highlight w:val="none"/>
              </w:rPr>
              <w:t>臭氧在常温下可自行分解为氧气，对环境影响较小</w:t>
            </w:r>
            <w:r>
              <w:rPr>
                <w:rFonts w:hint="eastAsia"/>
                <w:color w:val="auto"/>
                <w:sz w:val="24"/>
                <w:szCs w:val="24"/>
                <w:highlight w:val="none"/>
                <w:lang w:eastAsia="zh-CN"/>
              </w:rPr>
              <w:t>。</w:t>
            </w:r>
          </w:p>
          <w:p w14:paraId="344B8B8E">
            <w:pPr>
              <w:spacing w:line="360" w:lineRule="auto"/>
              <w:ind w:firstLine="482" w:firstLineChars="200"/>
              <w:rPr>
                <w:b/>
                <w:bCs/>
                <w:color w:val="auto"/>
                <w:kern w:val="0"/>
                <w:sz w:val="24"/>
                <w:szCs w:val="24"/>
                <w:highlight w:val="none"/>
                <w:lang w:val="zh-CN"/>
              </w:rPr>
            </w:pPr>
            <w:r>
              <w:rPr>
                <w:rFonts w:hint="eastAsia"/>
                <w:b/>
                <w:bCs/>
                <w:color w:val="auto"/>
                <w:kern w:val="0"/>
                <w:sz w:val="24"/>
                <w:szCs w:val="24"/>
                <w:highlight w:val="none"/>
                <w:lang w:val="zh-CN"/>
              </w:rPr>
              <w:t>（</w:t>
            </w:r>
            <w:r>
              <w:rPr>
                <w:rFonts w:hint="eastAsia"/>
                <w:b/>
                <w:bCs/>
                <w:color w:val="auto"/>
                <w:kern w:val="0"/>
                <w:sz w:val="24"/>
                <w:szCs w:val="24"/>
                <w:highlight w:val="none"/>
              </w:rPr>
              <w:t>2</w:t>
            </w:r>
            <w:r>
              <w:rPr>
                <w:rFonts w:hint="eastAsia"/>
                <w:b/>
                <w:bCs/>
                <w:color w:val="auto"/>
                <w:kern w:val="0"/>
                <w:sz w:val="24"/>
                <w:szCs w:val="24"/>
                <w:highlight w:val="none"/>
                <w:lang w:val="zh-CN"/>
              </w:rPr>
              <w:t>）固体废物</w:t>
            </w:r>
          </w:p>
          <w:p w14:paraId="28D79D64">
            <w:pPr>
              <w:spacing w:line="360" w:lineRule="auto"/>
              <w:ind w:firstLine="480" w:firstLineChars="200"/>
              <w:rPr>
                <w:rFonts w:hint="eastAsia"/>
                <w:color w:val="auto"/>
                <w:kern w:val="0"/>
                <w:sz w:val="24"/>
                <w:szCs w:val="24"/>
                <w:highlight w:val="none"/>
                <w:lang w:val="zh-CN"/>
              </w:rPr>
            </w:pPr>
            <w:r>
              <w:rPr>
                <w:rFonts w:hint="eastAsia"/>
                <w:color w:val="auto"/>
                <w:kern w:val="0"/>
                <w:sz w:val="24"/>
                <w:szCs w:val="24"/>
                <w:highlight w:val="none"/>
                <w:lang w:val="en-US" w:eastAsia="zh-CN"/>
              </w:rPr>
              <w:t>本项目运营后预计每年洗片废水0.12t、废显影液和废定影液产生量为0.014t，废胶片1.75kg/a，废显影、定影液、废胶片均属于《国家危险废物名录》中</w:t>
            </w:r>
            <w:r>
              <w:rPr>
                <w:rFonts w:hint="default"/>
                <w:color w:val="auto"/>
                <w:kern w:val="0"/>
                <w:sz w:val="24"/>
                <w:szCs w:val="24"/>
                <w:highlight w:val="none"/>
                <w:lang w:val="en-US" w:eastAsia="zh-CN"/>
              </w:rPr>
              <w:t>HW16</w:t>
            </w:r>
            <w:r>
              <w:rPr>
                <w:rFonts w:hint="eastAsia"/>
                <w:color w:val="auto"/>
                <w:kern w:val="0"/>
                <w:sz w:val="24"/>
                <w:szCs w:val="24"/>
                <w:highlight w:val="none"/>
                <w:lang w:val="en-US" w:eastAsia="zh-CN"/>
              </w:rPr>
              <w:t xml:space="preserve"> 900-019-16感光材料废物，洗片废水中含有少量的</w:t>
            </w:r>
            <w:r>
              <w:rPr>
                <w:rFonts w:hint="default"/>
                <w:color w:val="auto"/>
                <w:kern w:val="0"/>
                <w:sz w:val="24"/>
                <w:szCs w:val="24"/>
                <w:highlight w:val="none"/>
                <w:lang w:val="en-US" w:eastAsia="zh-CN"/>
              </w:rPr>
              <w:t>AgBr</w:t>
            </w:r>
            <w:r>
              <w:rPr>
                <w:rFonts w:hint="eastAsia"/>
                <w:color w:val="auto"/>
                <w:kern w:val="0"/>
                <w:sz w:val="24"/>
                <w:szCs w:val="24"/>
                <w:highlight w:val="none"/>
                <w:lang w:val="en-US" w:eastAsia="zh-CN"/>
              </w:rPr>
              <w:t>、显影剂及氧化物，洗片废水需参照危废处理，不得外排。</w:t>
            </w:r>
          </w:p>
          <w:p w14:paraId="42FED5E9">
            <w:pPr>
              <w:keepNext w:val="0"/>
              <w:keepLines w:val="0"/>
              <w:widowControl/>
              <w:suppressLineNumbers w:val="0"/>
              <w:spacing w:line="360" w:lineRule="auto"/>
              <w:ind w:firstLine="480" w:firstLineChars="20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项目危险废物暂存间主要建设及管理要求如下： </w:t>
            </w:r>
          </w:p>
          <w:p w14:paraId="344C5DD6">
            <w:pPr>
              <w:keepNext w:val="0"/>
              <w:keepLines w:val="0"/>
              <w:widowControl/>
              <w:suppressLineNumbers w:val="0"/>
              <w:spacing w:line="360" w:lineRule="auto"/>
              <w:ind w:firstLine="480" w:firstLineChars="20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①危险废物应与其他一般工业固体废物严格隔离，禁止一般工业固体废物和 </w:t>
            </w:r>
          </w:p>
          <w:p w14:paraId="15FD183E">
            <w:pPr>
              <w:keepNext w:val="0"/>
              <w:keepLines w:val="0"/>
              <w:widowControl/>
              <w:suppressLineNumbers w:val="0"/>
              <w:spacing w:line="360" w:lineRule="auto"/>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生活垃圾等混入危险废物； </w:t>
            </w:r>
          </w:p>
          <w:p w14:paraId="08C5D64E">
            <w:pPr>
              <w:keepNext w:val="0"/>
              <w:keepLines w:val="0"/>
              <w:widowControl/>
              <w:suppressLineNumbers w:val="0"/>
              <w:spacing w:line="360" w:lineRule="auto"/>
              <w:ind w:firstLine="480" w:firstLineChars="20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②危险废物暂存间进行防渗处理，防渗要求：防渗层为至少1m厚黏土层，或 </w:t>
            </w:r>
          </w:p>
          <w:p w14:paraId="5AE91DD2">
            <w:pPr>
              <w:keepNext w:val="0"/>
              <w:keepLines w:val="0"/>
              <w:widowControl/>
              <w:suppressLineNumbers w:val="0"/>
              <w:spacing w:line="360" w:lineRule="auto"/>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2mm厚高密度聚乙烯，或至少2mm厚的</w:t>
            </w:r>
            <w:r>
              <w:rPr>
                <w:rFonts w:hint="eastAsia" w:cs="Times New Roman"/>
                <w:color w:val="auto"/>
                <w:kern w:val="0"/>
                <w:sz w:val="24"/>
                <w:szCs w:val="24"/>
                <w:lang w:val="en-US" w:eastAsia="zh-CN" w:bidi="ar"/>
              </w:rPr>
              <w:t>其他人工</w:t>
            </w:r>
            <w:r>
              <w:rPr>
                <w:rFonts w:hint="default" w:ascii="Times New Roman" w:hAnsi="Times New Roman" w:eastAsia="宋体" w:cs="Times New Roman"/>
                <w:color w:val="auto"/>
                <w:kern w:val="0"/>
                <w:sz w:val="24"/>
                <w:szCs w:val="24"/>
                <w:lang w:val="en-US" w:eastAsia="zh-CN" w:bidi="ar"/>
              </w:rPr>
              <w:t>材料；渗透系数≤10</w:t>
            </w:r>
            <w:r>
              <w:rPr>
                <w:rFonts w:hint="eastAsia" w:ascii="Times New Roman" w:hAnsi="Times New Roman" w:eastAsia="宋体" w:cs="Times New Roman"/>
                <w:color w:val="auto"/>
                <w:kern w:val="0"/>
                <w:sz w:val="24"/>
                <w:szCs w:val="24"/>
                <w:vertAlign w:val="superscript"/>
                <w:lang w:val="en-US" w:eastAsia="zh-CN" w:bidi="ar"/>
              </w:rPr>
              <w:t>-10</w:t>
            </w:r>
            <w:r>
              <w:rPr>
                <w:rFonts w:hint="default" w:ascii="Times New Roman" w:hAnsi="Times New Roman" w:eastAsia="宋体" w:cs="Times New Roman"/>
                <w:color w:val="auto"/>
                <w:kern w:val="0"/>
                <w:sz w:val="24"/>
                <w:szCs w:val="24"/>
                <w:lang w:val="en-US" w:eastAsia="zh-CN" w:bidi="ar"/>
              </w:rPr>
              <w:t xml:space="preserve">m/s； </w:t>
            </w:r>
          </w:p>
          <w:p w14:paraId="453CBDED">
            <w:pPr>
              <w:keepNext w:val="0"/>
              <w:keepLines w:val="0"/>
              <w:widowControl/>
              <w:suppressLineNumbers w:val="0"/>
              <w:spacing w:line="360" w:lineRule="auto"/>
              <w:ind w:firstLine="480" w:firstLineChars="20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③应按要求设置警示标志及环境保护图形标志；盛装危险废物的容器上必须</w:t>
            </w:r>
          </w:p>
          <w:p w14:paraId="0F3F2B7A">
            <w:pPr>
              <w:keepNext w:val="0"/>
              <w:keepLines w:val="0"/>
              <w:widowControl/>
              <w:suppressLineNumbers w:val="0"/>
              <w:spacing w:line="360" w:lineRule="auto"/>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粘贴符合标准的标签； </w:t>
            </w:r>
          </w:p>
          <w:p w14:paraId="77244FE1">
            <w:pPr>
              <w:keepNext w:val="0"/>
              <w:keepLines w:val="0"/>
              <w:widowControl/>
              <w:suppressLineNumbers w:val="0"/>
              <w:spacing w:line="360" w:lineRule="auto"/>
              <w:ind w:firstLine="480" w:firstLineChars="20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④危险废物贮存间的地面与裙脚要用坚固、防渗的材料建造，建筑材料必须 </w:t>
            </w:r>
          </w:p>
          <w:p w14:paraId="17B6077C">
            <w:pPr>
              <w:keepNext w:val="0"/>
              <w:keepLines w:val="0"/>
              <w:widowControl/>
              <w:suppressLineNumbers w:val="0"/>
              <w:spacing w:line="360" w:lineRule="auto"/>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与危险废物相容，应设计堵截</w:t>
            </w:r>
            <w:r>
              <w:rPr>
                <w:rFonts w:hint="eastAsia" w:cs="Times New Roman"/>
                <w:color w:val="auto"/>
                <w:kern w:val="0"/>
                <w:sz w:val="24"/>
                <w:szCs w:val="24"/>
                <w:lang w:val="en-US" w:eastAsia="zh-CN" w:bidi="ar"/>
              </w:rPr>
              <w:t>泄漏</w:t>
            </w:r>
            <w:r>
              <w:rPr>
                <w:rFonts w:hint="default" w:ascii="Times New Roman" w:hAnsi="Times New Roman" w:eastAsia="宋体" w:cs="Times New Roman"/>
                <w:color w:val="auto"/>
                <w:kern w:val="0"/>
                <w:sz w:val="24"/>
                <w:szCs w:val="24"/>
                <w:lang w:val="en-US" w:eastAsia="zh-CN" w:bidi="ar"/>
              </w:rPr>
              <w:t xml:space="preserve">的裙脚，不相容的危险废物必须分开存放，并 </w:t>
            </w:r>
          </w:p>
          <w:p w14:paraId="61966152">
            <w:pPr>
              <w:keepNext w:val="0"/>
              <w:keepLines w:val="0"/>
              <w:widowControl/>
              <w:suppressLineNumbers w:val="0"/>
              <w:spacing w:line="360" w:lineRule="auto"/>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设有隔离间隔断； </w:t>
            </w:r>
          </w:p>
          <w:p w14:paraId="13BF02A8">
            <w:pPr>
              <w:keepNext w:val="0"/>
              <w:keepLines w:val="0"/>
              <w:widowControl/>
              <w:suppressLineNumbers w:val="0"/>
              <w:spacing w:line="360" w:lineRule="auto"/>
              <w:ind w:firstLine="480" w:firstLineChars="20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⑤厂内建立危险废物台账管理制度，做好危险废物情况的记录，记录上须注 </w:t>
            </w:r>
          </w:p>
          <w:p w14:paraId="14F76BD0">
            <w:pPr>
              <w:keepNext w:val="0"/>
              <w:keepLines w:val="0"/>
              <w:widowControl/>
              <w:suppressLineNumbers w:val="0"/>
              <w:spacing w:line="360" w:lineRule="auto"/>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明危险废物的名称、来源、数量、特性和包装容器的类别、入库日期、存放库位、 </w:t>
            </w:r>
          </w:p>
          <w:p w14:paraId="734DD24C">
            <w:pPr>
              <w:keepNext w:val="0"/>
              <w:keepLines w:val="0"/>
              <w:widowControl/>
              <w:suppressLineNumbers w:val="0"/>
              <w:spacing w:line="360" w:lineRule="auto"/>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废物出库日期及接收单位名称，危险废物的记录和货单在危险废物处置后应继续 </w:t>
            </w:r>
          </w:p>
          <w:p w14:paraId="2463A178">
            <w:pPr>
              <w:keepNext w:val="0"/>
              <w:keepLines w:val="0"/>
              <w:widowControl/>
              <w:suppressLineNumbers w:val="0"/>
              <w:spacing w:line="360" w:lineRule="auto"/>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保留三年。 </w:t>
            </w:r>
          </w:p>
          <w:p w14:paraId="4D41DEB8">
            <w:pPr>
              <w:keepNext w:val="0"/>
              <w:keepLines w:val="0"/>
              <w:widowControl/>
              <w:suppressLineNumbers w:val="0"/>
              <w:spacing w:line="360" w:lineRule="auto"/>
              <w:ind w:firstLine="480" w:firstLineChars="20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建设单位已承诺将本次辐射项目建成运行后产生的废显（定）影液和废胶片 </w:t>
            </w:r>
          </w:p>
          <w:p w14:paraId="357DA53E">
            <w:pPr>
              <w:keepNext w:val="0"/>
              <w:keepLines w:val="0"/>
              <w:widowControl/>
              <w:suppressLineNumbers w:val="0"/>
              <w:spacing w:line="360" w:lineRule="auto"/>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集中收集暂存于厂区内危险废物暂存间，危险废物管理严格按照《危险废物贮存 </w:t>
            </w:r>
          </w:p>
          <w:p w14:paraId="6D124A48">
            <w:pPr>
              <w:keepNext w:val="0"/>
              <w:keepLines w:val="0"/>
              <w:widowControl/>
              <w:suppressLineNumbers w:val="0"/>
              <w:spacing w:line="360" w:lineRule="auto"/>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污染控制标准》（GB18597-2023）中的相关要求进行。并与有资质单位签订处置 </w:t>
            </w:r>
          </w:p>
          <w:p w14:paraId="4C498D7F">
            <w:pPr>
              <w:keepNext w:val="0"/>
              <w:keepLines w:val="0"/>
              <w:widowControl/>
              <w:suppressLineNumbers w:val="0"/>
              <w:spacing w:line="360" w:lineRule="auto"/>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协议，废显（定）影液和废胶片定期交由有资质单位进行处置</w:t>
            </w:r>
            <w:r>
              <w:rPr>
                <w:rFonts w:hint="eastAsia" w:cs="Times New Roman"/>
                <w:color w:val="auto"/>
                <w:kern w:val="0"/>
                <w:sz w:val="24"/>
                <w:szCs w:val="24"/>
                <w:lang w:val="en-US" w:eastAsia="zh-CN" w:bidi="ar"/>
              </w:rPr>
              <w:t>。</w:t>
            </w:r>
          </w:p>
          <w:p w14:paraId="6D9333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bCs/>
                <w:color w:val="auto"/>
                <w:spacing w:val="-2"/>
                <w:sz w:val="24"/>
                <w:szCs w:val="24"/>
                <w:highlight w:val="none"/>
              </w:rPr>
            </w:pPr>
            <w:r>
              <w:rPr>
                <w:rFonts w:hint="eastAsia"/>
                <w:bCs/>
                <w:color w:val="auto"/>
                <w:kern w:val="0"/>
                <w:sz w:val="24"/>
                <w:szCs w:val="24"/>
                <w:highlight w:val="none"/>
                <w:lang w:val="en-US" w:eastAsia="zh-CN"/>
              </w:rPr>
              <w:t>根据现场勘查，现有危废暂存间位于厂区东北角，</w:t>
            </w:r>
            <w:r>
              <w:rPr>
                <w:rFonts w:hint="eastAsia"/>
                <w:bCs/>
                <w:color w:val="auto"/>
                <w:kern w:val="0"/>
                <w:sz w:val="24"/>
                <w:szCs w:val="24"/>
                <w:highlight w:val="none"/>
              </w:rPr>
              <w:t>地面与裙脚</w:t>
            </w:r>
            <w:r>
              <w:rPr>
                <w:rFonts w:hint="eastAsia"/>
                <w:bCs/>
                <w:color w:val="auto"/>
                <w:kern w:val="0"/>
                <w:sz w:val="24"/>
                <w:szCs w:val="24"/>
                <w:highlight w:val="none"/>
                <w:lang w:val="en-US" w:eastAsia="zh-CN"/>
              </w:rPr>
              <w:t>已</w:t>
            </w:r>
            <w:r>
              <w:rPr>
                <w:rFonts w:hint="eastAsia"/>
                <w:bCs/>
                <w:color w:val="auto"/>
                <w:kern w:val="0"/>
                <w:sz w:val="24"/>
                <w:szCs w:val="24"/>
                <w:highlight w:val="none"/>
              </w:rPr>
              <w:t>采用达到标准要求防渗的材料建造，</w:t>
            </w:r>
            <w:r>
              <w:rPr>
                <w:rFonts w:hint="eastAsia"/>
                <w:bCs/>
                <w:color w:val="auto"/>
                <w:kern w:val="0"/>
                <w:sz w:val="24"/>
                <w:szCs w:val="24"/>
                <w:highlight w:val="none"/>
                <w:lang w:val="en-US" w:eastAsia="zh-CN"/>
              </w:rPr>
              <w:t>暂存间内拟设置防渗漏且无反应的桶，尚有足够空间，故本项目</w:t>
            </w:r>
            <w:r>
              <w:rPr>
                <w:rFonts w:hint="eastAsia"/>
                <w:bCs/>
                <w:color w:val="auto"/>
                <w:kern w:val="0"/>
                <w:sz w:val="24"/>
                <w:szCs w:val="24"/>
                <w:highlight w:val="none"/>
              </w:rPr>
              <w:t>依托公司危废间暂存具有可行性</w:t>
            </w:r>
            <w:r>
              <w:rPr>
                <w:rFonts w:hint="eastAsia"/>
                <w:color w:val="auto"/>
                <w:kern w:val="0"/>
                <w:sz w:val="24"/>
                <w:szCs w:val="24"/>
                <w:highlight w:val="none"/>
              </w:rPr>
              <w:t>。</w:t>
            </w:r>
          </w:p>
          <w:p w14:paraId="465DE011">
            <w:pPr>
              <w:spacing w:line="360" w:lineRule="auto"/>
              <w:ind w:firstLine="474" w:firstLineChars="200"/>
              <w:rPr>
                <w:b/>
                <w:bCs/>
                <w:color w:val="auto"/>
                <w:spacing w:val="-2"/>
                <w:sz w:val="24"/>
                <w:szCs w:val="24"/>
                <w:highlight w:val="none"/>
              </w:rPr>
            </w:pPr>
            <w:r>
              <w:rPr>
                <w:rFonts w:hint="eastAsia"/>
                <w:b/>
                <w:bCs/>
                <w:color w:val="auto"/>
                <w:spacing w:val="-2"/>
                <w:sz w:val="24"/>
                <w:szCs w:val="24"/>
                <w:highlight w:val="none"/>
              </w:rPr>
              <w:t>（3）废水</w:t>
            </w:r>
          </w:p>
          <w:p w14:paraId="132C65D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Cs/>
                <w:color w:val="auto"/>
                <w:kern w:val="0"/>
                <w:sz w:val="24"/>
                <w:szCs w:val="24"/>
                <w:highlight w:val="none"/>
                <w:lang w:val="en-US" w:eastAsia="zh-CN"/>
              </w:rPr>
            </w:pPr>
            <w:r>
              <w:rPr>
                <w:rFonts w:hint="eastAsia"/>
                <w:bCs/>
                <w:color w:val="auto"/>
                <w:kern w:val="0"/>
                <w:sz w:val="24"/>
                <w:szCs w:val="24"/>
                <w:highlight w:val="none"/>
                <w:lang w:val="en-US" w:eastAsia="zh-CN"/>
              </w:rPr>
              <w:t>本项目拟定辐射工作人员</w:t>
            </w:r>
            <w:r>
              <w:rPr>
                <w:rFonts w:hint="default"/>
                <w:bCs/>
                <w:color w:val="auto"/>
                <w:kern w:val="0"/>
                <w:sz w:val="24"/>
                <w:szCs w:val="24"/>
                <w:highlight w:val="none"/>
                <w:lang w:val="en-US" w:eastAsia="zh-CN"/>
              </w:rPr>
              <w:t>2</w:t>
            </w:r>
            <w:r>
              <w:rPr>
                <w:rFonts w:hint="eastAsia"/>
                <w:bCs/>
                <w:color w:val="auto"/>
                <w:kern w:val="0"/>
                <w:sz w:val="24"/>
                <w:szCs w:val="24"/>
                <w:highlight w:val="none"/>
                <w:lang w:val="en-US" w:eastAsia="zh-CN"/>
              </w:rPr>
              <w:t>人，年工作</w:t>
            </w:r>
            <w:r>
              <w:rPr>
                <w:rFonts w:hint="default"/>
                <w:bCs/>
                <w:color w:val="auto"/>
                <w:kern w:val="0"/>
                <w:sz w:val="24"/>
                <w:szCs w:val="24"/>
                <w:highlight w:val="none"/>
                <w:lang w:val="en-US" w:eastAsia="zh-CN"/>
              </w:rPr>
              <w:t xml:space="preserve">250 </w:t>
            </w:r>
            <w:r>
              <w:rPr>
                <w:rFonts w:hint="eastAsia"/>
                <w:bCs/>
                <w:color w:val="auto"/>
                <w:kern w:val="0"/>
                <w:sz w:val="24"/>
                <w:szCs w:val="24"/>
                <w:highlight w:val="none"/>
                <w:lang w:val="en-US" w:eastAsia="zh-CN"/>
              </w:rPr>
              <w:t>天，均从厂区内部进行调剂，故不新增生活污水产生量和其他废水。</w:t>
            </w:r>
          </w:p>
          <w:p w14:paraId="1CD8674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val="0"/>
                <w:color w:val="auto"/>
                <w:kern w:val="0"/>
                <w:sz w:val="24"/>
                <w:szCs w:val="24"/>
                <w:highlight w:val="none"/>
                <w:lang w:val="en-US" w:eastAsia="zh-CN"/>
              </w:rPr>
            </w:pPr>
            <w:r>
              <w:rPr>
                <w:rFonts w:hint="eastAsia"/>
                <w:b/>
                <w:bCs w:val="0"/>
                <w:color w:val="auto"/>
                <w:kern w:val="0"/>
                <w:sz w:val="24"/>
                <w:szCs w:val="24"/>
                <w:highlight w:val="none"/>
                <w:lang w:val="en-US" w:eastAsia="zh-CN"/>
              </w:rPr>
              <w:t>（4）噪声</w:t>
            </w:r>
          </w:p>
          <w:p w14:paraId="0CA6D3E5">
            <w:pPr>
              <w:keepNext w:val="0"/>
              <w:keepLines w:val="0"/>
              <w:pageBreakBefore w:val="0"/>
              <w:widowControl w:val="0"/>
              <w:kinsoku/>
              <w:wordWrap/>
              <w:overflowPunct/>
              <w:topLinePunct w:val="0"/>
              <w:autoSpaceDE/>
              <w:autoSpaceDN/>
              <w:bidi w:val="0"/>
              <w:adjustRightInd/>
              <w:snapToGrid/>
              <w:spacing w:line="360" w:lineRule="auto"/>
              <w:ind w:right="113" w:firstLine="480" w:firstLineChars="200"/>
              <w:textAlignment w:val="baseline"/>
              <w:rPr>
                <w:bCs/>
                <w:color w:val="auto"/>
                <w:kern w:val="0"/>
                <w:sz w:val="24"/>
                <w:highlight w:val="none"/>
              </w:rPr>
            </w:pPr>
            <w:r>
              <w:rPr>
                <w:rFonts w:hint="eastAsia"/>
                <w:color w:val="auto"/>
                <w:kern w:val="0"/>
                <w:sz w:val="24"/>
                <w:szCs w:val="24"/>
                <w:highlight w:val="none"/>
              </w:rPr>
              <w:t>项目</w:t>
            </w:r>
            <w:r>
              <w:rPr>
                <w:color w:val="auto"/>
                <w:kern w:val="0"/>
                <w:sz w:val="24"/>
                <w:szCs w:val="24"/>
                <w:highlight w:val="none"/>
                <w:lang w:val="zh-CN"/>
              </w:rPr>
              <w:t>X射线</w:t>
            </w:r>
            <w:r>
              <w:rPr>
                <w:rFonts w:hint="eastAsia"/>
                <w:color w:val="auto"/>
                <w:kern w:val="0"/>
                <w:sz w:val="24"/>
                <w:szCs w:val="24"/>
                <w:highlight w:val="none"/>
              </w:rPr>
              <w:t>探伤房</w:t>
            </w:r>
            <w:r>
              <w:rPr>
                <w:rFonts w:hint="eastAsia"/>
                <w:color w:val="auto"/>
                <w:sz w:val="24"/>
                <w:szCs w:val="24"/>
                <w:highlight w:val="none"/>
              </w:rPr>
              <w:t>内</w:t>
            </w:r>
            <w:r>
              <w:rPr>
                <w:color w:val="auto"/>
                <w:sz w:val="24"/>
                <w:szCs w:val="24"/>
                <w:highlight w:val="none"/>
              </w:rPr>
              <w:t>设置机械通风装置，</w:t>
            </w:r>
            <w:r>
              <w:rPr>
                <w:rFonts w:hint="eastAsia"/>
                <w:color w:val="auto"/>
                <w:kern w:val="0"/>
                <w:sz w:val="24"/>
                <w:szCs w:val="24"/>
                <w:highlight w:val="none"/>
                <w:lang w:val="en-US" w:eastAsia="zh-CN"/>
              </w:rPr>
              <w:t>采用地下排放方式，排放口位于探伤房东北角</w:t>
            </w:r>
            <w:r>
              <w:rPr>
                <w:rFonts w:hint="eastAsia"/>
                <w:bCs/>
                <w:color w:val="auto"/>
                <w:kern w:val="0"/>
                <w:sz w:val="24"/>
                <w:highlight w:val="none"/>
              </w:rPr>
              <w:t>，排风机运行时会产生噪声。项目</w:t>
            </w:r>
            <w:r>
              <w:rPr>
                <w:color w:val="auto"/>
                <w:kern w:val="0"/>
                <w:sz w:val="24"/>
                <w:szCs w:val="24"/>
                <w:highlight w:val="none"/>
                <w:lang w:val="zh-CN"/>
              </w:rPr>
              <w:t>X射线</w:t>
            </w:r>
            <w:r>
              <w:rPr>
                <w:rFonts w:hint="eastAsia"/>
                <w:color w:val="auto"/>
                <w:kern w:val="0"/>
                <w:sz w:val="24"/>
                <w:szCs w:val="24"/>
                <w:highlight w:val="none"/>
              </w:rPr>
              <w:t>探伤房</w:t>
            </w:r>
            <w:r>
              <w:rPr>
                <w:rFonts w:hint="eastAsia"/>
                <w:bCs/>
                <w:color w:val="auto"/>
                <w:kern w:val="0"/>
                <w:sz w:val="24"/>
                <w:highlight w:val="none"/>
              </w:rPr>
              <w:t>风机正常运行时距风机1m处的噪声源强不超过60dB（A）。项目对风机噪声控制措施主要为选取低噪声设备、厂房隔声及距离衰减等。</w:t>
            </w:r>
          </w:p>
          <w:p w14:paraId="27303B88">
            <w:pPr>
              <w:snapToGrid w:val="0"/>
              <w:ind w:firstLine="422" w:firstLineChars="200"/>
              <w:jc w:val="center"/>
              <w:rPr>
                <w:b/>
                <w:color w:val="auto"/>
                <w:szCs w:val="21"/>
                <w:highlight w:val="none"/>
              </w:rPr>
            </w:pPr>
            <w:r>
              <w:rPr>
                <w:rFonts w:hint="eastAsia"/>
                <w:b/>
                <w:color w:val="auto"/>
                <w:szCs w:val="21"/>
                <w:highlight w:val="none"/>
              </w:rPr>
              <w:t>表11</w:t>
            </w:r>
            <w:r>
              <w:rPr>
                <w:rFonts w:hint="eastAsia"/>
                <w:b/>
                <w:color w:val="auto"/>
                <w:szCs w:val="21"/>
                <w:highlight w:val="none"/>
                <w:lang w:val="en-US" w:eastAsia="zh-CN"/>
              </w:rPr>
              <w:t xml:space="preserve">-2 </w:t>
            </w:r>
            <w:r>
              <w:rPr>
                <w:rFonts w:hint="eastAsia"/>
                <w:b/>
                <w:color w:val="auto"/>
                <w:szCs w:val="21"/>
                <w:highlight w:val="none"/>
              </w:rPr>
              <w:t>噪声源强调查清单</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8"/>
              <w:gridCol w:w="729"/>
              <w:gridCol w:w="814"/>
              <w:gridCol w:w="2154"/>
              <w:gridCol w:w="1260"/>
              <w:gridCol w:w="570"/>
              <w:gridCol w:w="757"/>
              <w:gridCol w:w="556"/>
              <w:gridCol w:w="1057"/>
            </w:tblGrid>
            <w:tr w14:paraId="6021B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8" w:type="dxa"/>
                  <w:vMerge w:val="restart"/>
                  <w:vAlign w:val="center"/>
                </w:tcPr>
                <w:p w14:paraId="1A8738FE">
                  <w:pPr>
                    <w:adjustRightInd w:val="0"/>
                    <w:snapToGrid w:val="0"/>
                    <w:jc w:val="center"/>
                    <w:textAlignment w:val="baseline"/>
                    <w:rPr>
                      <w:b/>
                      <w:bCs/>
                      <w:color w:val="auto"/>
                      <w:szCs w:val="21"/>
                      <w:highlight w:val="none"/>
                    </w:rPr>
                  </w:pPr>
                  <w:r>
                    <w:rPr>
                      <w:rFonts w:hint="eastAsia"/>
                      <w:b/>
                      <w:bCs/>
                      <w:color w:val="auto"/>
                      <w:szCs w:val="21"/>
                      <w:highlight w:val="none"/>
                    </w:rPr>
                    <w:t>序号</w:t>
                  </w:r>
                </w:p>
              </w:tc>
              <w:tc>
                <w:tcPr>
                  <w:tcW w:w="729" w:type="dxa"/>
                  <w:vMerge w:val="restart"/>
                  <w:vAlign w:val="center"/>
                </w:tcPr>
                <w:p w14:paraId="1076537B">
                  <w:pPr>
                    <w:adjustRightInd w:val="0"/>
                    <w:snapToGrid w:val="0"/>
                    <w:jc w:val="center"/>
                    <w:textAlignment w:val="baseline"/>
                    <w:rPr>
                      <w:b/>
                      <w:bCs/>
                      <w:color w:val="auto"/>
                      <w:szCs w:val="21"/>
                      <w:highlight w:val="none"/>
                    </w:rPr>
                  </w:pPr>
                  <w:r>
                    <w:rPr>
                      <w:rFonts w:hint="eastAsia"/>
                      <w:b/>
                      <w:bCs/>
                      <w:color w:val="auto"/>
                      <w:szCs w:val="21"/>
                      <w:highlight w:val="none"/>
                    </w:rPr>
                    <w:t>建筑名称</w:t>
                  </w:r>
                </w:p>
              </w:tc>
              <w:tc>
                <w:tcPr>
                  <w:tcW w:w="814" w:type="dxa"/>
                  <w:vMerge w:val="restart"/>
                  <w:vAlign w:val="center"/>
                </w:tcPr>
                <w:p w14:paraId="57CCBBB8">
                  <w:pPr>
                    <w:adjustRightInd w:val="0"/>
                    <w:snapToGrid w:val="0"/>
                    <w:jc w:val="center"/>
                    <w:textAlignment w:val="baseline"/>
                    <w:rPr>
                      <w:b/>
                      <w:bCs/>
                      <w:color w:val="auto"/>
                      <w:szCs w:val="21"/>
                      <w:highlight w:val="none"/>
                    </w:rPr>
                  </w:pPr>
                  <w:r>
                    <w:rPr>
                      <w:rFonts w:hint="eastAsia"/>
                      <w:b/>
                      <w:bCs/>
                      <w:color w:val="auto"/>
                      <w:szCs w:val="21"/>
                      <w:highlight w:val="none"/>
                    </w:rPr>
                    <w:t>声源名称</w:t>
                  </w:r>
                </w:p>
              </w:tc>
              <w:tc>
                <w:tcPr>
                  <w:tcW w:w="2154" w:type="dxa"/>
                  <w:vAlign w:val="center"/>
                </w:tcPr>
                <w:p w14:paraId="2838772D">
                  <w:pPr>
                    <w:adjustRightInd w:val="0"/>
                    <w:snapToGrid w:val="0"/>
                    <w:jc w:val="center"/>
                    <w:textAlignment w:val="baseline"/>
                    <w:rPr>
                      <w:b/>
                      <w:bCs/>
                      <w:color w:val="auto"/>
                      <w:szCs w:val="21"/>
                      <w:highlight w:val="none"/>
                    </w:rPr>
                  </w:pPr>
                  <w:r>
                    <w:rPr>
                      <w:rFonts w:hint="eastAsia"/>
                      <w:b/>
                      <w:bCs/>
                      <w:color w:val="auto"/>
                      <w:szCs w:val="21"/>
                      <w:highlight w:val="none"/>
                    </w:rPr>
                    <w:t>声源源强</w:t>
                  </w:r>
                </w:p>
              </w:tc>
              <w:tc>
                <w:tcPr>
                  <w:tcW w:w="1260" w:type="dxa"/>
                  <w:vMerge w:val="restart"/>
                  <w:vAlign w:val="center"/>
                </w:tcPr>
                <w:p w14:paraId="129D3112">
                  <w:pPr>
                    <w:adjustRightInd w:val="0"/>
                    <w:snapToGrid w:val="0"/>
                    <w:jc w:val="center"/>
                    <w:textAlignment w:val="baseline"/>
                    <w:rPr>
                      <w:rFonts w:hint="eastAsia"/>
                      <w:b/>
                      <w:bCs/>
                      <w:color w:val="auto"/>
                      <w:szCs w:val="21"/>
                      <w:highlight w:val="none"/>
                    </w:rPr>
                  </w:pPr>
                  <w:r>
                    <w:rPr>
                      <w:rFonts w:hint="eastAsia"/>
                      <w:b/>
                      <w:bCs/>
                      <w:color w:val="auto"/>
                      <w:szCs w:val="21"/>
                      <w:highlight w:val="none"/>
                    </w:rPr>
                    <w:t>声源</w:t>
                  </w:r>
                </w:p>
                <w:p w14:paraId="2B44B5FF">
                  <w:pPr>
                    <w:adjustRightInd w:val="0"/>
                    <w:snapToGrid w:val="0"/>
                    <w:jc w:val="center"/>
                    <w:textAlignment w:val="baseline"/>
                    <w:rPr>
                      <w:b/>
                      <w:bCs/>
                      <w:color w:val="auto"/>
                      <w:szCs w:val="21"/>
                      <w:highlight w:val="none"/>
                    </w:rPr>
                  </w:pPr>
                  <w:r>
                    <w:rPr>
                      <w:rFonts w:hint="eastAsia"/>
                      <w:b/>
                      <w:bCs/>
                      <w:color w:val="auto"/>
                      <w:szCs w:val="21"/>
                      <w:highlight w:val="none"/>
                    </w:rPr>
                    <w:t>控制措施</w:t>
                  </w:r>
                </w:p>
              </w:tc>
              <w:tc>
                <w:tcPr>
                  <w:tcW w:w="1883" w:type="dxa"/>
                  <w:gridSpan w:val="3"/>
                  <w:vAlign w:val="center"/>
                </w:tcPr>
                <w:p w14:paraId="09408341">
                  <w:pPr>
                    <w:adjustRightInd w:val="0"/>
                    <w:snapToGrid w:val="0"/>
                    <w:jc w:val="center"/>
                    <w:textAlignment w:val="baseline"/>
                    <w:rPr>
                      <w:b/>
                      <w:bCs/>
                      <w:color w:val="auto"/>
                      <w:szCs w:val="21"/>
                      <w:highlight w:val="none"/>
                    </w:rPr>
                  </w:pPr>
                  <w:r>
                    <w:rPr>
                      <w:rFonts w:hint="eastAsia"/>
                      <w:b/>
                      <w:bCs/>
                      <w:color w:val="auto"/>
                      <w:szCs w:val="21"/>
                      <w:highlight w:val="none"/>
                    </w:rPr>
                    <w:t>空间相对位置</w:t>
                  </w:r>
                </w:p>
              </w:tc>
              <w:tc>
                <w:tcPr>
                  <w:tcW w:w="1057" w:type="dxa"/>
                  <w:vMerge w:val="restart"/>
                  <w:vAlign w:val="center"/>
                </w:tcPr>
                <w:p w14:paraId="5FFAA188">
                  <w:pPr>
                    <w:adjustRightInd w:val="0"/>
                    <w:snapToGrid w:val="0"/>
                    <w:jc w:val="center"/>
                    <w:textAlignment w:val="baseline"/>
                    <w:rPr>
                      <w:rFonts w:hint="eastAsia"/>
                      <w:b/>
                      <w:bCs/>
                      <w:color w:val="auto"/>
                      <w:szCs w:val="21"/>
                      <w:highlight w:val="none"/>
                    </w:rPr>
                  </w:pPr>
                  <w:r>
                    <w:rPr>
                      <w:rFonts w:hint="eastAsia"/>
                      <w:b/>
                      <w:bCs/>
                      <w:color w:val="auto"/>
                      <w:szCs w:val="21"/>
                      <w:highlight w:val="none"/>
                    </w:rPr>
                    <w:t>运行</w:t>
                  </w:r>
                </w:p>
                <w:p w14:paraId="0BB6BD82">
                  <w:pPr>
                    <w:adjustRightInd w:val="0"/>
                    <w:snapToGrid w:val="0"/>
                    <w:jc w:val="center"/>
                    <w:textAlignment w:val="baseline"/>
                    <w:rPr>
                      <w:color w:val="auto"/>
                      <w:szCs w:val="21"/>
                      <w:highlight w:val="none"/>
                    </w:rPr>
                  </w:pPr>
                  <w:r>
                    <w:rPr>
                      <w:rFonts w:hint="eastAsia"/>
                      <w:b/>
                      <w:bCs/>
                      <w:color w:val="auto"/>
                      <w:szCs w:val="21"/>
                      <w:highlight w:val="none"/>
                    </w:rPr>
                    <w:t>时段</w:t>
                  </w:r>
                </w:p>
              </w:tc>
            </w:tr>
            <w:tr w14:paraId="0F317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8" w:type="dxa"/>
                  <w:vMerge w:val="continue"/>
                  <w:vAlign w:val="center"/>
                </w:tcPr>
                <w:p w14:paraId="55AB7148">
                  <w:pPr>
                    <w:adjustRightInd w:val="0"/>
                    <w:snapToGrid w:val="0"/>
                    <w:jc w:val="center"/>
                    <w:textAlignment w:val="baseline"/>
                    <w:rPr>
                      <w:b/>
                      <w:bCs/>
                      <w:color w:val="auto"/>
                      <w:szCs w:val="21"/>
                      <w:highlight w:val="none"/>
                    </w:rPr>
                  </w:pPr>
                </w:p>
              </w:tc>
              <w:tc>
                <w:tcPr>
                  <w:tcW w:w="729" w:type="dxa"/>
                  <w:vMerge w:val="continue"/>
                  <w:vAlign w:val="center"/>
                </w:tcPr>
                <w:p w14:paraId="429F198F">
                  <w:pPr>
                    <w:adjustRightInd w:val="0"/>
                    <w:snapToGrid w:val="0"/>
                    <w:jc w:val="center"/>
                    <w:textAlignment w:val="baseline"/>
                    <w:rPr>
                      <w:b/>
                      <w:bCs/>
                      <w:color w:val="auto"/>
                      <w:szCs w:val="21"/>
                      <w:highlight w:val="none"/>
                    </w:rPr>
                  </w:pPr>
                </w:p>
              </w:tc>
              <w:tc>
                <w:tcPr>
                  <w:tcW w:w="814" w:type="dxa"/>
                  <w:vMerge w:val="continue"/>
                  <w:vAlign w:val="center"/>
                </w:tcPr>
                <w:p w14:paraId="19F895E6">
                  <w:pPr>
                    <w:adjustRightInd w:val="0"/>
                    <w:snapToGrid w:val="0"/>
                    <w:jc w:val="center"/>
                    <w:textAlignment w:val="baseline"/>
                    <w:rPr>
                      <w:b/>
                      <w:bCs/>
                      <w:color w:val="auto"/>
                      <w:szCs w:val="21"/>
                      <w:highlight w:val="none"/>
                    </w:rPr>
                  </w:pPr>
                </w:p>
              </w:tc>
              <w:tc>
                <w:tcPr>
                  <w:tcW w:w="2154" w:type="dxa"/>
                  <w:vAlign w:val="center"/>
                </w:tcPr>
                <w:p w14:paraId="639699FF">
                  <w:pPr>
                    <w:adjustRightInd w:val="0"/>
                    <w:snapToGrid w:val="0"/>
                    <w:jc w:val="center"/>
                    <w:textAlignment w:val="baseline"/>
                    <w:rPr>
                      <w:b/>
                      <w:bCs/>
                      <w:color w:val="auto"/>
                      <w:szCs w:val="21"/>
                      <w:highlight w:val="none"/>
                    </w:rPr>
                  </w:pPr>
                  <w:r>
                    <w:rPr>
                      <w:rFonts w:hint="eastAsia"/>
                      <w:b/>
                      <w:bCs/>
                      <w:color w:val="auto"/>
                      <w:szCs w:val="21"/>
                      <w:highlight w:val="none"/>
                    </w:rPr>
                    <w:t>（声压级/距离声源）（dB（A）/m）</w:t>
                  </w:r>
                </w:p>
              </w:tc>
              <w:tc>
                <w:tcPr>
                  <w:tcW w:w="1260" w:type="dxa"/>
                  <w:vMerge w:val="continue"/>
                  <w:vAlign w:val="center"/>
                </w:tcPr>
                <w:p w14:paraId="1CC4D400">
                  <w:pPr>
                    <w:adjustRightInd w:val="0"/>
                    <w:snapToGrid w:val="0"/>
                    <w:jc w:val="center"/>
                    <w:textAlignment w:val="baseline"/>
                    <w:rPr>
                      <w:b/>
                      <w:bCs/>
                      <w:color w:val="auto"/>
                      <w:szCs w:val="21"/>
                      <w:highlight w:val="none"/>
                    </w:rPr>
                  </w:pPr>
                </w:p>
              </w:tc>
              <w:tc>
                <w:tcPr>
                  <w:tcW w:w="570" w:type="dxa"/>
                  <w:vAlign w:val="center"/>
                </w:tcPr>
                <w:p w14:paraId="66A0F76C">
                  <w:pPr>
                    <w:adjustRightInd w:val="0"/>
                    <w:snapToGrid w:val="0"/>
                    <w:jc w:val="center"/>
                    <w:textAlignment w:val="baseline"/>
                    <w:rPr>
                      <w:b/>
                      <w:bCs/>
                      <w:color w:val="auto"/>
                      <w:szCs w:val="21"/>
                      <w:highlight w:val="none"/>
                    </w:rPr>
                  </w:pPr>
                  <w:r>
                    <w:rPr>
                      <w:rFonts w:hint="eastAsia"/>
                      <w:b/>
                      <w:bCs/>
                      <w:color w:val="auto"/>
                      <w:szCs w:val="21"/>
                      <w:highlight w:val="none"/>
                    </w:rPr>
                    <w:t>X</w:t>
                  </w:r>
                </w:p>
              </w:tc>
              <w:tc>
                <w:tcPr>
                  <w:tcW w:w="757" w:type="dxa"/>
                  <w:vAlign w:val="center"/>
                </w:tcPr>
                <w:p w14:paraId="1A40EB86">
                  <w:pPr>
                    <w:adjustRightInd w:val="0"/>
                    <w:snapToGrid w:val="0"/>
                    <w:jc w:val="center"/>
                    <w:textAlignment w:val="baseline"/>
                    <w:rPr>
                      <w:b/>
                      <w:bCs/>
                      <w:color w:val="auto"/>
                      <w:szCs w:val="21"/>
                      <w:highlight w:val="none"/>
                    </w:rPr>
                  </w:pPr>
                  <w:r>
                    <w:rPr>
                      <w:rFonts w:hint="eastAsia"/>
                      <w:b/>
                      <w:bCs/>
                      <w:color w:val="auto"/>
                      <w:szCs w:val="21"/>
                      <w:highlight w:val="none"/>
                    </w:rPr>
                    <w:t>Y</w:t>
                  </w:r>
                </w:p>
              </w:tc>
              <w:tc>
                <w:tcPr>
                  <w:tcW w:w="556" w:type="dxa"/>
                  <w:vAlign w:val="center"/>
                </w:tcPr>
                <w:p w14:paraId="6D1DBDC3">
                  <w:pPr>
                    <w:adjustRightInd w:val="0"/>
                    <w:snapToGrid w:val="0"/>
                    <w:jc w:val="center"/>
                    <w:textAlignment w:val="baseline"/>
                    <w:rPr>
                      <w:b/>
                      <w:bCs/>
                      <w:color w:val="auto"/>
                      <w:szCs w:val="21"/>
                      <w:highlight w:val="none"/>
                    </w:rPr>
                  </w:pPr>
                  <w:r>
                    <w:rPr>
                      <w:rFonts w:hint="eastAsia"/>
                      <w:b/>
                      <w:bCs/>
                      <w:color w:val="auto"/>
                      <w:szCs w:val="21"/>
                      <w:highlight w:val="none"/>
                    </w:rPr>
                    <w:t>Z</w:t>
                  </w:r>
                </w:p>
              </w:tc>
              <w:tc>
                <w:tcPr>
                  <w:tcW w:w="1057" w:type="dxa"/>
                  <w:vMerge w:val="continue"/>
                  <w:vAlign w:val="center"/>
                </w:tcPr>
                <w:p w14:paraId="272A3C62">
                  <w:pPr>
                    <w:adjustRightInd w:val="0"/>
                    <w:snapToGrid w:val="0"/>
                    <w:jc w:val="center"/>
                    <w:textAlignment w:val="baseline"/>
                    <w:rPr>
                      <w:color w:val="auto"/>
                      <w:szCs w:val="21"/>
                      <w:highlight w:val="none"/>
                    </w:rPr>
                  </w:pPr>
                </w:p>
              </w:tc>
            </w:tr>
            <w:tr w14:paraId="06392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8" w:type="dxa"/>
                  <w:vAlign w:val="center"/>
                </w:tcPr>
                <w:p w14:paraId="0DB9522A">
                  <w:pPr>
                    <w:adjustRightInd w:val="0"/>
                    <w:snapToGrid w:val="0"/>
                    <w:jc w:val="center"/>
                    <w:textAlignment w:val="baseline"/>
                    <w:rPr>
                      <w:color w:val="auto"/>
                      <w:szCs w:val="21"/>
                      <w:highlight w:val="none"/>
                    </w:rPr>
                  </w:pPr>
                  <w:r>
                    <w:rPr>
                      <w:rFonts w:hint="eastAsia"/>
                      <w:color w:val="auto"/>
                      <w:szCs w:val="21"/>
                      <w:highlight w:val="none"/>
                    </w:rPr>
                    <w:t>1</w:t>
                  </w:r>
                </w:p>
              </w:tc>
              <w:tc>
                <w:tcPr>
                  <w:tcW w:w="729" w:type="dxa"/>
                  <w:vAlign w:val="center"/>
                </w:tcPr>
                <w:p w14:paraId="5B775279">
                  <w:pPr>
                    <w:adjustRightInd w:val="0"/>
                    <w:snapToGrid w:val="0"/>
                    <w:jc w:val="center"/>
                    <w:textAlignment w:val="baseline"/>
                    <w:rPr>
                      <w:color w:val="auto"/>
                      <w:szCs w:val="21"/>
                      <w:highlight w:val="none"/>
                    </w:rPr>
                  </w:pPr>
                  <w:r>
                    <w:rPr>
                      <w:rFonts w:hint="eastAsia"/>
                      <w:color w:val="auto"/>
                      <w:szCs w:val="21"/>
                      <w:highlight w:val="none"/>
                    </w:rPr>
                    <w:t>探伤房</w:t>
                  </w:r>
                </w:p>
              </w:tc>
              <w:tc>
                <w:tcPr>
                  <w:tcW w:w="814" w:type="dxa"/>
                  <w:vAlign w:val="center"/>
                </w:tcPr>
                <w:p w14:paraId="7EDDB241">
                  <w:pPr>
                    <w:adjustRightInd w:val="0"/>
                    <w:snapToGrid w:val="0"/>
                    <w:jc w:val="center"/>
                    <w:textAlignment w:val="baseline"/>
                    <w:rPr>
                      <w:color w:val="auto"/>
                      <w:szCs w:val="21"/>
                      <w:highlight w:val="none"/>
                    </w:rPr>
                  </w:pPr>
                  <w:r>
                    <w:rPr>
                      <w:rFonts w:hint="eastAsia"/>
                      <w:color w:val="auto"/>
                      <w:kern w:val="0"/>
                      <w:szCs w:val="21"/>
                      <w:highlight w:val="none"/>
                    </w:rPr>
                    <w:t>排风机</w:t>
                  </w:r>
                </w:p>
              </w:tc>
              <w:tc>
                <w:tcPr>
                  <w:tcW w:w="2154" w:type="dxa"/>
                  <w:vAlign w:val="center"/>
                </w:tcPr>
                <w:p w14:paraId="59746557">
                  <w:pPr>
                    <w:adjustRightInd w:val="0"/>
                    <w:snapToGrid w:val="0"/>
                    <w:jc w:val="center"/>
                    <w:textAlignment w:val="baseline"/>
                    <w:rPr>
                      <w:color w:val="auto"/>
                      <w:szCs w:val="21"/>
                      <w:highlight w:val="none"/>
                    </w:rPr>
                  </w:pPr>
                  <w:r>
                    <w:rPr>
                      <w:rFonts w:hint="eastAsia"/>
                      <w:color w:val="auto"/>
                      <w:szCs w:val="21"/>
                      <w:highlight w:val="none"/>
                    </w:rPr>
                    <w:t>60d</w:t>
                  </w:r>
                  <w:r>
                    <w:rPr>
                      <w:color w:val="auto"/>
                      <w:szCs w:val="21"/>
                      <w:highlight w:val="none"/>
                    </w:rPr>
                    <w:t>B(A</w:t>
                  </w:r>
                  <w:r>
                    <w:rPr>
                      <w:rFonts w:hint="eastAsia"/>
                      <w:color w:val="auto"/>
                      <w:szCs w:val="21"/>
                      <w:highlight w:val="none"/>
                    </w:rPr>
                    <w:t>)/1m</w:t>
                  </w:r>
                </w:p>
              </w:tc>
              <w:tc>
                <w:tcPr>
                  <w:tcW w:w="1260" w:type="dxa"/>
                  <w:vAlign w:val="center"/>
                </w:tcPr>
                <w:p w14:paraId="748F6F6E">
                  <w:pPr>
                    <w:adjustRightInd w:val="0"/>
                    <w:snapToGrid w:val="0"/>
                    <w:jc w:val="center"/>
                    <w:textAlignment w:val="baseline"/>
                    <w:rPr>
                      <w:color w:val="auto"/>
                      <w:szCs w:val="21"/>
                      <w:highlight w:val="none"/>
                    </w:rPr>
                  </w:pPr>
                  <w:r>
                    <w:rPr>
                      <w:rFonts w:hint="eastAsia"/>
                      <w:color w:val="auto"/>
                      <w:szCs w:val="21"/>
                      <w:highlight w:val="none"/>
                    </w:rPr>
                    <w:t>选用低噪声设备</w:t>
                  </w:r>
                </w:p>
              </w:tc>
              <w:tc>
                <w:tcPr>
                  <w:tcW w:w="570" w:type="dxa"/>
                  <w:vAlign w:val="center"/>
                </w:tcPr>
                <w:p w14:paraId="541885CE">
                  <w:pPr>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218</w:t>
                  </w:r>
                </w:p>
              </w:tc>
              <w:tc>
                <w:tcPr>
                  <w:tcW w:w="757" w:type="dxa"/>
                  <w:vAlign w:val="center"/>
                </w:tcPr>
                <w:p w14:paraId="27DA1C30">
                  <w:pPr>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38</w:t>
                  </w:r>
                </w:p>
              </w:tc>
              <w:tc>
                <w:tcPr>
                  <w:tcW w:w="556" w:type="dxa"/>
                  <w:vAlign w:val="center"/>
                </w:tcPr>
                <w:p w14:paraId="3D2639FE">
                  <w:pPr>
                    <w:adjustRightInd w:val="0"/>
                    <w:snapToGrid w:val="0"/>
                    <w:jc w:val="center"/>
                    <w:textAlignment w:val="baseline"/>
                    <w:rPr>
                      <w:rFonts w:hint="eastAsia" w:eastAsia="宋体"/>
                      <w:color w:val="auto"/>
                      <w:szCs w:val="21"/>
                      <w:highlight w:val="none"/>
                      <w:lang w:eastAsia="zh-CN"/>
                    </w:rPr>
                  </w:pPr>
                  <w:r>
                    <w:rPr>
                      <w:rFonts w:hint="eastAsia"/>
                      <w:color w:val="auto"/>
                      <w:szCs w:val="21"/>
                      <w:highlight w:val="none"/>
                      <w:lang w:val="en-US" w:eastAsia="zh-CN"/>
                    </w:rPr>
                    <w:t>1</w:t>
                  </w:r>
                </w:p>
              </w:tc>
              <w:tc>
                <w:tcPr>
                  <w:tcW w:w="1057" w:type="dxa"/>
                  <w:vAlign w:val="center"/>
                </w:tcPr>
                <w:p w14:paraId="3E914129">
                  <w:pPr>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开机时</w:t>
                  </w:r>
                </w:p>
              </w:tc>
            </w:tr>
            <w:tr w14:paraId="181E4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35" w:type="dxa"/>
                  <w:gridSpan w:val="9"/>
                  <w:vAlign w:val="center"/>
                </w:tcPr>
                <w:p w14:paraId="057EBF04">
                  <w:pPr>
                    <w:adjustRightInd w:val="0"/>
                    <w:snapToGrid w:val="0"/>
                    <w:textAlignment w:val="baseline"/>
                    <w:rPr>
                      <w:color w:val="auto"/>
                      <w:szCs w:val="21"/>
                      <w:highlight w:val="none"/>
                    </w:rPr>
                  </w:pPr>
                  <w:r>
                    <w:rPr>
                      <w:rFonts w:hint="eastAsia"/>
                      <w:b/>
                      <w:bCs/>
                      <w:color w:val="auto"/>
                      <w:szCs w:val="21"/>
                      <w:highlight w:val="none"/>
                    </w:rPr>
                    <w:t>注：</w:t>
                  </w:r>
                  <w:r>
                    <w:rPr>
                      <w:b/>
                      <w:bCs/>
                      <w:color w:val="auto"/>
                      <w:szCs w:val="21"/>
                      <w:highlight w:val="none"/>
                    </w:rPr>
                    <w:t>以</w:t>
                  </w:r>
                  <w:r>
                    <w:rPr>
                      <w:rFonts w:hint="eastAsia"/>
                      <w:b/>
                      <w:bCs/>
                      <w:color w:val="auto"/>
                      <w:szCs w:val="21"/>
                      <w:highlight w:val="none"/>
                      <w:lang w:val="en-US" w:eastAsia="zh-CN"/>
                    </w:rPr>
                    <w:t>现有厂区2#厂房西南角</w:t>
                  </w:r>
                  <w:r>
                    <w:rPr>
                      <w:b/>
                      <w:bCs/>
                      <w:color w:val="auto"/>
                      <w:szCs w:val="21"/>
                      <w:highlight w:val="none"/>
                    </w:rPr>
                    <w:t>为坐标原点（0,0）</w:t>
                  </w:r>
                </w:p>
              </w:tc>
            </w:tr>
          </w:tbl>
          <w:p w14:paraId="44E9F331">
            <w:pPr>
              <w:adjustRightInd w:val="0"/>
              <w:spacing w:line="460" w:lineRule="exact"/>
              <w:ind w:right="113" w:firstLine="480" w:firstLineChars="200"/>
              <w:textAlignment w:val="baseline"/>
              <w:rPr>
                <w:bCs/>
                <w:color w:val="auto"/>
                <w:kern w:val="0"/>
                <w:sz w:val="24"/>
                <w:highlight w:val="none"/>
              </w:rPr>
            </w:pPr>
            <w:r>
              <w:rPr>
                <w:rFonts w:hint="eastAsia"/>
                <w:bCs/>
                <w:color w:val="auto"/>
                <w:kern w:val="0"/>
                <w:sz w:val="24"/>
                <w:highlight w:val="none"/>
              </w:rPr>
              <w:t>本次仅对探伤房风机对厂区四周厂界处的噪声影响进行预测，采用《环境影响评价技术导则  声环境》（HJ2.4-2021）中室外点声源几何发散衰减模式进行预测：无指向性点声源几何发散衰减的基本公式：</w:t>
            </w:r>
          </w:p>
          <w:p w14:paraId="0E6928BF">
            <w:pPr>
              <w:adjustRightInd w:val="0"/>
              <w:spacing w:line="460" w:lineRule="exact"/>
              <w:ind w:right="113" w:firstLine="480" w:firstLineChars="200"/>
              <w:jc w:val="center"/>
              <w:textAlignment w:val="baseline"/>
              <w:rPr>
                <w:bCs/>
                <w:color w:val="auto"/>
                <w:kern w:val="0"/>
                <w:sz w:val="24"/>
                <w:highlight w:val="none"/>
              </w:rPr>
            </w:pPr>
            <w:r>
              <w:rPr>
                <w:rFonts w:hint="eastAsia"/>
                <w:bCs/>
                <w:color w:val="auto"/>
                <w:kern w:val="0"/>
                <w:sz w:val="24"/>
                <w:highlight w:val="none"/>
              </w:rPr>
              <w:t>Lp（r）=Lp（r</w:t>
            </w:r>
            <w:r>
              <w:rPr>
                <w:rFonts w:hint="eastAsia"/>
                <w:bCs/>
                <w:color w:val="auto"/>
                <w:kern w:val="0"/>
                <w:sz w:val="24"/>
                <w:highlight w:val="none"/>
                <w:vertAlign w:val="subscript"/>
              </w:rPr>
              <w:t>0</w:t>
            </w:r>
            <w:r>
              <w:rPr>
                <w:rFonts w:hint="eastAsia"/>
                <w:bCs/>
                <w:color w:val="auto"/>
                <w:kern w:val="0"/>
                <w:sz w:val="24"/>
                <w:highlight w:val="none"/>
              </w:rPr>
              <w:t>）-20lg（r/r</w:t>
            </w:r>
            <w:r>
              <w:rPr>
                <w:rFonts w:hint="eastAsia"/>
                <w:bCs/>
                <w:color w:val="auto"/>
                <w:kern w:val="0"/>
                <w:sz w:val="24"/>
                <w:highlight w:val="none"/>
                <w:vertAlign w:val="subscript"/>
              </w:rPr>
              <w:t>0</w:t>
            </w:r>
            <w:r>
              <w:rPr>
                <w:rFonts w:hint="eastAsia"/>
                <w:bCs/>
                <w:color w:val="auto"/>
                <w:kern w:val="0"/>
                <w:sz w:val="24"/>
                <w:highlight w:val="none"/>
              </w:rPr>
              <w:t xml:space="preserve">） </w:t>
            </w:r>
          </w:p>
          <w:p w14:paraId="555B9B06">
            <w:pPr>
              <w:adjustRightInd w:val="0"/>
              <w:spacing w:line="460" w:lineRule="exact"/>
              <w:ind w:right="113" w:firstLine="480" w:firstLineChars="200"/>
              <w:textAlignment w:val="baseline"/>
              <w:rPr>
                <w:bCs/>
                <w:color w:val="auto"/>
                <w:kern w:val="0"/>
                <w:sz w:val="24"/>
                <w:highlight w:val="none"/>
              </w:rPr>
            </w:pPr>
            <w:r>
              <w:rPr>
                <w:rFonts w:hint="eastAsia"/>
                <w:bCs/>
                <w:color w:val="auto"/>
                <w:kern w:val="0"/>
                <w:sz w:val="24"/>
                <w:highlight w:val="none"/>
              </w:rPr>
              <w:t>式中：r</w:t>
            </w:r>
            <w:r>
              <w:rPr>
                <w:rFonts w:hint="eastAsia"/>
                <w:bCs/>
                <w:color w:val="auto"/>
                <w:kern w:val="0"/>
                <w:sz w:val="24"/>
                <w:highlight w:val="none"/>
                <w:vertAlign w:val="subscript"/>
              </w:rPr>
              <w:t>0</w:t>
            </w:r>
            <w:r>
              <w:rPr>
                <w:rFonts w:hint="eastAsia"/>
                <w:bCs/>
                <w:color w:val="auto"/>
                <w:kern w:val="0"/>
                <w:sz w:val="24"/>
                <w:highlight w:val="none"/>
              </w:rPr>
              <w:t>为距声源的距离，取1m；</w:t>
            </w:r>
          </w:p>
          <w:p w14:paraId="09929280">
            <w:pPr>
              <w:adjustRightInd w:val="0"/>
              <w:spacing w:line="460" w:lineRule="exact"/>
              <w:ind w:right="113" w:firstLine="480" w:firstLineChars="200"/>
              <w:textAlignment w:val="baseline"/>
              <w:rPr>
                <w:rFonts w:hint="eastAsia" w:eastAsia="宋体"/>
                <w:bCs/>
                <w:color w:val="auto"/>
                <w:kern w:val="0"/>
                <w:sz w:val="24"/>
                <w:highlight w:val="none"/>
                <w:lang w:eastAsia="zh-CN"/>
              </w:rPr>
            </w:pPr>
            <w:r>
              <w:rPr>
                <w:rFonts w:hint="eastAsia"/>
                <w:bCs/>
                <w:color w:val="auto"/>
                <w:kern w:val="0"/>
                <w:sz w:val="24"/>
                <w:highlight w:val="none"/>
              </w:rPr>
              <w:t>r为噪声源距预测点距离，m</w:t>
            </w:r>
            <w:r>
              <w:rPr>
                <w:rFonts w:hint="eastAsia"/>
                <w:bCs/>
                <w:color w:val="auto"/>
                <w:kern w:val="0"/>
                <w:sz w:val="24"/>
                <w:highlight w:val="none"/>
                <w:lang w:eastAsia="zh-CN"/>
              </w:rPr>
              <w:t>。</w:t>
            </w:r>
          </w:p>
          <w:p w14:paraId="31D49C76">
            <w:pPr>
              <w:widowControl/>
              <w:spacing w:line="360" w:lineRule="auto"/>
              <w:ind w:firstLine="480" w:firstLineChars="200"/>
              <w:jc w:val="left"/>
              <w:rPr>
                <w:color w:val="auto"/>
                <w:highlight w:val="none"/>
              </w:rPr>
            </w:pPr>
            <w:r>
              <w:rPr>
                <w:rFonts w:hint="eastAsia" w:ascii="宋体" w:hAnsi="宋体" w:cs="宋体"/>
                <w:color w:val="auto"/>
                <w:kern w:val="0"/>
                <w:sz w:val="24"/>
                <w:szCs w:val="24"/>
                <w:highlight w:val="none"/>
                <w:lang w:bidi="ar"/>
              </w:rPr>
              <w:t>噪声预测结果如下所示：</w:t>
            </w:r>
          </w:p>
          <w:p w14:paraId="10844205">
            <w:pPr>
              <w:pStyle w:val="12"/>
              <w:snapToGrid w:val="0"/>
              <w:spacing w:line="400" w:lineRule="exact"/>
              <w:ind w:firstLine="480" w:firstLineChars="200"/>
              <w:rPr>
                <w:color w:val="auto"/>
                <w:highlight w:val="none"/>
                <w:lang w:val="zh-CN"/>
              </w:rPr>
            </w:pPr>
            <w:r>
              <w:rPr>
                <w:color w:val="auto"/>
                <w:highlight w:val="none"/>
                <w:lang w:val="zh-CN"/>
              </w:rPr>
              <w:t>将噪声源在厂区平面图上进行定位，利用上述的预测数字模型，将有关参数代入公式计算，预测拟建工程噪声源对厂界的影响。预测结果见下表。</w:t>
            </w:r>
          </w:p>
          <w:p w14:paraId="35F93E9D">
            <w:pPr>
              <w:snapToGrid w:val="0"/>
              <w:ind w:firstLine="422" w:firstLineChars="200"/>
              <w:jc w:val="center"/>
              <w:rPr>
                <w:b/>
                <w:color w:val="auto"/>
                <w:szCs w:val="21"/>
                <w:highlight w:val="none"/>
              </w:rPr>
            </w:pPr>
            <w:r>
              <w:rPr>
                <w:rFonts w:hint="eastAsia"/>
                <w:b/>
                <w:color w:val="auto"/>
                <w:szCs w:val="21"/>
                <w:highlight w:val="none"/>
              </w:rPr>
              <w:t>表11-</w:t>
            </w:r>
            <w:r>
              <w:rPr>
                <w:rFonts w:hint="eastAsia"/>
                <w:b/>
                <w:color w:val="auto"/>
                <w:szCs w:val="21"/>
                <w:highlight w:val="none"/>
                <w:lang w:val="en-US" w:eastAsia="zh-CN"/>
              </w:rPr>
              <w:t>3</w:t>
            </w:r>
            <w:r>
              <w:rPr>
                <w:rFonts w:hint="eastAsia"/>
                <w:b/>
                <w:color w:val="auto"/>
                <w:szCs w:val="21"/>
                <w:highlight w:val="none"/>
              </w:rPr>
              <w:t xml:space="preserve"> 项目厂界噪声预测结果</w:t>
            </w:r>
          </w:p>
          <w:tbl>
            <w:tblPr>
              <w:tblStyle w:val="35"/>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91"/>
              <w:gridCol w:w="1337"/>
              <w:gridCol w:w="1069"/>
              <w:gridCol w:w="773"/>
              <w:gridCol w:w="778"/>
              <w:gridCol w:w="841"/>
              <w:gridCol w:w="836"/>
              <w:gridCol w:w="565"/>
              <w:gridCol w:w="565"/>
              <w:gridCol w:w="594"/>
              <w:gridCol w:w="588"/>
            </w:tblGrid>
            <w:tr w14:paraId="4BC0B8A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66" w:hRule="atLeast"/>
                <w:jc w:val="center"/>
              </w:trPr>
              <w:tc>
                <w:tcPr>
                  <w:tcW w:w="291" w:type="pct"/>
                  <w:vMerge w:val="restart"/>
                  <w:tcBorders>
                    <w:tl2br w:val="nil"/>
                    <w:tr2bl w:val="nil"/>
                  </w:tcBorders>
                  <w:vAlign w:val="center"/>
                </w:tcPr>
                <w:p w14:paraId="1FA255AB">
                  <w:pPr>
                    <w:autoSpaceDE w:val="0"/>
                    <w:autoSpaceDN w:val="0"/>
                    <w:adjustRightInd w:val="0"/>
                    <w:snapToGrid w:val="0"/>
                    <w:spacing w:line="0" w:lineRule="atLeast"/>
                    <w:ind w:left="-111" w:leftChars="-53" w:right="-134" w:rightChars="-64"/>
                    <w:jc w:val="center"/>
                    <w:rPr>
                      <w:b/>
                      <w:bCs/>
                      <w:color w:val="auto"/>
                      <w:kern w:val="0"/>
                      <w:szCs w:val="21"/>
                      <w:highlight w:val="none"/>
                    </w:rPr>
                  </w:pPr>
                  <w:r>
                    <w:rPr>
                      <w:b/>
                      <w:bCs/>
                      <w:color w:val="auto"/>
                      <w:kern w:val="0"/>
                      <w:szCs w:val="21"/>
                      <w:highlight w:val="none"/>
                    </w:rPr>
                    <w:t>序号</w:t>
                  </w:r>
                </w:p>
              </w:tc>
              <w:tc>
                <w:tcPr>
                  <w:tcW w:w="792" w:type="pct"/>
                  <w:vMerge w:val="restart"/>
                  <w:tcBorders>
                    <w:tl2br w:val="nil"/>
                    <w:tr2bl w:val="nil"/>
                  </w:tcBorders>
                  <w:vAlign w:val="center"/>
                </w:tcPr>
                <w:p w14:paraId="763049FE">
                  <w:pPr>
                    <w:autoSpaceDE w:val="0"/>
                    <w:autoSpaceDN w:val="0"/>
                    <w:adjustRightInd w:val="0"/>
                    <w:snapToGrid w:val="0"/>
                    <w:spacing w:line="0" w:lineRule="atLeast"/>
                    <w:jc w:val="center"/>
                    <w:rPr>
                      <w:b/>
                      <w:bCs/>
                      <w:color w:val="auto"/>
                      <w:kern w:val="0"/>
                      <w:szCs w:val="21"/>
                      <w:highlight w:val="none"/>
                    </w:rPr>
                  </w:pPr>
                  <w:r>
                    <w:rPr>
                      <w:b/>
                      <w:bCs/>
                      <w:color w:val="auto"/>
                      <w:kern w:val="0"/>
                      <w:szCs w:val="21"/>
                      <w:highlight w:val="none"/>
                    </w:rPr>
                    <w:t>声源名称</w:t>
                  </w:r>
                </w:p>
              </w:tc>
              <w:tc>
                <w:tcPr>
                  <w:tcW w:w="633" w:type="pct"/>
                  <w:vMerge w:val="restart"/>
                  <w:tcBorders>
                    <w:tl2br w:val="nil"/>
                    <w:tr2bl w:val="nil"/>
                  </w:tcBorders>
                  <w:vAlign w:val="center"/>
                </w:tcPr>
                <w:p w14:paraId="79CD7B01">
                  <w:pPr>
                    <w:autoSpaceDE w:val="0"/>
                    <w:autoSpaceDN w:val="0"/>
                    <w:adjustRightInd w:val="0"/>
                    <w:snapToGrid w:val="0"/>
                    <w:spacing w:line="0" w:lineRule="atLeast"/>
                    <w:jc w:val="center"/>
                    <w:rPr>
                      <w:b/>
                      <w:bCs/>
                      <w:color w:val="auto"/>
                      <w:kern w:val="0"/>
                      <w:szCs w:val="21"/>
                      <w:highlight w:val="none"/>
                    </w:rPr>
                  </w:pPr>
                  <w:r>
                    <w:rPr>
                      <w:rFonts w:hint="eastAsia"/>
                      <w:b/>
                      <w:bCs/>
                      <w:color w:val="auto"/>
                      <w:kern w:val="0"/>
                      <w:szCs w:val="21"/>
                      <w:highlight w:val="none"/>
                    </w:rPr>
                    <w:t>项目</w:t>
                  </w:r>
                </w:p>
              </w:tc>
              <w:tc>
                <w:tcPr>
                  <w:tcW w:w="1912" w:type="pct"/>
                  <w:gridSpan w:val="4"/>
                  <w:tcBorders>
                    <w:tl2br w:val="nil"/>
                    <w:tr2bl w:val="nil"/>
                  </w:tcBorders>
                  <w:vAlign w:val="center"/>
                </w:tcPr>
                <w:p w14:paraId="5DC14877">
                  <w:pPr>
                    <w:autoSpaceDE w:val="0"/>
                    <w:autoSpaceDN w:val="0"/>
                    <w:adjustRightInd w:val="0"/>
                    <w:snapToGrid w:val="0"/>
                    <w:spacing w:line="0" w:lineRule="atLeast"/>
                    <w:jc w:val="center"/>
                    <w:rPr>
                      <w:b/>
                      <w:bCs/>
                      <w:color w:val="auto"/>
                      <w:kern w:val="0"/>
                      <w:szCs w:val="21"/>
                      <w:highlight w:val="none"/>
                    </w:rPr>
                  </w:pPr>
                  <w:r>
                    <w:rPr>
                      <w:b/>
                      <w:bCs/>
                      <w:color w:val="auto"/>
                      <w:kern w:val="0"/>
                      <w:szCs w:val="21"/>
                      <w:highlight w:val="none"/>
                    </w:rPr>
                    <w:t>声源参数</w:t>
                  </w:r>
                </w:p>
              </w:tc>
              <w:tc>
                <w:tcPr>
                  <w:tcW w:w="1370" w:type="pct"/>
                  <w:gridSpan w:val="4"/>
                  <w:tcBorders>
                    <w:tl2br w:val="nil"/>
                    <w:tr2bl w:val="nil"/>
                  </w:tcBorders>
                  <w:vAlign w:val="center"/>
                </w:tcPr>
                <w:p w14:paraId="0E007F78">
                  <w:pPr>
                    <w:autoSpaceDE w:val="0"/>
                    <w:autoSpaceDN w:val="0"/>
                    <w:adjustRightInd w:val="0"/>
                    <w:snapToGrid w:val="0"/>
                    <w:spacing w:line="0" w:lineRule="atLeast"/>
                    <w:jc w:val="center"/>
                    <w:rPr>
                      <w:b/>
                      <w:bCs/>
                      <w:color w:val="auto"/>
                      <w:kern w:val="0"/>
                      <w:szCs w:val="21"/>
                      <w:highlight w:val="none"/>
                    </w:rPr>
                  </w:pPr>
                  <w:r>
                    <w:rPr>
                      <w:b/>
                      <w:bCs/>
                      <w:color w:val="auto"/>
                      <w:kern w:val="0"/>
                      <w:szCs w:val="21"/>
                      <w:highlight w:val="none"/>
                    </w:rPr>
                    <w:t>L</w:t>
                  </w:r>
                  <w:r>
                    <w:rPr>
                      <w:b/>
                      <w:bCs/>
                      <w:color w:val="auto"/>
                      <w:kern w:val="0"/>
                      <w:szCs w:val="21"/>
                      <w:highlight w:val="none"/>
                      <w:vertAlign w:val="subscript"/>
                    </w:rPr>
                    <w:t>A</w:t>
                  </w:r>
                  <w:r>
                    <w:rPr>
                      <w:b/>
                      <w:bCs/>
                      <w:color w:val="auto"/>
                      <w:kern w:val="0"/>
                      <w:szCs w:val="21"/>
                      <w:highlight w:val="none"/>
                    </w:rPr>
                    <w:t>（r）</w:t>
                  </w:r>
                  <w:r>
                    <w:rPr>
                      <w:rFonts w:hint="eastAsia"/>
                      <w:b/>
                      <w:bCs/>
                      <w:color w:val="auto"/>
                      <w:kern w:val="0"/>
                      <w:szCs w:val="21"/>
                      <w:highlight w:val="none"/>
                    </w:rPr>
                    <w:t>/</w:t>
                  </w:r>
                  <w:r>
                    <w:rPr>
                      <w:b/>
                      <w:bCs/>
                      <w:color w:val="auto"/>
                      <w:kern w:val="0"/>
                      <w:szCs w:val="21"/>
                      <w:highlight w:val="none"/>
                    </w:rPr>
                    <w:t>dB(A)</w:t>
                  </w:r>
                </w:p>
              </w:tc>
            </w:tr>
            <w:tr w14:paraId="2CC6C20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66" w:hRule="atLeast"/>
                <w:jc w:val="center"/>
              </w:trPr>
              <w:tc>
                <w:tcPr>
                  <w:tcW w:w="291" w:type="pct"/>
                  <w:vMerge w:val="continue"/>
                  <w:tcBorders>
                    <w:tl2br w:val="nil"/>
                    <w:tr2bl w:val="nil"/>
                  </w:tcBorders>
                  <w:vAlign w:val="center"/>
                </w:tcPr>
                <w:p w14:paraId="3D6CD1A1">
                  <w:pPr>
                    <w:autoSpaceDE w:val="0"/>
                    <w:autoSpaceDN w:val="0"/>
                    <w:adjustRightInd w:val="0"/>
                    <w:snapToGrid w:val="0"/>
                    <w:spacing w:line="0" w:lineRule="atLeast"/>
                    <w:jc w:val="center"/>
                    <w:rPr>
                      <w:b/>
                      <w:bCs/>
                      <w:color w:val="auto"/>
                      <w:kern w:val="0"/>
                      <w:szCs w:val="21"/>
                      <w:highlight w:val="none"/>
                    </w:rPr>
                  </w:pPr>
                </w:p>
              </w:tc>
              <w:tc>
                <w:tcPr>
                  <w:tcW w:w="792" w:type="pct"/>
                  <w:vMerge w:val="continue"/>
                  <w:tcBorders>
                    <w:tl2br w:val="nil"/>
                    <w:tr2bl w:val="nil"/>
                  </w:tcBorders>
                  <w:vAlign w:val="center"/>
                </w:tcPr>
                <w:p w14:paraId="173A6822">
                  <w:pPr>
                    <w:spacing w:line="0" w:lineRule="atLeast"/>
                    <w:jc w:val="center"/>
                    <w:rPr>
                      <w:b/>
                      <w:bCs/>
                      <w:color w:val="auto"/>
                      <w:szCs w:val="21"/>
                      <w:highlight w:val="none"/>
                    </w:rPr>
                  </w:pPr>
                </w:p>
              </w:tc>
              <w:tc>
                <w:tcPr>
                  <w:tcW w:w="633" w:type="pct"/>
                  <w:vMerge w:val="continue"/>
                  <w:tcBorders>
                    <w:tl2br w:val="nil"/>
                    <w:tr2bl w:val="nil"/>
                  </w:tcBorders>
                  <w:vAlign w:val="center"/>
                </w:tcPr>
                <w:p w14:paraId="662DE839">
                  <w:pPr>
                    <w:autoSpaceDE w:val="0"/>
                    <w:autoSpaceDN w:val="0"/>
                    <w:adjustRightInd w:val="0"/>
                    <w:snapToGrid w:val="0"/>
                    <w:spacing w:line="0" w:lineRule="atLeast"/>
                    <w:jc w:val="center"/>
                    <w:rPr>
                      <w:b/>
                      <w:bCs/>
                      <w:color w:val="auto"/>
                      <w:kern w:val="0"/>
                      <w:szCs w:val="21"/>
                      <w:highlight w:val="none"/>
                    </w:rPr>
                  </w:pPr>
                </w:p>
              </w:tc>
              <w:tc>
                <w:tcPr>
                  <w:tcW w:w="458" w:type="pct"/>
                  <w:tcBorders>
                    <w:tl2br w:val="nil"/>
                    <w:tr2bl w:val="nil"/>
                  </w:tcBorders>
                  <w:vAlign w:val="center"/>
                </w:tcPr>
                <w:p w14:paraId="6D208B33">
                  <w:pPr>
                    <w:autoSpaceDE w:val="0"/>
                    <w:autoSpaceDN w:val="0"/>
                    <w:adjustRightInd w:val="0"/>
                    <w:snapToGrid w:val="0"/>
                    <w:spacing w:line="0" w:lineRule="atLeast"/>
                    <w:jc w:val="center"/>
                    <w:rPr>
                      <w:b/>
                      <w:bCs/>
                      <w:color w:val="auto"/>
                      <w:kern w:val="0"/>
                      <w:szCs w:val="21"/>
                      <w:highlight w:val="none"/>
                    </w:rPr>
                  </w:pPr>
                  <w:r>
                    <w:rPr>
                      <w:b/>
                      <w:bCs/>
                      <w:color w:val="auto"/>
                      <w:kern w:val="0"/>
                      <w:szCs w:val="21"/>
                      <w:highlight w:val="none"/>
                    </w:rPr>
                    <w:t>东</w:t>
                  </w:r>
                </w:p>
              </w:tc>
              <w:tc>
                <w:tcPr>
                  <w:tcW w:w="461" w:type="pct"/>
                  <w:tcBorders>
                    <w:tl2br w:val="nil"/>
                    <w:tr2bl w:val="nil"/>
                  </w:tcBorders>
                  <w:vAlign w:val="center"/>
                </w:tcPr>
                <w:p w14:paraId="77E3D3D2">
                  <w:pPr>
                    <w:autoSpaceDE w:val="0"/>
                    <w:autoSpaceDN w:val="0"/>
                    <w:adjustRightInd w:val="0"/>
                    <w:snapToGrid w:val="0"/>
                    <w:spacing w:line="0" w:lineRule="atLeast"/>
                    <w:jc w:val="center"/>
                    <w:rPr>
                      <w:b/>
                      <w:bCs/>
                      <w:color w:val="auto"/>
                      <w:kern w:val="0"/>
                      <w:szCs w:val="21"/>
                      <w:highlight w:val="none"/>
                    </w:rPr>
                  </w:pPr>
                  <w:r>
                    <w:rPr>
                      <w:b/>
                      <w:bCs/>
                      <w:color w:val="auto"/>
                      <w:kern w:val="0"/>
                      <w:szCs w:val="21"/>
                      <w:highlight w:val="none"/>
                    </w:rPr>
                    <w:t>南</w:t>
                  </w:r>
                </w:p>
              </w:tc>
              <w:tc>
                <w:tcPr>
                  <w:tcW w:w="498" w:type="pct"/>
                  <w:tcBorders>
                    <w:tl2br w:val="nil"/>
                    <w:tr2bl w:val="nil"/>
                  </w:tcBorders>
                  <w:vAlign w:val="center"/>
                </w:tcPr>
                <w:p w14:paraId="01CE0E8B">
                  <w:pPr>
                    <w:autoSpaceDE w:val="0"/>
                    <w:autoSpaceDN w:val="0"/>
                    <w:adjustRightInd w:val="0"/>
                    <w:snapToGrid w:val="0"/>
                    <w:spacing w:line="0" w:lineRule="atLeast"/>
                    <w:jc w:val="center"/>
                    <w:rPr>
                      <w:b/>
                      <w:bCs/>
                      <w:color w:val="auto"/>
                      <w:kern w:val="0"/>
                      <w:szCs w:val="21"/>
                      <w:highlight w:val="none"/>
                    </w:rPr>
                  </w:pPr>
                  <w:r>
                    <w:rPr>
                      <w:b/>
                      <w:bCs/>
                      <w:color w:val="auto"/>
                      <w:kern w:val="0"/>
                      <w:szCs w:val="21"/>
                      <w:highlight w:val="none"/>
                    </w:rPr>
                    <w:t>西</w:t>
                  </w:r>
                </w:p>
              </w:tc>
              <w:tc>
                <w:tcPr>
                  <w:tcW w:w="494" w:type="pct"/>
                  <w:tcBorders>
                    <w:tl2br w:val="nil"/>
                    <w:tr2bl w:val="nil"/>
                  </w:tcBorders>
                  <w:vAlign w:val="center"/>
                </w:tcPr>
                <w:p w14:paraId="7EEF507A">
                  <w:pPr>
                    <w:autoSpaceDE w:val="0"/>
                    <w:autoSpaceDN w:val="0"/>
                    <w:adjustRightInd w:val="0"/>
                    <w:snapToGrid w:val="0"/>
                    <w:spacing w:line="0" w:lineRule="atLeast"/>
                    <w:jc w:val="center"/>
                    <w:rPr>
                      <w:b/>
                      <w:bCs/>
                      <w:color w:val="auto"/>
                      <w:kern w:val="0"/>
                      <w:szCs w:val="21"/>
                      <w:highlight w:val="none"/>
                    </w:rPr>
                  </w:pPr>
                  <w:r>
                    <w:rPr>
                      <w:b/>
                      <w:bCs/>
                      <w:color w:val="auto"/>
                      <w:kern w:val="0"/>
                      <w:szCs w:val="21"/>
                      <w:highlight w:val="none"/>
                    </w:rPr>
                    <w:t>北</w:t>
                  </w:r>
                </w:p>
              </w:tc>
              <w:tc>
                <w:tcPr>
                  <w:tcW w:w="335" w:type="pct"/>
                  <w:tcBorders>
                    <w:tl2br w:val="nil"/>
                    <w:tr2bl w:val="nil"/>
                  </w:tcBorders>
                  <w:vAlign w:val="center"/>
                </w:tcPr>
                <w:p w14:paraId="7BE26056">
                  <w:pPr>
                    <w:autoSpaceDE w:val="0"/>
                    <w:autoSpaceDN w:val="0"/>
                    <w:adjustRightInd w:val="0"/>
                    <w:snapToGrid w:val="0"/>
                    <w:spacing w:line="0" w:lineRule="atLeast"/>
                    <w:jc w:val="center"/>
                    <w:rPr>
                      <w:b/>
                      <w:bCs/>
                      <w:color w:val="auto"/>
                      <w:kern w:val="0"/>
                      <w:szCs w:val="21"/>
                      <w:highlight w:val="none"/>
                    </w:rPr>
                  </w:pPr>
                  <w:r>
                    <w:rPr>
                      <w:b/>
                      <w:bCs/>
                      <w:color w:val="auto"/>
                      <w:kern w:val="0"/>
                      <w:szCs w:val="21"/>
                      <w:highlight w:val="none"/>
                    </w:rPr>
                    <w:t>东</w:t>
                  </w:r>
                </w:p>
              </w:tc>
              <w:tc>
                <w:tcPr>
                  <w:tcW w:w="335" w:type="pct"/>
                  <w:tcBorders>
                    <w:tl2br w:val="nil"/>
                    <w:tr2bl w:val="nil"/>
                  </w:tcBorders>
                  <w:vAlign w:val="center"/>
                </w:tcPr>
                <w:p w14:paraId="6DCA05C0">
                  <w:pPr>
                    <w:autoSpaceDE w:val="0"/>
                    <w:autoSpaceDN w:val="0"/>
                    <w:adjustRightInd w:val="0"/>
                    <w:snapToGrid w:val="0"/>
                    <w:spacing w:line="0" w:lineRule="atLeast"/>
                    <w:jc w:val="center"/>
                    <w:rPr>
                      <w:b/>
                      <w:bCs/>
                      <w:color w:val="auto"/>
                      <w:kern w:val="0"/>
                      <w:szCs w:val="21"/>
                      <w:highlight w:val="none"/>
                    </w:rPr>
                  </w:pPr>
                  <w:r>
                    <w:rPr>
                      <w:b/>
                      <w:bCs/>
                      <w:color w:val="auto"/>
                      <w:kern w:val="0"/>
                      <w:szCs w:val="21"/>
                      <w:highlight w:val="none"/>
                    </w:rPr>
                    <w:t>南</w:t>
                  </w:r>
                </w:p>
              </w:tc>
              <w:tc>
                <w:tcPr>
                  <w:tcW w:w="352" w:type="pct"/>
                  <w:tcBorders>
                    <w:tl2br w:val="nil"/>
                    <w:tr2bl w:val="nil"/>
                  </w:tcBorders>
                  <w:vAlign w:val="center"/>
                </w:tcPr>
                <w:p w14:paraId="1C432654">
                  <w:pPr>
                    <w:autoSpaceDE w:val="0"/>
                    <w:autoSpaceDN w:val="0"/>
                    <w:adjustRightInd w:val="0"/>
                    <w:snapToGrid w:val="0"/>
                    <w:spacing w:line="0" w:lineRule="atLeast"/>
                    <w:jc w:val="center"/>
                    <w:rPr>
                      <w:b/>
                      <w:bCs/>
                      <w:color w:val="auto"/>
                      <w:kern w:val="0"/>
                      <w:szCs w:val="21"/>
                      <w:highlight w:val="none"/>
                    </w:rPr>
                  </w:pPr>
                  <w:r>
                    <w:rPr>
                      <w:b/>
                      <w:bCs/>
                      <w:color w:val="auto"/>
                      <w:kern w:val="0"/>
                      <w:szCs w:val="21"/>
                      <w:highlight w:val="none"/>
                    </w:rPr>
                    <w:t>西</w:t>
                  </w:r>
                </w:p>
              </w:tc>
              <w:tc>
                <w:tcPr>
                  <w:tcW w:w="345" w:type="pct"/>
                  <w:tcBorders>
                    <w:tl2br w:val="nil"/>
                    <w:tr2bl w:val="nil"/>
                  </w:tcBorders>
                  <w:vAlign w:val="center"/>
                </w:tcPr>
                <w:p w14:paraId="200B2046">
                  <w:pPr>
                    <w:autoSpaceDE w:val="0"/>
                    <w:autoSpaceDN w:val="0"/>
                    <w:adjustRightInd w:val="0"/>
                    <w:snapToGrid w:val="0"/>
                    <w:spacing w:line="0" w:lineRule="atLeast"/>
                    <w:jc w:val="center"/>
                    <w:rPr>
                      <w:b/>
                      <w:bCs/>
                      <w:color w:val="auto"/>
                      <w:kern w:val="0"/>
                      <w:szCs w:val="21"/>
                      <w:highlight w:val="none"/>
                    </w:rPr>
                  </w:pPr>
                  <w:r>
                    <w:rPr>
                      <w:b/>
                      <w:bCs/>
                      <w:color w:val="auto"/>
                      <w:kern w:val="0"/>
                      <w:szCs w:val="21"/>
                      <w:highlight w:val="none"/>
                    </w:rPr>
                    <w:t>北</w:t>
                  </w:r>
                </w:p>
              </w:tc>
            </w:tr>
            <w:tr w14:paraId="5F31EC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vMerge w:val="restart"/>
                  <w:tcBorders>
                    <w:tl2br w:val="nil"/>
                    <w:tr2bl w:val="nil"/>
                  </w:tcBorders>
                  <w:vAlign w:val="center"/>
                </w:tcPr>
                <w:p w14:paraId="16F8CD53">
                  <w:pPr>
                    <w:autoSpaceDE w:val="0"/>
                    <w:autoSpaceDN w:val="0"/>
                    <w:adjustRightInd w:val="0"/>
                    <w:snapToGrid w:val="0"/>
                    <w:spacing w:line="0" w:lineRule="atLeast"/>
                    <w:jc w:val="center"/>
                    <w:rPr>
                      <w:color w:val="auto"/>
                      <w:kern w:val="0"/>
                      <w:szCs w:val="21"/>
                      <w:highlight w:val="none"/>
                    </w:rPr>
                  </w:pPr>
                  <w:r>
                    <w:rPr>
                      <w:color w:val="auto"/>
                      <w:kern w:val="0"/>
                      <w:szCs w:val="21"/>
                      <w:highlight w:val="none"/>
                    </w:rPr>
                    <w:t>1</w:t>
                  </w:r>
                </w:p>
              </w:tc>
              <w:tc>
                <w:tcPr>
                  <w:tcW w:w="792" w:type="pct"/>
                  <w:vMerge w:val="restart"/>
                  <w:tcBorders>
                    <w:tl2br w:val="nil"/>
                    <w:tr2bl w:val="nil"/>
                  </w:tcBorders>
                  <w:vAlign w:val="center"/>
                </w:tcPr>
                <w:p w14:paraId="54AF037D">
                  <w:pPr>
                    <w:spacing w:line="0" w:lineRule="atLeast"/>
                    <w:jc w:val="center"/>
                    <w:rPr>
                      <w:color w:val="auto"/>
                      <w:szCs w:val="21"/>
                      <w:highlight w:val="none"/>
                    </w:rPr>
                  </w:pPr>
                  <w:r>
                    <w:rPr>
                      <w:color w:val="auto"/>
                      <w:kern w:val="0"/>
                      <w:szCs w:val="21"/>
                      <w:highlight w:val="none"/>
                      <w:lang w:val="zh-CN"/>
                    </w:rPr>
                    <w:t>X射线</w:t>
                  </w:r>
                  <w:r>
                    <w:rPr>
                      <w:rFonts w:hint="eastAsia"/>
                      <w:color w:val="auto"/>
                      <w:kern w:val="0"/>
                      <w:szCs w:val="21"/>
                      <w:highlight w:val="none"/>
                    </w:rPr>
                    <w:t>探伤房</w:t>
                  </w:r>
                  <w:r>
                    <w:rPr>
                      <w:rFonts w:hint="eastAsia"/>
                      <w:bCs/>
                      <w:color w:val="auto"/>
                      <w:kern w:val="0"/>
                      <w:szCs w:val="21"/>
                      <w:highlight w:val="none"/>
                    </w:rPr>
                    <w:t>风机</w:t>
                  </w:r>
                </w:p>
              </w:tc>
              <w:tc>
                <w:tcPr>
                  <w:tcW w:w="633" w:type="pct"/>
                  <w:tcBorders>
                    <w:tl2br w:val="nil"/>
                    <w:tr2bl w:val="nil"/>
                  </w:tcBorders>
                  <w:vAlign w:val="center"/>
                </w:tcPr>
                <w:p w14:paraId="6BD1BA61">
                  <w:pPr>
                    <w:autoSpaceDE w:val="0"/>
                    <w:autoSpaceDN w:val="0"/>
                    <w:adjustRightInd w:val="0"/>
                    <w:snapToGrid w:val="0"/>
                    <w:spacing w:line="0" w:lineRule="atLeast"/>
                    <w:jc w:val="center"/>
                    <w:rPr>
                      <w:color w:val="auto"/>
                      <w:kern w:val="0"/>
                      <w:szCs w:val="21"/>
                      <w:highlight w:val="none"/>
                    </w:rPr>
                  </w:pPr>
                  <w:r>
                    <w:rPr>
                      <w:color w:val="auto"/>
                      <w:kern w:val="0"/>
                      <w:szCs w:val="21"/>
                      <w:highlight w:val="none"/>
                    </w:rPr>
                    <w:t>距厂界</w:t>
                  </w:r>
                </w:p>
                <w:p w14:paraId="22EBBADD">
                  <w:pPr>
                    <w:autoSpaceDE w:val="0"/>
                    <w:autoSpaceDN w:val="0"/>
                    <w:adjustRightInd w:val="0"/>
                    <w:snapToGrid w:val="0"/>
                    <w:spacing w:line="0" w:lineRule="atLeast"/>
                    <w:jc w:val="center"/>
                    <w:rPr>
                      <w:color w:val="auto"/>
                      <w:kern w:val="0"/>
                      <w:szCs w:val="21"/>
                      <w:highlight w:val="none"/>
                    </w:rPr>
                  </w:pPr>
                  <w:r>
                    <w:rPr>
                      <w:color w:val="auto"/>
                      <w:kern w:val="0"/>
                      <w:szCs w:val="21"/>
                      <w:highlight w:val="none"/>
                    </w:rPr>
                    <w:t>距离</w:t>
                  </w:r>
                </w:p>
              </w:tc>
              <w:tc>
                <w:tcPr>
                  <w:tcW w:w="458" w:type="pct"/>
                  <w:tcBorders>
                    <w:tl2br w:val="nil"/>
                    <w:tr2bl w:val="nil"/>
                  </w:tcBorders>
                  <w:vAlign w:val="center"/>
                </w:tcPr>
                <w:p w14:paraId="07FCEE81">
                  <w:pPr>
                    <w:autoSpaceDE w:val="0"/>
                    <w:autoSpaceDN w:val="0"/>
                    <w:adjustRightInd w:val="0"/>
                    <w:snapToGrid w:val="0"/>
                    <w:spacing w:line="0" w:lineRule="atLeast"/>
                    <w:jc w:val="center"/>
                    <w:rPr>
                      <w:color w:val="auto"/>
                      <w:kern w:val="0"/>
                      <w:szCs w:val="21"/>
                      <w:highlight w:val="none"/>
                    </w:rPr>
                  </w:pPr>
                  <w:r>
                    <w:rPr>
                      <w:rFonts w:hint="eastAsia"/>
                      <w:color w:val="auto"/>
                      <w:kern w:val="0"/>
                      <w:szCs w:val="21"/>
                      <w:highlight w:val="none"/>
                    </w:rPr>
                    <w:t>4</w:t>
                  </w:r>
                  <w:r>
                    <w:rPr>
                      <w:rFonts w:hint="eastAsia"/>
                      <w:color w:val="auto"/>
                      <w:kern w:val="0"/>
                      <w:szCs w:val="21"/>
                      <w:highlight w:val="none"/>
                      <w:lang w:val="en-US" w:eastAsia="zh-CN"/>
                    </w:rPr>
                    <w:t>8</w:t>
                  </w:r>
                  <w:r>
                    <w:rPr>
                      <w:color w:val="auto"/>
                      <w:kern w:val="0"/>
                      <w:szCs w:val="21"/>
                      <w:highlight w:val="none"/>
                    </w:rPr>
                    <w:t>m</w:t>
                  </w:r>
                </w:p>
              </w:tc>
              <w:tc>
                <w:tcPr>
                  <w:tcW w:w="461" w:type="pct"/>
                  <w:tcBorders>
                    <w:tl2br w:val="nil"/>
                    <w:tr2bl w:val="nil"/>
                  </w:tcBorders>
                  <w:vAlign w:val="center"/>
                </w:tcPr>
                <w:p w14:paraId="242CDF08">
                  <w:pPr>
                    <w:autoSpaceDE w:val="0"/>
                    <w:autoSpaceDN w:val="0"/>
                    <w:adjustRightInd w:val="0"/>
                    <w:snapToGrid w:val="0"/>
                    <w:spacing w:line="0" w:lineRule="atLeast"/>
                    <w:jc w:val="center"/>
                    <w:rPr>
                      <w:color w:val="auto"/>
                      <w:kern w:val="0"/>
                      <w:szCs w:val="21"/>
                      <w:highlight w:val="none"/>
                    </w:rPr>
                  </w:pPr>
                  <w:r>
                    <w:rPr>
                      <w:rFonts w:hint="eastAsia"/>
                      <w:color w:val="auto"/>
                      <w:kern w:val="0"/>
                      <w:szCs w:val="21"/>
                      <w:highlight w:val="none"/>
                      <w:lang w:val="en-US" w:eastAsia="zh-CN"/>
                    </w:rPr>
                    <w:t>140</w:t>
                  </w:r>
                  <w:r>
                    <w:rPr>
                      <w:color w:val="auto"/>
                      <w:kern w:val="0"/>
                      <w:szCs w:val="21"/>
                      <w:highlight w:val="none"/>
                    </w:rPr>
                    <w:t>m</w:t>
                  </w:r>
                </w:p>
              </w:tc>
              <w:tc>
                <w:tcPr>
                  <w:tcW w:w="498" w:type="pct"/>
                  <w:tcBorders>
                    <w:tl2br w:val="nil"/>
                    <w:tr2bl w:val="nil"/>
                  </w:tcBorders>
                  <w:vAlign w:val="center"/>
                </w:tcPr>
                <w:p w14:paraId="30AE1D2D">
                  <w:pPr>
                    <w:autoSpaceDE w:val="0"/>
                    <w:autoSpaceDN w:val="0"/>
                    <w:adjustRightInd w:val="0"/>
                    <w:snapToGrid w:val="0"/>
                    <w:spacing w:line="0" w:lineRule="atLeast"/>
                    <w:jc w:val="center"/>
                    <w:rPr>
                      <w:color w:val="auto"/>
                      <w:kern w:val="0"/>
                      <w:szCs w:val="21"/>
                      <w:highlight w:val="none"/>
                    </w:rPr>
                  </w:pPr>
                  <w:r>
                    <w:rPr>
                      <w:rFonts w:hint="eastAsia"/>
                      <w:color w:val="auto"/>
                      <w:kern w:val="0"/>
                      <w:szCs w:val="21"/>
                      <w:highlight w:val="none"/>
                      <w:lang w:val="en-US" w:eastAsia="zh-CN"/>
                    </w:rPr>
                    <w:t>352</w:t>
                  </w:r>
                  <w:r>
                    <w:rPr>
                      <w:color w:val="auto"/>
                      <w:kern w:val="0"/>
                      <w:szCs w:val="21"/>
                      <w:highlight w:val="none"/>
                    </w:rPr>
                    <w:t>m</w:t>
                  </w:r>
                </w:p>
              </w:tc>
              <w:tc>
                <w:tcPr>
                  <w:tcW w:w="494" w:type="pct"/>
                  <w:tcBorders>
                    <w:tl2br w:val="nil"/>
                    <w:tr2bl w:val="nil"/>
                  </w:tcBorders>
                  <w:vAlign w:val="center"/>
                </w:tcPr>
                <w:p w14:paraId="4264765E">
                  <w:pPr>
                    <w:autoSpaceDE w:val="0"/>
                    <w:autoSpaceDN w:val="0"/>
                    <w:adjustRightInd w:val="0"/>
                    <w:snapToGrid w:val="0"/>
                    <w:spacing w:line="0" w:lineRule="atLeast"/>
                    <w:jc w:val="center"/>
                    <w:rPr>
                      <w:color w:val="auto"/>
                      <w:kern w:val="0"/>
                      <w:szCs w:val="21"/>
                      <w:highlight w:val="none"/>
                    </w:rPr>
                  </w:pPr>
                  <w:r>
                    <w:rPr>
                      <w:rFonts w:hint="eastAsia"/>
                      <w:color w:val="auto"/>
                      <w:kern w:val="0"/>
                      <w:szCs w:val="21"/>
                      <w:highlight w:val="none"/>
                      <w:lang w:val="en-US" w:eastAsia="zh-CN"/>
                    </w:rPr>
                    <w:t>12</w:t>
                  </w:r>
                  <w:r>
                    <w:rPr>
                      <w:color w:val="auto"/>
                      <w:kern w:val="0"/>
                      <w:szCs w:val="21"/>
                      <w:highlight w:val="none"/>
                    </w:rPr>
                    <w:t>m</w:t>
                  </w:r>
                </w:p>
              </w:tc>
              <w:tc>
                <w:tcPr>
                  <w:tcW w:w="335" w:type="pct"/>
                  <w:vMerge w:val="restart"/>
                  <w:tcBorders>
                    <w:tl2br w:val="nil"/>
                    <w:tr2bl w:val="nil"/>
                  </w:tcBorders>
                  <w:vAlign w:val="center"/>
                </w:tcPr>
                <w:p w14:paraId="25BF5BAE">
                  <w:pPr>
                    <w:autoSpaceDE w:val="0"/>
                    <w:autoSpaceDN w:val="0"/>
                    <w:adjustRightInd w:val="0"/>
                    <w:snapToGrid w:val="0"/>
                    <w:spacing w:line="0" w:lineRule="atLeast"/>
                    <w:ind w:left="-111" w:leftChars="-53" w:right="-134" w:rightChars="-64"/>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26.4</w:t>
                  </w:r>
                </w:p>
              </w:tc>
              <w:tc>
                <w:tcPr>
                  <w:tcW w:w="335" w:type="pct"/>
                  <w:vMerge w:val="restart"/>
                  <w:tcBorders>
                    <w:tl2br w:val="nil"/>
                    <w:tr2bl w:val="nil"/>
                  </w:tcBorders>
                  <w:vAlign w:val="center"/>
                </w:tcPr>
                <w:p w14:paraId="5BB975FE">
                  <w:pPr>
                    <w:autoSpaceDE w:val="0"/>
                    <w:autoSpaceDN w:val="0"/>
                    <w:adjustRightInd w:val="0"/>
                    <w:snapToGrid w:val="0"/>
                    <w:spacing w:line="0" w:lineRule="atLeast"/>
                    <w:ind w:left="-111" w:leftChars="-53" w:right="-134" w:rightChars="-64"/>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17.0</w:t>
                  </w:r>
                </w:p>
              </w:tc>
              <w:tc>
                <w:tcPr>
                  <w:tcW w:w="352" w:type="pct"/>
                  <w:vMerge w:val="restart"/>
                  <w:tcBorders>
                    <w:tl2br w:val="nil"/>
                    <w:tr2bl w:val="nil"/>
                  </w:tcBorders>
                  <w:vAlign w:val="center"/>
                </w:tcPr>
                <w:p w14:paraId="6B03F08F">
                  <w:pPr>
                    <w:autoSpaceDE w:val="0"/>
                    <w:autoSpaceDN w:val="0"/>
                    <w:adjustRightInd w:val="0"/>
                    <w:snapToGrid w:val="0"/>
                    <w:spacing w:line="0" w:lineRule="atLeast"/>
                    <w:ind w:left="-111" w:leftChars="-53" w:right="-134" w:rightChars="-64"/>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9.0</w:t>
                  </w:r>
                </w:p>
              </w:tc>
              <w:tc>
                <w:tcPr>
                  <w:tcW w:w="345" w:type="pct"/>
                  <w:vMerge w:val="restart"/>
                  <w:tcBorders>
                    <w:tl2br w:val="nil"/>
                    <w:tr2bl w:val="nil"/>
                  </w:tcBorders>
                  <w:vAlign w:val="center"/>
                </w:tcPr>
                <w:p w14:paraId="3264A619">
                  <w:pPr>
                    <w:autoSpaceDE w:val="0"/>
                    <w:autoSpaceDN w:val="0"/>
                    <w:adjustRightInd w:val="0"/>
                    <w:snapToGrid w:val="0"/>
                    <w:spacing w:line="0" w:lineRule="atLeast"/>
                    <w:ind w:left="-111" w:leftChars="-53" w:right="-134" w:rightChars="-64"/>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38.4</w:t>
                  </w:r>
                </w:p>
              </w:tc>
            </w:tr>
            <w:tr w14:paraId="5F9EBD9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vMerge w:val="continue"/>
                  <w:tcBorders>
                    <w:tl2br w:val="nil"/>
                    <w:tr2bl w:val="nil"/>
                  </w:tcBorders>
                  <w:vAlign w:val="center"/>
                </w:tcPr>
                <w:p w14:paraId="17F4FC9A">
                  <w:pPr>
                    <w:autoSpaceDE w:val="0"/>
                    <w:autoSpaceDN w:val="0"/>
                    <w:adjustRightInd w:val="0"/>
                    <w:snapToGrid w:val="0"/>
                    <w:spacing w:line="0" w:lineRule="atLeast"/>
                    <w:jc w:val="center"/>
                    <w:rPr>
                      <w:color w:val="auto"/>
                      <w:kern w:val="0"/>
                      <w:szCs w:val="21"/>
                      <w:highlight w:val="none"/>
                    </w:rPr>
                  </w:pPr>
                </w:p>
              </w:tc>
              <w:tc>
                <w:tcPr>
                  <w:tcW w:w="792" w:type="pct"/>
                  <w:vMerge w:val="continue"/>
                  <w:tcBorders>
                    <w:tl2br w:val="nil"/>
                    <w:tr2bl w:val="nil"/>
                  </w:tcBorders>
                  <w:vAlign w:val="center"/>
                </w:tcPr>
                <w:p w14:paraId="4C1E82C6">
                  <w:pPr>
                    <w:spacing w:line="0" w:lineRule="atLeast"/>
                    <w:jc w:val="center"/>
                    <w:rPr>
                      <w:color w:val="auto"/>
                      <w:szCs w:val="21"/>
                      <w:highlight w:val="none"/>
                    </w:rPr>
                  </w:pPr>
                </w:p>
              </w:tc>
              <w:tc>
                <w:tcPr>
                  <w:tcW w:w="633" w:type="pct"/>
                  <w:tcBorders>
                    <w:tl2br w:val="nil"/>
                    <w:tr2bl w:val="nil"/>
                  </w:tcBorders>
                  <w:vAlign w:val="center"/>
                </w:tcPr>
                <w:p w14:paraId="2FB46B01">
                  <w:pPr>
                    <w:autoSpaceDE w:val="0"/>
                    <w:autoSpaceDN w:val="0"/>
                    <w:adjustRightInd w:val="0"/>
                    <w:snapToGrid w:val="0"/>
                    <w:spacing w:line="0" w:lineRule="atLeast"/>
                    <w:jc w:val="center"/>
                    <w:rPr>
                      <w:color w:val="auto"/>
                      <w:kern w:val="0"/>
                      <w:szCs w:val="21"/>
                      <w:highlight w:val="none"/>
                    </w:rPr>
                  </w:pPr>
                  <w:r>
                    <w:rPr>
                      <w:color w:val="auto"/>
                      <w:kern w:val="0"/>
                      <w:szCs w:val="21"/>
                      <w:highlight w:val="none"/>
                    </w:rPr>
                    <w:t>声源参数</w:t>
                  </w:r>
                </w:p>
              </w:tc>
              <w:tc>
                <w:tcPr>
                  <w:tcW w:w="1912" w:type="pct"/>
                  <w:gridSpan w:val="4"/>
                  <w:tcBorders>
                    <w:tl2br w:val="nil"/>
                    <w:tr2bl w:val="nil"/>
                  </w:tcBorders>
                  <w:vAlign w:val="center"/>
                </w:tcPr>
                <w:p w14:paraId="1464F49A">
                  <w:pPr>
                    <w:autoSpaceDE w:val="0"/>
                    <w:autoSpaceDN w:val="0"/>
                    <w:adjustRightInd w:val="0"/>
                    <w:snapToGrid w:val="0"/>
                    <w:spacing w:line="0" w:lineRule="atLeast"/>
                    <w:jc w:val="center"/>
                    <w:rPr>
                      <w:color w:val="auto"/>
                      <w:kern w:val="0"/>
                      <w:szCs w:val="21"/>
                      <w:highlight w:val="none"/>
                    </w:rPr>
                  </w:pPr>
                  <w:r>
                    <w:rPr>
                      <w:i/>
                      <w:color w:val="auto"/>
                      <w:szCs w:val="21"/>
                      <w:highlight w:val="none"/>
                    </w:rPr>
                    <w:t>L</w:t>
                  </w:r>
                  <w:r>
                    <w:rPr>
                      <w:i/>
                      <w:color w:val="auto"/>
                      <w:szCs w:val="21"/>
                      <w:highlight w:val="none"/>
                      <w:vertAlign w:val="subscript"/>
                    </w:rPr>
                    <w:t xml:space="preserve"> A</w:t>
                  </w:r>
                  <w:r>
                    <w:rPr>
                      <w:rFonts w:hint="eastAsia"/>
                      <w:color w:val="auto"/>
                      <w:szCs w:val="21"/>
                      <w:highlight w:val="none"/>
                    </w:rPr>
                    <w:t>(</w:t>
                  </w:r>
                  <w:r>
                    <w:rPr>
                      <w:i/>
                      <w:color w:val="auto"/>
                      <w:szCs w:val="21"/>
                      <w:highlight w:val="none"/>
                    </w:rPr>
                    <w:t>r</w:t>
                  </w:r>
                  <w:r>
                    <w:rPr>
                      <w:i/>
                      <w:color w:val="auto"/>
                      <w:szCs w:val="21"/>
                      <w:highlight w:val="none"/>
                      <w:vertAlign w:val="subscript"/>
                    </w:rPr>
                    <w:t>0</w:t>
                  </w:r>
                  <w:r>
                    <w:rPr>
                      <w:rFonts w:hint="eastAsia"/>
                      <w:color w:val="auto"/>
                      <w:szCs w:val="21"/>
                      <w:highlight w:val="none"/>
                    </w:rPr>
                    <w:t>)=60dB（A）</w:t>
                  </w:r>
                </w:p>
              </w:tc>
              <w:tc>
                <w:tcPr>
                  <w:tcW w:w="335" w:type="pct"/>
                  <w:vMerge w:val="continue"/>
                  <w:tcBorders>
                    <w:tl2br w:val="nil"/>
                    <w:tr2bl w:val="nil"/>
                  </w:tcBorders>
                  <w:vAlign w:val="center"/>
                </w:tcPr>
                <w:p w14:paraId="46EDF330">
                  <w:pPr>
                    <w:autoSpaceDE w:val="0"/>
                    <w:autoSpaceDN w:val="0"/>
                    <w:adjustRightInd w:val="0"/>
                    <w:snapToGrid w:val="0"/>
                    <w:spacing w:line="0" w:lineRule="atLeast"/>
                    <w:ind w:left="-111" w:leftChars="-53" w:right="-134" w:rightChars="-64"/>
                    <w:jc w:val="center"/>
                    <w:rPr>
                      <w:color w:val="auto"/>
                      <w:kern w:val="0"/>
                      <w:szCs w:val="21"/>
                      <w:highlight w:val="none"/>
                    </w:rPr>
                  </w:pPr>
                </w:p>
              </w:tc>
              <w:tc>
                <w:tcPr>
                  <w:tcW w:w="335" w:type="pct"/>
                  <w:vMerge w:val="continue"/>
                  <w:tcBorders>
                    <w:tl2br w:val="nil"/>
                    <w:tr2bl w:val="nil"/>
                  </w:tcBorders>
                  <w:vAlign w:val="center"/>
                </w:tcPr>
                <w:p w14:paraId="462F496F">
                  <w:pPr>
                    <w:autoSpaceDE w:val="0"/>
                    <w:autoSpaceDN w:val="0"/>
                    <w:adjustRightInd w:val="0"/>
                    <w:snapToGrid w:val="0"/>
                    <w:spacing w:line="0" w:lineRule="atLeast"/>
                    <w:ind w:left="-111" w:leftChars="-53" w:right="-134" w:rightChars="-64"/>
                    <w:jc w:val="center"/>
                    <w:rPr>
                      <w:color w:val="auto"/>
                      <w:kern w:val="0"/>
                      <w:szCs w:val="21"/>
                      <w:highlight w:val="none"/>
                    </w:rPr>
                  </w:pPr>
                </w:p>
              </w:tc>
              <w:tc>
                <w:tcPr>
                  <w:tcW w:w="352" w:type="pct"/>
                  <w:vMerge w:val="continue"/>
                  <w:tcBorders>
                    <w:tl2br w:val="nil"/>
                    <w:tr2bl w:val="nil"/>
                  </w:tcBorders>
                  <w:vAlign w:val="center"/>
                </w:tcPr>
                <w:p w14:paraId="6CEF36B1">
                  <w:pPr>
                    <w:autoSpaceDE w:val="0"/>
                    <w:autoSpaceDN w:val="0"/>
                    <w:adjustRightInd w:val="0"/>
                    <w:snapToGrid w:val="0"/>
                    <w:spacing w:line="0" w:lineRule="atLeast"/>
                    <w:ind w:left="-111" w:leftChars="-53" w:right="-134" w:rightChars="-64"/>
                    <w:jc w:val="center"/>
                    <w:rPr>
                      <w:color w:val="auto"/>
                      <w:kern w:val="0"/>
                      <w:szCs w:val="21"/>
                      <w:highlight w:val="none"/>
                    </w:rPr>
                  </w:pPr>
                </w:p>
              </w:tc>
              <w:tc>
                <w:tcPr>
                  <w:tcW w:w="345" w:type="pct"/>
                  <w:vMerge w:val="continue"/>
                  <w:tcBorders>
                    <w:tl2br w:val="nil"/>
                    <w:tr2bl w:val="nil"/>
                  </w:tcBorders>
                  <w:vAlign w:val="center"/>
                </w:tcPr>
                <w:p w14:paraId="75B66C1A">
                  <w:pPr>
                    <w:autoSpaceDE w:val="0"/>
                    <w:autoSpaceDN w:val="0"/>
                    <w:adjustRightInd w:val="0"/>
                    <w:snapToGrid w:val="0"/>
                    <w:spacing w:line="0" w:lineRule="atLeast"/>
                    <w:ind w:left="-111" w:leftChars="-53" w:right="-134" w:rightChars="-64"/>
                    <w:jc w:val="center"/>
                    <w:rPr>
                      <w:color w:val="auto"/>
                      <w:kern w:val="0"/>
                      <w:szCs w:val="21"/>
                      <w:highlight w:val="none"/>
                    </w:rPr>
                  </w:pPr>
                </w:p>
              </w:tc>
            </w:tr>
          </w:tbl>
          <w:p w14:paraId="7790B666">
            <w:pPr>
              <w:adjustRightInd w:val="0"/>
              <w:spacing w:line="460" w:lineRule="exact"/>
              <w:ind w:right="113" w:firstLine="480" w:firstLineChars="200"/>
              <w:textAlignment w:val="baseline"/>
              <w:rPr>
                <w:rFonts w:hint="eastAsia" w:eastAsia="宋体"/>
                <w:bCs/>
                <w:color w:val="auto"/>
                <w:kern w:val="0"/>
                <w:sz w:val="24"/>
                <w:highlight w:val="none"/>
              </w:rPr>
            </w:pPr>
            <w:bookmarkStart w:id="177" w:name="_Toc36829725"/>
            <w:bookmarkStart w:id="178" w:name="_Toc28511264"/>
            <w:bookmarkStart w:id="179" w:name="_Toc28525651"/>
            <w:r>
              <w:rPr>
                <w:rFonts w:hint="eastAsia" w:eastAsia="宋体"/>
                <w:bCs/>
                <w:color w:val="auto"/>
                <w:kern w:val="0"/>
                <w:sz w:val="24"/>
                <w:highlight w:val="none"/>
                <w:lang w:val="en-US" w:eastAsia="zh-CN"/>
              </w:rPr>
              <w:t>本项目综合考虑现有厂区项目对厂界噪声的影响，叠加本项目噪声源对厂界噪声的贡献值，最终计算出本项目运营后，本公司厂区内所有噪声源对各厂界的最终排放值，计算结果如下表：</w:t>
            </w:r>
          </w:p>
          <w:p w14:paraId="59A36883">
            <w:pPr>
              <w:snapToGrid w:val="0"/>
              <w:ind w:firstLine="422" w:firstLineChars="200"/>
              <w:jc w:val="center"/>
              <w:rPr>
                <w:b/>
                <w:color w:val="auto"/>
                <w:szCs w:val="21"/>
                <w:highlight w:val="none"/>
              </w:rPr>
            </w:pPr>
            <w:r>
              <w:rPr>
                <w:rFonts w:hint="eastAsia"/>
                <w:b/>
                <w:color w:val="auto"/>
                <w:szCs w:val="21"/>
                <w:highlight w:val="none"/>
              </w:rPr>
              <w:t>表11-</w:t>
            </w:r>
            <w:r>
              <w:rPr>
                <w:rFonts w:hint="eastAsia"/>
                <w:b/>
                <w:color w:val="auto"/>
                <w:szCs w:val="21"/>
                <w:highlight w:val="none"/>
                <w:lang w:val="en-US" w:eastAsia="zh-CN"/>
              </w:rPr>
              <w:t>4</w:t>
            </w:r>
            <w:r>
              <w:rPr>
                <w:rFonts w:hint="eastAsia"/>
                <w:b/>
                <w:color w:val="auto"/>
                <w:szCs w:val="21"/>
                <w:highlight w:val="none"/>
              </w:rPr>
              <w:t xml:space="preserve"> 项目厂界噪声预测结果</w:t>
            </w:r>
          </w:p>
          <w:tbl>
            <w:tblPr>
              <w:tblStyle w:val="3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6"/>
              <w:gridCol w:w="786"/>
              <w:gridCol w:w="862"/>
              <w:gridCol w:w="805"/>
              <w:gridCol w:w="769"/>
              <w:gridCol w:w="918"/>
              <w:gridCol w:w="901"/>
              <w:gridCol w:w="776"/>
              <w:gridCol w:w="939"/>
            </w:tblGrid>
            <w:tr w14:paraId="37D6C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993" w:type="pct"/>
                </w:tcPr>
                <w:p w14:paraId="5F51702D">
                  <w:pPr>
                    <w:widowControl/>
                    <w:jc w:val="center"/>
                    <w:textAlignment w:val="center"/>
                    <w:rPr>
                      <w:rFonts w:hint="eastAsia" w:eastAsia="宋体"/>
                      <w:b/>
                      <w:bCs/>
                      <w:color w:val="auto"/>
                      <w:kern w:val="0"/>
                      <w:szCs w:val="21"/>
                      <w:highlight w:val="none"/>
                      <w:lang w:val="en-US" w:eastAsia="zh-CN" w:bidi="ar"/>
                    </w:rPr>
                  </w:pPr>
                  <w:r>
                    <w:rPr>
                      <w:rFonts w:hint="eastAsia" w:eastAsia="宋体"/>
                      <w:b/>
                      <w:bCs/>
                      <w:color w:val="auto"/>
                      <w:kern w:val="0"/>
                      <w:szCs w:val="21"/>
                      <w:highlight w:val="none"/>
                      <w:lang w:val="en-US" w:eastAsia="zh-CN" w:bidi="ar"/>
                    </w:rPr>
                    <w:t>预测点</w:t>
                  </w:r>
                </w:p>
              </w:tc>
              <w:tc>
                <w:tcPr>
                  <w:tcW w:w="977" w:type="pct"/>
                  <w:gridSpan w:val="2"/>
                </w:tcPr>
                <w:p w14:paraId="1A87F9AB">
                  <w:pPr>
                    <w:widowControl/>
                    <w:jc w:val="center"/>
                    <w:textAlignment w:val="center"/>
                    <w:rPr>
                      <w:rFonts w:hint="eastAsia" w:eastAsia="宋体"/>
                      <w:b/>
                      <w:bCs/>
                      <w:color w:val="auto"/>
                      <w:kern w:val="0"/>
                      <w:szCs w:val="21"/>
                      <w:highlight w:val="none"/>
                      <w:lang w:val="en-US" w:eastAsia="zh-CN" w:bidi="ar"/>
                    </w:rPr>
                  </w:pPr>
                  <w:r>
                    <w:rPr>
                      <w:rFonts w:hint="eastAsia" w:eastAsia="宋体"/>
                      <w:b/>
                      <w:bCs/>
                      <w:color w:val="auto"/>
                      <w:kern w:val="0"/>
                      <w:szCs w:val="21"/>
                      <w:highlight w:val="none"/>
                      <w:lang w:val="en-US" w:eastAsia="zh-CN" w:bidi="ar"/>
                    </w:rPr>
                    <w:t>东厂界</w:t>
                  </w:r>
                </w:p>
              </w:tc>
              <w:tc>
                <w:tcPr>
                  <w:tcW w:w="933" w:type="pct"/>
                  <w:gridSpan w:val="2"/>
                </w:tcPr>
                <w:p w14:paraId="35A6B1B5">
                  <w:pPr>
                    <w:widowControl/>
                    <w:jc w:val="center"/>
                    <w:textAlignment w:val="center"/>
                    <w:rPr>
                      <w:rFonts w:hint="eastAsia" w:eastAsia="宋体"/>
                      <w:b/>
                      <w:bCs/>
                      <w:color w:val="auto"/>
                      <w:kern w:val="0"/>
                      <w:szCs w:val="21"/>
                      <w:highlight w:val="none"/>
                      <w:lang w:val="en-US" w:eastAsia="zh-CN" w:bidi="ar"/>
                    </w:rPr>
                  </w:pPr>
                  <w:r>
                    <w:rPr>
                      <w:rFonts w:hint="eastAsia" w:eastAsia="宋体"/>
                      <w:b/>
                      <w:bCs/>
                      <w:color w:val="auto"/>
                      <w:kern w:val="0"/>
                      <w:szCs w:val="21"/>
                      <w:highlight w:val="none"/>
                      <w:lang w:val="en-US" w:eastAsia="zh-CN" w:bidi="ar"/>
                    </w:rPr>
                    <w:t>南厂界</w:t>
                  </w:r>
                </w:p>
              </w:tc>
              <w:tc>
                <w:tcPr>
                  <w:tcW w:w="1078" w:type="pct"/>
                  <w:gridSpan w:val="2"/>
                </w:tcPr>
                <w:p w14:paraId="4424D1D2">
                  <w:pPr>
                    <w:widowControl/>
                    <w:jc w:val="center"/>
                    <w:textAlignment w:val="center"/>
                    <w:rPr>
                      <w:rFonts w:hint="default" w:eastAsia="宋体"/>
                      <w:b/>
                      <w:bCs/>
                      <w:color w:val="auto"/>
                      <w:kern w:val="0"/>
                      <w:szCs w:val="21"/>
                      <w:highlight w:val="none"/>
                      <w:lang w:val="en-US" w:eastAsia="zh-CN" w:bidi="ar"/>
                    </w:rPr>
                  </w:pPr>
                  <w:r>
                    <w:rPr>
                      <w:rFonts w:hint="eastAsia" w:eastAsia="宋体"/>
                      <w:b/>
                      <w:bCs/>
                      <w:color w:val="auto"/>
                      <w:kern w:val="0"/>
                      <w:szCs w:val="21"/>
                      <w:highlight w:val="none"/>
                      <w:lang w:val="en-US" w:eastAsia="zh-CN" w:bidi="ar"/>
                    </w:rPr>
                    <w:t>西厂界</w:t>
                  </w:r>
                </w:p>
              </w:tc>
              <w:tc>
                <w:tcPr>
                  <w:tcW w:w="1016" w:type="pct"/>
                  <w:gridSpan w:val="2"/>
                </w:tcPr>
                <w:p w14:paraId="753F3BBB">
                  <w:pPr>
                    <w:widowControl/>
                    <w:jc w:val="center"/>
                    <w:textAlignment w:val="center"/>
                    <w:rPr>
                      <w:rFonts w:hint="default" w:eastAsia="宋体"/>
                      <w:b/>
                      <w:bCs/>
                      <w:color w:val="auto"/>
                      <w:kern w:val="0"/>
                      <w:szCs w:val="21"/>
                      <w:highlight w:val="none"/>
                      <w:lang w:val="en-US" w:eastAsia="zh-CN" w:bidi="ar"/>
                    </w:rPr>
                  </w:pPr>
                  <w:r>
                    <w:rPr>
                      <w:rFonts w:hint="eastAsia" w:eastAsia="宋体"/>
                      <w:b/>
                      <w:bCs/>
                      <w:color w:val="auto"/>
                      <w:kern w:val="0"/>
                      <w:szCs w:val="21"/>
                      <w:highlight w:val="none"/>
                      <w:lang w:val="en-US" w:eastAsia="zh-CN" w:bidi="ar"/>
                    </w:rPr>
                    <w:t>北厂界</w:t>
                  </w:r>
                </w:p>
              </w:tc>
            </w:tr>
            <w:tr w14:paraId="5B7A6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pct"/>
                </w:tcPr>
                <w:p w14:paraId="49826EB5">
                  <w:pPr>
                    <w:widowControl/>
                    <w:jc w:val="center"/>
                    <w:textAlignment w:val="center"/>
                    <w:rPr>
                      <w:rFonts w:hint="eastAsia" w:eastAsia="宋体"/>
                      <w:b/>
                      <w:bCs/>
                      <w:color w:val="auto"/>
                      <w:kern w:val="0"/>
                      <w:szCs w:val="21"/>
                      <w:highlight w:val="none"/>
                      <w:lang w:val="en-US" w:eastAsia="zh-CN" w:bidi="ar"/>
                    </w:rPr>
                  </w:pPr>
                  <w:r>
                    <w:rPr>
                      <w:rFonts w:hint="eastAsia" w:eastAsia="宋体"/>
                      <w:b/>
                      <w:bCs/>
                      <w:color w:val="auto"/>
                      <w:kern w:val="0"/>
                      <w:szCs w:val="21"/>
                      <w:highlight w:val="none"/>
                      <w:lang w:val="en-US" w:eastAsia="zh-CN" w:bidi="ar"/>
                    </w:rPr>
                    <w:t>时间段</w:t>
                  </w:r>
                </w:p>
              </w:tc>
              <w:tc>
                <w:tcPr>
                  <w:tcW w:w="466" w:type="pct"/>
                </w:tcPr>
                <w:p w14:paraId="138C62DD">
                  <w:pPr>
                    <w:widowControl/>
                    <w:jc w:val="center"/>
                    <w:textAlignment w:val="center"/>
                    <w:rPr>
                      <w:rFonts w:hint="default" w:eastAsia="宋体"/>
                      <w:b/>
                      <w:bCs/>
                      <w:color w:val="auto"/>
                      <w:kern w:val="0"/>
                      <w:szCs w:val="21"/>
                      <w:highlight w:val="none"/>
                      <w:lang w:val="en-US" w:eastAsia="zh-CN" w:bidi="ar"/>
                    </w:rPr>
                  </w:pPr>
                  <w:r>
                    <w:rPr>
                      <w:rFonts w:hint="eastAsia" w:eastAsia="宋体"/>
                      <w:b/>
                      <w:bCs/>
                      <w:color w:val="auto"/>
                      <w:kern w:val="0"/>
                      <w:szCs w:val="21"/>
                      <w:highlight w:val="none"/>
                      <w:lang w:val="en-US" w:eastAsia="zh-CN" w:bidi="ar"/>
                    </w:rPr>
                    <w:t>昼间</w:t>
                  </w:r>
                </w:p>
              </w:tc>
              <w:tc>
                <w:tcPr>
                  <w:tcW w:w="511" w:type="pct"/>
                </w:tcPr>
                <w:p w14:paraId="19525CAE">
                  <w:pPr>
                    <w:widowControl/>
                    <w:jc w:val="center"/>
                    <w:textAlignment w:val="center"/>
                    <w:rPr>
                      <w:rFonts w:hint="default" w:eastAsia="宋体"/>
                      <w:b/>
                      <w:bCs/>
                      <w:color w:val="auto"/>
                      <w:kern w:val="0"/>
                      <w:szCs w:val="21"/>
                      <w:highlight w:val="none"/>
                      <w:lang w:val="en-US" w:eastAsia="zh-CN" w:bidi="ar"/>
                    </w:rPr>
                  </w:pPr>
                  <w:r>
                    <w:rPr>
                      <w:rFonts w:hint="eastAsia" w:eastAsia="宋体"/>
                      <w:b/>
                      <w:bCs/>
                      <w:color w:val="auto"/>
                      <w:kern w:val="0"/>
                      <w:szCs w:val="21"/>
                      <w:highlight w:val="none"/>
                      <w:lang w:val="en-US" w:eastAsia="zh-CN" w:bidi="ar"/>
                    </w:rPr>
                    <w:t>夜间</w:t>
                  </w:r>
                </w:p>
              </w:tc>
              <w:tc>
                <w:tcPr>
                  <w:tcW w:w="477" w:type="pct"/>
                  <w:vAlign w:val="top"/>
                </w:tcPr>
                <w:p w14:paraId="4A91473B">
                  <w:pPr>
                    <w:widowControl/>
                    <w:jc w:val="center"/>
                    <w:textAlignment w:val="center"/>
                    <w:rPr>
                      <w:rFonts w:hint="eastAsia" w:eastAsia="宋体"/>
                      <w:b/>
                      <w:bCs/>
                      <w:color w:val="auto"/>
                      <w:kern w:val="0"/>
                      <w:szCs w:val="21"/>
                      <w:highlight w:val="none"/>
                      <w:lang w:bidi="ar"/>
                    </w:rPr>
                  </w:pPr>
                  <w:r>
                    <w:rPr>
                      <w:rFonts w:hint="eastAsia" w:eastAsia="宋体"/>
                      <w:b/>
                      <w:bCs/>
                      <w:color w:val="auto"/>
                      <w:kern w:val="0"/>
                      <w:szCs w:val="21"/>
                      <w:highlight w:val="none"/>
                      <w:lang w:val="en-US" w:eastAsia="zh-CN" w:bidi="ar"/>
                    </w:rPr>
                    <w:t>昼间</w:t>
                  </w:r>
                </w:p>
              </w:tc>
              <w:tc>
                <w:tcPr>
                  <w:tcW w:w="456" w:type="pct"/>
                  <w:vAlign w:val="top"/>
                </w:tcPr>
                <w:p w14:paraId="78FC82E2">
                  <w:pPr>
                    <w:widowControl/>
                    <w:jc w:val="center"/>
                    <w:textAlignment w:val="center"/>
                    <w:rPr>
                      <w:rFonts w:hint="eastAsia" w:eastAsia="宋体"/>
                      <w:b/>
                      <w:bCs/>
                      <w:color w:val="auto"/>
                      <w:kern w:val="0"/>
                      <w:szCs w:val="21"/>
                      <w:highlight w:val="none"/>
                      <w:lang w:bidi="ar"/>
                    </w:rPr>
                  </w:pPr>
                  <w:r>
                    <w:rPr>
                      <w:rFonts w:hint="eastAsia" w:eastAsia="宋体"/>
                      <w:b/>
                      <w:bCs/>
                      <w:color w:val="auto"/>
                      <w:kern w:val="0"/>
                      <w:szCs w:val="21"/>
                      <w:highlight w:val="none"/>
                      <w:lang w:val="en-US" w:eastAsia="zh-CN" w:bidi="ar"/>
                    </w:rPr>
                    <w:t>夜间</w:t>
                  </w:r>
                </w:p>
              </w:tc>
              <w:tc>
                <w:tcPr>
                  <w:tcW w:w="544" w:type="pct"/>
                  <w:vAlign w:val="top"/>
                </w:tcPr>
                <w:p w14:paraId="11DC7DF8">
                  <w:pPr>
                    <w:widowControl/>
                    <w:jc w:val="center"/>
                    <w:textAlignment w:val="center"/>
                    <w:rPr>
                      <w:rFonts w:hint="eastAsia" w:eastAsia="宋体"/>
                      <w:b/>
                      <w:bCs/>
                      <w:color w:val="auto"/>
                      <w:kern w:val="0"/>
                      <w:szCs w:val="21"/>
                      <w:highlight w:val="none"/>
                      <w:lang w:bidi="ar"/>
                    </w:rPr>
                  </w:pPr>
                  <w:r>
                    <w:rPr>
                      <w:rFonts w:hint="eastAsia" w:eastAsia="宋体"/>
                      <w:b/>
                      <w:bCs/>
                      <w:color w:val="auto"/>
                      <w:kern w:val="0"/>
                      <w:szCs w:val="21"/>
                      <w:highlight w:val="none"/>
                      <w:lang w:val="en-US" w:eastAsia="zh-CN" w:bidi="ar"/>
                    </w:rPr>
                    <w:t>昼间</w:t>
                  </w:r>
                </w:p>
              </w:tc>
              <w:tc>
                <w:tcPr>
                  <w:tcW w:w="533" w:type="pct"/>
                  <w:vAlign w:val="top"/>
                </w:tcPr>
                <w:p w14:paraId="0CF3E198">
                  <w:pPr>
                    <w:widowControl/>
                    <w:jc w:val="center"/>
                    <w:textAlignment w:val="center"/>
                    <w:rPr>
                      <w:rFonts w:hint="eastAsia" w:eastAsia="宋体"/>
                      <w:b/>
                      <w:bCs/>
                      <w:color w:val="auto"/>
                      <w:kern w:val="0"/>
                      <w:szCs w:val="21"/>
                      <w:highlight w:val="none"/>
                      <w:lang w:bidi="ar"/>
                    </w:rPr>
                  </w:pPr>
                  <w:r>
                    <w:rPr>
                      <w:rFonts w:hint="eastAsia" w:eastAsia="宋体"/>
                      <w:b/>
                      <w:bCs/>
                      <w:color w:val="auto"/>
                      <w:kern w:val="0"/>
                      <w:szCs w:val="21"/>
                      <w:highlight w:val="none"/>
                      <w:lang w:val="en-US" w:eastAsia="zh-CN" w:bidi="ar"/>
                    </w:rPr>
                    <w:t>夜间</w:t>
                  </w:r>
                </w:p>
              </w:tc>
              <w:tc>
                <w:tcPr>
                  <w:tcW w:w="460" w:type="pct"/>
                  <w:vAlign w:val="top"/>
                </w:tcPr>
                <w:p w14:paraId="7E8F408C">
                  <w:pPr>
                    <w:widowControl/>
                    <w:jc w:val="center"/>
                    <w:textAlignment w:val="center"/>
                    <w:rPr>
                      <w:rFonts w:hint="eastAsia" w:eastAsia="宋体"/>
                      <w:b/>
                      <w:bCs/>
                      <w:color w:val="auto"/>
                      <w:kern w:val="0"/>
                      <w:szCs w:val="21"/>
                      <w:highlight w:val="none"/>
                      <w:lang w:bidi="ar"/>
                    </w:rPr>
                  </w:pPr>
                  <w:r>
                    <w:rPr>
                      <w:rFonts w:hint="eastAsia" w:eastAsia="宋体"/>
                      <w:b/>
                      <w:bCs/>
                      <w:color w:val="auto"/>
                      <w:kern w:val="0"/>
                      <w:szCs w:val="21"/>
                      <w:highlight w:val="none"/>
                      <w:lang w:val="en-US" w:eastAsia="zh-CN" w:bidi="ar"/>
                    </w:rPr>
                    <w:t>昼间</w:t>
                  </w:r>
                </w:p>
              </w:tc>
              <w:tc>
                <w:tcPr>
                  <w:tcW w:w="556" w:type="pct"/>
                  <w:vAlign w:val="top"/>
                </w:tcPr>
                <w:p w14:paraId="07A98BF7">
                  <w:pPr>
                    <w:widowControl/>
                    <w:jc w:val="center"/>
                    <w:textAlignment w:val="center"/>
                    <w:rPr>
                      <w:rFonts w:hint="eastAsia" w:eastAsia="宋体"/>
                      <w:b/>
                      <w:bCs/>
                      <w:color w:val="auto"/>
                      <w:kern w:val="0"/>
                      <w:szCs w:val="21"/>
                      <w:highlight w:val="none"/>
                      <w:lang w:bidi="ar"/>
                    </w:rPr>
                  </w:pPr>
                  <w:r>
                    <w:rPr>
                      <w:rFonts w:hint="eastAsia" w:eastAsia="宋体"/>
                      <w:b/>
                      <w:bCs/>
                      <w:color w:val="auto"/>
                      <w:kern w:val="0"/>
                      <w:szCs w:val="21"/>
                      <w:highlight w:val="none"/>
                      <w:lang w:val="en-US" w:eastAsia="zh-CN" w:bidi="ar"/>
                    </w:rPr>
                    <w:t>夜间</w:t>
                  </w:r>
                </w:p>
              </w:tc>
            </w:tr>
            <w:tr w14:paraId="49761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pct"/>
                </w:tcPr>
                <w:p w14:paraId="6D54FACB">
                  <w:pPr>
                    <w:widowControl/>
                    <w:jc w:val="center"/>
                    <w:textAlignment w:val="center"/>
                    <w:rPr>
                      <w:rFonts w:hint="default" w:eastAsia="宋体"/>
                      <w:color w:val="auto"/>
                      <w:kern w:val="0"/>
                      <w:szCs w:val="21"/>
                      <w:highlight w:val="none"/>
                      <w:lang w:val="en-US" w:eastAsia="zh-CN" w:bidi="ar"/>
                    </w:rPr>
                  </w:pPr>
                  <w:r>
                    <w:rPr>
                      <w:rFonts w:hint="eastAsia" w:eastAsia="宋体"/>
                      <w:color w:val="auto"/>
                      <w:kern w:val="0"/>
                      <w:szCs w:val="21"/>
                      <w:highlight w:val="none"/>
                      <w:lang w:val="en-US" w:eastAsia="zh-CN" w:bidi="ar"/>
                    </w:rPr>
                    <w:t>现厂</w:t>
                  </w:r>
                  <w:r>
                    <w:rPr>
                      <w:rFonts w:hint="eastAsia"/>
                      <w:color w:val="auto"/>
                      <w:kern w:val="0"/>
                      <w:szCs w:val="21"/>
                      <w:highlight w:val="none"/>
                      <w:lang w:val="en-US" w:eastAsia="zh-CN" w:bidi="ar"/>
                    </w:rPr>
                    <w:t>界</w:t>
                  </w:r>
                  <w:r>
                    <w:rPr>
                      <w:rFonts w:hint="eastAsia" w:eastAsia="宋体"/>
                      <w:color w:val="auto"/>
                      <w:kern w:val="0"/>
                      <w:szCs w:val="21"/>
                      <w:highlight w:val="none"/>
                      <w:lang w:val="en-US" w:eastAsia="zh-CN" w:bidi="ar"/>
                    </w:rPr>
                    <w:t>排放值</w:t>
                  </w:r>
                </w:p>
              </w:tc>
              <w:tc>
                <w:tcPr>
                  <w:tcW w:w="466" w:type="pct"/>
                  <w:vAlign w:val="center"/>
                </w:tcPr>
                <w:p w14:paraId="3ECF61A9">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51</w:t>
                  </w:r>
                </w:p>
              </w:tc>
              <w:tc>
                <w:tcPr>
                  <w:tcW w:w="511" w:type="pct"/>
                  <w:vAlign w:val="center"/>
                </w:tcPr>
                <w:p w14:paraId="38E8792F">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43</w:t>
                  </w:r>
                </w:p>
              </w:tc>
              <w:tc>
                <w:tcPr>
                  <w:tcW w:w="477" w:type="pct"/>
                  <w:vAlign w:val="center"/>
                </w:tcPr>
                <w:p w14:paraId="1E78753A">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52</w:t>
                  </w:r>
                </w:p>
              </w:tc>
              <w:tc>
                <w:tcPr>
                  <w:tcW w:w="456" w:type="pct"/>
                  <w:vAlign w:val="center"/>
                </w:tcPr>
                <w:p w14:paraId="39570B04">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44</w:t>
                  </w:r>
                </w:p>
              </w:tc>
              <w:tc>
                <w:tcPr>
                  <w:tcW w:w="544" w:type="pct"/>
                  <w:vAlign w:val="center"/>
                </w:tcPr>
                <w:p w14:paraId="211FC465">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52</w:t>
                  </w:r>
                </w:p>
              </w:tc>
              <w:tc>
                <w:tcPr>
                  <w:tcW w:w="533" w:type="pct"/>
                  <w:vAlign w:val="center"/>
                </w:tcPr>
                <w:p w14:paraId="665F320C">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42</w:t>
                  </w:r>
                </w:p>
              </w:tc>
              <w:tc>
                <w:tcPr>
                  <w:tcW w:w="460" w:type="pct"/>
                  <w:vAlign w:val="center"/>
                </w:tcPr>
                <w:p w14:paraId="6D364318">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53</w:t>
                  </w:r>
                </w:p>
              </w:tc>
              <w:tc>
                <w:tcPr>
                  <w:tcW w:w="556" w:type="pct"/>
                  <w:vAlign w:val="center"/>
                </w:tcPr>
                <w:p w14:paraId="425A7A9E">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43</w:t>
                  </w:r>
                </w:p>
              </w:tc>
            </w:tr>
            <w:tr w14:paraId="2E527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pct"/>
                </w:tcPr>
                <w:p w14:paraId="7B276C6F">
                  <w:pPr>
                    <w:widowControl/>
                    <w:jc w:val="center"/>
                    <w:textAlignment w:val="center"/>
                    <w:rPr>
                      <w:rFonts w:hint="default" w:eastAsia="宋体"/>
                      <w:color w:val="auto"/>
                      <w:kern w:val="0"/>
                      <w:szCs w:val="21"/>
                      <w:highlight w:val="none"/>
                      <w:lang w:val="en-US" w:eastAsia="zh-CN" w:bidi="ar"/>
                    </w:rPr>
                  </w:pPr>
                  <w:r>
                    <w:rPr>
                      <w:rFonts w:hint="eastAsia" w:eastAsia="宋体"/>
                      <w:color w:val="auto"/>
                      <w:kern w:val="0"/>
                      <w:szCs w:val="21"/>
                      <w:highlight w:val="none"/>
                      <w:lang w:val="en-US" w:eastAsia="zh-CN" w:bidi="ar"/>
                    </w:rPr>
                    <w:t>本项目贡献值</w:t>
                  </w:r>
                </w:p>
              </w:tc>
              <w:tc>
                <w:tcPr>
                  <w:tcW w:w="466" w:type="pct"/>
                  <w:vAlign w:val="center"/>
                </w:tcPr>
                <w:p w14:paraId="7F151401">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rPr>
                    <w:t>26.4</w:t>
                  </w:r>
                </w:p>
              </w:tc>
              <w:tc>
                <w:tcPr>
                  <w:tcW w:w="511" w:type="pct"/>
                  <w:vAlign w:val="center"/>
                </w:tcPr>
                <w:p w14:paraId="22FDC8BC">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rPr>
                    <w:t>26.4</w:t>
                  </w:r>
                </w:p>
              </w:tc>
              <w:tc>
                <w:tcPr>
                  <w:tcW w:w="477" w:type="pct"/>
                  <w:vAlign w:val="center"/>
                </w:tcPr>
                <w:p w14:paraId="7BDD23FF">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rPr>
                    <w:t>17.0</w:t>
                  </w:r>
                </w:p>
              </w:tc>
              <w:tc>
                <w:tcPr>
                  <w:tcW w:w="456" w:type="pct"/>
                  <w:vAlign w:val="center"/>
                </w:tcPr>
                <w:p w14:paraId="247FCE81">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rPr>
                    <w:t>17.0</w:t>
                  </w:r>
                </w:p>
              </w:tc>
              <w:tc>
                <w:tcPr>
                  <w:tcW w:w="544" w:type="pct"/>
                  <w:vAlign w:val="center"/>
                </w:tcPr>
                <w:p w14:paraId="2569B118">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rPr>
                    <w:t>9.0</w:t>
                  </w:r>
                </w:p>
              </w:tc>
              <w:tc>
                <w:tcPr>
                  <w:tcW w:w="533" w:type="pct"/>
                  <w:vAlign w:val="center"/>
                </w:tcPr>
                <w:p w14:paraId="32BDBFA0">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rPr>
                    <w:t>9.0</w:t>
                  </w:r>
                </w:p>
              </w:tc>
              <w:tc>
                <w:tcPr>
                  <w:tcW w:w="460" w:type="pct"/>
                  <w:vAlign w:val="center"/>
                </w:tcPr>
                <w:p w14:paraId="3F65AE0A">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rPr>
                    <w:t>38.4</w:t>
                  </w:r>
                </w:p>
              </w:tc>
              <w:tc>
                <w:tcPr>
                  <w:tcW w:w="556" w:type="pct"/>
                  <w:vAlign w:val="center"/>
                </w:tcPr>
                <w:p w14:paraId="4E7DB5AC">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rPr>
                    <w:t>38.4</w:t>
                  </w:r>
                </w:p>
              </w:tc>
            </w:tr>
            <w:tr w14:paraId="2A2C5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pct"/>
                </w:tcPr>
                <w:p w14:paraId="5645AE65">
                  <w:pPr>
                    <w:widowControl/>
                    <w:jc w:val="center"/>
                    <w:textAlignment w:val="center"/>
                    <w:rPr>
                      <w:rFonts w:hint="default" w:eastAsia="宋体"/>
                      <w:color w:val="auto"/>
                      <w:kern w:val="0"/>
                      <w:szCs w:val="21"/>
                      <w:highlight w:val="none"/>
                      <w:lang w:val="en-US" w:eastAsia="zh-CN" w:bidi="ar"/>
                    </w:rPr>
                  </w:pPr>
                  <w:r>
                    <w:rPr>
                      <w:rFonts w:hint="eastAsia" w:eastAsia="宋体"/>
                      <w:color w:val="auto"/>
                      <w:kern w:val="0"/>
                      <w:szCs w:val="21"/>
                      <w:highlight w:val="none"/>
                      <w:lang w:val="en-US" w:eastAsia="zh-CN" w:bidi="ar"/>
                    </w:rPr>
                    <w:t>综合贡献值</w:t>
                  </w:r>
                </w:p>
              </w:tc>
              <w:tc>
                <w:tcPr>
                  <w:tcW w:w="793" w:type="dxa"/>
                  <w:vAlign w:val="center"/>
                </w:tcPr>
                <w:p w14:paraId="01AAA241">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51.9</w:t>
                  </w:r>
                </w:p>
              </w:tc>
              <w:tc>
                <w:tcPr>
                  <w:tcW w:w="870" w:type="dxa"/>
                  <w:vAlign w:val="center"/>
                </w:tcPr>
                <w:p w14:paraId="49442EF8">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44.1</w:t>
                  </w:r>
                </w:p>
              </w:tc>
              <w:tc>
                <w:tcPr>
                  <w:tcW w:w="812" w:type="dxa"/>
                  <w:vAlign w:val="center"/>
                </w:tcPr>
                <w:p w14:paraId="67194787">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52.5</w:t>
                  </w:r>
                </w:p>
              </w:tc>
              <w:tc>
                <w:tcPr>
                  <w:tcW w:w="776" w:type="dxa"/>
                  <w:vAlign w:val="center"/>
                </w:tcPr>
                <w:p w14:paraId="56E76816">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44.7</w:t>
                  </w:r>
                </w:p>
              </w:tc>
              <w:tc>
                <w:tcPr>
                  <w:tcW w:w="926" w:type="dxa"/>
                  <w:vAlign w:val="center"/>
                </w:tcPr>
                <w:p w14:paraId="06E98EA9">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52.2</w:t>
                  </w:r>
                </w:p>
              </w:tc>
              <w:tc>
                <w:tcPr>
                  <w:tcW w:w="909" w:type="dxa"/>
                  <w:vAlign w:val="center"/>
                </w:tcPr>
                <w:p w14:paraId="749634F3">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42.3</w:t>
                  </w:r>
                </w:p>
              </w:tc>
              <w:tc>
                <w:tcPr>
                  <w:tcW w:w="783" w:type="dxa"/>
                  <w:vAlign w:val="center"/>
                </w:tcPr>
                <w:p w14:paraId="015B3411">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54.2</w:t>
                  </w:r>
                </w:p>
              </w:tc>
              <w:tc>
                <w:tcPr>
                  <w:tcW w:w="948" w:type="dxa"/>
                  <w:vAlign w:val="center"/>
                </w:tcPr>
                <w:p w14:paraId="4262705B">
                  <w:pPr>
                    <w:widowControl/>
                    <w:jc w:val="center"/>
                    <w:textAlignment w:val="center"/>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44.3</w:t>
                  </w:r>
                </w:p>
              </w:tc>
            </w:tr>
          </w:tbl>
          <w:p w14:paraId="5F40A5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bCs/>
                <w:color w:val="auto"/>
                <w:kern w:val="0"/>
                <w:sz w:val="24"/>
                <w:szCs w:val="24"/>
                <w:highlight w:val="none"/>
              </w:rPr>
            </w:pPr>
            <w:r>
              <w:rPr>
                <w:rFonts w:hint="eastAsia" w:eastAsia="宋体"/>
                <w:bCs/>
                <w:color w:val="auto"/>
                <w:kern w:val="0"/>
                <w:sz w:val="24"/>
                <w:szCs w:val="24"/>
                <w:highlight w:val="none"/>
                <w:lang w:val="en-US" w:eastAsia="zh-CN"/>
              </w:rPr>
              <w:t>预测结果表明，本项目建成后排风噪声经厂房隔声和基础减震后对厂界的影响值均较小，符合《工业企业厂界环境噪声排放标准》（</w:t>
            </w:r>
            <w:r>
              <w:rPr>
                <w:rFonts w:hint="default" w:eastAsia="宋体"/>
                <w:bCs/>
                <w:color w:val="auto"/>
                <w:kern w:val="0"/>
                <w:sz w:val="24"/>
                <w:szCs w:val="24"/>
                <w:highlight w:val="none"/>
                <w:lang w:val="en-US" w:eastAsia="zh-CN"/>
              </w:rPr>
              <w:t>GB12348-2008</w:t>
            </w:r>
            <w:r>
              <w:rPr>
                <w:rFonts w:hint="eastAsia" w:eastAsia="宋体"/>
                <w:bCs/>
                <w:color w:val="auto"/>
                <w:kern w:val="0"/>
                <w:sz w:val="24"/>
                <w:szCs w:val="24"/>
                <w:highlight w:val="none"/>
                <w:lang w:val="en-US" w:eastAsia="zh-CN"/>
              </w:rPr>
              <w:t>）</w:t>
            </w:r>
            <w:r>
              <w:rPr>
                <w:rFonts w:hint="default" w:eastAsia="宋体"/>
                <w:bCs/>
                <w:color w:val="auto"/>
                <w:kern w:val="0"/>
                <w:sz w:val="24"/>
                <w:szCs w:val="24"/>
                <w:highlight w:val="none"/>
                <w:lang w:val="en-US" w:eastAsia="zh-CN"/>
              </w:rPr>
              <w:t>3</w:t>
            </w:r>
            <w:r>
              <w:rPr>
                <w:rFonts w:hint="eastAsia" w:eastAsia="宋体"/>
                <w:bCs/>
                <w:color w:val="auto"/>
                <w:kern w:val="0"/>
                <w:sz w:val="24"/>
                <w:szCs w:val="24"/>
                <w:highlight w:val="none"/>
                <w:lang w:val="en-US" w:eastAsia="zh-CN"/>
              </w:rPr>
              <w:t>类标准，因此本项目噪声设备对厂界噪声的影响较小。</w:t>
            </w:r>
          </w:p>
          <w:p w14:paraId="77CD7137">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spacing w:val="-2"/>
                <w:sz w:val="24"/>
                <w:szCs w:val="24"/>
                <w:highlight w:val="none"/>
              </w:rPr>
            </w:pPr>
            <w:r>
              <w:rPr>
                <w:rFonts w:hint="eastAsia"/>
                <w:b/>
                <w:bCs/>
                <w:color w:val="auto"/>
                <w:sz w:val="24"/>
                <w:szCs w:val="24"/>
                <w:highlight w:val="none"/>
              </w:rPr>
              <w:t>3</w:t>
            </w:r>
            <w:r>
              <w:rPr>
                <w:rFonts w:hint="eastAsia"/>
                <w:b/>
                <w:bCs/>
                <w:color w:val="auto"/>
                <w:spacing w:val="-2"/>
                <w:sz w:val="24"/>
                <w:szCs w:val="24"/>
                <w:highlight w:val="none"/>
              </w:rPr>
              <w:t>、辐射环境影响分析</w:t>
            </w:r>
            <w:bookmarkEnd w:id="177"/>
            <w:bookmarkEnd w:id="178"/>
            <w:bookmarkEnd w:id="179"/>
          </w:p>
          <w:p w14:paraId="16C3BE9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74" w:firstLineChars="200"/>
              <w:textAlignment w:val="auto"/>
              <w:rPr>
                <w:b/>
                <w:bCs/>
                <w:color w:val="auto"/>
                <w:spacing w:val="-2"/>
                <w:sz w:val="24"/>
                <w:szCs w:val="24"/>
                <w:highlight w:val="none"/>
              </w:rPr>
            </w:pPr>
            <w:r>
              <w:rPr>
                <w:rFonts w:hint="eastAsia"/>
                <w:b/>
                <w:bCs/>
                <w:color w:val="auto"/>
                <w:spacing w:val="-2"/>
                <w:sz w:val="24"/>
                <w:szCs w:val="24"/>
                <w:highlight w:val="none"/>
              </w:rPr>
              <w:t>3.1</w:t>
            </w:r>
            <w:r>
              <w:rPr>
                <w:rFonts w:hint="eastAsia"/>
                <w:b/>
                <w:bCs/>
                <w:color w:val="auto"/>
                <w:spacing w:val="-2"/>
                <w:sz w:val="24"/>
                <w:szCs w:val="24"/>
                <w:highlight w:val="none"/>
                <w:lang w:eastAsia="zh-CN"/>
              </w:rPr>
              <w:t>、</w:t>
            </w:r>
            <w:r>
              <w:rPr>
                <w:rFonts w:hint="eastAsia"/>
                <w:b/>
                <w:bCs/>
                <w:color w:val="auto"/>
                <w:spacing w:val="-2"/>
                <w:sz w:val="24"/>
                <w:szCs w:val="24"/>
                <w:highlight w:val="none"/>
              </w:rPr>
              <w:t>X射线探伤机技术参数</w:t>
            </w:r>
          </w:p>
          <w:p w14:paraId="67E121A6">
            <w:pPr>
              <w:snapToGrid w:val="0"/>
              <w:ind w:firstLine="422" w:firstLineChars="200"/>
              <w:jc w:val="center"/>
              <w:rPr>
                <w:b/>
                <w:color w:val="auto"/>
                <w:szCs w:val="21"/>
                <w:highlight w:val="none"/>
              </w:rPr>
            </w:pPr>
            <w:r>
              <w:rPr>
                <w:rFonts w:hint="eastAsia"/>
                <w:b/>
                <w:color w:val="auto"/>
                <w:szCs w:val="21"/>
                <w:highlight w:val="none"/>
              </w:rPr>
              <w:t>表11-</w:t>
            </w:r>
            <w:r>
              <w:rPr>
                <w:rFonts w:hint="eastAsia"/>
                <w:b/>
                <w:color w:val="auto"/>
                <w:szCs w:val="21"/>
                <w:highlight w:val="none"/>
                <w:lang w:val="en-US" w:eastAsia="zh-CN"/>
              </w:rPr>
              <w:t>5</w:t>
            </w:r>
            <w:r>
              <w:rPr>
                <w:rFonts w:hint="eastAsia"/>
                <w:b/>
                <w:color w:val="auto"/>
                <w:szCs w:val="21"/>
                <w:highlight w:val="none"/>
              </w:rPr>
              <w:t xml:space="preserve">  X射线探伤机的主要技术参数</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62"/>
              <w:gridCol w:w="1345"/>
              <w:gridCol w:w="1327"/>
              <w:gridCol w:w="630"/>
              <w:gridCol w:w="810"/>
              <w:gridCol w:w="810"/>
              <w:gridCol w:w="810"/>
              <w:gridCol w:w="989"/>
              <w:gridCol w:w="1452"/>
            </w:tblGrid>
            <w:tr w14:paraId="4C745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5" w:type="pct"/>
                  <w:vAlign w:val="center"/>
                </w:tcPr>
                <w:p w14:paraId="02788FEC">
                  <w:pPr>
                    <w:overflowPunct w:val="0"/>
                    <w:snapToGrid w:val="0"/>
                    <w:jc w:val="center"/>
                    <w:rPr>
                      <w:b/>
                      <w:bCs/>
                      <w:color w:val="auto"/>
                      <w:szCs w:val="21"/>
                      <w:highlight w:val="none"/>
                      <w:lang w:val="en-GB"/>
                    </w:rPr>
                  </w:pPr>
                  <w:r>
                    <w:rPr>
                      <w:b/>
                      <w:bCs/>
                      <w:color w:val="auto"/>
                      <w:szCs w:val="21"/>
                      <w:highlight w:val="none"/>
                      <w:lang w:val="en-GB"/>
                    </w:rPr>
                    <w:t>序号</w:t>
                  </w:r>
                </w:p>
              </w:tc>
              <w:tc>
                <w:tcPr>
                  <w:tcW w:w="797" w:type="pct"/>
                  <w:vAlign w:val="center"/>
                </w:tcPr>
                <w:p w14:paraId="48B604F5">
                  <w:pPr>
                    <w:widowControl/>
                    <w:overflowPunct w:val="0"/>
                    <w:snapToGrid w:val="0"/>
                    <w:jc w:val="center"/>
                    <w:rPr>
                      <w:b/>
                      <w:bCs/>
                      <w:color w:val="auto"/>
                      <w:kern w:val="0"/>
                      <w:szCs w:val="21"/>
                      <w:highlight w:val="none"/>
                    </w:rPr>
                  </w:pPr>
                  <w:r>
                    <w:rPr>
                      <w:b/>
                      <w:bCs/>
                      <w:color w:val="auto"/>
                      <w:kern w:val="0"/>
                      <w:szCs w:val="21"/>
                      <w:highlight w:val="none"/>
                    </w:rPr>
                    <w:t>射线装置名称</w:t>
                  </w:r>
                </w:p>
              </w:tc>
              <w:tc>
                <w:tcPr>
                  <w:tcW w:w="786" w:type="pct"/>
                  <w:vAlign w:val="center"/>
                </w:tcPr>
                <w:p w14:paraId="7AD9990C">
                  <w:pPr>
                    <w:widowControl/>
                    <w:overflowPunct w:val="0"/>
                    <w:snapToGrid w:val="0"/>
                    <w:jc w:val="center"/>
                    <w:rPr>
                      <w:b/>
                      <w:bCs/>
                      <w:color w:val="auto"/>
                      <w:kern w:val="0"/>
                      <w:szCs w:val="21"/>
                      <w:highlight w:val="none"/>
                    </w:rPr>
                  </w:pPr>
                  <w:r>
                    <w:rPr>
                      <w:rFonts w:hint="eastAsia"/>
                      <w:b/>
                      <w:bCs/>
                      <w:color w:val="auto"/>
                      <w:kern w:val="0"/>
                      <w:szCs w:val="21"/>
                      <w:highlight w:val="none"/>
                    </w:rPr>
                    <w:t>射线装置型号</w:t>
                  </w:r>
                </w:p>
              </w:tc>
              <w:tc>
                <w:tcPr>
                  <w:tcW w:w="373" w:type="pct"/>
                  <w:vAlign w:val="center"/>
                </w:tcPr>
                <w:p w14:paraId="57CF891F">
                  <w:pPr>
                    <w:widowControl/>
                    <w:overflowPunct w:val="0"/>
                    <w:snapToGrid w:val="0"/>
                    <w:jc w:val="center"/>
                    <w:rPr>
                      <w:b/>
                      <w:bCs/>
                      <w:color w:val="auto"/>
                      <w:kern w:val="0"/>
                      <w:szCs w:val="21"/>
                      <w:highlight w:val="none"/>
                    </w:rPr>
                  </w:pPr>
                  <w:r>
                    <w:rPr>
                      <w:rFonts w:hint="eastAsia"/>
                      <w:b/>
                      <w:bCs/>
                      <w:color w:val="auto"/>
                      <w:kern w:val="0"/>
                      <w:szCs w:val="21"/>
                      <w:highlight w:val="none"/>
                    </w:rPr>
                    <w:t>类型</w:t>
                  </w:r>
                </w:p>
              </w:tc>
              <w:tc>
                <w:tcPr>
                  <w:tcW w:w="480" w:type="pct"/>
                  <w:vAlign w:val="center"/>
                </w:tcPr>
                <w:p w14:paraId="050F2FA7">
                  <w:pPr>
                    <w:overflowPunct w:val="0"/>
                    <w:snapToGrid w:val="0"/>
                    <w:jc w:val="center"/>
                    <w:rPr>
                      <w:b/>
                      <w:bCs/>
                      <w:color w:val="auto"/>
                      <w:szCs w:val="21"/>
                      <w:highlight w:val="none"/>
                      <w:lang w:val="en-GB"/>
                    </w:rPr>
                  </w:pPr>
                  <w:r>
                    <w:rPr>
                      <w:b/>
                      <w:bCs/>
                      <w:color w:val="auto"/>
                      <w:szCs w:val="21"/>
                      <w:highlight w:val="none"/>
                      <w:lang w:val="en-GB"/>
                    </w:rPr>
                    <w:t>管电压kV</w:t>
                  </w:r>
                </w:p>
              </w:tc>
              <w:tc>
                <w:tcPr>
                  <w:tcW w:w="480" w:type="pct"/>
                  <w:vAlign w:val="center"/>
                </w:tcPr>
                <w:p w14:paraId="1062D80C">
                  <w:pPr>
                    <w:overflowPunct w:val="0"/>
                    <w:snapToGrid w:val="0"/>
                    <w:jc w:val="center"/>
                    <w:rPr>
                      <w:b/>
                      <w:bCs/>
                      <w:color w:val="auto"/>
                      <w:szCs w:val="21"/>
                      <w:highlight w:val="none"/>
                      <w:lang w:val="en-GB"/>
                    </w:rPr>
                  </w:pPr>
                  <w:r>
                    <w:rPr>
                      <w:b/>
                      <w:bCs/>
                      <w:color w:val="auto"/>
                      <w:szCs w:val="21"/>
                      <w:highlight w:val="none"/>
                      <w:lang w:val="en-GB"/>
                    </w:rPr>
                    <w:t>管电流mA</w:t>
                  </w:r>
                </w:p>
              </w:tc>
              <w:tc>
                <w:tcPr>
                  <w:tcW w:w="480" w:type="pct"/>
                  <w:vAlign w:val="center"/>
                </w:tcPr>
                <w:p w14:paraId="388C8C90">
                  <w:pPr>
                    <w:overflowPunct w:val="0"/>
                    <w:snapToGrid w:val="0"/>
                    <w:jc w:val="center"/>
                    <w:rPr>
                      <w:b/>
                      <w:bCs/>
                      <w:color w:val="auto"/>
                      <w:szCs w:val="21"/>
                      <w:highlight w:val="none"/>
                      <w:lang w:val="en-GB"/>
                    </w:rPr>
                  </w:pPr>
                  <w:r>
                    <w:rPr>
                      <w:b/>
                      <w:bCs/>
                      <w:color w:val="auto"/>
                      <w:szCs w:val="21"/>
                      <w:highlight w:val="none"/>
                      <w:lang w:val="en-GB"/>
                    </w:rPr>
                    <w:t>射线装置类别</w:t>
                  </w:r>
                </w:p>
              </w:tc>
              <w:tc>
                <w:tcPr>
                  <w:tcW w:w="586" w:type="pct"/>
                  <w:vAlign w:val="center"/>
                </w:tcPr>
                <w:p w14:paraId="6B582C33">
                  <w:pPr>
                    <w:overflowPunct w:val="0"/>
                    <w:snapToGrid w:val="0"/>
                    <w:jc w:val="center"/>
                    <w:rPr>
                      <w:b/>
                      <w:bCs/>
                      <w:color w:val="auto"/>
                      <w:szCs w:val="21"/>
                      <w:highlight w:val="none"/>
                      <w:lang w:val="en-GB"/>
                    </w:rPr>
                  </w:pPr>
                  <w:r>
                    <w:rPr>
                      <w:b/>
                      <w:bCs/>
                      <w:color w:val="auto"/>
                      <w:szCs w:val="21"/>
                      <w:highlight w:val="none"/>
                      <w:lang w:val="en-GB"/>
                    </w:rPr>
                    <w:t>工作场所</w:t>
                  </w:r>
                </w:p>
                <w:p w14:paraId="52083AA7">
                  <w:pPr>
                    <w:overflowPunct w:val="0"/>
                    <w:snapToGrid w:val="0"/>
                    <w:jc w:val="center"/>
                    <w:rPr>
                      <w:b/>
                      <w:bCs/>
                      <w:color w:val="auto"/>
                      <w:szCs w:val="21"/>
                      <w:highlight w:val="none"/>
                      <w:lang w:val="en-GB"/>
                    </w:rPr>
                  </w:pPr>
                  <w:r>
                    <w:rPr>
                      <w:b/>
                      <w:bCs/>
                      <w:color w:val="auto"/>
                      <w:szCs w:val="21"/>
                      <w:highlight w:val="none"/>
                      <w:lang w:val="en-GB"/>
                    </w:rPr>
                    <w:t>名称</w:t>
                  </w:r>
                </w:p>
              </w:tc>
              <w:tc>
                <w:tcPr>
                  <w:tcW w:w="860" w:type="pct"/>
                  <w:vAlign w:val="center"/>
                </w:tcPr>
                <w:p w14:paraId="42CCD178">
                  <w:pPr>
                    <w:widowControl/>
                    <w:overflowPunct w:val="0"/>
                    <w:snapToGrid w:val="0"/>
                    <w:jc w:val="center"/>
                    <w:rPr>
                      <w:b/>
                      <w:bCs/>
                      <w:color w:val="auto"/>
                      <w:szCs w:val="21"/>
                      <w:highlight w:val="none"/>
                    </w:rPr>
                  </w:pPr>
                  <w:r>
                    <w:rPr>
                      <w:rFonts w:hint="eastAsia"/>
                      <w:b/>
                      <w:bCs/>
                      <w:color w:val="auto"/>
                      <w:szCs w:val="21"/>
                      <w:highlight w:val="none"/>
                    </w:rPr>
                    <w:t>有用线束朝向</w:t>
                  </w:r>
                </w:p>
              </w:tc>
            </w:tr>
            <w:tr w14:paraId="630AD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5" w:type="pct"/>
                  <w:vAlign w:val="center"/>
                </w:tcPr>
                <w:p w14:paraId="716A884B">
                  <w:pPr>
                    <w:overflowPunct w:val="0"/>
                    <w:snapToGrid w:val="0"/>
                    <w:jc w:val="center"/>
                    <w:rPr>
                      <w:color w:val="auto"/>
                      <w:szCs w:val="21"/>
                      <w:highlight w:val="none"/>
                    </w:rPr>
                  </w:pPr>
                  <w:r>
                    <w:rPr>
                      <w:color w:val="auto"/>
                      <w:szCs w:val="21"/>
                      <w:highlight w:val="none"/>
                    </w:rPr>
                    <w:t>1</w:t>
                  </w:r>
                </w:p>
              </w:tc>
              <w:tc>
                <w:tcPr>
                  <w:tcW w:w="797" w:type="pct"/>
                  <w:vAlign w:val="center"/>
                </w:tcPr>
                <w:p w14:paraId="3A59CC8E">
                  <w:pPr>
                    <w:overflowPunct w:val="0"/>
                    <w:snapToGrid w:val="0"/>
                    <w:jc w:val="center"/>
                    <w:rPr>
                      <w:color w:val="auto"/>
                      <w:szCs w:val="21"/>
                      <w:highlight w:val="none"/>
                    </w:rPr>
                  </w:pPr>
                  <w:r>
                    <w:rPr>
                      <w:rFonts w:hint="eastAsia"/>
                      <w:color w:val="auto"/>
                      <w:szCs w:val="21"/>
                      <w:highlight w:val="none"/>
                    </w:rPr>
                    <w:t>X</w:t>
                  </w:r>
                  <w:r>
                    <w:rPr>
                      <w:color w:val="auto"/>
                      <w:szCs w:val="21"/>
                      <w:highlight w:val="none"/>
                    </w:rPr>
                    <w:t>射线</w:t>
                  </w:r>
                  <w:r>
                    <w:rPr>
                      <w:rFonts w:hint="eastAsia"/>
                      <w:color w:val="auto"/>
                      <w:szCs w:val="21"/>
                      <w:highlight w:val="none"/>
                    </w:rPr>
                    <w:t>探伤机</w:t>
                  </w:r>
                </w:p>
              </w:tc>
              <w:tc>
                <w:tcPr>
                  <w:tcW w:w="786" w:type="pct"/>
                  <w:vAlign w:val="center"/>
                </w:tcPr>
                <w:p w14:paraId="58F6C597">
                  <w:pPr>
                    <w:overflowPunct w:val="0"/>
                    <w:snapToGrid w:val="0"/>
                    <w:jc w:val="center"/>
                    <w:rPr>
                      <w:rFonts w:hint="eastAsia" w:eastAsia="宋体"/>
                      <w:color w:val="auto"/>
                      <w:szCs w:val="21"/>
                      <w:highlight w:val="none"/>
                      <w:lang w:val="en-US" w:eastAsia="zh-CN"/>
                    </w:rPr>
                  </w:pPr>
                  <w:r>
                    <w:rPr>
                      <w:rFonts w:hint="eastAsia"/>
                      <w:color w:val="auto"/>
                      <w:szCs w:val="21"/>
                      <w:highlight w:val="none"/>
                    </w:rPr>
                    <w:t>XXG-250</w:t>
                  </w:r>
                  <w:r>
                    <w:rPr>
                      <w:rFonts w:hint="eastAsia"/>
                      <w:color w:val="auto"/>
                      <w:szCs w:val="21"/>
                      <w:highlight w:val="none"/>
                      <w:lang w:val="en-US" w:eastAsia="zh-CN"/>
                    </w:rPr>
                    <w:t>5</w:t>
                  </w:r>
                </w:p>
              </w:tc>
              <w:tc>
                <w:tcPr>
                  <w:tcW w:w="373" w:type="pct"/>
                  <w:vAlign w:val="center"/>
                </w:tcPr>
                <w:p w14:paraId="6A8B6907">
                  <w:pPr>
                    <w:overflowPunct w:val="0"/>
                    <w:snapToGrid w:val="0"/>
                    <w:jc w:val="center"/>
                    <w:rPr>
                      <w:color w:val="auto"/>
                      <w:szCs w:val="21"/>
                      <w:highlight w:val="none"/>
                      <w:lang w:val="en-GB"/>
                    </w:rPr>
                  </w:pPr>
                  <w:r>
                    <w:rPr>
                      <w:rFonts w:hint="eastAsia"/>
                      <w:color w:val="auto"/>
                      <w:szCs w:val="21"/>
                      <w:highlight w:val="none"/>
                    </w:rPr>
                    <w:t>定向机</w:t>
                  </w:r>
                </w:p>
              </w:tc>
              <w:tc>
                <w:tcPr>
                  <w:tcW w:w="480" w:type="pct"/>
                  <w:vAlign w:val="center"/>
                </w:tcPr>
                <w:p w14:paraId="63F8DF09">
                  <w:pPr>
                    <w:overflowPunct w:val="0"/>
                    <w:snapToGrid w:val="0"/>
                    <w:jc w:val="center"/>
                    <w:rPr>
                      <w:color w:val="auto"/>
                      <w:szCs w:val="21"/>
                      <w:highlight w:val="none"/>
                    </w:rPr>
                  </w:pPr>
                  <w:r>
                    <w:rPr>
                      <w:rFonts w:hint="eastAsia"/>
                      <w:color w:val="auto"/>
                      <w:szCs w:val="21"/>
                      <w:highlight w:val="none"/>
                    </w:rPr>
                    <w:t>250</w:t>
                  </w:r>
                </w:p>
              </w:tc>
              <w:tc>
                <w:tcPr>
                  <w:tcW w:w="480" w:type="pct"/>
                  <w:vAlign w:val="center"/>
                </w:tcPr>
                <w:p w14:paraId="5F67F6EE">
                  <w:pPr>
                    <w:overflowPunct w:val="0"/>
                    <w:snapToGrid w:val="0"/>
                    <w:jc w:val="center"/>
                    <w:rPr>
                      <w:color w:val="auto"/>
                      <w:szCs w:val="21"/>
                      <w:highlight w:val="none"/>
                      <w:lang w:val="en-GB"/>
                    </w:rPr>
                  </w:pPr>
                  <w:r>
                    <w:rPr>
                      <w:rFonts w:hint="eastAsia"/>
                      <w:color w:val="auto"/>
                      <w:szCs w:val="21"/>
                      <w:highlight w:val="none"/>
                      <w:lang w:val="en-GB"/>
                    </w:rPr>
                    <w:t>5</w:t>
                  </w:r>
                </w:p>
              </w:tc>
              <w:tc>
                <w:tcPr>
                  <w:tcW w:w="480" w:type="pct"/>
                  <w:vAlign w:val="center"/>
                </w:tcPr>
                <w:p w14:paraId="24FA71E5">
                  <w:pPr>
                    <w:overflowPunct w:val="0"/>
                    <w:snapToGrid w:val="0"/>
                    <w:jc w:val="center"/>
                    <w:rPr>
                      <w:color w:val="auto"/>
                      <w:szCs w:val="21"/>
                      <w:highlight w:val="none"/>
                      <w:lang w:val="en-GB"/>
                    </w:rPr>
                  </w:pPr>
                  <w:r>
                    <w:rPr>
                      <w:color w:val="auto"/>
                      <w:szCs w:val="21"/>
                      <w:highlight w:val="none"/>
                      <w:lang w:val="en-GB"/>
                    </w:rPr>
                    <w:t>II</w:t>
                  </w:r>
                </w:p>
              </w:tc>
              <w:tc>
                <w:tcPr>
                  <w:tcW w:w="586" w:type="pct"/>
                  <w:vAlign w:val="center"/>
                </w:tcPr>
                <w:p w14:paraId="4B3312D7">
                  <w:pPr>
                    <w:overflowPunct w:val="0"/>
                    <w:snapToGrid w:val="0"/>
                    <w:jc w:val="center"/>
                    <w:rPr>
                      <w:color w:val="auto"/>
                      <w:szCs w:val="21"/>
                      <w:highlight w:val="none"/>
                      <w:lang w:val="en-GB"/>
                    </w:rPr>
                  </w:pPr>
                  <w:r>
                    <w:rPr>
                      <w:rFonts w:hint="eastAsia"/>
                      <w:color w:val="auto"/>
                      <w:szCs w:val="21"/>
                      <w:highlight w:val="none"/>
                    </w:rPr>
                    <w:t>探伤房</w:t>
                  </w:r>
                </w:p>
              </w:tc>
              <w:tc>
                <w:tcPr>
                  <w:tcW w:w="860" w:type="pct"/>
                  <w:vAlign w:val="center"/>
                </w:tcPr>
                <w:p w14:paraId="3A38EAF3">
                  <w:pPr>
                    <w:overflowPunct w:val="0"/>
                    <w:snapToGrid w:val="0"/>
                    <w:jc w:val="center"/>
                    <w:rPr>
                      <w:rFonts w:hint="eastAsia" w:eastAsia="宋体"/>
                      <w:color w:val="auto"/>
                      <w:szCs w:val="21"/>
                      <w:highlight w:val="none"/>
                      <w:lang w:eastAsia="zh-CN"/>
                    </w:rPr>
                  </w:pPr>
                  <w:r>
                    <w:rPr>
                      <w:rFonts w:hint="eastAsia"/>
                      <w:color w:val="auto"/>
                      <w:szCs w:val="21"/>
                      <w:highlight w:val="none"/>
                      <w:lang w:val="en-US" w:eastAsia="zh-CN"/>
                    </w:rPr>
                    <w:t>西</w:t>
                  </w:r>
                </w:p>
              </w:tc>
            </w:tr>
          </w:tbl>
          <w:p w14:paraId="4B1C3827">
            <w:pPr>
              <w:spacing w:line="360" w:lineRule="auto"/>
              <w:rPr>
                <w:rFonts w:hint="eastAsia"/>
                <w:b/>
                <w:bCs/>
                <w:color w:val="auto"/>
                <w:spacing w:val="-2"/>
                <w:sz w:val="24"/>
                <w:szCs w:val="24"/>
                <w:highlight w:val="none"/>
              </w:rPr>
            </w:pPr>
          </w:p>
          <w:p w14:paraId="78E83CBF">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74" w:firstLineChars="200"/>
              <w:textAlignment w:val="auto"/>
              <w:rPr>
                <w:b/>
                <w:bCs/>
                <w:color w:val="auto"/>
                <w:spacing w:val="-2"/>
                <w:sz w:val="24"/>
                <w:szCs w:val="24"/>
                <w:highlight w:val="none"/>
              </w:rPr>
            </w:pPr>
            <w:r>
              <w:rPr>
                <w:rFonts w:hint="eastAsia"/>
                <w:b/>
                <w:bCs/>
                <w:color w:val="auto"/>
                <w:spacing w:val="-2"/>
                <w:sz w:val="24"/>
                <w:szCs w:val="24"/>
                <w:highlight w:val="none"/>
              </w:rPr>
              <w:t>3.2</w:t>
            </w:r>
            <w:r>
              <w:rPr>
                <w:rFonts w:hint="eastAsia"/>
                <w:b/>
                <w:bCs/>
                <w:color w:val="auto"/>
                <w:spacing w:val="-2"/>
                <w:sz w:val="24"/>
                <w:szCs w:val="24"/>
                <w:highlight w:val="none"/>
                <w:lang w:eastAsia="zh-CN"/>
              </w:rPr>
              <w:t>、</w:t>
            </w:r>
            <w:r>
              <w:rPr>
                <w:rFonts w:hint="eastAsia"/>
                <w:b/>
                <w:bCs/>
                <w:color w:val="auto"/>
                <w:spacing w:val="-2"/>
                <w:sz w:val="24"/>
                <w:szCs w:val="24"/>
                <w:highlight w:val="none"/>
              </w:rPr>
              <w:t>探伤房屏蔽设计参数</w:t>
            </w:r>
          </w:p>
          <w:p w14:paraId="56257640">
            <w:pPr>
              <w:spacing w:line="360" w:lineRule="auto"/>
              <w:ind w:firstLine="472" w:firstLineChars="200"/>
              <w:rPr>
                <w:color w:val="auto"/>
                <w:spacing w:val="-2"/>
                <w:sz w:val="24"/>
                <w:szCs w:val="24"/>
                <w:highlight w:val="none"/>
              </w:rPr>
            </w:pPr>
            <w:r>
              <w:rPr>
                <w:rFonts w:hint="eastAsia"/>
                <w:color w:val="auto"/>
                <w:spacing w:val="-2"/>
                <w:sz w:val="24"/>
                <w:szCs w:val="24"/>
                <w:highlight w:val="none"/>
              </w:rPr>
              <w:t>本项目探伤房屏蔽设计参数见表10-2，东、西、南、北侧墙体采用</w:t>
            </w:r>
            <w:r>
              <w:rPr>
                <w:rFonts w:hint="eastAsia"/>
                <w:color w:val="auto"/>
                <w:spacing w:val="-2"/>
                <w:sz w:val="24"/>
                <w:szCs w:val="24"/>
                <w:highlight w:val="none"/>
                <w:lang w:val="en-US" w:eastAsia="zh-CN"/>
              </w:rPr>
              <w:t>5mm钢板＋195</w:t>
            </w:r>
            <w:r>
              <w:rPr>
                <w:rFonts w:hint="eastAsia"/>
                <w:color w:val="auto"/>
                <w:spacing w:val="-2"/>
                <w:sz w:val="24"/>
                <w:szCs w:val="24"/>
                <w:highlight w:val="none"/>
              </w:rPr>
              <w:t>mm</w:t>
            </w:r>
            <w:r>
              <w:rPr>
                <w:rFonts w:hint="eastAsia"/>
                <w:color w:val="auto"/>
                <w:spacing w:val="-2"/>
                <w:sz w:val="24"/>
                <w:szCs w:val="24"/>
                <w:highlight w:val="none"/>
                <w:lang w:val="en-US" w:eastAsia="zh-CN"/>
              </w:rPr>
              <w:t>重晶石</w:t>
            </w:r>
            <w:r>
              <w:rPr>
                <w:rFonts w:hint="eastAsia"/>
                <w:color w:val="auto"/>
                <w:spacing w:val="-2"/>
                <w:sz w:val="24"/>
                <w:szCs w:val="24"/>
                <w:highlight w:val="none"/>
              </w:rPr>
              <w:t>混凝土</w:t>
            </w:r>
            <w:r>
              <w:rPr>
                <w:rFonts w:hint="eastAsia"/>
                <w:color w:val="auto"/>
                <w:spacing w:val="-2"/>
                <w:sz w:val="24"/>
                <w:szCs w:val="24"/>
                <w:highlight w:val="none"/>
                <w:lang w:val="en-US" w:eastAsia="zh-CN"/>
              </w:rPr>
              <w:t>＋5mm铅板＋5mm钢板的屏蔽设计</w:t>
            </w:r>
            <w:r>
              <w:rPr>
                <w:rFonts w:hint="eastAsia"/>
                <w:color w:val="auto"/>
                <w:spacing w:val="-2"/>
                <w:sz w:val="24"/>
                <w:szCs w:val="24"/>
                <w:highlight w:val="none"/>
                <w:lang w:eastAsia="zh-CN"/>
              </w:rPr>
              <w:t>；</w:t>
            </w:r>
            <w:r>
              <w:rPr>
                <w:rFonts w:hint="eastAsia"/>
                <w:color w:val="auto"/>
                <w:spacing w:val="-2"/>
                <w:sz w:val="24"/>
                <w:szCs w:val="24"/>
                <w:highlight w:val="none"/>
              </w:rPr>
              <w:t>顶部墙体采用</w:t>
            </w:r>
            <w:r>
              <w:rPr>
                <w:rFonts w:hint="eastAsia"/>
                <w:color w:val="auto"/>
                <w:spacing w:val="-2"/>
                <w:sz w:val="24"/>
                <w:szCs w:val="24"/>
                <w:highlight w:val="none"/>
                <w:lang w:val="en-US" w:eastAsia="zh-CN"/>
              </w:rPr>
              <w:t>5mm钢板＋25</w:t>
            </w:r>
            <w:r>
              <w:rPr>
                <w:rFonts w:hint="eastAsia"/>
                <w:color w:val="auto"/>
                <w:spacing w:val="-2"/>
                <w:sz w:val="24"/>
                <w:szCs w:val="24"/>
                <w:highlight w:val="none"/>
              </w:rPr>
              <w:t>0mm</w:t>
            </w:r>
            <w:r>
              <w:rPr>
                <w:rFonts w:hint="eastAsia"/>
                <w:color w:val="auto"/>
                <w:spacing w:val="-2"/>
                <w:sz w:val="24"/>
                <w:szCs w:val="24"/>
                <w:highlight w:val="none"/>
                <w:lang w:val="en-US" w:eastAsia="zh-CN"/>
              </w:rPr>
              <w:t>重晶石</w:t>
            </w:r>
            <w:r>
              <w:rPr>
                <w:rFonts w:hint="eastAsia"/>
                <w:color w:val="auto"/>
                <w:spacing w:val="-2"/>
                <w:sz w:val="24"/>
                <w:szCs w:val="24"/>
                <w:highlight w:val="none"/>
              </w:rPr>
              <w:t>混凝土</w:t>
            </w:r>
            <w:r>
              <w:rPr>
                <w:rFonts w:hint="eastAsia"/>
                <w:color w:val="auto"/>
                <w:spacing w:val="-2"/>
                <w:sz w:val="24"/>
                <w:szCs w:val="24"/>
                <w:highlight w:val="none"/>
                <w:lang w:val="en-US" w:eastAsia="zh-CN"/>
              </w:rPr>
              <w:t>的屏蔽设计</w:t>
            </w:r>
            <w:r>
              <w:rPr>
                <w:rFonts w:hint="eastAsia"/>
                <w:color w:val="auto"/>
                <w:spacing w:val="-2"/>
                <w:sz w:val="24"/>
                <w:szCs w:val="24"/>
                <w:highlight w:val="none"/>
                <w:lang w:eastAsia="zh-CN"/>
              </w:rPr>
              <w:t>；</w:t>
            </w:r>
            <w:r>
              <w:rPr>
                <w:rFonts w:hint="eastAsia"/>
                <w:color w:val="auto"/>
                <w:spacing w:val="-2"/>
                <w:sz w:val="24"/>
                <w:szCs w:val="24"/>
                <w:highlight w:val="none"/>
              </w:rPr>
              <w:t>防护门采用</w:t>
            </w:r>
            <w:r>
              <w:rPr>
                <w:rFonts w:hint="eastAsia"/>
                <w:color w:val="auto"/>
                <w:spacing w:val="-2"/>
                <w:sz w:val="24"/>
                <w:szCs w:val="24"/>
                <w:highlight w:val="none"/>
                <w:lang w:val="en-US" w:eastAsia="zh-CN"/>
              </w:rPr>
              <w:t>8mm钢板＋120</w:t>
            </w:r>
            <w:r>
              <w:rPr>
                <w:rFonts w:hint="eastAsia"/>
                <w:color w:val="auto"/>
                <w:spacing w:val="-2"/>
                <w:sz w:val="24"/>
                <w:szCs w:val="24"/>
                <w:highlight w:val="none"/>
              </w:rPr>
              <w:t>mm</w:t>
            </w:r>
            <w:r>
              <w:rPr>
                <w:rFonts w:hint="eastAsia"/>
                <w:color w:val="auto"/>
                <w:spacing w:val="-2"/>
                <w:sz w:val="24"/>
                <w:szCs w:val="24"/>
                <w:highlight w:val="none"/>
                <w:lang w:val="en-US" w:eastAsia="zh-CN"/>
              </w:rPr>
              <w:t>重晶石</w:t>
            </w:r>
            <w:r>
              <w:rPr>
                <w:rFonts w:hint="eastAsia"/>
                <w:color w:val="auto"/>
                <w:spacing w:val="-2"/>
                <w:sz w:val="24"/>
                <w:szCs w:val="24"/>
                <w:highlight w:val="none"/>
              </w:rPr>
              <w:t>混凝土</w:t>
            </w:r>
            <w:r>
              <w:rPr>
                <w:rFonts w:hint="eastAsia"/>
                <w:color w:val="auto"/>
                <w:spacing w:val="-2"/>
                <w:sz w:val="24"/>
                <w:szCs w:val="24"/>
                <w:highlight w:val="none"/>
                <w:lang w:val="en-US" w:eastAsia="zh-CN"/>
              </w:rPr>
              <w:t>＋5mm铅板＋8mm钢板</w:t>
            </w:r>
            <w:r>
              <w:rPr>
                <w:rFonts w:hint="eastAsia"/>
                <w:color w:val="auto"/>
                <w:spacing w:val="-2"/>
                <w:sz w:val="24"/>
                <w:szCs w:val="24"/>
                <w:highlight w:val="none"/>
              </w:rPr>
              <w:t>。本项目探伤房不设置迷路，机房内部尺寸为</w:t>
            </w:r>
            <w:r>
              <w:rPr>
                <w:rFonts w:hint="eastAsia"/>
                <w:color w:val="auto"/>
                <w:spacing w:val="-2"/>
                <w:sz w:val="24"/>
                <w:szCs w:val="24"/>
                <w:highlight w:val="none"/>
                <w:lang w:val="en-US" w:eastAsia="zh-CN"/>
              </w:rPr>
              <w:t>4</w:t>
            </w:r>
            <w:r>
              <w:rPr>
                <w:color w:val="auto"/>
                <w:spacing w:val="-2"/>
                <w:sz w:val="24"/>
                <w:szCs w:val="24"/>
                <w:highlight w:val="none"/>
              </w:rPr>
              <w:t>m（长）×</w:t>
            </w:r>
            <w:r>
              <w:rPr>
                <w:rFonts w:hint="eastAsia"/>
                <w:color w:val="auto"/>
                <w:spacing w:val="-2"/>
                <w:sz w:val="24"/>
                <w:szCs w:val="24"/>
                <w:highlight w:val="none"/>
                <w:lang w:val="en-US" w:eastAsia="zh-CN"/>
              </w:rPr>
              <w:t>2.6</w:t>
            </w:r>
            <w:r>
              <w:rPr>
                <w:color w:val="auto"/>
                <w:spacing w:val="-2"/>
                <w:sz w:val="24"/>
                <w:szCs w:val="24"/>
                <w:highlight w:val="none"/>
              </w:rPr>
              <w:t>m（宽）×</w:t>
            </w:r>
            <w:r>
              <w:rPr>
                <w:rFonts w:hint="eastAsia"/>
                <w:color w:val="auto"/>
                <w:spacing w:val="-2"/>
                <w:sz w:val="24"/>
                <w:szCs w:val="24"/>
                <w:highlight w:val="none"/>
                <w:lang w:val="en-US" w:eastAsia="zh-CN"/>
              </w:rPr>
              <w:t>2.5</w:t>
            </w:r>
            <w:r>
              <w:rPr>
                <w:color w:val="auto"/>
                <w:spacing w:val="-2"/>
                <w:sz w:val="24"/>
                <w:szCs w:val="24"/>
                <w:highlight w:val="none"/>
              </w:rPr>
              <w:t>m（高）</w:t>
            </w:r>
            <w:r>
              <w:rPr>
                <w:rFonts w:hint="eastAsia"/>
                <w:color w:val="auto"/>
                <w:spacing w:val="-2"/>
                <w:sz w:val="24"/>
                <w:szCs w:val="24"/>
                <w:highlight w:val="none"/>
              </w:rPr>
              <w:t>。</w:t>
            </w:r>
          </w:p>
          <w:p w14:paraId="43B5CDA9">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74" w:firstLineChars="200"/>
              <w:textAlignment w:val="auto"/>
              <w:rPr>
                <w:rFonts w:hint="eastAsia"/>
                <w:b/>
                <w:bCs/>
                <w:color w:val="auto"/>
                <w:spacing w:val="-2"/>
                <w:sz w:val="24"/>
                <w:szCs w:val="24"/>
                <w:highlight w:val="none"/>
                <w:lang w:val="zh-CN" w:eastAsia="zh-CN"/>
              </w:rPr>
            </w:pPr>
            <w:r>
              <w:rPr>
                <w:rFonts w:hint="eastAsia"/>
                <w:b/>
                <w:bCs/>
                <w:color w:val="auto"/>
                <w:spacing w:val="-2"/>
                <w:sz w:val="24"/>
                <w:szCs w:val="24"/>
                <w:highlight w:val="none"/>
                <w:lang w:eastAsia="zh-CN"/>
              </w:rPr>
              <w:t>3.3、X射线探伤房外辐射环境影响</w:t>
            </w:r>
          </w:p>
          <w:p w14:paraId="59C59C83">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74" w:firstLineChars="200"/>
              <w:textAlignment w:val="auto"/>
              <w:rPr>
                <w:rFonts w:hint="eastAsia"/>
                <w:b/>
                <w:bCs/>
                <w:color w:val="auto"/>
                <w:spacing w:val="-2"/>
                <w:sz w:val="24"/>
                <w:szCs w:val="24"/>
                <w:highlight w:val="none"/>
                <w:lang w:eastAsia="zh-CN"/>
              </w:rPr>
            </w:pPr>
            <w:r>
              <w:rPr>
                <w:rFonts w:hint="eastAsia"/>
                <w:b/>
                <w:bCs/>
                <w:color w:val="auto"/>
                <w:spacing w:val="-2"/>
                <w:sz w:val="24"/>
                <w:szCs w:val="24"/>
                <w:highlight w:val="none"/>
                <w:lang w:eastAsia="zh-CN"/>
              </w:rPr>
              <w:t>3.3.1关注点及控制剂量率</w:t>
            </w:r>
          </w:p>
          <w:p w14:paraId="595D602B">
            <w:pPr>
              <w:spacing w:line="360" w:lineRule="auto"/>
              <w:ind w:firstLine="482"/>
              <w:rPr>
                <w:color w:val="auto"/>
                <w:sz w:val="24"/>
                <w:szCs w:val="22"/>
                <w:highlight w:val="none"/>
              </w:rPr>
            </w:pPr>
            <w:r>
              <w:rPr>
                <w:rFonts w:hint="eastAsia"/>
                <w:color w:val="auto"/>
                <w:sz w:val="24"/>
                <w:szCs w:val="22"/>
                <w:highlight w:val="none"/>
              </w:rPr>
              <w:t>（1）关注点的选取</w:t>
            </w:r>
          </w:p>
          <w:p w14:paraId="30032124">
            <w:pPr>
              <w:spacing w:line="360" w:lineRule="auto"/>
              <w:ind w:firstLine="482"/>
              <w:rPr>
                <w:rFonts w:hint="eastAsia"/>
                <w:color w:val="auto"/>
                <w:sz w:val="24"/>
                <w:szCs w:val="22"/>
                <w:highlight w:val="none"/>
              </w:rPr>
            </w:pPr>
            <w:r>
              <w:rPr>
                <w:rFonts w:hint="eastAsia"/>
                <w:color w:val="auto"/>
                <w:sz w:val="24"/>
                <w:szCs w:val="22"/>
                <w:highlight w:val="none"/>
              </w:rPr>
              <w:t>预测参考点选取主要考虑以下</w:t>
            </w:r>
            <w:r>
              <w:rPr>
                <w:color w:val="auto"/>
                <w:sz w:val="24"/>
                <w:szCs w:val="22"/>
                <w:highlight w:val="none"/>
              </w:rPr>
              <w:t>2</w:t>
            </w:r>
            <w:r>
              <w:rPr>
                <w:rFonts w:hint="eastAsia"/>
                <w:color w:val="auto"/>
                <w:sz w:val="24"/>
                <w:szCs w:val="22"/>
                <w:highlight w:val="none"/>
              </w:rPr>
              <w:t>个方面：</w:t>
            </w:r>
          </w:p>
          <w:p w14:paraId="7CC88C83">
            <w:pPr>
              <w:spacing w:line="360" w:lineRule="auto"/>
              <w:ind w:firstLine="482"/>
              <w:rPr>
                <w:rFonts w:hint="eastAsia"/>
                <w:color w:val="auto"/>
                <w:sz w:val="24"/>
                <w:szCs w:val="22"/>
                <w:highlight w:val="none"/>
                <w:lang w:eastAsia="zh-CN"/>
              </w:rPr>
            </w:pPr>
            <w:r>
              <w:rPr>
                <w:color w:val="auto"/>
                <w:sz w:val="24"/>
                <w:szCs w:val="22"/>
                <w:highlight w:val="none"/>
              </w:rPr>
              <w:t>1</w:t>
            </w:r>
            <w:r>
              <w:rPr>
                <w:rFonts w:hint="eastAsia"/>
                <w:color w:val="auto"/>
                <w:sz w:val="24"/>
                <w:szCs w:val="22"/>
                <w:highlight w:val="none"/>
              </w:rPr>
              <w:t>、原则上探伤房墙体、屋顶、防护门外</w:t>
            </w:r>
            <w:r>
              <w:rPr>
                <w:color w:val="auto"/>
                <w:sz w:val="24"/>
                <w:szCs w:val="22"/>
                <w:highlight w:val="none"/>
              </w:rPr>
              <w:t>30cm</w:t>
            </w:r>
            <w:r>
              <w:rPr>
                <w:rFonts w:hint="eastAsia"/>
                <w:color w:val="auto"/>
                <w:sz w:val="24"/>
                <w:szCs w:val="22"/>
                <w:highlight w:val="none"/>
              </w:rPr>
              <w:t>处均布设预测参考点</w:t>
            </w:r>
            <w:r>
              <w:rPr>
                <w:rFonts w:hint="eastAsia"/>
                <w:color w:val="auto"/>
                <w:sz w:val="24"/>
                <w:szCs w:val="22"/>
                <w:highlight w:val="none"/>
                <w:lang w:eastAsia="zh-CN"/>
              </w:rPr>
              <w:t>。</w:t>
            </w:r>
          </w:p>
          <w:p w14:paraId="36B2FEB9">
            <w:pPr>
              <w:spacing w:line="360" w:lineRule="auto"/>
              <w:ind w:firstLine="482"/>
              <w:rPr>
                <w:color w:val="auto"/>
                <w:sz w:val="24"/>
                <w:szCs w:val="22"/>
                <w:highlight w:val="none"/>
              </w:rPr>
            </w:pPr>
            <w:r>
              <w:rPr>
                <w:color w:val="auto"/>
                <w:sz w:val="24"/>
                <w:szCs w:val="22"/>
                <w:highlight w:val="none"/>
              </w:rPr>
              <w:t>2</w:t>
            </w:r>
            <w:r>
              <w:rPr>
                <w:rFonts w:hint="eastAsia"/>
                <w:color w:val="auto"/>
                <w:sz w:val="24"/>
                <w:szCs w:val="22"/>
                <w:highlight w:val="none"/>
              </w:rPr>
              <w:t xml:space="preserve">、预测参考点到靶点取最近距离。 </w:t>
            </w:r>
          </w:p>
          <w:p w14:paraId="440F7C6A">
            <w:pPr>
              <w:spacing w:line="360" w:lineRule="auto"/>
              <w:ind w:firstLine="482"/>
              <w:rPr>
                <w:rFonts w:hint="eastAsia" w:eastAsia="宋体" w:cs="Times New Roman"/>
                <w:b/>
                <w:color w:val="auto"/>
                <w:kern w:val="2"/>
                <w:sz w:val="21"/>
                <w:szCs w:val="21"/>
                <w:highlight w:val="none"/>
              </w:rPr>
            </w:pPr>
            <w:r>
              <w:rPr>
                <w:rFonts w:hint="eastAsia"/>
                <w:color w:val="auto"/>
                <w:sz w:val="24"/>
                <w:szCs w:val="22"/>
                <w:highlight w:val="none"/>
              </w:rPr>
              <w:t>本次共选取</w:t>
            </w:r>
            <w:r>
              <w:rPr>
                <w:rFonts w:hint="eastAsia"/>
                <w:color w:val="auto"/>
                <w:sz w:val="24"/>
                <w:szCs w:val="22"/>
                <w:highlight w:val="none"/>
                <w:lang w:val="en-US" w:eastAsia="zh-CN"/>
              </w:rPr>
              <w:t>5</w:t>
            </w:r>
            <w:r>
              <w:rPr>
                <w:rFonts w:hint="eastAsia"/>
                <w:color w:val="auto"/>
                <w:sz w:val="24"/>
                <w:szCs w:val="22"/>
                <w:highlight w:val="none"/>
              </w:rPr>
              <w:t>个关注点，关注点信息如下表所示。</w:t>
            </w:r>
          </w:p>
          <w:p w14:paraId="6D151A89">
            <w:pPr>
              <w:pStyle w:val="96"/>
              <w:ind w:firstLine="422"/>
              <w:rPr>
                <w:rFonts w:eastAsia="宋体" w:cs="Times New Roman"/>
                <w:b/>
                <w:color w:val="auto"/>
                <w:kern w:val="2"/>
                <w:sz w:val="21"/>
                <w:szCs w:val="21"/>
                <w:highlight w:val="none"/>
              </w:rPr>
            </w:pPr>
            <w:r>
              <w:rPr>
                <w:rFonts w:hint="eastAsia" w:eastAsia="宋体" w:cs="Times New Roman"/>
                <w:b/>
                <w:color w:val="auto"/>
                <w:kern w:val="2"/>
                <w:sz w:val="21"/>
                <w:szCs w:val="21"/>
                <w:highlight w:val="none"/>
              </w:rPr>
              <w:t>表11-</w:t>
            </w:r>
            <w:r>
              <w:rPr>
                <w:rFonts w:hint="eastAsia" w:eastAsia="宋体" w:cs="Times New Roman"/>
                <w:b/>
                <w:color w:val="auto"/>
                <w:kern w:val="2"/>
                <w:sz w:val="21"/>
                <w:szCs w:val="21"/>
                <w:highlight w:val="none"/>
                <w:lang w:val="en-US" w:eastAsia="zh-CN"/>
              </w:rPr>
              <w:t>6</w:t>
            </w:r>
            <w:r>
              <w:rPr>
                <w:rFonts w:hint="eastAsia" w:eastAsia="宋体" w:cs="Times New Roman"/>
                <w:b/>
                <w:color w:val="auto"/>
                <w:kern w:val="2"/>
                <w:sz w:val="21"/>
                <w:szCs w:val="21"/>
                <w:highlight w:val="none"/>
              </w:rPr>
              <w:t xml:space="preserve"> 关注点信息一览表</w:t>
            </w:r>
          </w:p>
          <w:tbl>
            <w:tblPr>
              <w:tblStyle w:val="36"/>
              <w:tblW w:w="498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06"/>
              <w:gridCol w:w="4101"/>
              <w:gridCol w:w="3811"/>
            </w:tblGrid>
            <w:tr w14:paraId="1562055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07" w:hRule="atLeast"/>
                <w:jc w:val="center"/>
              </w:trPr>
              <w:tc>
                <w:tcPr>
                  <w:tcW w:w="509" w:type="dxa"/>
                  <w:vMerge w:val="restart"/>
                  <w:tcBorders>
                    <w:tl2br w:val="nil"/>
                    <w:tr2bl w:val="nil"/>
                  </w:tcBorders>
                  <w:vAlign w:val="center"/>
                </w:tcPr>
                <w:p w14:paraId="7A665307">
                  <w:pPr>
                    <w:pStyle w:val="97"/>
                    <w:spacing w:line="240" w:lineRule="auto"/>
                    <w:ind w:firstLine="0" w:firstLineChars="0"/>
                    <w:jc w:val="center"/>
                    <w:rPr>
                      <w:rFonts w:cs="Times New Roman"/>
                      <w:b/>
                      <w:bCs w:val="0"/>
                      <w:color w:val="auto"/>
                      <w:sz w:val="21"/>
                      <w:szCs w:val="21"/>
                      <w:highlight w:val="none"/>
                    </w:rPr>
                  </w:pPr>
                  <w:r>
                    <w:rPr>
                      <w:rFonts w:hint="eastAsia" w:cs="Times New Roman"/>
                      <w:b/>
                      <w:bCs w:val="0"/>
                      <w:color w:val="auto"/>
                      <w:sz w:val="21"/>
                      <w:szCs w:val="21"/>
                      <w:highlight w:val="none"/>
                    </w:rPr>
                    <w:t>编号</w:t>
                  </w:r>
                </w:p>
              </w:tc>
              <w:tc>
                <w:tcPr>
                  <w:tcW w:w="4140" w:type="dxa"/>
                  <w:vMerge w:val="restart"/>
                  <w:tcBorders>
                    <w:tl2br w:val="nil"/>
                    <w:tr2bl w:val="nil"/>
                  </w:tcBorders>
                  <w:vAlign w:val="center"/>
                </w:tcPr>
                <w:p w14:paraId="2E916C8F">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位置</w:t>
                  </w:r>
                </w:p>
              </w:tc>
              <w:tc>
                <w:tcPr>
                  <w:tcW w:w="3846" w:type="dxa"/>
                  <w:tcBorders>
                    <w:tl2br w:val="nil"/>
                    <w:tr2bl w:val="nil"/>
                  </w:tcBorders>
                  <w:vAlign w:val="center"/>
                </w:tcPr>
                <w:p w14:paraId="46947E03">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辐射源</w:t>
                  </w:r>
                </w:p>
              </w:tc>
            </w:tr>
            <w:tr w14:paraId="252B0BE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9" w:type="dxa"/>
                  <w:vMerge w:val="continue"/>
                  <w:tcBorders>
                    <w:tl2br w:val="nil"/>
                    <w:tr2bl w:val="nil"/>
                  </w:tcBorders>
                  <w:vAlign w:val="center"/>
                </w:tcPr>
                <w:p w14:paraId="0E3C3F21">
                  <w:pPr>
                    <w:pStyle w:val="97"/>
                    <w:spacing w:line="240" w:lineRule="auto"/>
                    <w:ind w:firstLine="0" w:firstLineChars="0"/>
                    <w:jc w:val="center"/>
                    <w:rPr>
                      <w:rFonts w:cs="Times New Roman"/>
                      <w:b/>
                      <w:bCs w:val="0"/>
                      <w:color w:val="auto"/>
                      <w:sz w:val="21"/>
                      <w:szCs w:val="21"/>
                      <w:highlight w:val="none"/>
                    </w:rPr>
                  </w:pPr>
                </w:p>
              </w:tc>
              <w:tc>
                <w:tcPr>
                  <w:tcW w:w="4140" w:type="dxa"/>
                  <w:vMerge w:val="continue"/>
                  <w:tcBorders>
                    <w:tl2br w:val="nil"/>
                    <w:tr2bl w:val="nil"/>
                  </w:tcBorders>
                  <w:vAlign w:val="center"/>
                </w:tcPr>
                <w:p w14:paraId="741532F9">
                  <w:pPr>
                    <w:pStyle w:val="97"/>
                    <w:spacing w:line="240" w:lineRule="auto"/>
                    <w:ind w:firstLine="0" w:firstLineChars="0"/>
                    <w:jc w:val="center"/>
                    <w:rPr>
                      <w:rFonts w:cs="Times New Roman"/>
                      <w:b/>
                      <w:bCs w:val="0"/>
                      <w:color w:val="auto"/>
                      <w:sz w:val="21"/>
                      <w:szCs w:val="21"/>
                      <w:highlight w:val="none"/>
                    </w:rPr>
                  </w:pPr>
                </w:p>
              </w:tc>
              <w:tc>
                <w:tcPr>
                  <w:tcW w:w="3846" w:type="dxa"/>
                  <w:tcBorders>
                    <w:tl2br w:val="nil"/>
                    <w:tr2bl w:val="nil"/>
                  </w:tcBorders>
                  <w:vAlign w:val="center"/>
                </w:tcPr>
                <w:p w14:paraId="43972DAB">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定向机</w:t>
                  </w:r>
                </w:p>
              </w:tc>
            </w:tr>
            <w:tr w14:paraId="690932F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9" w:type="dxa"/>
                  <w:tcBorders>
                    <w:tl2br w:val="nil"/>
                    <w:tr2bl w:val="nil"/>
                  </w:tcBorders>
                  <w:vAlign w:val="center"/>
                </w:tcPr>
                <w:p w14:paraId="6D0D3229">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C</w:t>
                  </w:r>
                  <w:r>
                    <w:rPr>
                      <w:rFonts w:cs="Times New Roman"/>
                      <w:color w:val="auto"/>
                      <w:sz w:val="21"/>
                      <w:szCs w:val="21"/>
                      <w:highlight w:val="none"/>
                    </w:rPr>
                    <w:t>1</w:t>
                  </w:r>
                </w:p>
              </w:tc>
              <w:tc>
                <w:tcPr>
                  <w:tcW w:w="4140" w:type="dxa"/>
                  <w:tcBorders>
                    <w:tl2br w:val="nil"/>
                    <w:tr2bl w:val="nil"/>
                  </w:tcBorders>
                  <w:vAlign w:val="center"/>
                </w:tcPr>
                <w:p w14:paraId="15B2EF7D">
                  <w:pPr>
                    <w:widowControl/>
                    <w:jc w:val="center"/>
                    <w:textAlignment w:val="center"/>
                    <w:rPr>
                      <w:color w:val="auto"/>
                      <w:szCs w:val="21"/>
                      <w:highlight w:val="none"/>
                    </w:rPr>
                  </w:pPr>
                  <w:r>
                    <w:rPr>
                      <w:rFonts w:hint="eastAsia"/>
                      <w:color w:val="auto"/>
                      <w:kern w:val="0"/>
                      <w:szCs w:val="21"/>
                      <w:highlight w:val="none"/>
                      <w:lang w:val="en-US" w:eastAsia="zh-CN" w:bidi="ar"/>
                    </w:rPr>
                    <w:t>西</w:t>
                  </w:r>
                  <w:r>
                    <w:rPr>
                      <w:color w:val="auto"/>
                      <w:kern w:val="0"/>
                      <w:szCs w:val="21"/>
                      <w:highlight w:val="none"/>
                      <w:lang w:bidi="ar"/>
                    </w:rPr>
                    <w:t>侧</w:t>
                  </w:r>
                  <w:r>
                    <w:rPr>
                      <w:rFonts w:hint="eastAsia"/>
                      <w:color w:val="auto"/>
                      <w:kern w:val="0"/>
                      <w:szCs w:val="21"/>
                      <w:highlight w:val="none"/>
                      <w:lang w:bidi="ar"/>
                    </w:rPr>
                    <w:t>屏蔽墙</w:t>
                  </w:r>
                  <w:r>
                    <w:rPr>
                      <w:color w:val="auto"/>
                      <w:kern w:val="0"/>
                      <w:szCs w:val="21"/>
                      <w:highlight w:val="none"/>
                      <w:lang w:bidi="ar"/>
                    </w:rPr>
                    <w:t>外30cm处</w:t>
                  </w:r>
                </w:p>
              </w:tc>
              <w:tc>
                <w:tcPr>
                  <w:tcW w:w="3846" w:type="dxa"/>
                  <w:tcBorders>
                    <w:tl2br w:val="nil"/>
                    <w:tr2bl w:val="nil"/>
                  </w:tcBorders>
                  <w:vAlign w:val="center"/>
                </w:tcPr>
                <w:p w14:paraId="00186B4E">
                  <w:pPr>
                    <w:jc w:val="center"/>
                    <w:rPr>
                      <w:color w:val="auto"/>
                      <w:szCs w:val="21"/>
                      <w:highlight w:val="none"/>
                    </w:rPr>
                  </w:pPr>
                  <w:r>
                    <w:rPr>
                      <w:rFonts w:cs="Times New Roman"/>
                      <w:color w:val="auto"/>
                      <w:sz w:val="21"/>
                      <w:szCs w:val="21"/>
                      <w:highlight w:val="none"/>
                    </w:rPr>
                    <w:t>有用线束</w:t>
                  </w:r>
                </w:p>
              </w:tc>
            </w:tr>
            <w:tr w14:paraId="33D8BF4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9" w:type="dxa"/>
                  <w:tcBorders>
                    <w:tl2br w:val="nil"/>
                    <w:tr2bl w:val="nil"/>
                  </w:tcBorders>
                  <w:vAlign w:val="center"/>
                </w:tcPr>
                <w:p w14:paraId="471BEFFE">
                  <w:pPr>
                    <w:pStyle w:val="97"/>
                    <w:spacing w:line="240" w:lineRule="auto"/>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rPr>
                    <w:t>C</w:t>
                  </w:r>
                  <w:r>
                    <w:rPr>
                      <w:rFonts w:hint="eastAsia" w:cs="Times New Roman"/>
                      <w:color w:val="auto"/>
                      <w:sz w:val="21"/>
                      <w:szCs w:val="21"/>
                      <w:highlight w:val="none"/>
                      <w:lang w:val="en-US" w:eastAsia="zh-CN"/>
                    </w:rPr>
                    <w:t>2</w:t>
                  </w:r>
                </w:p>
              </w:tc>
              <w:tc>
                <w:tcPr>
                  <w:tcW w:w="4140" w:type="dxa"/>
                  <w:tcBorders>
                    <w:tl2br w:val="nil"/>
                    <w:tr2bl w:val="nil"/>
                  </w:tcBorders>
                  <w:vAlign w:val="center"/>
                </w:tcPr>
                <w:p w14:paraId="03B4F8A8">
                  <w:pPr>
                    <w:widowControl/>
                    <w:jc w:val="center"/>
                    <w:textAlignment w:val="center"/>
                    <w:rPr>
                      <w:rFonts w:hint="eastAsia"/>
                      <w:color w:val="auto"/>
                      <w:kern w:val="0"/>
                      <w:szCs w:val="21"/>
                      <w:highlight w:val="none"/>
                      <w:lang w:bidi="ar"/>
                    </w:rPr>
                  </w:pPr>
                  <w:r>
                    <w:rPr>
                      <w:rFonts w:hint="eastAsia" w:cs="Times New Roman"/>
                      <w:color w:val="auto"/>
                      <w:highlight w:val="none"/>
                      <w:lang w:val="en-US" w:eastAsia="zh-CN"/>
                    </w:rPr>
                    <w:t>东</w:t>
                  </w:r>
                  <w:r>
                    <w:rPr>
                      <w:rFonts w:hint="default" w:ascii="Times New Roman" w:hAnsi="Times New Roman" w:cs="Times New Roman"/>
                      <w:color w:val="auto"/>
                      <w:highlight w:val="none"/>
                    </w:rPr>
                    <w:t>侧屏蔽墙外30cm</w:t>
                  </w:r>
                  <w:r>
                    <w:rPr>
                      <w:rFonts w:hint="eastAsia"/>
                      <w:color w:val="auto"/>
                      <w:kern w:val="0"/>
                      <w:szCs w:val="21"/>
                      <w:highlight w:val="none"/>
                      <w:lang w:val="en-US" w:eastAsia="zh-CN" w:bidi="ar"/>
                    </w:rPr>
                    <w:t>操作室</w:t>
                  </w:r>
                </w:p>
              </w:tc>
              <w:tc>
                <w:tcPr>
                  <w:tcW w:w="3846" w:type="dxa"/>
                  <w:tcBorders>
                    <w:tl2br w:val="nil"/>
                    <w:tr2bl w:val="nil"/>
                  </w:tcBorders>
                  <w:vAlign w:val="center"/>
                </w:tcPr>
                <w:p w14:paraId="58743CC0">
                  <w:pPr>
                    <w:jc w:val="center"/>
                    <w:rPr>
                      <w:rFonts w:cs="Times New Roman"/>
                      <w:color w:val="auto"/>
                      <w:sz w:val="21"/>
                      <w:szCs w:val="21"/>
                      <w:highlight w:val="none"/>
                    </w:rPr>
                  </w:pPr>
                  <w:r>
                    <w:rPr>
                      <w:rFonts w:cs="Times New Roman"/>
                      <w:color w:val="auto"/>
                      <w:sz w:val="21"/>
                      <w:szCs w:val="21"/>
                      <w:highlight w:val="none"/>
                    </w:rPr>
                    <w:t>泄漏辐射、散射辐射</w:t>
                  </w:r>
                </w:p>
              </w:tc>
            </w:tr>
            <w:tr w14:paraId="7E06E28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9" w:type="dxa"/>
                  <w:tcBorders>
                    <w:tl2br w:val="nil"/>
                    <w:tr2bl w:val="nil"/>
                  </w:tcBorders>
                  <w:vAlign w:val="center"/>
                </w:tcPr>
                <w:p w14:paraId="0DBC2814">
                  <w:pPr>
                    <w:pStyle w:val="97"/>
                    <w:spacing w:line="240" w:lineRule="auto"/>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C</w:t>
                  </w:r>
                  <w:r>
                    <w:rPr>
                      <w:rFonts w:hint="eastAsia" w:cs="Times New Roman"/>
                      <w:color w:val="auto"/>
                      <w:sz w:val="21"/>
                      <w:szCs w:val="21"/>
                      <w:highlight w:val="none"/>
                      <w:lang w:val="en-US" w:eastAsia="zh-CN"/>
                    </w:rPr>
                    <w:t>3</w:t>
                  </w:r>
                </w:p>
              </w:tc>
              <w:tc>
                <w:tcPr>
                  <w:tcW w:w="4140" w:type="dxa"/>
                  <w:tcBorders>
                    <w:tl2br w:val="nil"/>
                    <w:tr2bl w:val="nil"/>
                  </w:tcBorders>
                  <w:vAlign w:val="center"/>
                </w:tcPr>
                <w:p w14:paraId="3B178957">
                  <w:pPr>
                    <w:widowControl/>
                    <w:jc w:val="center"/>
                    <w:textAlignment w:val="center"/>
                    <w:rPr>
                      <w:color w:val="auto"/>
                      <w:szCs w:val="21"/>
                      <w:highlight w:val="none"/>
                    </w:rPr>
                  </w:pPr>
                  <w:r>
                    <w:rPr>
                      <w:rFonts w:hint="eastAsia" w:cs="Times New Roman"/>
                      <w:color w:val="auto"/>
                      <w:highlight w:val="none"/>
                      <w:lang w:val="en-US" w:eastAsia="zh-CN"/>
                    </w:rPr>
                    <w:t>北</w:t>
                  </w:r>
                  <w:r>
                    <w:rPr>
                      <w:rFonts w:hint="default" w:ascii="Times New Roman" w:hAnsi="Times New Roman" w:cs="Times New Roman"/>
                      <w:color w:val="auto"/>
                      <w:highlight w:val="none"/>
                    </w:rPr>
                    <w:t>侧屏蔽墙外30cm处</w:t>
                  </w:r>
                </w:p>
              </w:tc>
              <w:tc>
                <w:tcPr>
                  <w:tcW w:w="3846" w:type="dxa"/>
                  <w:tcBorders>
                    <w:tl2br w:val="nil"/>
                    <w:tr2bl w:val="nil"/>
                  </w:tcBorders>
                  <w:vAlign w:val="center"/>
                </w:tcPr>
                <w:p w14:paraId="6C5794A9">
                  <w:pPr>
                    <w:jc w:val="center"/>
                    <w:rPr>
                      <w:color w:val="auto"/>
                      <w:szCs w:val="21"/>
                      <w:highlight w:val="none"/>
                    </w:rPr>
                  </w:pPr>
                  <w:r>
                    <w:rPr>
                      <w:rFonts w:cs="Times New Roman"/>
                      <w:color w:val="auto"/>
                      <w:sz w:val="21"/>
                      <w:szCs w:val="21"/>
                      <w:highlight w:val="none"/>
                    </w:rPr>
                    <w:t>泄漏辐射、散射辐射</w:t>
                  </w:r>
                </w:p>
              </w:tc>
            </w:tr>
            <w:tr w14:paraId="741AFE6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9" w:type="dxa"/>
                  <w:tcBorders>
                    <w:tl2br w:val="nil"/>
                    <w:tr2bl w:val="nil"/>
                  </w:tcBorders>
                  <w:vAlign w:val="center"/>
                </w:tcPr>
                <w:p w14:paraId="3DD08D1C">
                  <w:pPr>
                    <w:pStyle w:val="97"/>
                    <w:spacing w:line="240" w:lineRule="auto"/>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C</w:t>
                  </w:r>
                  <w:r>
                    <w:rPr>
                      <w:rFonts w:hint="eastAsia" w:cs="Times New Roman"/>
                      <w:color w:val="auto"/>
                      <w:sz w:val="21"/>
                      <w:szCs w:val="21"/>
                      <w:highlight w:val="none"/>
                      <w:lang w:val="en-US" w:eastAsia="zh-CN"/>
                    </w:rPr>
                    <w:t>4</w:t>
                  </w:r>
                </w:p>
              </w:tc>
              <w:tc>
                <w:tcPr>
                  <w:tcW w:w="4140" w:type="dxa"/>
                  <w:tcBorders>
                    <w:tl2br w:val="nil"/>
                    <w:tr2bl w:val="nil"/>
                  </w:tcBorders>
                  <w:vAlign w:val="center"/>
                </w:tcPr>
                <w:p w14:paraId="0BF7CA5A">
                  <w:pPr>
                    <w:widowControl/>
                    <w:jc w:val="center"/>
                    <w:textAlignment w:val="center"/>
                    <w:rPr>
                      <w:color w:val="auto"/>
                      <w:szCs w:val="21"/>
                      <w:highlight w:val="none"/>
                    </w:rPr>
                  </w:pPr>
                  <w:r>
                    <w:rPr>
                      <w:rFonts w:hint="eastAsia" w:cs="Times New Roman"/>
                      <w:color w:val="auto"/>
                      <w:highlight w:val="none"/>
                      <w:lang w:val="en-US" w:eastAsia="zh-CN"/>
                    </w:rPr>
                    <w:t>南</w:t>
                  </w:r>
                  <w:r>
                    <w:rPr>
                      <w:rFonts w:hint="default" w:ascii="Times New Roman" w:hAnsi="Times New Roman" w:cs="Times New Roman"/>
                      <w:color w:val="auto"/>
                      <w:highlight w:val="none"/>
                    </w:rPr>
                    <w:t>侧</w:t>
                  </w:r>
                  <w:r>
                    <w:rPr>
                      <w:rFonts w:hint="eastAsia" w:cs="Times New Roman"/>
                      <w:color w:val="auto"/>
                      <w:highlight w:val="none"/>
                      <w:lang w:val="en-US" w:eastAsia="zh-CN"/>
                    </w:rPr>
                    <w:t>防护门</w:t>
                  </w:r>
                  <w:r>
                    <w:rPr>
                      <w:rFonts w:hint="default" w:ascii="Times New Roman" w:hAnsi="Times New Roman" w:cs="Times New Roman"/>
                      <w:color w:val="auto"/>
                      <w:highlight w:val="none"/>
                    </w:rPr>
                    <w:t>外30cm处</w:t>
                  </w:r>
                </w:p>
              </w:tc>
              <w:tc>
                <w:tcPr>
                  <w:tcW w:w="3846" w:type="dxa"/>
                  <w:tcBorders>
                    <w:tl2br w:val="nil"/>
                    <w:tr2bl w:val="nil"/>
                  </w:tcBorders>
                  <w:vAlign w:val="center"/>
                </w:tcPr>
                <w:p w14:paraId="207E52D1">
                  <w:pPr>
                    <w:jc w:val="center"/>
                    <w:rPr>
                      <w:color w:val="auto"/>
                      <w:szCs w:val="21"/>
                      <w:highlight w:val="none"/>
                    </w:rPr>
                  </w:pPr>
                  <w:r>
                    <w:rPr>
                      <w:rFonts w:cs="Times New Roman"/>
                      <w:color w:val="auto"/>
                      <w:sz w:val="21"/>
                      <w:szCs w:val="21"/>
                      <w:highlight w:val="none"/>
                    </w:rPr>
                    <w:t>泄漏辐射、散射辐射</w:t>
                  </w:r>
                </w:p>
              </w:tc>
            </w:tr>
            <w:tr w14:paraId="4655AE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09" w:type="dxa"/>
                  <w:tcBorders>
                    <w:tl2br w:val="nil"/>
                    <w:tr2bl w:val="nil"/>
                  </w:tcBorders>
                  <w:vAlign w:val="center"/>
                </w:tcPr>
                <w:p w14:paraId="44C138CE">
                  <w:pPr>
                    <w:pStyle w:val="97"/>
                    <w:spacing w:line="240" w:lineRule="auto"/>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C</w:t>
                  </w:r>
                  <w:r>
                    <w:rPr>
                      <w:rFonts w:hint="eastAsia" w:cs="Times New Roman"/>
                      <w:color w:val="auto"/>
                      <w:sz w:val="21"/>
                      <w:szCs w:val="21"/>
                      <w:highlight w:val="none"/>
                      <w:lang w:val="en-US" w:eastAsia="zh-CN"/>
                    </w:rPr>
                    <w:t>5</w:t>
                  </w:r>
                </w:p>
              </w:tc>
              <w:tc>
                <w:tcPr>
                  <w:tcW w:w="4140" w:type="dxa"/>
                  <w:tcBorders>
                    <w:tl2br w:val="nil"/>
                    <w:tr2bl w:val="nil"/>
                  </w:tcBorders>
                  <w:vAlign w:val="center"/>
                </w:tcPr>
                <w:p w14:paraId="2FE1646F">
                  <w:pPr>
                    <w:widowControl/>
                    <w:jc w:val="center"/>
                    <w:textAlignment w:val="center"/>
                    <w:rPr>
                      <w:color w:val="auto"/>
                      <w:szCs w:val="21"/>
                      <w:highlight w:val="none"/>
                    </w:rPr>
                  </w:pPr>
                  <w:r>
                    <w:rPr>
                      <w:rFonts w:hint="default" w:ascii="Times New Roman" w:hAnsi="Times New Roman" w:cs="Times New Roman"/>
                      <w:color w:val="auto"/>
                      <w:highlight w:val="none"/>
                    </w:rPr>
                    <w:t>探伤房顶棚上方30cm处</w:t>
                  </w:r>
                </w:p>
              </w:tc>
              <w:tc>
                <w:tcPr>
                  <w:tcW w:w="3846" w:type="dxa"/>
                  <w:tcBorders>
                    <w:tl2br w:val="nil"/>
                    <w:tr2bl w:val="nil"/>
                  </w:tcBorders>
                  <w:vAlign w:val="center"/>
                </w:tcPr>
                <w:p w14:paraId="70312AAA">
                  <w:pPr>
                    <w:pStyle w:val="97"/>
                    <w:spacing w:line="240" w:lineRule="auto"/>
                    <w:ind w:firstLine="0" w:firstLineChars="0"/>
                    <w:jc w:val="center"/>
                    <w:rPr>
                      <w:rFonts w:cs="Times New Roman"/>
                      <w:color w:val="auto"/>
                      <w:szCs w:val="21"/>
                      <w:highlight w:val="none"/>
                    </w:rPr>
                  </w:pPr>
                  <w:r>
                    <w:rPr>
                      <w:rFonts w:cs="Times New Roman"/>
                      <w:color w:val="auto"/>
                      <w:sz w:val="21"/>
                      <w:szCs w:val="21"/>
                      <w:highlight w:val="none"/>
                    </w:rPr>
                    <w:t>泄漏辐射、散射辐射</w:t>
                  </w:r>
                </w:p>
              </w:tc>
            </w:tr>
          </w:tbl>
          <w:p w14:paraId="42CE7003">
            <w:pPr>
              <w:spacing w:line="360" w:lineRule="auto"/>
              <w:ind w:firstLine="472" w:firstLineChars="200"/>
              <w:textAlignment w:val="baseline"/>
              <w:rPr>
                <w:color w:val="auto"/>
                <w:spacing w:val="-2"/>
                <w:sz w:val="24"/>
                <w:szCs w:val="24"/>
                <w:highlight w:val="none"/>
              </w:rPr>
            </w:pPr>
            <w:r>
              <w:rPr>
                <w:rFonts w:hint="eastAsia"/>
                <w:color w:val="auto"/>
                <w:spacing w:val="-2"/>
                <w:sz w:val="24"/>
                <w:szCs w:val="24"/>
                <w:highlight w:val="none"/>
              </w:rPr>
              <w:t>（2）工作频次、周照射时间</w:t>
            </w:r>
          </w:p>
          <w:p w14:paraId="1CCA033A">
            <w:pPr>
              <w:pStyle w:val="5"/>
              <w:adjustRightInd w:val="0"/>
              <w:snapToGrid w:val="0"/>
              <w:spacing w:line="360" w:lineRule="auto"/>
              <w:ind w:firstLine="472"/>
              <w:rPr>
                <w:color w:val="auto"/>
                <w:spacing w:val="-2"/>
                <w:sz w:val="24"/>
                <w:szCs w:val="24"/>
                <w:highlight w:val="none"/>
                <w:lang w:val="zh-CN"/>
              </w:rPr>
            </w:pPr>
            <w:r>
              <w:rPr>
                <w:color w:val="auto"/>
                <w:spacing w:val="-2"/>
                <w:sz w:val="24"/>
                <w:szCs w:val="24"/>
                <w:highlight w:val="none"/>
                <w:lang w:val="zh-CN"/>
              </w:rPr>
              <w:t>根据《工业X射线探伤室辐射屏蔽规范》</w:t>
            </w:r>
            <w:r>
              <w:rPr>
                <w:rFonts w:hint="eastAsia"/>
                <w:color w:val="auto"/>
                <w:spacing w:val="-2"/>
                <w:sz w:val="24"/>
                <w:szCs w:val="24"/>
                <w:highlight w:val="none"/>
                <w:lang w:val="zh-CN"/>
              </w:rPr>
              <w:t>（</w:t>
            </w:r>
            <w:r>
              <w:rPr>
                <w:color w:val="auto"/>
                <w:spacing w:val="-2"/>
                <w:sz w:val="24"/>
                <w:szCs w:val="24"/>
                <w:highlight w:val="none"/>
                <w:lang w:val="zh-CN"/>
              </w:rPr>
              <w:t>GBZ/T250-2014</w:t>
            </w:r>
            <w:r>
              <w:rPr>
                <w:rFonts w:hint="eastAsia"/>
                <w:color w:val="auto"/>
                <w:spacing w:val="-2"/>
                <w:sz w:val="24"/>
                <w:szCs w:val="24"/>
                <w:highlight w:val="none"/>
                <w:lang w:val="zh-CN"/>
              </w:rPr>
              <w:t>）</w:t>
            </w:r>
            <w:r>
              <w:rPr>
                <w:color w:val="auto"/>
                <w:spacing w:val="-2"/>
                <w:sz w:val="24"/>
                <w:szCs w:val="24"/>
                <w:highlight w:val="none"/>
                <w:lang w:val="zh-CN"/>
              </w:rPr>
              <w:t>，探伤装置周照射时间计算公</w:t>
            </w:r>
            <w:r>
              <w:rPr>
                <w:rFonts w:hint="eastAsia"/>
                <w:color w:val="auto"/>
                <w:spacing w:val="-2"/>
                <w:sz w:val="24"/>
                <w:szCs w:val="24"/>
                <w:highlight w:val="none"/>
              </w:rPr>
              <w:t>式</w:t>
            </w:r>
            <w:r>
              <w:rPr>
                <w:color w:val="auto"/>
                <w:spacing w:val="-2"/>
                <w:sz w:val="24"/>
                <w:szCs w:val="24"/>
                <w:highlight w:val="none"/>
                <w:lang w:val="zh-CN"/>
              </w:rPr>
              <w:t>为：</w:t>
            </w:r>
          </w:p>
          <w:p w14:paraId="1E1A8A34">
            <w:pPr>
              <w:pStyle w:val="5"/>
              <w:adjustRightInd w:val="0"/>
              <w:snapToGrid w:val="0"/>
              <w:spacing w:line="360" w:lineRule="auto"/>
              <w:ind w:firstLine="0" w:firstLineChars="0"/>
              <w:rPr>
                <w:color w:val="auto"/>
                <w:spacing w:val="-2"/>
                <w:sz w:val="24"/>
                <w:szCs w:val="24"/>
                <w:highlight w:val="none"/>
              </w:rPr>
            </w:pPr>
            <m:oMathPara>
              <m:oMathParaPr>
                <m:jc m:val="center"/>
              </m:oMathParaPr>
              <m:oMath>
                <m:r>
                  <m:rPr>
                    <m:sty m:val="p"/>
                  </m:rPr>
                  <w:rPr>
                    <w:rFonts w:ascii="Cambria Math" w:hAnsi="Cambria Math"/>
                    <w:color w:val="auto"/>
                    <w:spacing w:val="-2"/>
                    <w:sz w:val="24"/>
                    <w:szCs w:val="24"/>
                    <w:highlight w:val="none"/>
                  </w:rPr>
                  <m:t>t=</m:t>
                </m:r>
                <m:f>
                  <m:fPr>
                    <m:ctrlPr>
                      <w:rPr>
                        <w:rFonts w:ascii="Cambria Math" w:hAnsi="Cambria Math"/>
                        <w:color w:val="auto"/>
                        <w:spacing w:val="-2"/>
                        <w:sz w:val="24"/>
                        <w:szCs w:val="24"/>
                        <w:highlight w:val="none"/>
                      </w:rPr>
                    </m:ctrlPr>
                  </m:fPr>
                  <m:num>
                    <m:r>
                      <m:rPr>
                        <m:sty m:val="p"/>
                      </m:rPr>
                      <w:rPr>
                        <w:rFonts w:ascii="Cambria Math" w:hAnsi="Cambria Math"/>
                        <w:color w:val="auto"/>
                        <w:spacing w:val="-2"/>
                        <w:sz w:val="24"/>
                        <w:szCs w:val="24"/>
                        <w:highlight w:val="none"/>
                      </w:rPr>
                      <m:t>W</m:t>
                    </m:r>
                    <m:ctrlPr>
                      <w:rPr>
                        <w:rFonts w:ascii="Cambria Math" w:hAnsi="Cambria Math"/>
                        <w:color w:val="auto"/>
                        <w:spacing w:val="-2"/>
                        <w:sz w:val="24"/>
                        <w:szCs w:val="24"/>
                        <w:highlight w:val="none"/>
                      </w:rPr>
                    </m:ctrlPr>
                  </m:num>
                  <m:den>
                    <m:r>
                      <m:rPr>
                        <m:sty m:val="p"/>
                      </m:rPr>
                      <w:rPr>
                        <w:rFonts w:ascii="Cambria Math" w:hAnsi="Cambria Math"/>
                        <w:color w:val="auto"/>
                        <w:spacing w:val="-2"/>
                        <w:sz w:val="24"/>
                        <w:szCs w:val="24"/>
                        <w:highlight w:val="none"/>
                      </w:rPr>
                      <m:t>60×I</m:t>
                    </m:r>
                    <m:ctrlPr>
                      <w:rPr>
                        <w:rFonts w:ascii="Cambria Math" w:hAnsi="Cambria Math"/>
                        <w:color w:val="auto"/>
                        <w:spacing w:val="-2"/>
                        <w:sz w:val="24"/>
                        <w:szCs w:val="24"/>
                        <w:highlight w:val="none"/>
                      </w:rPr>
                    </m:ctrlPr>
                  </m:den>
                </m:f>
              </m:oMath>
            </m:oMathPara>
          </w:p>
          <w:p w14:paraId="23ED76A7">
            <w:pPr>
              <w:pStyle w:val="5"/>
              <w:adjustRightInd w:val="0"/>
              <w:snapToGrid w:val="0"/>
              <w:spacing w:line="360" w:lineRule="auto"/>
              <w:ind w:firstLine="472"/>
              <w:rPr>
                <w:color w:val="auto"/>
                <w:spacing w:val="-2"/>
                <w:sz w:val="24"/>
                <w:szCs w:val="24"/>
                <w:highlight w:val="none"/>
              </w:rPr>
            </w:pPr>
            <w:r>
              <w:rPr>
                <w:color w:val="auto"/>
                <w:spacing w:val="-2"/>
                <w:sz w:val="24"/>
                <w:szCs w:val="24"/>
                <w:highlight w:val="none"/>
              </w:rPr>
              <w:t>式中：</w:t>
            </w:r>
          </w:p>
          <w:p w14:paraId="070CCA02">
            <w:pPr>
              <w:pStyle w:val="5"/>
              <w:keepNext w:val="0"/>
              <w:keepLines w:val="0"/>
              <w:pageBreakBefore w:val="0"/>
              <w:widowControl w:val="0"/>
              <w:kinsoku/>
              <w:wordWrap/>
              <w:topLinePunct w:val="0"/>
              <w:autoSpaceDE/>
              <w:autoSpaceDN/>
              <w:bidi w:val="0"/>
              <w:adjustRightInd/>
              <w:snapToGrid/>
              <w:spacing w:line="360" w:lineRule="auto"/>
              <w:ind w:firstLine="472"/>
              <w:rPr>
                <w:color w:val="auto"/>
                <w:spacing w:val="-2"/>
                <w:sz w:val="24"/>
                <w:szCs w:val="24"/>
                <w:highlight w:val="none"/>
              </w:rPr>
            </w:pPr>
            <w:r>
              <w:rPr>
                <w:color w:val="auto"/>
                <w:spacing w:val="-2"/>
                <w:sz w:val="24"/>
                <w:szCs w:val="24"/>
                <w:highlight w:val="none"/>
              </w:rPr>
              <w:t>W</w:t>
            </w:r>
            <w:r>
              <w:rPr>
                <w:rFonts w:hint="eastAsia"/>
                <w:color w:val="auto"/>
                <w:spacing w:val="-2"/>
                <w:sz w:val="24"/>
                <w:szCs w:val="24"/>
                <w:highlight w:val="none"/>
              </w:rPr>
              <w:t>：</w:t>
            </w:r>
            <w:r>
              <w:rPr>
                <w:color w:val="auto"/>
                <w:spacing w:val="-2"/>
                <w:sz w:val="24"/>
                <w:szCs w:val="24"/>
                <w:highlight w:val="none"/>
              </w:rPr>
              <w:t>X</w:t>
            </w:r>
            <w:r>
              <w:rPr>
                <w:color w:val="auto"/>
                <w:spacing w:val="-2"/>
                <w:sz w:val="24"/>
                <w:szCs w:val="24"/>
                <w:highlight w:val="none"/>
                <w:lang w:val="zh-CN"/>
              </w:rPr>
              <w:t>射线探伤的周工作负荷</w:t>
            </w:r>
            <w:r>
              <w:rPr>
                <w:rFonts w:hint="eastAsia"/>
                <w:color w:val="auto"/>
                <w:spacing w:val="-2"/>
                <w:sz w:val="24"/>
                <w:szCs w:val="24"/>
                <w:highlight w:val="none"/>
                <w:lang w:eastAsia="zh-CN"/>
              </w:rPr>
              <w:t>（</w:t>
            </w:r>
            <w:r>
              <w:rPr>
                <w:color w:val="auto"/>
                <w:spacing w:val="-2"/>
                <w:sz w:val="24"/>
                <w:szCs w:val="24"/>
                <w:highlight w:val="none"/>
                <w:lang w:val="zh-CN"/>
              </w:rPr>
              <w:t>平均每周</w:t>
            </w:r>
            <w:r>
              <w:rPr>
                <w:color w:val="auto"/>
                <w:spacing w:val="-2"/>
                <w:sz w:val="24"/>
                <w:szCs w:val="24"/>
                <w:highlight w:val="none"/>
              </w:rPr>
              <w:t>X</w:t>
            </w:r>
            <w:r>
              <w:rPr>
                <w:color w:val="auto"/>
                <w:spacing w:val="-2"/>
                <w:sz w:val="24"/>
                <w:szCs w:val="24"/>
                <w:highlight w:val="none"/>
                <w:lang w:val="zh-CN"/>
              </w:rPr>
              <w:t>射线探伤照射的累积</w:t>
            </w:r>
            <w:r>
              <w:rPr>
                <w:rFonts w:hint="eastAsia"/>
                <w:color w:val="auto"/>
                <w:spacing w:val="-2"/>
                <w:sz w:val="24"/>
                <w:szCs w:val="24"/>
                <w:highlight w:val="none"/>
                <w:lang w:eastAsia="zh-CN"/>
              </w:rPr>
              <w:t>“</w:t>
            </w:r>
            <w:r>
              <w:rPr>
                <w:color w:val="auto"/>
                <w:spacing w:val="-2"/>
                <w:sz w:val="24"/>
                <w:szCs w:val="24"/>
                <w:highlight w:val="none"/>
              </w:rPr>
              <w:t>mA·min</w:t>
            </w:r>
            <w:r>
              <w:rPr>
                <w:rFonts w:hint="eastAsia"/>
                <w:color w:val="auto"/>
                <w:spacing w:val="-2"/>
                <w:sz w:val="24"/>
                <w:szCs w:val="24"/>
                <w:highlight w:val="none"/>
                <w:lang w:eastAsia="zh-CN"/>
              </w:rPr>
              <w:t>”</w:t>
            </w:r>
            <w:r>
              <w:rPr>
                <w:color w:val="auto"/>
                <w:spacing w:val="-2"/>
                <w:sz w:val="24"/>
                <w:szCs w:val="24"/>
                <w:highlight w:val="none"/>
                <w:lang w:val="zh-CN"/>
              </w:rPr>
              <w:t>值</w:t>
            </w:r>
            <w:r>
              <w:rPr>
                <w:rFonts w:hint="eastAsia"/>
                <w:color w:val="auto"/>
                <w:spacing w:val="-2"/>
                <w:sz w:val="24"/>
                <w:szCs w:val="24"/>
                <w:highlight w:val="none"/>
                <w:lang w:eastAsia="zh-CN"/>
              </w:rPr>
              <w:t>）</w:t>
            </w:r>
            <w:r>
              <w:rPr>
                <w:color w:val="auto"/>
                <w:spacing w:val="-2"/>
                <w:sz w:val="24"/>
                <w:szCs w:val="24"/>
                <w:highlight w:val="none"/>
              </w:rPr>
              <w:t>，mA·min</w:t>
            </w:r>
            <w:r>
              <w:rPr>
                <w:rFonts w:hint="eastAsia"/>
                <w:color w:val="auto"/>
                <w:spacing w:val="-2"/>
                <w:sz w:val="24"/>
                <w:szCs w:val="24"/>
                <w:highlight w:val="none"/>
                <w:lang w:val="en-US" w:eastAsia="zh-CN"/>
              </w:rPr>
              <w:t>/</w:t>
            </w:r>
            <w:r>
              <w:rPr>
                <w:color w:val="auto"/>
                <w:spacing w:val="-2"/>
                <w:sz w:val="24"/>
                <w:szCs w:val="24"/>
                <w:highlight w:val="none"/>
                <w:lang w:val="zh-CN"/>
              </w:rPr>
              <w:t>周</w:t>
            </w:r>
            <w:r>
              <w:rPr>
                <w:color w:val="auto"/>
                <w:spacing w:val="-2"/>
                <w:sz w:val="24"/>
                <w:szCs w:val="24"/>
                <w:highlight w:val="none"/>
              </w:rPr>
              <w:t>；</w:t>
            </w:r>
          </w:p>
          <w:p w14:paraId="3146CADC">
            <w:pPr>
              <w:pStyle w:val="5"/>
              <w:keepNext w:val="0"/>
              <w:keepLines w:val="0"/>
              <w:pageBreakBefore w:val="0"/>
              <w:widowControl w:val="0"/>
              <w:kinsoku/>
              <w:wordWrap/>
              <w:topLinePunct w:val="0"/>
              <w:autoSpaceDE/>
              <w:autoSpaceDN/>
              <w:bidi w:val="0"/>
              <w:adjustRightInd/>
              <w:snapToGrid/>
              <w:spacing w:line="360" w:lineRule="auto"/>
              <w:ind w:firstLine="472"/>
              <w:rPr>
                <w:color w:val="auto"/>
                <w:spacing w:val="-2"/>
                <w:sz w:val="24"/>
                <w:szCs w:val="24"/>
                <w:highlight w:val="none"/>
              </w:rPr>
            </w:pPr>
            <w:r>
              <w:rPr>
                <w:color w:val="auto"/>
                <w:spacing w:val="-2"/>
                <w:sz w:val="24"/>
                <w:szCs w:val="24"/>
                <w:highlight w:val="none"/>
              </w:rPr>
              <w:t>60</w:t>
            </w:r>
            <w:r>
              <w:rPr>
                <w:rFonts w:hint="eastAsia"/>
                <w:color w:val="auto"/>
                <w:spacing w:val="-2"/>
                <w:sz w:val="24"/>
                <w:szCs w:val="24"/>
                <w:highlight w:val="none"/>
              </w:rPr>
              <w:t>：</w:t>
            </w:r>
            <w:r>
              <w:rPr>
                <w:color w:val="auto"/>
                <w:spacing w:val="-2"/>
                <w:sz w:val="24"/>
                <w:szCs w:val="24"/>
                <w:highlight w:val="none"/>
              </w:rPr>
              <w:t>小时与分钟的换算系数；</w:t>
            </w:r>
          </w:p>
          <w:p w14:paraId="67579D74">
            <w:pPr>
              <w:pStyle w:val="5"/>
              <w:keepNext w:val="0"/>
              <w:keepLines w:val="0"/>
              <w:pageBreakBefore w:val="0"/>
              <w:widowControl w:val="0"/>
              <w:kinsoku/>
              <w:wordWrap/>
              <w:topLinePunct w:val="0"/>
              <w:autoSpaceDE/>
              <w:autoSpaceDN/>
              <w:bidi w:val="0"/>
              <w:adjustRightInd/>
              <w:snapToGrid/>
              <w:spacing w:line="360" w:lineRule="auto"/>
              <w:ind w:firstLine="472"/>
              <w:jc w:val="both"/>
              <w:textAlignment w:val="auto"/>
              <w:rPr>
                <w:color w:val="auto"/>
                <w:spacing w:val="-2"/>
                <w:sz w:val="24"/>
                <w:szCs w:val="24"/>
                <w:highlight w:val="none"/>
              </w:rPr>
            </w:pPr>
            <w:r>
              <w:rPr>
                <w:color w:val="auto"/>
                <w:spacing w:val="-2"/>
                <w:sz w:val="24"/>
                <w:szCs w:val="24"/>
                <w:highlight w:val="none"/>
              </w:rPr>
              <w:t>I</w:t>
            </w:r>
            <w:r>
              <w:rPr>
                <w:rFonts w:hint="eastAsia"/>
                <w:color w:val="auto"/>
                <w:spacing w:val="-2"/>
                <w:sz w:val="24"/>
                <w:szCs w:val="24"/>
                <w:highlight w:val="none"/>
              </w:rPr>
              <w:t>：</w:t>
            </w:r>
            <w:r>
              <w:rPr>
                <w:color w:val="auto"/>
                <w:spacing w:val="-2"/>
                <w:sz w:val="24"/>
                <w:szCs w:val="24"/>
                <w:highlight w:val="none"/>
              </w:rPr>
              <w:t>X射线探伤装置在额定管电压下的常用额定管电流，单位为</w:t>
            </w:r>
            <w:r>
              <w:rPr>
                <w:rFonts w:hint="eastAsia"/>
                <w:color w:val="auto"/>
                <w:spacing w:val="-2"/>
                <w:sz w:val="24"/>
                <w:szCs w:val="24"/>
                <w:highlight w:val="none"/>
              </w:rPr>
              <w:t>毫安</w:t>
            </w:r>
            <w:r>
              <w:rPr>
                <w:color w:val="auto"/>
                <w:spacing w:val="-2"/>
                <w:sz w:val="24"/>
                <w:szCs w:val="24"/>
                <w:highlight w:val="none"/>
              </w:rPr>
              <w:t>(mA)。</w:t>
            </w:r>
          </w:p>
          <w:p w14:paraId="5BF1A2FB">
            <w:pPr>
              <w:pStyle w:val="5"/>
              <w:keepNext w:val="0"/>
              <w:keepLines w:val="0"/>
              <w:pageBreakBefore w:val="0"/>
              <w:widowControl w:val="0"/>
              <w:kinsoku/>
              <w:wordWrap/>
              <w:overflowPunct w:val="0"/>
              <w:topLinePunct w:val="0"/>
              <w:autoSpaceDE/>
              <w:autoSpaceDN/>
              <w:bidi w:val="0"/>
              <w:adjustRightInd/>
              <w:snapToGrid/>
              <w:spacing w:line="360" w:lineRule="auto"/>
              <w:ind w:firstLine="472"/>
              <w:jc w:val="left"/>
              <w:textAlignment w:val="auto"/>
              <w:rPr>
                <w:rFonts w:hint="eastAsia"/>
                <w:color w:val="auto"/>
                <w:spacing w:val="-2"/>
                <w:sz w:val="24"/>
                <w:szCs w:val="24"/>
                <w:highlight w:val="none"/>
              </w:rPr>
            </w:pPr>
            <w:r>
              <w:rPr>
                <w:color w:val="auto"/>
                <w:spacing w:val="-2"/>
                <w:sz w:val="24"/>
                <w:szCs w:val="24"/>
                <w:highlight w:val="none"/>
              </w:rPr>
              <w:t>经与建设单位核实，本项目设计X探伤机年拍片数约</w:t>
            </w:r>
            <w:r>
              <w:rPr>
                <w:rFonts w:hint="eastAsia"/>
                <w:color w:val="auto"/>
                <w:spacing w:val="-2"/>
                <w:sz w:val="24"/>
                <w:szCs w:val="24"/>
                <w:highlight w:val="none"/>
                <w:lang w:val="en-US" w:eastAsia="zh-CN"/>
              </w:rPr>
              <w:t>700</w:t>
            </w:r>
            <w:r>
              <w:rPr>
                <w:color w:val="auto"/>
                <w:spacing w:val="-2"/>
                <w:sz w:val="24"/>
                <w:szCs w:val="24"/>
                <w:highlight w:val="none"/>
              </w:rPr>
              <w:t>张，一年按50周计，</w:t>
            </w:r>
            <w:r>
              <w:rPr>
                <w:rFonts w:hint="eastAsia"/>
                <w:color w:val="auto"/>
                <w:spacing w:val="-2"/>
                <w:sz w:val="24"/>
                <w:szCs w:val="24"/>
                <w:highlight w:val="none"/>
              </w:rPr>
              <w:t>每张胶片曝光时间</w:t>
            </w:r>
            <w:r>
              <w:rPr>
                <w:rFonts w:hint="eastAsia"/>
                <w:color w:val="auto"/>
                <w:spacing w:val="-2"/>
                <w:sz w:val="24"/>
                <w:szCs w:val="24"/>
                <w:highlight w:val="none"/>
                <w:lang w:val="en-US" w:eastAsia="zh-CN"/>
              </w:rPr>
              <w:t>约</w:t>
            </w:r>
            <w:r>
              <w:rPr>
                <w:rFonts w:hint="eastAsia"/>
                <w:color w:val="auto"/>
                <w:spacing w:val="-2"/>
                <w:sz w:val="24"/>
                <w:szCs w:val="24"/>
                <w:highlight w:val="none"/>
              </w:rPr>
              <w:t>为</w:t>
            </w:r>
            <w:r>
              <w:rPr>
                <w:rFonts w:hint="eastAsia"/>
                <w:color w:val="auto"/>
                <w:spacing w:val="-2"/>
                <w:sz w:val="24"/>
                <w:szCs w:val="24"/>
                <w:highlight w:val="none"/>
                <w:lang w:val="en-US" w:eastAsia="zh-CN"/>
              </w:rPr>
              <w:t>1.5</w:t>
            </w:r>
            <w:r>
              <w:rPr>
                <w:rFonts w:hint="eastAsia"/>
                <w:color w:val="auto"/>
                <w:spacing w:val="-2"/>
                <w:sz w:val="24"/>
                <w:szCs w:val="24"/>
                <w:highlight w:val="none"/>
              </w:rPr>
              <w:t>min，</w:t>
            </w:r>
            <w:r>
              <w:rPr>
                <w:rFonts w:hint="eastAsia"/>
                <w:color w:val="auto"/>
                <w:spacing w:val="-2"/>
                <w:sz w:val="24"/>
                <w:szCs w:val="24"/>
                <w:highlight w:val="none"/>
                <w:lang w:val="en-US" w:eastAsia="zh-CN"/>
              </w:rPr>
              <w:t>根据企业提供资料，</w:t>
            </w:r>
            <w:r>
              <w:rPr>
                <w:color w:val="auto"/>
                <w:spacing w:val="-2"/>
                <w:sz w:val="24"/>
                <w:szCs w:val="24"/>
                <w:highlight w:val="none"/>
              </w:rPr>
              <w:t>每周</w:t>
            </w:r>
            <w:r>
              <w:rPr>
                <w:rFonts w:hint="eastAsia"/>
                <w:color w:val="auto"/>
                <w:spacing w:val="-2"/>
                <w:sz w:val="24"/>
                <w:szCs w:val="24"/>
                <w:highlight w:val="none"/>
                <w:lang w:val="en-US" w:eastAsia="zh-CN"/>
              </w:rPr>
              <w:t>最大</w:t>
            </w:r>
            <w:r>
              <w:rPr>
                <w:color w:val="auto"/>
                <w:spacing w:val="-2"/>
                <w:sz w:val="24"/>
                <w:szCs w:val="24"/>
                <w:highlight w:val="none"/>
              </w:rPr>
              <w:t>曝光次数为</w:t>
            </w:r>
            <w:r>
              <w:rPr>
                <w:rFonts w:hint="eastAsia"/>
                <w:color w:val="auto"/>
                <w:spacing w:val="-2"/>
                <w:sz w:val="24"/>
                <w:szCs w:val="24"/>
                <w:highlight w:val="none"/>
                <w:lang w:val="en-US" w:eastAsia="zh-CN"/>
              </w:rPr>
              <w:t>24</w:t>
            </w:r>
            <w:r>
              <w:rPr>
                <w:color w:val="auto"/>
                <w:spacing w:val="-2"/>
                <w:sz w:val="24"/>
                <w:szCs w:val="24"/>
                <w:highlight w:val="none"/>
              </w:rPr>
              <w:t>次。则</w:t>
            </w:r>
            <w:r>
              <w:rPr>
                <w:rFonts w:hint="eastAsia"/>
                <w:color w:val="auto"/>
                <w:spacing w:val="-2"/>
                <w:sz w:val="24"/>
                <w:szCs w:val="24"/>
                <w:highlight w:val="none"/>
              </w:rPr>
              <w:t>本项目探伤房</w:t>
            </w:r>
            <w:r>
              <w:rPr>
                <w:color w:val="auto"/>
                <w:spacing w:val="-2"/>
                <w:sz w:val="24"/>
                <w:szCs w:val="24"/>
                <w:highlight w:val="none"/>
              </w:rPr>
              <w:t>周工作负荷W=5mA×</w:t>
            </w:r>
            <w:r>
              <w:rPr>
                <w:rFonts w:hint="eastAsia"/>
                <w:color w:val="auto"/>
                <w:spacing w:val="-2"/>
                <w:sz w:val="24"/>
                <w:szCs w:val="24"/>
                <w:highlight w:val="none"/>
                <w:lang w:val="en-US" w:eastAsia="zh-CN"/>
              </w:rPr>
              <w:t>1.5</w:t>
            </w:r>
            <w:r>
              <w:rPr>
                <w:color w:val="auto"/>
                <w:spacing w:val="-2"/>
                <w:sz w:val="24"/>
                <w:szCs w:val="24"/>
                <w:highlight w:val="none"/>
              </w:rPr>
              <w:t>min×</w:t>
            </w:r>
            <w:r>
              <w:rPr>
                <w:rFonts w:hint="eastAsia"/>
                <w:color w:val="auto"/>
                <w:spacing w:val="-2"/>
                <w:sz w:val="24"/>
                <w:szCs w:val="24"/>
                <w:highlight w:val="none"/>
                <w:lang w:val="en-US" w:eastAsia="zh-CN"/>
              </w:rPr>
              <w:t>24</w:t>
            </w:r>
            <w:r>
              <w:rPr>
                <w:color w:val="auto"/>
                <w:spacing w:val="-2"/>
                <w:sz w:val="24"/>
                <w:szCs w:val="24"/>
                <w:highlight w:val="none"/>
              </w:rPr>
              <w:t>次/周=</w:t>
            </w:r>
            <w:r>
              <w:rPr>
                <w:rFonts w:hint="eastAsia"/>
                <w:color w:val="auto"/>
                <w:spacing w:val="-2"/>
                <w:sz w:val="24"/>
                <w:szCs w:val="24"/>
                <w:highlight w:val="none"/>
                <w:lang w:val="en-US" w:eastAsia="zh-CN"/>
              </w:rPr>
              <w:t>180</w:t>
            </w:r>
            <w:r>
              <w:rPr>
                <w:color w:val="auto"/>
                <w:spacing w:val="-2"/>
                <w:sz w:val="24"/>
                <w:szCs w:val="24"/>
                <w:highlight w:val="none"/>
              </w:rPr>
              <w:t>mA·min/周，周照射时t=W/(60·I)=</w:t>
            </w:r>
            <w:r>
              <w:rPr>
                <w:rFonts w:hint="eastAsia"/>
                <w:color w:val="auto"/>
                <w:spacing w:val="-2"/>
                <w:sz w:val="24"/>
                <w:szCs w:val="24"/>
                <w:highlight w:val="none"/>
                <w:lang w:val="en-US" w:eastAsia="zh-CN"/>
              </w:rPr>
              <w:t>180</w:t>
            </w:r>
            <w:r>
              <w:rPr>
                <w:color w:val="auto"/>
                <w:spacing w:val="-2"/>
                <w:sz w:val="24"/>
                <w:szCs w:val="24"/>
                <w:highlight w:val="none"/>
              </w:rPr>
              <w:t>/(60×5)=</w:t>
            </w:r>
            <w:r>
              <w:rPr>
                <w:rFonts w:hint="eastAsia"/>
                <w:color w:val="auto"/>
                <w:spacing w:val="-2"/>
                <w:sz w:val="24"/>
                <w:szCs w:val="24"/>
                <w:highlight w:val="none"/>
                <w:lang w:val="en-US" w:eastAsia="zh-CN"/>
              </w:rPr>
              <w:t>0.6</w:t>
            </w:r>
            <w:r>
              <w:rPr>
                <w:color w:val="auto"/>
                <w:spacing w:val="-2"/>
                <w:sz w:val="24"/>
                <w:szCs w:val="24"/>
                <w:highlight w:val="none"/>
              </w:rPr>
              <w:t>h/周</w:t>
            </w:r>
            <w:r>
              <w:rPr>
                <w:rFonts w:hint="eastAsia"/>
                <w:color w:val="auto"/>
                <w:spacing w:val="-2"/>
                <w:sz w:val="24"/>
                <w:szCs w:val="24"/>
                <w:highlight w:val="none"/>
              </w:rPr>
              <w:t>。</w:t>
            </w:r>
          </w:p>
          <w:p w14:paraId="6AAD41F1">
            <w:pPr>
              <w:keepNext w:val="0"/>
              <w:keepLines w:val="0"/>
              <w:pageBreakBefore w:val="0"/>
              <w:widowControl w:val="0"/>
              <w:kinsoku/>
              <w:wordWrap/>
              <w:topLinePunct w:val="0"/>
              <w:autoSpaceDE/>
              <w:autoSpaceDN/>
              <w:bidi w:val="0"/>
              <w:adjustRightInd/>
              <w:snapToGrid/>
              <w:spacing w:line="360" w:lineRule="auto"/>
              <w:ind w:firstLine="472" w:firstLineChars="200"/>
              <w:textAlignment w:val="baseline"/>
              <w:rPr>
                <w:color w:val="auto"/>
                <w:spacing w:val="-2"/>
                <w:sz w:val="24"/>
                <w:szCs w:val="24"/>
                <w:highlight w:val="none"/>
              </w:rPr>
            </w:pPr>
            <w:r>
              <w:rPr>
                <w:rFonts w:hint="eastAsia"/>
                <w:color w:val="auto"/>
                <w:spacing w:val="-2"/>
                <w:sz w:val="24"/>
                <w:szCs w:val="24"/>
                <w:highlight w:val="none"/>
              </w:rPr>
              <w:t>（3）关注点剂量率参考控制水平</w:t>
            </w:r>
          </w:p>
          <w:p w14:paraId="6E147B47">
            <w:pPr>
              <w:pStyle w:val="5"/>
              <w:keepNext w:val="0"/>
              <w:keepLines w:val="0"/>
              <w:pageBreakBefore w:val="0"/>
              <w:widowControl w:val="0"/>
              <w:kinsoku/>
              <w:wordWrap/>
              <w:overflowPunct/>
              <w:topLinePunct w:val="0"/>
              <w:autoSpaceDE/>
              <w:autoSpaceDN/>
              <w:bidi w:val="0"/>
              <w:adjustRightInd/>
              <w:snapToGrid/>
              <w:spacing w:line="360" w:lineRule="auto"/>
              <w:ind w:firstLine="472"/>
              <w:textAlignment w:val="auto"/>
              <w:rPr>
                <w:color w:val="auto"/>
                <w:spacing w:val="-2"/>
                <w:sz w:val="24"/>
                <w:szCs w:val="24"/>
                <w:highlight w:val="none"/>
              </w:rPr>
            </w:pPr>
            <w:r>
              <w:rPr>
                <w:color w:val="auto"/>
                <w:spacing w:val="-2"/>
                <w:sz w:val="24"/>
                <w:szCs w:val="24"/>
                <w:highlight w:val="none"/>
              </w:rPr>
              <w:t>根据《工业X射线探伤室辐射屏蔽规范》</w:t>
            </w:r>
            <w:r>
              <w:rPr>
                <w:rFonts w:hint="eastAsia"/>
                <w:color w:val="auto"/>
                <w:spacing w:val="-2"/>
                <w:sz w:val="24"/>
                <w:szCs w:val="24"/>
                <w:highlight w:val="none"/>
                <w:lang w:eastAsia="zh-CN"/>
              </w:rPr>
              <w:t>（</w:t>
            </w:r>
            <w:r>
              <w:rPr>
                <w:color w:val="auto"/>
                <w:spacing w:val="-2"/>
                <w:sz w:val="24"/>
                <w:szCs w:val="24"/>
                <w:highlight w:val="none"/>
              </w:rPr>
              <w:t>GBZ/T250-2014</w:t>
            </w:r>
            <w:r>
              <w:rPr>
                <w:rFonts w:hint="eastAsia"/>
                <w:color w:val="auto"/>
                <w:spacing w:val="-2"/>
                <w:sz w:val="24"/>
                <w:szCs w:val="24"/>
                <w:highlight w:val="none"/>
                <w:lang w:eastAsia="zh-CN"/>
              </w:rPr>
              <w:t>）</w:t>
            </w:r>
            <w:r>
              <w:rPr>
                <w:color w:val="auto"/>
                <w:spacing w:val="-2"/>
                <w:sz w:val="24"/>
                <w:szCs w:val="24"/>
                <w:highlight w:val="none"/>
              </w:rPr>
              <w:t>，探伤室辐射屏蔽的计量参考控制水平计算公式为：</w:t>
            </w:r>
          </w:p>
          <w:p w14:paraId="76DF84ED">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spacing w:val="-2"/>
                <w:sz w:val="24"/>
                <w:szCs w:val="24"/>
                <w:highlight w:val="none"/>
              </w:rPr>
            </w:pPr>
            <m:oMathPara>
              <m:oMath>
                <m:sSub>
                  <m:sSubPr>
                    <m:ctrlPr>
                      <w:rPr>
                        <w:rFonts w:ascii="Cambria Math" w:hAnsi="Cambria Math"/>
                        <w:color w:val="auto"/>
                        <w:spacing w:val="-2"/>
                        <w:sz w:val="24"/>
                        <w:szCs w:val="24"/>
                        <w:highlight w:val="none"/>
                      </w:rPr>
                    </m:ctrlPr>
                  </m:sSubPr>
                  <m:e>
                    <m:acc>
                      <m:accPr>
                        <m:chr m:val="̇"/>
                        <m:ctrlPr>
                          <w:rPr>
                            <w:rFonts w:ascii="Cambria Math" w:hAnsi="Cambria Math"/>
                            <w:color w:val="auto"/>
                            <w:spacing w:val="-2"/>
                            <w:sz w:val="24"/>
                            <w:szCs w:val="24"/>
                            <w:highlight w:val="none"/>
                          </w:rPr>
                        </m:ctrlPr>
                      </m:accPr>
                      <m:e>
                        <m:r>
                          <m:rPr>
                            <m:sty m:val="p"/>
                          </m:rPr>
                          <w:rPr>
                            <w:rFonts w:ascii="Cambria Math" w:hAnsi="Cambria Math"/>
                            <w:color w:val="auto"/>
                            <w:spacing w:val="-2"/>
                            <w:sz w:val="24"/>
                            <w:szCs w:val="24"/>
                            <w:highlight w:val="none"/>
                          </w:rPr>
                          <m:t>H</m:t>
                        </m:r>
                        <m:ctrlPr>
                          <w:rPr>
                            <w:rFonts w:ascii="Cambria Math" w:hAnsi="Cambria Math"/>
                            <w:color w:val="auto"/>
                            <w:spacing w:val="-2"/>
                            <w:sz w:val="24"/>
                            <w:szCs w:val="24"/>
                            <w:highlight w:val="none"/>
                          </w:rPr>
                        </m:ctrlPr>
                      </m:e>
                    </m:acc>
                    <m:ctrlPr>
                      <w:rPr>
                        <w:rFonts w:ascii="Cambria Math" w:hAnsi="Cambria Math"/>
                        <w:color w:val="auto"/>
                        <w:spacing w:val="-2"/>
                        <w:sz w:val="24"/>
                        <w:szCs w:val="24"/>
                        <w:highlight w:val="none"/>
                      </w:rPr>
                    </m:ctrlPr>
                  </m:e>
                  <m:sub>
                    <m:r>
                      <m:rPr>
                        <m:sty m:val="p"/>
                      </m:rPr>
                      <w:rPr>
                        <w:rFonts w:ascii="Cambria Math" w:hAnsi="Cambria Math"/>
                        <w:color w:val="auto"/>
                        <w:spacing w:val="-2"/>
                        <w:sz w:val="24"/>
                        <w:szCs w:val="24"/>
                        <w:highlight w:val="none"/>
                      </w:rPr>
                      <m:t>c.d</m:t>
                    </m:r>
                    <m:ctrlPr>
                      <w:rPr>
                        <w:rFonts w:ascii="Cambria Math" w:hAnsi="Cambria Math"/>
                        <w:color w:val="auto"/>
                        <w:spacing w:val="-2"/>
                        <w:sz w:val="24"/>
                        <w:szCs w:val="24"/>
                        <w:highlight w:val="none"/>
                      </w:rPr>
                    </m:ctrlPr>
                  </m:sub>
                </m:sSub>
                <m:r>
                  <m:rPr>
                    <m:sty m:val="p"/>
                  </m:rPr>
                  <w:rPr>
                    <w:rFonts w:ascii="Cambria Math" w:hAnsi="Cambria Math"/>
                    <w:color w:val="auto"/>
                    <w:spacing w:val="-2"/>
                    <w:sz w:val="24"/>
                    <w:szCs w:val="24"/>
                    <w:highlight w:val="none"/>
                  </w:rPr>
                  <m:t>=</m:t>
                </m:r>
                <m:f>
                  <m:fPr>
                    <m:ctrlPr>
                      <w:rPr>
                        <w:rFonts w:ascii="Cambria Math" w:hAnsi="Cambria Math"/>
                        <w:color w:val="auto"/>
                        <w:spacing w:val="-2"/>
                        <w:sz w:val="24"/>
                        <w:szCs w:val="24"/>
                        <w:highlight w:val="none"/>
                      </w:rPr>
                    </m:ctrlPr>
                  </m:fPr>
                  <m:num>
                    <m:sSub>
                      <m:sSubPr>
                        <m:ctrlPr>
                          <w:rPr>
                            <w:rFonts w:ascii="Cambria Math" w:hAnsi="Cambria Math"/>
                            <w:color w:val="auto"/>
                            <w:spacing w:val="-2"/>
                            <w:sz w:val="24"/>
                            <w:szCs w:val="24"/>
                            <w:highlight w:val="none"/>
                          </w:rPr>
                        </m:ctrlPr>
                      </m:sSubPr>
                      <m:e>
                        <m:r>
                          <m:rPr>
                            <m:sty m:val="p"/>
                          </m:rPr>
                          <w:rPr>
                            <w:rFonts w:ascii="Cambria Math" w:hAnsi="Cambria Math"/>
                            <w:color w:val="auto"/>
                            <w:spacing w:val="-2"/>
                            <w:sz w:val="24"/>
                            <w:szCs w:val="24"/>
                            <w:highlight w:val="none"/>
                          </w:rPr>
                          <m:t>H</m:t>
                        </m:r>
                        <m:ctrlPr>
                          <w:rPr>
                            <w:rFonts w:ascii="Cambria Math" w:hAnsi="Cambria Math"/>
                            <w:color w:val="auto"/>
                            <w:spacing w:val="-2"/>
                            <w:sz w:val="24"/>
                            <w:szCs w:val="24"/>
                            <w:highlight w:val="none"/>
                          </w:rPr>
                        </m:ctrlPr>
                      </m:e>
                      <m:sub>
                        <m:r>
                          <m:rPr>
                            <m:sty m:val="p"/>
                          </m:rPr>
                          <w:rPr>
                            <w:rFonts w:ascii="Cambria Math" w:hAnsi="Cambria Math"/>
                            <w:color w:val="auto"/>
                            <w:spacing w:val="-2"/>
                            <w:sz w:val="24"/>
                            <w:szCs w:val="24"/>
                            <w:highlight w:val="none"/>
                          </w:rPr>
                          <m:t>C</m:t>
                        </m:r>
                        <m:ctrlPr>
                          <w:rPr>
                            <w:rFonts w:ascii="Cambria Math" w:hAnsi="Cambria Math"/>
                            <w:color w:val="auto"/>
                            <w:spacing w:val="-2"/>
                            <w:sz w:val="24"/>
                            <w:szCs w:val="24"/>
                            <w:highlight w:val="none"/>
                          </w:rPr>
                        </m:ctrlPr>
                      </m:sub>
                    </m:sSub>
                    <m:ctrlPr>
                      <w:rPr>
                        <w:rFonts w:ascii="Cambria Math" w:hAnsi="Cambria Math"/>
                        <w:color w:val="auto"/>
                        <w:spacing w:val="-2"/>
                        <w:sz w:val="24"/>
                        <w:szCs w:val="24"/>
                        <w:highlight w:val="none"/>
                      </w:rPr>
                    </m:ctrlPr>
                  </m:num>
                  <m:den>
                    <m:r>
                      <m:rPr>
                        <m:sty m:val="p"/>
                      </m:rPr>
                      <w:rPr>
                        <w:rFonts w:ascii="Cambria Math" w:hAnsi="Cambria Math"/>
                        <w:color w:val="auto"/>
                        <w:spacing w:val="-2"/>
                        <w:sz w:val="24"/>
                        <w:szCs w:val="24"/>
                        <w:highlight w:val="none"/>
                      </w:rPr>
                      <m:t>t×U×T</m:t>
                    </m:r>
                    <m:ctrlPr>
                      <w:rPr>
                        <w:rFonts w:ascii="Cambria Math" w:hAnsi="Cambria Math"/>
                        <w:color w:val="auto"/>
                        <w:spacing w:val="-2"/>
                        <w:sz w:val="24"/>
                        <w:szCs w:val="24"/>
                        <w:highlight w:val="none"/>
                      </w:rPr>
                    </m:ctrlPr>
                  </m:den>
                </m:f>
              </m:oMath>
            </m:oMathPara>
          </w:p>
          <w:p w14:paraId="0D3162FD">
            <w:pPr>
              <w:pStyle w:val="5"/>
              <w:keepNext w:val="0"/>
              <w:keepLines w:val="0"/>
              <w:pageBreakBefore w:val="0"/>
              <w:widowControl w:val="0"/>
              <w:kinsoku/>
              <w:wordWrap/>
              <w:overflowPunct/>
              <w:topLinePunct w:val="0"/>
              <w:autoSpaceDE/>
              <w:autoSpaceDN/>
              <w:bidi w:val="0"/>
              <w:adjustRightInd/>
              <w:snapToGrid/>
              <w:spacing w:line="360" w:lineRule="auto"/>
              <w:ind w:firstLine="472"/>
              <w:textAlignment w:val="auto"/>
              <w:rPr>
                <w:color w:val="auto"/>
                <w:spacing w:val="-2"/>
                <w:sz w:val="24"/>
                <w:szCs w:val="24"/>
                <w:highlight w:val="none"/>
              </w:rPr>
            </w:pPr>
            <w:r>
              <w:rPr>
                <w:color w:val="auto"/>
                <w:spacing w:val="-2"/>
                <w:sz w:val="24"/>
                <w:szCs w:val="24"/>
                <w:highlight w:val="none"/>
              </w:rPr>
              <w:t>式中:</w:t>
            </w:r>
            <m:oMath>
              <m:sSub>
                <m:sSubPr>
                  <m:ctrlPr>
                    <w:rPr>
                      <w:rFonts w:ascii="Cambria Math" w:hAnsi="Cambria Math"/>
                      <w:color w:val="auto"/>
                      <w:spacing w:val="-2"/>
                      <w:sz w:val="24"/>
                      <w:szCs w:val="24"/>
                      <w:highlight w:val="none"/>
                    </w:rPr>
                  </m:ctrlPr>
                </m:sSubPr>
                <m:e>
                  <m:acc>
                    <m:accPr>
                      <m:chr m:val="̇"/>
                      <m:ctrlPr>
                        <w:rPr>
                          <w:rFonts w:ascii="Cambria Math" w:hAnsi="Cambria Math"/>
                          <w:color w:val="auto"/>
                          <w:spacing w:val="-2"/>
                          <w:sz w:val="24"/>
                          <w:szCs w:val="24"/>
                          <w:highlight w:val="none"/>
                        </w:rPr>
                      </m:ctrlPr>
                    </m:accPr>
                    <m:e>
                      <m:r>
                        <m:rPr>
                          <m:sty m:val="p"/>
                        </m:rPr>
                        <w:rPr>
                          <w:rFonts w:ascii="Cambria Math" w:hAnsi="Cambria Math"/>
                          <w:color w:val="auto"/>
                          <w:spacing w:val="-2"/>
                          <w:sz w:val="24"/>
                          <w:szCs w:val="24"/>
                          <w:highlight w:val="none"/>
                        </w:rPr>
                        <m:t>H</m:t>
                      </m:r>
                      <m:ctrlPr>
                        <w:rPr>
                          <w:rFonts w:ascii="Cambria Math" w:hAnsi="Cambria Math"/>
                          <w:color w:val="auto"/>
                          <w:spacing w:val="-2"/>
                          <w:sz w:val="24"/>
                          <w:szCs w:val="24"/>
                          <w:highlight w:val="none"/>
                        </w:rPr>
                      </m:ctrlPr>
                    </m:e>
                  </m:acc>
                  <m:ctrlPr>
                    <w:rPr>
                      <w:rFonts w:ascii="Cambria Math" w:hAnsi="Cambria Math"/>
                      <w:color w:val="auto"/>
                      <w:spacing w:val="-2"/>
                      <w:sz w:val="24"/>
                      <w:szCs w:val="24"/>
                      <w:highlight w:val="none"/>
                    </w:rPr>
                  </m:ctrlPr>
                </m:e>
                <m:sub>
                  <m:r>
                    <m:rPr>
                      <m:sty m:val="p"/>
                    </m:rPr>
                    <w:rPr>
                      <w:rFonts w:ascii="Cambria Math" w:hAnsi="Cambria Math"/>
                      <w:color w:val="auto"/>
                      <w:spacing w:val="-2"/>
                      <w:sz w:val="24"/>
                      <w:szCs w:val="24"/>
                      <w:highlight w:val="none"/>
                    </w:rPr>
                    <m:t>c.d</m:t>
                  </m:r>
                  <m:ctrlPr>
                    <w:rPr>
                      <w:rFonts w:ascii="Cambria Math" w:hAnsi="Cambria Math"/>
                      <w:color w:val="auto"/>
                      <w:spacing w:val="-2"/>
                      <w:sz w:val="24"/>
                      <w:szCs w:val="24"/>
                      <w:highlight w:val="none"/>
                    </w:rPr>
                  </m:ctrlPr>
                </m:sub>
              </m:sSub>
            </m:oMath>
            <w:r>
              <w:rPr>
                <w:rFonts w:hint="eastAsia"/>
                <w:color w:val="auto"/>
                <w:spacing w:val="-2"/>
                <w:sz w:val="24"/>
                <w:szCs w:val="24"/>
                <w:highlight w:val="none"/>
              </w:rPr>
              <w:t>：</w:t>
            </w:r>
            <w:r>
              <w:rPr>
                <w:color w:val="auto"/>
                <w:spacing w:val="-2"/>
                <w:sz w:val="24"/>
                <w:szCs w:val="24"/>
                <w:highlight w:val="none"/>
              </w:rPr>
              <w:t>导出剂量率参考控制水平，μSv/h；</w:t>
            </w:r>
          </w:p>
          <w:p w14:paraId="34B261F3">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spacing w:val="-2"/>
                <w:sz w:val="24"/>
                <w:szCs w:val="24"/>
                <w:highlight w:val="none"/>
              </w:rPr>
            </w:pPr>
            <m:oMath>
              <m:sSub>
                <m:sSubPr>
                  <m:ctrlPr>
                    <w:rPr>
                      <w:rFonts w:ascii="Cambria Math" w:hAnsi="Cambria Math"/>
                      <w:color w:val="auto"/>
                      <w:spacing w:val="-2"/>
                      <w:sz w:val="24"/>
                      <w:szCs w:val="24"/>
                      <w:highlight w:val="none"/>
                    </w:rPr>
                  </m:ctrlPr>
                </m:sSubPr>
                <m:e>
                  <m:r>
                    <m:rPr>
                      <m:sty m:val="p"/>
                    </m:rPr>
                    <w:rPr>
                      <w:rFonts w:ascii="Cambria Math" w:hAnsi="Cambria Math"/>
                      <w:color w:val="auto"/>
                      <w:spacing w:val="-2"/>
                      <w:sz w:val="24"/>
                      <w:szCs w:val="24"/>
                      <w:highlight w:val="none"/>
                    </w:rPr>
                    <m:t>H</m:t>
                  </m:r>
                  <m:ctrlPr>
                    <w:rPr>
                      <w:rFonts w:ascii="Cambria Math" w:hAnsi="Cambria Math"/>
                      <w:color w:val="auto"/>
                      <w:spacing w:val="-2"/>
                      <w:sz w:val="24"/>
                      <w:szCs w:val="24"/>
                      <w:highlight w:val="none"/>
                    </w:rPr>
                  </m:ctrlPr>
                </m:e>
                <m:sub>
                  <m:r>
                    <m:rPr>
                      <m:sty m:val="p"/>
                    </m:rPr>
                    <w:rPr>
                      <w:rFonts w:ascii="Cambria Math" w:hAnsi="Cambria Math"/>
                      <w:color w:val="auto"/>
                      <w:spacing w:val="-2"/>
                      <w:sz w:val="24"/>
                      <w:szCs w:val="24"/>
                      <w:highlight w:val="none"/>
                    </w:rPr>
                    <m:t>C</m:t>
                  </m:r>
                  <m:ctrlPr>
                    <w:rPr>
                      <w:rFonts w:ascii="Cambria Math" w:hAnsi="Cambria Math"/>
                      <w:color w:val="auto"/>
                      <w:spacing w:val="-2"/>
                      <w:sz w:val="24"/>
                      <w:szCs w:val="24"/>
                      <w:highlight w:val="none"/>
                    </w:rPr>
                  </m:ctrlPr>
                </m:sub>
              </m:sSub>
            </m:oMath>
            <w:r>
              <w:rPr>
                <w:rFonts w:hint="eastAsia"/>
                <w:color w:val="auto"/>
                <w:spacing w:val="-2"/>
                <w:sz w:val="24"/>
                <w:szCs w:val="24"/>
                <w:highlight w:val="none"/>
              </w:rPr>
              <w:t>：</w:t>
            </w:r>
            <w:r>
              <w:rPr>
                <w:color w:val="auto"/>
                <w:spacing w:val="-2"/>
                <w:sz w:val="24"/>
                <w:szCs w:val="24"/>
                <w:highlight w:val="none"/>
              </w:rPr>
              <w:t>周剂量参考控制水平；</w:t>
            </w:r>
          </w:p>
          <w:p w14:paraId="5DDCC471">
            <w:pPr>
              <w:pStyle w:val="5"/>
              <w:keepNext w:val="0"/>
              <w:keepLines w:val="0"/>
              <w:pageBreakBefore w:val="0"/>
              <w:widowControl w:val="0"/>
              <w:kinsoku/>
              <w:wordWrap/>
              <w:overflowPunct/>
              <w:topLinePunct w:val="0"/>
              <w:autoSpaceDE/>
              <w:autoSpaceDN/>
              <w:bidi w:val="0"/>
              <w:adjustRightInd/>
              <w:snapToGrid/>
              <w:spacing w:line="360" w:lineRule="auto"/>
              <w:ind w:firstLine="472"/>
              <w:textAlignment w:val="auto"/>
              <w:rPr>
                <w:color w:val="auto"/>
                <w:spacing w:val="-2"/>
                <w:sz w:val="24"/>
                <w:szCs w:val="24"/>
                <w:highlight w:val="none"/>
              </w:rPr>
            </w:pPr>
            <w:r>
              <w:rPr>
                <w:color w:val="auto"/>
                <w:spacing w:val="-2"/>
                <w:sz w:val="24"/>
                <w:szCs w:val="24"/>
                <w:highlight w:val="none"/>
              </w:rPr>
              <w:t>职业工作人员：H</w:t>
            </w:r>
            <w:r>
              <w:rPr>
                <w:color w:val="auto"/>
                <w:spacing w:val="-2"/>
                <w:sz w:val="24"/>
                <w:szCs w:val="24"/>
                <w:highlight w:val="none"/>
                <w:vertAlign w:val="subscript"/>
              </w:rPr>
              <w:t>c</w:t>
            </w:r>
            <w:r>
              <w:rPr>
                <w:color w:val="auto"/>
                <w:spacing w:val="-2"/>
                <w:sz w:val="24"/>
                <w:szCs w:val="24"/>
                <w:highlight w:val="none"/>
              </w:rPr>
              <w:t>≤100μSv/周；公众：H</w:t>
            </w:r>
            <w:r>
              <w:rPr>
                <w:color w:val="auto"/>
                <w:spacing w:val="-2"/>
                <w:sz w:val="24"/>
                <w:szCs w:val="24"/>
                <w:highlight w:val="none"/>
                <w:vertAlign w:val="subscript"/>
              </w:rPr>
              <w:t>c</w:t>
            </w:r>
            <w:r>
              <w:rPr>
                <w:color w:val="auto"/>
                <w:spacing w:val="-2"/>
                <w:sz w:val="24"/>
                <w:szCs w:val="24"/>
                <w:highlight w:val="none"/>
              </w:rPr>
              <w:t>≤5μSv/周；</w:t>
            </w:r>
          </w:p>
          <w:p w14:paraId="333BF968">
            <w:pPr>
              <w:pStyle w:val="5"/>
              <w:keepNext w:val="0"/>
              <w:keepLines w:val="0"/>
              <w:pageBreakBefore w:val="0"/>
              <w:widowControl w:val="0"/>
              <w:kinsoku/>
              <w:wordWrap/>
              <w:overflowPunct/>
              <w:topLinePunct w:val="0"/>
              <w:autoSpaceDE/>
              <w:autoSpaceDN/>
              <w:bidi w:val="0"/>
              <w:adjustRightInd/>
              <w:snapToGrid/>
              <w:spacing w:line="360" w:lineRule="auto"/>
              <w:ind w:firstLine="472"/>
              <w:textAlignment w:val="auto"/>
              <w:rPr>
                <w:color w:val="auto"/>
                <w:spacing w:val="-2"/>
                <w:sz w:val="24"/>
                <w:szCs w:val="24"/>
                <w:highlight w:val="none"/>
              </w:rPr>
            </w:pPr>
            <w:r>
              <w:rPr>
                <w:color w:val="auto"/>
                <w:spacing w:val="-2"/>
                <w:sz w:val="24"/>
                <w:szCs w:val="24"/>
                <w:highlight w:val="none"/>
              </w:rPr>
              <w:t>U</w:t>
            </w:r>
            <w:r>
              <w:rPr>
                <w:rFonts w:hint="eastAsia"/>
                <w:color w:val="auto"/>
                <w:spacing w:val="-2"/>
                <w:sz w:val="24"/>
                <w:szCs w:val="24"/>
                <w:highlight w:val="none"/>
              </w:rPr>
              <w:t>：</w:t>
            </w:r>
            <w:r>
              <w:rPr>
                <w:color w:val="auto"/>
                <w:spacing w:val="-2"/>
                <w:sz w:val="24"/>
                <w:szCs w:val="24"/>
                <w:highlight w:val="none"/>
              </w:rPr>
              <w:t>探伤装置向关注点照射的使用因子，项目探伤</w:t>
            </w:r>
            <w:r>
              <w:rPr>
                <w:rFonts w:hint="eastAsia"/>
                <w:color w:val="auto"/>
                <w:spacing w:val="-2"/>
                <w:sz w:val="24"/>
                <w:szCs w:val="24"/>
                <w:highlight w:val="none"/>
              </w:rPr>
              <w:t>房</w:t>
            </w:r>
            <w:r>
              <w:rPr>
                <w:color w:val="auto"/>
                <w:spacing w:val="-2"/>
                <w:sz w:val="24"/>
                <w:szCs w:val="24"/>
                <w:highlight w:val="none"/>
              </w:rPr>
              <w:t>共有</w:t>
            </w:r>
            <w:r>
              <w:rPr>
                <w:rFonts w:hint="eastAsia"/>
                <w:color w:val="auto"/>
                <w:spacing w:val="-2"/>
                <w:sz w:val="24"/>
                <w:szCs w:val="24"/>
                <w:highlight w:val="none"/>
                <w:lang w:val="en-US" w:eastAsia="zh-CN"/>
              </w:rPr>
              <w:t>1</w:t>
            </w:r>
            <w:r>
              <w:rPr>
                <w:color w:val="auto"/>
                <w:spacing w:val="-2"/>
                <w:sz w:val="24"/>
                <w:szCs w:val="24"/>
                <w:highlight w:val="none"/>
              </w:rPr>
              <w:t>台探伤机，定向探伤机照射方向为</w:t>
            </w:r>
            <w:r>
              <w:rPr>
                <w:rFonts w:hint="eastAsia"/>
                <w:color w:val="auto"/>
                <w:spacing w:val="-2"/>
                <w:sz w:val="24"/>
                <w:szCs w:val="24"/>
                <w:highlight w:val="none"/>
                <w:lang w:val="en-US" w:eastAsia="zh-CN"/>
              </w:rPr>
              <w:t>西</w:t>
            </w:r>
            <w:r>
              <w:rPr>
                <w:color w:val="auto"/>
                <w:spacing w:val="-2"/>
                <w:sz w:val="24"/>
                <w:szCs w:val="24"/>
                <w:highlight w:val="none"/>
              </w:rPr>
              <w:t>墙方向，评价综合考虑进行取值；</w:t>
            </w:r>
          </w:p>
          <w:p w14:paraId="2DCA788F">
            <w:pPr>
              <w:pStyle w:val="5"/>
              <w:keepNext w:val="0"/>
              <w:keepLines w:val="0"/>
              <w:pageBreakBefore w:val="0"/>
              <w:widowControl w:val="0"/>
              <w:kinsoku/>
              <w:wordWrap/>
              <w:overflowPunct/>
              <w:topLinePunct w:val="0"/>
              <w:autoSpaceDE/>
              <w:autoSpaceDN/>
              <w:bidi w:val="0"/>
              <w:adjustRightInd/>
              <w:snapToGrid/>
              <w:spacing w:line="360" w:lineRule="auto"/>
              <w:ind w:firstLine="472"/>
              <w:textAlignment w:val="auto"/>
              <w:rPr>
                <w:color w:val="auto"/>
                <w:spacing w:val="-2"/>
                <w:sz w:val="24"/>
                <w:szCs w:val="24"/>
                <w:highlight w:val="none"/>
              </w:rPr>
            </w:pPr>
            <w:r>
              <w:rPr>
                <w:color w:val="auto"/>
                <w:spacing w:val="-2"/>
                <w:sz w:val="24"/>
                <w:szCs w:val="24"/>
                <w:highlight w:val="none"/>
              </w:rPr>
              <w:t>T</w:t>
            </w:r>
            <w:r>
              <w:rPr>
                <w:rFonts w:hint="eastAsia"/>
                <w:color w:val="auto"/>
                <w:spacing w:val="-2"/>
                <w:sz w:val="24"/>
                <w:szCs w:val="24"/>
                <w:highlight w:val="none"/>
              </w:rPr>
              <w:t>：</w:t>
            </w:r>
            <w:r>
              <w:rPr>
                <w:color w:val="auto"/>
                <w:spacing w:val="-2"/>
                <w:sz w:val="24"/>
                <w:szCs w:val="24"/>
                <w:highlight w:val="none"/>
              </w:rPr>
              <w:t>人员在相应关注点驻留的居留因子；</w:t>
            </w:r>
          </w:p>
          <w:p w14:paraId="0850ADA9">
            <w:pPr>
              <w:pStyle w:val="5"/>
              <w:keepNext w:val="0"/>
              <w:keepLines w:val="0"/>
              <w:pageBreakBefore w:val="0"/>
              <w:widowControl w:val="0"/>
              <w:kinsoku/>
              <w:wordWrap/>
              <w:overflowPunct/>
              <w:topLinePunct w:val="0"/>
              <w:autoSpaceDE/>
              <w:autoSpaceDN/>
              <w:bidi w:val="0"/>
              <w:adjustRightInd/>
              <w:snapToGrid/>
              <w:spacing w:line="360" w:lineRule="auto"/>
              <w:ind w:firstLine="472"/>
              <w:textAlignment w:val="auto"/>
              <w:rPr>
                <w:color w:val="auto"/>
                <w:spacing w:val="-2"/>
                <w:sz w:val="24"/>
                <w:szCs w:val="24"/>
                <w:highlight w:val="none"/>
              </w:rPr>
            </w:pPr>
            <w:r>
              <w:rPr>
                <w:rFonts w:hint="eastAsia"/>
                <w:color w:val="auto"/>
                <w:spacing w:val="-2"/>
                <w:sz w:val="24"/>
                <w:szCs w:val="24"/>
                <w:highlight w:val="none"/>
              </w:rPr>
              <w:t>t：</w:t>
            </w:r>
            <w:r>
              <w:rPr>
                <w:color w:val="auto"/>
                <w:spacing w:val="-2"/>
                <w:sz w:val="24"/>
                <w:szCs w:val="24"/>
                <w:highlight w:val="none"/>
              </w:rPr>
              <w:t>探伤装置周工作时间，</w:t>
            </w:r>
            <w:r>
              <w:rPr>
                <w:rFonts w:hint="eastAsia"/>
                <w:color w:val="auto"/>
                <w:spacing w:val="-2"/>
                <w:sz w:val="24"/>
                <w:szCs w:val="24"/>
                <w:highlight w:val="none"/>
                <w:lang w:val="en-US" w:eastAsia="zh-CN"/>
              </w:rPr>
              <w:t>0.6</w:t>
            </w:r>
            <w:r>
              <w:rPr>
                <w:color w:val="auto"/>
                <w:spacing w:val="-2"/>
                <w:sz w:val="24"/>
                <w:szCs w:val="24"/>
                <w:highlight w:val="none"/>
              </w:rPr>
              <w:t>h。</w:t>
            </w:r>
          </w:p>
          <w:p w14:paraId="678B39EF">
            <w:pPr>
              <w:pStyle w:val="110"/>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highlight w:val="none"/>
              </w:rPr>
            </w:pPr>
            <w:r>
              <w:rPr>
                <w:color w:val="auto"/>
                <w:highlight w:val="none"/>
              </w:rPr>
              <w:t>各</w:t>
            </w:r>
            <w:r>
              <w:rPr>
                <w:rFonts w:hint="eastAsia"/>
                <w:color w:val="auto"/>
                <w:highlight w:val="none"/>
              </w:rPr>
              <w:t>关注点</w:t>
            </w:r>
            <w:r>
              <w:rPr>
                <w:color w:val="auto"/>
                <w:highlight w:val="none"/>
              </w:rPr>
              <w:t>参数选取及计算结果如</w:t>
            </w:r>
            <w:r>
              <w:rPr>
                <w:rFonts w:hint="eastAsia"/>
                <w:color w:val="auto"/>
                <w:highlight w:val="none"/>
              </w:rPr>
              <w:t>下表</w:t>
            </w:r>
            <w:r>
              <w:rPr>
                <w:color w:val="auto"/>
                <w:highlight w:val="none"/>
              </w:rPr>
              <w:t>所示</w:t>
            </w:r>
            <w:r>
              <w:rPr>
                <w:rFonts w:hint="eastAsia"/>
                <w:color w:val="auto"/>
                <w:highlight w:val="none"/>
              </w:rPr>
              <w:t>：</w:t>
            </w:r>
          </w:p>
          <w:p w14:paraId="0D73551D">
            <w:pPr>
              <w:pStyle w:val="96"/>
              <w:ind w:firstLine="422"/>
              <w:rPr>
                <w:rFonts w:eastAsia="宋体" w:cs="Times New Roman"/>
                <w:b/>
                <w:color w:val="auto"/>
                <w:kern w:val="2"/>
                <w:sz w:val="21"/>
                <w:szCs w:val="21"/>
                <w:highlight w:val="none"/>
              </w:rPr>
            </w:pPr>
            <w:r>
              <w:rPr>
                <w:rFonts w:hint="eastAsia" w:eastAsia="宋体" w:cs="Times New Roman"/>
                <w:b/>
                <w:color w:val="auto"/>
                <w:kern w:val="2"/>
                <w:sz w:val="21"/>
                <w:szCs w:val="21"/>
                <w:highlight w:val="none"/>
              </w:rPr>
              <w:t>表11-</w:t>
            </w:r>
            <w:r>
              <w:rPr>
                <w:rFonts w:hint="eastAsia" w:eastAsia="宋体" w:cs="Times New Roman"/>
                <w:b/>
                <w:color w:val="auto"/>
                <w:kern w:val="2"/>
                <w:sz w:val="21"/>
                <w:szCs w:val="21"/>
                <w:highlight w:val="none"/>
                <w:lang w:val="en-US" w:eastAsia="zh-CN"/>
              </w:rPr>
              <w:t>7</w:t>
            </w:r>
            <w:r>
              <w:rPr>
                <w:rFonts w:hint="eastAsia" w:eastAsia="宋体" w:cs="Times New Roman"/>
                <w:b/>
                <w:color w:val="auto"/>
                <w:kern w:val="2"/>
                <w:sz w:val="21"/>
                <w:szCs w:val="21"/>
                <w:highlight w:val="none"/>
              </w:rPr>
              <w:t xml:space="preserve"> 探伤房周围关注点控制剂量水平参数选取及计算结果表</w:t>
            </w:r>
          </w:p>
          <w:tbl>
            <w:tblPr>
              <w:tblStyle w:val="36"/>
              <w:tblW w:w="4981"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922"/>
              <w:gridCol w:w="747"/>
              <w:gridCol w:w="711"/>
              <w:gridCol w:w="938"/>
              <w:gridCol w:w="1027"/>
              <w:gridCol w:w="878"/>
              <w:gridCol w:w="1059"/>
              <w:gridCol w:w="1126"/>
            </w:tblGrid>
            <w:tr w14:paraId="1577FA8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40" w:hRule="atLeast"/>
                <w:jc w:val="center"/>
              </w:trPr>
              <w:tc>
                <w:tcPr>
                  <w:tcW w:w="1143" w:type="pct"/>
                  <w:tcBorders>
                    <w:tl2br w:val="nil"/>
                    <w:tr2bl w:val="nil"/>
                  </w:tcBorders>
                  <w:shd w:val="clear" w:color="auto" w:fill="auto"/>
                  <w:vAlign w:val="center"/>
                </w:tcPr>
                <w:p w14:paraId="473FE90F">
                  <w:pPr>
                    <w:pStyle w:val="97"/>
                    <w:snapToGrid w:val="0"/>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关注点参数</w:t>
                  </w:r>
                </w:p>
              </w:tc>
              <w:tc>
                <w:tcPr>
                  <w:tcW w:w="444" w:type="pct"/>
                  <w:tcBorders>
                    <w:tl2br w:val="nil"/>
                    <w:tr2bl w:val="nil"/>
                  </w:tcBorders>
                  <w:shd w:val="clear" w:color="auto" w:fill="auto"/>
                  <w:vAlign w:val="center"/>
                </w:tcPr>
                <w:p w14:paraId="54C5D0DA">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使用</w:t>
                  </w:r>
                </w:p>
                <w:p w14:paraId="431ED374">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因子</w:t>
                  </w:r>
                </w:p>
              </w:tc>
              <w:tc>
                <w:tcPr>
                  <w:tcW w:w="423" w:type="pct"/>
                  <w:tcBorders>
                    <w:tl2br w:val="nil"/>
                    <w:tr2bl w:val="nil"/>
                  </w:tcBorders>
                  <w:shd w:val="clear" w:color="auto" w:fill="auto"/>
                  <w:vAlign w:val="center"/>
                </w:tcPr>
                <w:p w14:paraId="60068FFB">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居留</w:t>
                  </w:r>
                </w:p>
                <w:p w14:paraId="37DA5824">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因子</w:t>
                  </w:r>
                </w:p>
              </w:tc>
              <w:tc>
                <w:tcPr>
                  <w:tcW w:w="558" w:type="pct"/>
                  <w:tcBorders>
                    <w:tl2br w:val="nil"/>
                    <w:tr2bl w:val="nil"/>
                  </w:tcBorders>
                  <w:shd w:val="clear" w:color="auto" w:fill="auto"/>
                  <w:vAlign w:val="center"/>
                </w:tcPr>
                <w:p w14:paraId="0399AFB4">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受照射</w:t>
                  </w:r>
                </w:p>
                <w:p w14:paraId="3417BBFC">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类型</w:t>
                  </w:r>
                </w:p>
              </w:tc>
              <w:tc>
                <w:tcPr>
                  <w:tcW w:w="611" w:type="pct"/>
                  <w:tcBorders>
                    <w:tl2br w:val="nil"/>
                    <w:tr2bl w:val="nil"/>
                  </w:tcBorders>
                  <w:shd w:val="clear" w:color="auto" w:fill="auto"/>
                  <w:vAlign w:val="center"/>
                </w:tcPr>
                <w:p w14:paraId="1F8A9CEE">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H</w:t>
                  </w:r>
                  <w:r>
                    <w:rPr>
                      <w:rFonts w:cs="Times New Roman"/>
                      <w:b/>
                      <w:bCs w:val="0"/>
                      <w:color w:val="auto"/>
                      <w:sz w:val="21"/>
                      <w:szCs w:val="21"/>
                      <w:highlight w:val="none"/>
                      <w:vertAlign w:val="subscript"/>
                    </w:rPr>
                    <w:t>c</w:t>
                  </w:r>
                </w:p>
                <w:p w14:paraId="5237B84D">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(μSv/周)</w:t>
                  </w:r>
                </w:p>
              </w:tc>
              <w:tc>
                <w:tcPr>
                  <w:tcW w:w="522" w:type="pct"/>
                  <w:tcBorders>
                    <w:tl2br w:val="nil"/>
                    <w:tr2bl w:val="nil"/>
                  </w:tcBorders>
                  <w:shd w:val="clear" w:color="auto" w:fill="auto"/>
                  <w:vAlign w:val="center"/>
                </w:tcPr>
                <w:p w14:paraId="23E475E1">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Ḣ</w:t>
                  </w:r>
                  <w:r>
                    <w:rPr>
                      <w:rFonts w:cs="Times New Roman"/>
                      <w:b/>
                      <w:bCs w:val="0"/>
                      <w:color w:val="auto"/>
                      <w:sz w:val="21"/>
                      <w:szCs w:val="21"/>
                      <w:highlight w:val="none"/>
                      <w:vertAlign w:val="subscript"/>
                    </w:rPr>
                    <w:t>c,d</w:t>
                  </w:r>
                </w:p>
                <w:p w14:paraId="639D9923">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(μSv/h)</w:t>
                  </w:r>
                </w:p>
              </w:tc>
              <w:tc>
                <w:tcPr>
                  <w:tcW w:w="630" w:type="pct"/>
                  <w:tcBorders>
                    <w:tl2br w:val="nil"/>
                    <w:tr2bl w:val="nil"/>
                  </w:tcBorders>
                  <w:shd w:val="clear" w:color="auto" w:fill="auto"/>
                  <w:vAlign w:val="center"/>
                </w:tcPr>
                <w:p w14:paraId="27998762">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关注点最高剂量率控制水平</w:t>
                  </w:r>
                </w:p>
              </w:tc>
              <w:tc>
                <w:tcPr>
                  <w:tcW w:w="665" w:type="pct"/>
                  <w:tcBorders>
                    <w:tl2br w:val="nil"/>
                    <w:tr2bl w:val="nil"/>
                  </w:tcBorders>
                  <w:shd w:val="clear" w:color="auto" w:fill="auto"/>
                  <w:vAlign w:val="center"/>
                </w:tcPr>
                <w:p w14:paraId="20F13EE9">
                  <w:pPr>
                    <w:pStyle w:val="97"/>
                    <w:spacing w:line="240" w:lineRule="auto"/>
                    <w:ind w:firstLine="0" w:firstLineChars="0"/>
                    <w:jc w:val="center"/>
                    <w:rPr>
                      <w:rFonts w:cs="Times New Roman"/>
                      <w:b/>
                      <w:bCs w:val="0"/>
                      <w:color w:val="auto"/>
                      <w:sz w:val="21"/>
                      <w:szCs w:val="21"/>
                      <w:highlight w:val="none"/>
                    </w:rPr>
                  </w:pPr>
                  <w:r>
                    <w:rPr>
                      <w:rFonts w:cs="Times New Roman"/>
                      <w:b/>
                      <w:bCs w:val="0"/>
                      <w:color w:val="auto"/>
                      <w:sz w:val="21"/>
                      <w:szCs w:val="21"/>
                      <w:highlight w:val="none"/>
                    </w:rPr>
                    <w:t>关注点剂量率参考控制水平</w:t>
                  </w:r>
                </w:p>
              </w:tc>
            </w:tr>
            <w:tr w14:paraId="1F590F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43" w:type="pct"/>
                  <w:tcBorders>
                    <w:tl2br w:val="nil"/>
                    <w:tr2bl w:val="nil"/>
                  </w:tcBorders>
                  <w:shd w:val="clear" w:color="auto" w:fill="auto"/>
                  <w:vAlign w:val="center"/>
                </w:tcPr>
                <w:p w14:paraId="4ACA8F60">
                  <w:pPr>
                    <w:widowControl/>
                    <w:jc w:val="center"/>
                    <w:textAlignment w:val="center"/>
                    <w:rPr>
                      <w:color w:val="auto"/>
                      <w:szCs w:val="21"/>
                      <w:highlight w:val="none"/>
                    </w:rPr>
                  </w:pPr>
                  <w:r>
                    <w:rPr>
                      <w:rFonts w:hint="eastAsia"/>
                      <w:color w:val="auto"/>
                      <w:kern w:val="0"/>
                      <w:szCs w:val="21"/>
                      <w:highlight w:val="none"/>
                      <w:lang w:bidi="ar"/>
                    </w:rPr>
                    <w:t>东</w:t>
                  </w:r>
                  <w:r>
                    <w:rPr>
                      <w:color w:val="auto"/>
                      <w:kern w:val="0"/>
                      <w:szCs w:val="21"/>
                      <w:highlight w:val="none"/>
                      <w:lang w:bidi="ar"/>
                    </w:rPr>
                    <w:t>侧屏蔽墙外30cm处</w:t>
                  </w:r>
                  <w:r>
                    <w:rPr>
                      <w:rFonts w:hint="eastAsia"/>
                      <w:color w:val="auto"/>
                      <w:kern w:val="0"/>
                      <w:szCs w:val="21"/>
                      <w:highlight w:val="none"/>
                      <w:lang w:bidi="ar"/>
                    </w:rPr>
                    <w:t>（洗片室</w:t>
                  </w:r>
                  <w:r>
                    <w:rPr>
                      <w:rFonts w:hint="eastAsia"/>
                      <w:color w:val="auto"/>
                      <w:kern w:val="0"/>
                      <w:szCs w:val="21"/>
                      <w:highlight w:val="none"/>
                      <w:lang w:eastAsia="zh-CN" w:bidi="ar"/>
                    </w:rPr>
                    <w:t>、</w:t>
                  </w:r>
                  <w:r>
                    <w:rPr>
                      <w:rFonts w:hint="eastAsia"/>
                      <w:color w:val="auto"/>
                      <w:kern w:val="0"/>
                      <w:szCs w:val="21"/>
                      <w:highlight w:val="none"/>
                      <w:lang w:val="en-US" w:eastAsia="zh-CN" w:bidi="ar"/>
                    </w:rPr>
                    <w:t>操作室</w:t>
                  </w:r>
                  <w:r>
                    <w:rPr>
                      <w:rFonts w:hint="eastAsia"/>
                      <w:color w:val="auto"/>
                      <w:kern w:val="0"/>
                      <w:szCs w:val="21"/>
                      <w:highlight w:val="none"/>
                      <w:lang w:bidi="ar"/>
                    </w:rPr>
                    <w:t>）</w:t>
                  </w:r>
                </w:p>
              </w:tc>
              <w:tc>
                <w:tcPr>
                  <w:tcW w:w="444" w:type="pct"/>
                  <w:tcBorders>
                    <w:tl2br w:val="nil"/>
                    <w:tr2bl w:val="nil"/>
                  </w:tcBorders>
                  <w:shd w:val="clear" w:color="auto" w:fill="auto"/>
                  <w:vAlign w:val="center"/>
                </w:tcPr>
                <w:p w14:paraId="65508168">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1</w:t>
                  </w:r>
                </w:p>
              </w:tc>
              <w:tc>
                <w:tcPr>
                  <w:tcW w:w="423" w:type="pct"/>
                  <w:tcBorders>
                    <w:tl2br w:val="nil"/>
                    <w:tr2bl w:val="nil"/>
                  </w:tcBorders>
                  <w:shd w:val="clear" w:color="auto" w:fill="auto"/>
                  <w:vAlign w:val="center"/>
                </w:tcPr>
                <w:p w14:paraId="3CD83BD7">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1</w:t>
                  </w:r>
                </w:p>
              </w:tc>
              <w:tc>
                <w:tcPr>
                  <w:tcW w:w="558" w:type="pct"/>
                  <w:tcBorders>
                    <w:tl2br w:val="nil"/>
                    <w:tr2bl w:val="nil"/>
                  </w:tcBorders>
                  <w:shd w:val="clear" w:color="auto" w:fill="auto"/>
                  <w:vAlign w:val="center"/>
                </w:tcPr>
                <w:p w14:paraId="731CAA8B">
                  <w:pPr>
                    <w:pStyle w:val="97"/>
                    <w:spacing w:line="240" w:lineRule="auto"/>
                    <w:ind w:firstLine="0" w:firstLineChars="0"/>
                    <w:jc w:val="center"/>
                    <w:rPr>
                      <w:rFonts w:hint="eastAsia" w:cs="Times New Roman"/>
                      <w:color w:val="auto"/>
                      <w:sz w:val="21"/>
                      <w:szCs w:val="21"/>
                      <w:highlight w:val="none"/>
                    </w:rPr>
                  </w:pPr>
                  <w:r>
                    <w:rPr>
                      <w:rFonts w:hint="eastAsia" w:cs="Times New Roman"/>
                      <w:color w:val="auto"/>
                      <w:sz w:val="21"/>
                      <w:szCs w:val="21"/>
                      <w:highlight w:val="none"/>
                    </w:rPr>
                    <w:t>职业</w:t>
                  </w:r>
                </w:p>
                <w:p w14:paraId="75DCD3E4">
                  <w:pPr>
                    <w:pStyle w:val="97"/>
                    <w:spacing w:line="240" w:lineRule="auto"/>
                    <w:ind w:firstLine="0" w:firstLineChars="0"/>
                    <w:jc w:val="center"/>
                    <w:rPr>
                      <w:rFonts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rPr>
                    <w:t>人员</w:t>
                  </w:r>
                </w:p>
              </w:tc>
              <w:tc>
                <w:tcPr>
                  <w:tcW w:w="611" w:type="pct"/>
                  <w:tcBorders>
                    <w:tl2br w:val="nil"/>
                    <w:tr2bl w:val="nil"/>
                  </w:tcBorders>
                  <w:shd w:val="clear" w:color="auto" w:fill="auto"/>
                  <w:vAlign w:val="center"/>
                </w:tcPr>
                <w:p w14:paraId="647645DF">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100</w:t>
                  </w:r>
                </w:p>
              </w:tc>
              <w:tc>
                <w:tcPr>
                  <w:tcW w:w="522" w:type="pct"/>
                  <w:tcBorders>
                    <w:tl2br w:val="nil"/>
                    <w:tr2bl w:val="nil"/>
                  </w:tcBorders>
                  <w:shd w:val="clear" w:color="auto" w:fill="auto"/>
                  <w:vAlign w:val="center"/>
                </w:tcPr>
                <w:p w14:paraId="47CD0E55">
                  <w:pPr>
                    <w:pStyle w:val="97"/>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166.7</w:t>
                  </w:r>
                </w:p>
              </w:tc>
              <w:tc>
                <w:tcPr>
                  <w:tcW w:w="630" w:type="pct"/>
                  <w:tcBorders>
                    <w:tl2br w:val="nil"/>
                    <w:tr2bl w:val="nil"/>
                  </w:tcBorders>
                  <w:shd w:val="clear" w:color="auto" w:fill="auto"/>
                  <w:vAlign w:val="center"/>
                </w:tcPr>
                <w:p w14:paraId="5BE4DCD2">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2.5</w:t>
                  </w:r>
                  <w:r>
                    <w:rPr>
                      <w:rFonts w:cs="Times New Roman"/>
                      <w:color w:val="auto"/>
                      <w:sz w:val="21"/>
                      <w:szCs w:val="21"/>
                      <w:highlight w:val="none"/>
                    </w:rPr>
                    <w:t>μSv/h</w:t>
                  </w:r>
                </w:p>
              </w:tc>
              <w:tc>
                <w:tcPr>
                  <w:tcW w:w="665" w:type="pct"/>
                  <w:tcBorders>
                    <w:tl2br w:val="nil"/>
                    <w:tr2bl w:val="nil"/>
                  </w:tcBorders>
                  <w:shd w:val="clear" w:color="auto" w:fill="auto"/>
                  <w:vAlign w:val="center"/>
                </w:tcPr>
                <w:p w14:paraId="3FBD242F">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2.5</w:t>
                  </w:r>
                  <w:r>
                    <w:rPr>
                      <w:rFonts w:cs="Times New Roman"/>
                      <w:color w:val="auto"/>
                      <w:sz w:val="21"/>
                      <w:szCs w:val="21"/>
                      <w:highlight w:val="none"/>
                    </w:rPr>
                    <w:t>μSv/h</w:t>
                  </w:r>
                </w:p>
              </w:tc>
            </w:tr>
            <w:tr w14:paraId="7E9067C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43" w:type="pct"/>
                  <w:tcBorders>
                    <w:tl2br w:val="nil"/>
                    <w:tr2bl w:val="nil"/>
                  </w:tcBorders>
                  <w:shd w:val="clear" w:color="auto" w:fill="auto"/>
                  <w:vAlign w:val="center"/>
                </w:tcPr>
                <w:p w14:paraId="397BC42B">
                  <w:pPr>
                    <w:widowControl/>
                    <w:jc w:val="center"/>
                    <w:textAlignment w:val="center"/>
                    <w:rPr>
                      <w:color w:val="auto"/>
                      <w:szCs w:val="21"/>
                      <w:highlight w:val="none"/>
                    </w:rPr>
                  </w:pPr>
                  <w:r>
                    <w:rPr>
                      <w:rFonts w:hint="eastAsia"/>
                      <w:color w:val="auto"/>
                      <w:kern w:val="0"/>
                      <w:szCs w:val="21"/>
                      <w:highlight w:val="none"/>
                      <w:lang w:bidi="ar"/>
                    </w:rPr>
                    <w:t>南</w:t>
                  </w:r>
                  <w:r>
                    <w:rPr>
                      <w:color w:val="auto"/>
                      <w:kern w:val="0"/>
                      <w:szCs w:val="21"/>
                      <w:highlight w:val="none"/>
                      <w:lang w:bidi="ar"/>
                    </w:rPr>
                    <w:t>侧</w:t>
                  </w:r>
                  <w:r>
                    <w:rPr>
                      <w:rFonts w:hint="eastAsia"/>
                      <w:color w:val="auto"/>
                      <w:kern w:val="0"/>
                      <w:szCs w:val="21"/>
                      <w:highlight w:val="none"/>
                      <w:lang w:val="en-US" w:eastAsia="zh-CN" w:bidi="ar"/>
                    </w:rPr>
                    <w:t>防护门</w:t>
                  </w:r>
                  <w:r>
                    <w:rPr>
                      <w:color w:val="auto"/>
                      <w:kern w:val="0"/>
                      <w:szCs w:val="21"/>
                      <w:highlight w:val="none"/>
                      <w:lang w:bidi="ar"/>
                    </w:rPr>
                    <w:t>外30cm处</w:t>
                  </w:r>
                  <w:r>
                    <w:rPr>
                      <w:rFonts w:hint="eastAsia"/>
                      <w:color w:val="auto"/>
                      <w:kern w:val="0"/>
                      <w:szCs w:val="21"/>
                      <w:highlight w:val="none"/>
                      <w:lang w:bidi="ar"/>
                    </w:rPr>
                    <w:t>（</w:t>
                  </w:r>
                  <w:r>
                    <w:rPr>
                      <w:rFonts w:hint="eastAsia"/>
                      <w:color w:val="auto"/>
                      <w:kern w:val="0"/>
                      <w:szCs w:val="21"/>
                      <w:highlight w:val="none"/>
                      <w:lang w:val="en-US" w:eastAsia="zh-CN" w:bidi="ar"/>
                    </w:rPr>
                    <w:t>车间过道</w:t>
                  </w:r>
                  <w:r>
                    <w:rPr>
                      <w:rFonts w:hint="eastAsia"/>
                      <w:color w:val="auto"/>
                      <w:kern w:val="0"/>
                      <w:szCs w:val="21"/>
                      <w:highlight w:val="none"/>
                      <w:lang w:bidi="ar"/>
                    </w:rPr>
                    <w:t>）</w:t>
                  </w:r>
                </w:p>
              </w:tc>
              <w:tc>
                <w:tcPr>
                  <w:tcW w:w="444" w:type="pct"/>
                  <w:tcBorders>
                    <w:tl2br w:val="nil"/>
                    <w:tr2bl w:val="nil"/>
                  </w:tcBorders>
                  <w:shd w:val="clear" w:color="auto" w:fill="auto"/>
                  <w:vAlign w:val="center"/>
                </w:tcPr>
                <w:p w14:paraId="6700D0C2">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1</w:t>
                  </w:r>
                </w:p>
              </w:tc>
              <w:tc>
                <w:tcPr>
                  <w:tcW w:w="423" w:type="pct"/>
                  <w:tcBorders>
                    <w:tl2br w:val="nil"/>
                    <w:tr2bl w:val="nil"/>
                  </w:tcBorders>
                  <w:shd w:val="clear" w:color="auto" w:fill="auto"/>
                  <w:vAlign w:val="center"/>
                </w:tcPr>
                <w:p w14:paraId="1A348D6B">
                  <w:pPr>
                    <w:pStyle w:val="97"/>
                    <w:spacing w:line="240" w:lineRule="auto"/>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1/</w:t>
                  </w:r>
                  <w:r>
                    <w:rPr>
                      <w:rFonts w:hint="eastAsia" w:cs="Times New Roman"/>
                      <w:color w:val="auto"/>
                      <w:sz w:val="21"/>
                      <w:szCs w:val="21"/>
                      <w:highlight w:val="none"/>
                      <w:lang w:val="en-US" w:eastAsia="zh-CN"/>
                    </w:rPr>
                    <w:t>4</w:t>
                  </w:r>
                </w:p>
              </w:tc>
              <w:tc>
                <w:tcPr>
                  <w:tcW w:w="558" w:type="pct"/>
                  <w:tcBorders>
                    <w:tl2br w:val="nil"/>
                    <w:tr2bl w:val="nil"/>
                  </w:tcBorders>
                  <w:shd w:val="clear" w:color="auto" w:fill="auto"/>
                  <w:vAlign w:val="center"/>
                </w:tcPr>
                <w:p w14:paraId="73C28091">
                  <w:pPr>
                    <w:spacing w:line="240" w:lineRule="auto"/>
                    <w:ind w:firstLine="0" w:firstLineChars="0"/>
                    <w:jc w:val="center"/>
                    <w:rPr>
                      <w:rFonts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rPr>
                    <w:t>公众</w:t>
                  </w:r>
                </w:p>
              </w:tc>
              <w:tc>
                <w:tcPr>
                  <w:tcW w:w="611" w:type="pct"/>
                  <w:tcBorders>
                    <w:tl2br w:val="nil"/>
                    <w:tr2bl w:val="nil"/>
                  </w:tcBorders>
                  <w:shd w:val="clear" w:color="auto" w:fill="auto"/>
                  <w:vAlign w:val="center"/>
                </w:tcPr>
                <w:p w14:paraId="2225B816">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5</w:t>
                  </w:r>
                </w:p>
              </w:tc>
              <w:tc>
                <w:tcPr>
                  <w:tcW w:w="522" w:type="pct"/>
                  <w:tcBorders>
                    <w:tl2br w:val="nil"/>
                    <w:tr2bl w:val="nil"/>
                  </w:tcBorders>
                  <w:shd w:val="clear" w:color="auto" w:fill="auto"/>
                  <w:vAlign w:val="center"/>
                </w:tcPr>
                <w:p w14:paraId="2F0CF658">
                  <w:pPr>
                    <w:pStyle w:val="97"/>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33.33</w:t>
                  </w:r>
                </w:p>
              </w:tc>
              <w:tc>
                <w:tcPr>
                  <w:tcW w:w="630" w:type="pct"/>
                  <w:tcBorders>
                    <w:tl2br w:val="nil"/>
                    <w:tr2bl w:val="nil"/>
                  </w:tcBorders>
                  <w:shd w:val="clear" w:color="auto" w:fill="auto"/>
                  <w:vAlign w:val="center"/>
                </w:tcPr>
                <w:p w14:paraId="378E16EA">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2.5</w:t>
                  </w:r>
                  <w:r>
                    <w:rPr>
                      <w:rFonts w:cs="Times New Roman"/>
                      <w:color w:val="auto"/>
                      <w:sz w:val="21"/>
                      <w:szCs w:val="21"/>
                      <w:highlight w:val="none"/>
                    </w:rPr>
                    <w:t>μSv/h</w:t>
                  </w:r>
                </w:p>
              </w:tc>
              <w:tc>
                <w:tcPr>
                  <w:tcW w:w="665" w:type="pct"/>
                  <w:tcBorders>
                    <w:tl2br w:val="nil"/>
                    <w:tr2bl w:val="nil"/>
                  </w:tcBorders>
                  <w:shd w:val="clear" w:color="auto" w:fill="auto"/>
                  <w:vAlign w:val="center"/>
                </w:tcPr>
                <w:p w14:paraId="2F55E9CD">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2.5</w:t>
                  </w:r>
                  <w:r>
                    <w:rPr>
                      <w:rFonts w:cs="Times New Roman"/>
                      <w:color w:val="auto"/>
                      <w:sz w:val="21"/>
                      <w:szCs w:val="21"/>
                      <w:highlight w:val="none"/>
                    </w:rPr>
                    <w:t>μSv/h</w:t>
                  </w:r>
                </w:p>
              </w:tc>
            </w:tr>
            <w:tr w14:paraId="3AC57D6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43" w:type="pct"/>
                  <w:tcBorders>
                    <w:tl2br w:val="nil"/>
                    <w:tr2bl w:val="nil"/>
                  </w:tcBorders>
                  <w:shd w:val="clear" w:color="auto" w:fill="auto"/>
                  <w:vAlign w:val="center"/>
                </w:tcPr>
                <w:p w14:paraId="07A093F4">
                  <w:pPr>
                    <w:widowControl/>
                    <w:jc w:val="center"/>
                    <w:textAlignment w:val="center"/>
                    <w:rPr>
                      <w:color w:val="auto"/>
                      <w:szCs w:val="21"/>
                      <w:highlight w:val="none"/>
                    </w:rPr>
                  </w:pPr>
                  <w:r>
                    <w:rPr>
                      <w:rFonts w:hint="eastAsia"/>
                      <w:color w:val="auto"/>
                      <w:kern w:val="0"/>
                      <w:szCs w:val="21"/>
                      <w:highlight w:val="none"/>
                      <w:lang w:val="en-US" w:eastAsia="zh-CN" w:bidi="ar"/>
                    </w:rPr>
                    <w:t>西</w:t>
                  </w:r>
                  <w:r>
                    <w:rPr>
                      <w:color w:val="auto"/>
                      <w:kern w:val="0"/>
                      <w:szCs w:val="21"/>
                      <w:highlight w:val="none"/>
                      <w:lang w:bidi="ar"/>
                    </w:rPr>
                    <w:t>侧</w:t>
                  </w:r>
                  <w:r>
                    <w:rPr>
                      <w:rFonts w:hint="eastAsia"/>
                      <w:color w:val="auto"/>
                      <w:kern w:val="0"/>
                      <w:szCs w:val="21"/>
                      <w:highlight w:val="none"/>
                      <w:lang w:bidi="ar"/>
                    </w:rPr>
                    <w:t>屏蔽墙</w:t>
                  </w:r>
                  <w:r>
                    <w:rPr>
                      <w:color w:val="auto"/>
                      <w:kern w:val="0"/>
                      <w:szCs w:val="21"/>
                      <w:highlight w:val="none"/>
                      <w:lang w:bidi="ar"/>
                    </w:rPr>
                    <w:t>外30cm处</w:t>
                  </w:r>
                </w:p>
              </w:tc>
              <w:tc>
                <w:tcPr>
                  <w:tcW w:w="444" w:type="pct"/>
                  <w:tcBorders>
                    <w:tl2br w:val="nil"/>
                    <w:tr2bl w:val="nil"/>
                  </w:tcBorders>
                  <w:shd w:val="clear" w:color="auto" w:fill="auto"/>
                  <w:vAlign w:val="center"/>
                </w:tcPr>
                <w:p w14:paraId="65455448">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1</w:t>
                  </w:r>
                </w:p>
              </w:tc>
              <w:tc>
                <w:tcPr>
                  <w:tcW w:w="423" w:type="pct"/>
                  <w:tcBorders>
                    <w:tl2br w:val="nil"/>
                    <w:tr2bl w:val="nil"/>
                  </w:tcBorders>
                  <w:shd w:val="clear" w:color="auto" w:fill="auto"/>
                  <w:vAlign w:val="center"/>
                </w:tcPr>
                <w:p w14:paraId="440EB258">
                  <w:pPr>
                    <w:pStyle w:val="97"/>
                    <w:spacing w:line="240" w:lineRule="auto"/>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1/</w:t>
                  </w:r>
                  <w:r>
                    <w:rPr>
                      <w:rFonts w:hint="eastAsia" w:cs="Times New Roman"/>
                      <w:color w:val="auto"/>
                      <w:sz w:val="21"/>
                      <w:szCs w:val="21"/>
                      <w:highlight w:val="none"/>
                      <w:lang w:val="en-US" w:eastAsia="zh-CN"/>
                    </w:rPr>
                    <w:t>4</w:t>
                  </w:r>
                </w:p>
              </w:tc>
              <w:tc>
                <w:tcPr>
                  <w:tcW w:w="558" w:type="pct"/>
                  <w:tcBorders>
                    <w:tl2br w:val="nil"/>
                    <w:tr2bl w:val="nil"/>
                  </w:tcBorders>
                  <w:shd w:val="clear" w:color="auto" w:fill="auto"/>
                  <w:vAlign w:val="center"/>
                </w:tcPr>
                <w:p w14:paraId="52D68ADD">
                  <w:pPr>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公众</w:t>
                  </w:r>
                </w:p>
              </w:tc>
              <w:tc>
                <w:tcPr>
                  <w:tcW w:w="611" w:type="pct"/>
                  <w:tcBorders>
                    <w:tl2br w:val="nil"/>
                    <w:tr2bl w:val="nil"/>
                  </w:tcBorders>
                  <w:shd w:val="clear" w:color="auto" w:fill="auto"/>
                  <w:vAlign w:val="center"/>
                </w:tcPr>
                <w:p w14:paraId="5A51E064">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5</w:t>
                  </w:r>
                </w:p>
              </w:tc>
              <w:tc>
                <w:tcPr>
                  <w:tcW w:w="522" w:type="pct"/>
                  <w:tcBorders>
                    <w:tl2br w:val="nil"/>
                    <w:tr2bl w:val="nil"/>
                  </w:tcBorders>
                  <w:shd w:val="clear" w:color="auto" w:fill="auto"/>
                  <w:vAlign w:val="center"/>
                </w:tcPr>
                <w:p w14:paraId="2B7BFA12">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33.33</w:t>
                  </w:r>
                </w:p>
              </w:tc>
              <w:tc>
                <w:tcPr>
                  <w:tcW w:w="630" w:type="pct"/>
                  <w:tcBorders>
                    <w:tl2br w:val="nil"/>
                    <w:tr2bl w:val="nil"/>
                  </w:tcBorders>
                  <w:shd w:val="clear" w:color="auto" w:fill="auto"/>
                  <w:vAlign w:val="center"/>
                </w:tcPr>
                <w:p w14:paraId="274BE1CE">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2.5</w:t>
                  </w:r>
                  <w:r>
                    <w:rPr>
                      <w:rFonts w:cs="Times New Roman"/>
                      <w:color w:val="auto"/>
                      <w:sz w:val="21"/>
                      <w:szCs w:val="21"/>
                      <w:highlight w:val="none"/>
                    </w:rPr>
                    <w:t>μSv/h</w:t>
                  </w:r>
                </w:p>
              </w:tc>
              <w:tc>
                <w:tcPr>
                  <w:tcW w:w="665" w:type="pct"/>
                  <w:tcBorders>
                    <w:tl2br w:val="nil"/>
                    <w:tr2bl w:val="nil"/>
                  </w:tcBorders>
                  <w:shd w:val="clear" w:color="auto" w:fill="auto"/>
                  <w:vAlign w:val="center"/>
                </w:tcPr>
                <w:p w14:paraId="17AFFC74">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2.5</w:t>
                  </w:r>
                  <w:r>
                    <w:rPr>
                      <w:rFonts w:cs="Times New Roman"/>
                      <w:color w:val="auto"/>
                      <w:sz w:val="21"/>
                      <w:szCs w:val="21"/>
                      <w:highlight w:val="none"/>
                    </w:rPr>
                    <w:t>μSv/h</w:t>
                  </w:r>
                </w:p>
              </w:tc>
            </w:tr>
            <w:tr w14:paraId="5A0C90D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43" w:type="pct"/>
                  <w:tcBorders>
                    <w:tl2br w:val="nil"/>
                    <w:tr2bl w:val="nil"/>
                  </w:tcBorders>
                  <w:shd w:val="clear" w:color="auto" w:fill="auto"/>
                  <w:vAlign w:val="center"/>
                </w:tcPr>
                <w:p w14:paraId="13DE6642">
                  <w:pPr>
                    <w:widowControl/>
                    <w:jc w:val="center"/>
                    <w:textAlignment w:val="center"/>
                    <w:rPr>
                      <w:color w:val="auto"/>
                      <w:szCs w:val="21"/>
                      <w:highlight w:val="none"/>
                    </w:rPr>
                  </w:pPr>
                  <w:r>
                    <w:rPr>
                      <w:rFonts w:hint="eastAsia"/>
                      <w:color w:val="auto"/>
                      <w:kern w:val="0"/>
                      <w:szCs w:val="21"/>
                      <w:highlight w:val="none"/>
                      <w:lang w:bidi="ar"/>
                    </w:rPr>
                    <w:t>北</w:t>
                  </w:r>
                  <w:r>
                    <w:rPr>
                      <w:color w:val="auto"/>
                      <w:kern w:val="0"/>
                      <w:szCs w:val="21"/>
                      <w:highlight w:val="none"/>
                      <w:lang w:bidi="ar"/>
                    </w:rPr>
                    <w:t>侧</w:t>
                  </w:r>
                  <w:r>
                    <w:rPr>
                      <w:rFonts w:hint="eastAsia"/>
                      <w:color w:val="auto"/>
                      <w:kern w:val="0"/>
                      <w:szCs w:val="21"/>
                      <w:highlight w:val="none"/>
                      <w:lang w:val="en-US" w:eastAsia="zh-CN" w:bidi="ar"/>
                    </w:rPr>
                    <w:t>屏蔽墙</w:t>
                  </w:r>
                  <w:r>
                    <w:rPr>
                      <w:color w:val="auto"/>
                      <w:kern w:val="0"/>
                      <w:szCs w:val="21"/>
                      <w:highlight w:val="none"/>
                      <w:lang w:bidi="ar"/>
                    </w:rPr>
                    <w:t>外30cm处（</w:t>
                  </w:r>
                  <w:r>
                    <w:rPr>
                      <w:rFonts w:hint="eastAsia"/>
                      <w:color w:val="auto"/>
                      <w:kern w:val="0"/>
                      <w:szCs w:val="21"/>
                      <w:highlight w:val="none"/>
                      <w:lang w:val="en-US" w:eastAsia="zh-CN" w:bidi="ar"/>
                    </w:rPr>
                    <w:t>厂区走道</w:t>
                  </w:r>
                  <w:r>
                    <w:rPr>
                      <w:color w:val="auto"/>
                      <w:kern w:val="0"/>
                      <w:szCs w:val="21"/>
                      <w:highlight w:val="none"/>
                      <w:lang w:bidi="ar"/>
                    </w:rPr>
                    <w:t>）</w:t>
                  </w:r>
                </w:p>
              </w:tc>
              <w:tc>
                <w:tcPr>
                  <w:tcW w:w="444" w:type="pct"/>
                  <w:tcBorders>
                    <w:tl2br w:val="nil"/>
                    <w:tr2bl w:val="nil"/>
                  </w:tcBorders>
                  <w:shd w:val="clear" w:color="auto" w:fill="auto"/>
                  <w:vAlign w:val="center"/>
                </w:tcPr>
                <w:p w14:paraId="2B87DBE1">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1</w:t>
                  </w:r>
                </w:p>
              </w:tc>
              <w:tc>
                <w:tcPr>
                  <w:tcW w:w="423" w:type="pct"/>
                  <w:tcBorders>
                    <w:tl2br w:val="nil"/>
                    <w:tr2bl w:val="nil"/>
                  </w:tcBorders>
                  <w:shd w:val="clear" w:color="auto" w:fill="auto"/>
                  <w:vAlign w:val="center"/>
                </w:tcPr>
                <w:p w14:paraId="52D88B60">
                  <w:pPr>
                    <w:pStyle w:val="97"/>
                    <w:spacing w:line="240" w:lineRule="auto"/>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1/</w:t>
                  </w:r>
                  <w:r>
                    <w:rPr>
                      <w:rFonts w:hint="eastAsia" w:cs="Times New Roman"/>
                      <w:color w:val="auto"/>
                      <w:sz w:val="21"/>
                      <w:szCs w:val="21"/>
                      <w:highlight w:val="none"/>
                      <w:lang w:val="en-US" w:eastAsia="zh-CN"/>
                    </w:rPr>
                    <w:t>4</w:t>
                  </w:r>
                </w:p>
              </w:tc>
              <w:tc>
                <w:tcPr>
                  <w:tcW w:w="558" w:type="pct"/>
                  <w:tcBorders>
                    <w:tl2br w:val="nil"/>
                    <w:tr2bl w:val="nil"/>
                  </w:tcBorders>
                  <w:shd w:val="clear" w:color="auto" w:fill="auto"/>
                  <w:vAlign w:val="center"/>
                </w:tcPr>
                <w:p w14:paraId="7CCEA865">
                  <w:pPr>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公众</w:t>
                  </w:r>
                </w:p>
              </w:tc>
              <w:tc>
                <w:tcPr>
                  <w:tcW w:w="611" w:type="pct"/>
                  <w:tcBorders>
                    <w:tl2br w:val="nil"/>
                    <w:tr2bl w:val="nil"/>
                  </w:tcBorders>
                  <w:shd w:val="clear" w:color="auto" w:fill="auto"/>
                  <w:vAlign w:val="center"/>
                </w:tcPr>
                <w:p w14:paraId="145F1DC7">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5</w:t>
                  </w:r>
                </w:p>
              </w:tc>
              <w:tc>
                <w:tcPr>
                  <w:tcW w:w="522" w:type="pct"/>
                  <w:tcBorders>
                    <w:tl2br w:val="nil"/>
                    <w:tr2bl w:val="nil"/>
                  </w:tcBorders>
                  <w:shd w:val="clear" w:color="auto" w:fill="auto"/>
                  <w:vAlign w:val="center"/>
                </w:tcPr>
                <w:p w14:paraId="6F6E9327">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33.33</w:t>
                  </w:r>
                </w:p>
              </w:tc>
              <w:tc>
                <w:tcPr>
                  <w:tcW w:w="630" w:type="pct"/>
                  <w:tcBorders>
                    <w:tl2br w:val="nil"/>
                    <w:tr2bl w:val="nil"/>
                  </w:tcBorders>
                  <w:shd w:val="clear" w:color="auto" w:fill="auto"/>
                  <w:vAlign w:val="center"/>
                </w:tcPr>
                <w:p w14:paraId="249A4E2C">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2.5</w:t>
                  </w:r>
                  <w:r>
                    <w:rPr>
                      <w:rFonts w:cs="Times New Roman"/>
                      <w:color w:val="auto"/>
                      <w:sz w:val="21"/>
                      <w:szCs w:val="21"/>
                      <w:highlight w:val="none"/>
                    </w:rPr>
                    <w:t>μSv/h</w:t>
                  </w:r>
                </w:p>
              </w:tc>
              <w:tc>
                <w:tcPr>
                  <w:tcW w:w="665" w:type="pct"/>
                  <w:tcBorders>
                    <w:tl2br w:val="nil"/>
                    <w:tr2bl w:val="nil"/>
                  </w:tcBorders>
                  <w:shd w:val="clear" w:color="auto" w:fill="auto"/>
                  <w:vAlign w:val="center"/>
                </w:tcPr>
                <w:p w14:paraId="60EBE317">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2.5</w:t>
                  </w:r>
                  <w:r>
                    <w:rPr>
                      <w:rFonts w:cs="Times New Roman"/>
                      <w:color w:val="auto"/>
                      <w:sz w:val="21"/>
                      <w:szCs w:val="21"/>
                      <w:highlight w:val="none"/>
                    </w:rPr>
                    <w:t>μSv/h</w:t>
                  </w:r>
                </w:p>
              </w:tc>
            </w:tr>
            <w:tr w14:paraId="770F2EE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43" w:type="pct"/>
                  <w:tcBorders>
                    <w:tl2br w:val="nil"/>
                    <w:tr2bl w:val="nil"/>
                  </w:tcBorders>
                  <w:shd w:val="clear" w:color="auto" w:fill="auto"/>
                  <w:vAlign w:val="center"/>
                </w:tcPr>
                <w:p w14:paraId="607A749F">
                  <w:pPr>
                    <w:widowControl/>
                    <w:jc w:val="center"/>
                    <w:textAlignment w:val="center"/>
                    <w:rPr>
                      <w:color w:val="auto"/>
                      <w:szCs w:val="21"/>
                      <w:highlight w:val="none"/>
                    </w:rPr>
                  </w:pPr>
                  <w:r>
                    <w:rPr>
                      <w:color w:val="auto"/>
                      <w:kern w:val="0"/>
                      <w:szCs w:val="21"/>
                      <w:highlight w:val="none"/>
                      <w:lang w:bidi="ar"/>
                    </w:rPr>
                    <w:t>探伤</w:t>
                  </w:r>
                  <w:r>
                    <w:rPr>
                      <w:rFonts w:hint="eastAsia"/>
                      <w:color w:val="auto"/>
                      <w:kern w:val="0"/>
                      <w:szCs w:val="21"/>
                      <w:highlight w:val="none"/>
                      <w:lang w:bidi="ar"/>
                    </w:rPr>
                    <w:t>房</w:t>
                  </w:r>
                  <w:r>
                    <w:rPr>
                      <w:color w:val="auto"/>
                      <w:kern w:val="0"/>
                      <w:szCs w:val="21"/>
                      <w:highlight w:val="none"/>
                      <w:lang w:bidi="ar"/>
                    </w:rPr>
                    <w:t>顶棚上方30cm处</w:t>
                  </w:r>
                </w:p>
              </w:tc>
              <w:tc>
                <w:tcPr>
                  <w:tcW w:w="444" w:type="pct"/>
                  <w:tcBorders>
                    <w:tl2br w:val="nil"/>
                    <w:tr2bl w:val="nil"/>
                  </w:tcBorders>
                  <w:shd w:val="clear" w:color="auto" w:fill="auto"/>
                  <w:vAlign w:val="center"/>
                </w:tcPr>
                <w:p w14:paraId="0F06DF0D">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1</w:t>
                  </w:r>
                </w:p>
              </w:tc>
              <w:tc>
                <w:tcPr>
                  <w:tcW w:w="981" w:type="pct"/>
                  <w:gridSpan w:val="2"/>
                  <w:tcBorders>
                    <w:tl2br w:val="nil"/>
                    <w:tr2bl w:val="nil"/>
                  </w:tcBorders>
                  <w:shd w:val="clear" w:color="auto" w:fill="auto"/>
                  <w:vAlign w:val="center"/>
                </w:tcPr>
                <w:p w14:paraId="75B7D1CE">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无人员居留</w:t>
                  </w:r>
                </w:p>
              </w:tc>
              <w:tc>
                <w:tcPr>
                  <w:tcW w:w="611" w:type="pct"/>
                  <w:tcBorders>
                    <w:tl2br w:val="nil"/>
                    <w:tr2bl w:val="nil"/>
                  </w:tcBorders>
                  <w:shd w:val="clear" w:color="auto" w:fill="auto"/>
                  <w:vAlign w:val="center"/>
                </w:tcPr>
                <w:p w14:paraId="22F67731">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w:t>
                  </w:r>
                </w:p>
              </w:tc>
              <w:tc>
                <w:tcPr>
                  <w:tcW w:w="522" w:type="pct"/>
                  <w:tcBorders>
                    <w:tl2br w:val="nil"/>
                    <w:tr2bl w:val="nil"/>
                  </w:tcBorders>
                  <w:shd w:val="clear" w:color="auto" w:fill="auto"/>
                  <w:vAlign w:val="center"/>
                </w:tcPr>
                <w:p w14:paraId="2C7F4B61">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w:t>
                  </w:r>
                </w:p>
              </w:tc>
              <w:tc>
                <w:tcPr>
                  <w:tcW w:w="630" w:type="pct"/>
                  <w:tcBorders>
                    <w:tl2br w:val="nil"/>
                    <w:tr2bl w:val="nil"/>
                  </w:tcBorders>
                  <w:shd w:val="clear" w:color="auto" w:fill="auto"/>
                  <w:vAlign w:val="center"/>
                </w:tcPr>
                <w:p w14:paraId="3291B65B">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100</w:t>
                  </w:r>
                  <w:r>
                    <w:rPr>
                      <w:rFonts w:cs="Times New Roman"/>
                      <w:color w:val="auto"/>
                      <w:sz w:val="21"/>
                      <w:szCs w:val="21"/>
                      <w:highlight w:val="none"/>
                    </w:rPr>
                    <w:t>μSv/h</w:t>
                  </w:r>
                </w:p>
              </w:tc>
              <w:tc>
                <w:tcPr>
                  <w:tcW w:w="665" w:type="pct"/>
                  <w:tcBorders>
                    <w:tl2br w:val="nil"/>
                    <w:tr2bl w:val="nil"/>
                  </w:tcBorders>
                  <w:shd w:val="clear" w:color="auto" w:fill="auto"/>
                  <w:vAlign w:val="center"/>
                </w:tcPr>
                <w:p w14:paraId="027745D3">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100</w:t>
                  </w:r>
                  <w:r>
                    <w:rPr>
                      <w:rFonts w:cs="Times New Roman"/>
                      <w:color w:val="auto"/>
                      <w:sz w:val="21"/>
                      <w:szCs w:val="21"/>
                      <w:highlight w:val="none"/>
                    </w:rPr>
                    <w:t>μSv/h</w:t>
                  </w:r>
                </w:p>
              </w:tc>
            </w:tr>
            <w:tr w14:paraId="1AEF5F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shd w:val="clear" w:color="auto" w:fill="auto"/>
                  <w:vAlign w:val="center"/>
                </w:tcPr>
                <w:p w14:paraId="0AD2B364">
                  <w:pPr>
                    <w:pStyle w:val="5"/>
                    <w:adjustRightInd w:val="0"/>
                    <w:snapToGrid w:val="0"/>
                    <w:ind w:firstLine="412"/>
                    <w:rPr>
                      <w:rFonts w:hint="default" w:ascii="Times New Roman" w:hAnsi="Times New Roman" w:cs="Times New Roman"/>
                      <w:color w:val="auto"/>
                      <w:spacing w:val="-2"/>
                      <w:szCs w:val="21"/>
                      <w:highlight w:val="none"/>
                    </w:rPr>
                  </w:pPr>
                  <w:r>
                    <w:rPr>
                      <w:rFonts w:hint="default" w:ascii="Times New Roman" w:hAnsi="Times New Roman" w:cs="Times New Roman"/>
                      <w:color w:val="auto"/>
                      <w:spacing w:val="-2"/>
                      <w:szCs w:val="21"/>
                      <w:highlight w:val="none"/>
                    </w:rPr>
                    <w:t>注：①根据公式计算出Ḣc,d，规范中3.1.1款中规定关注点最高剂量率控制水平Ḣc,max=2.5μSv/h,Ḣc，关注点剂量率参考控制水平Ḣc取Ḣc,d与Ḣc,max二者的较小值；</w:t>
                  </w:r>
                </w:p>
                <w:p w14:paraId="5E8E824B">
                  <w:pPr>
                    <w:pStyle w:val="5"/>
                    <w:adjustRightInd w:val="0"/>
                    <w:snapToGrid w:val="0"/>
                    <w:ind w:firstLine="412"/>
                    <w:rPr>
                      <w:rFonts w:hint="default" w:ascii="Times New Roman" w:hAnsi="Times New Roman" w:cs="Times New Roman"/>
                      <w:color w:val="auto"/>
                      <w:spacing w:val="-2"/>
                      <w:szCs w:val="21"/>
                      <w:highlight w:val="none"/>
                    </w:rPr>
                  </w:pPr>
                  <w:r>
                    <w:rPr>
                      <w:rFonts w:hint="default" w:ascii="Times New Roman" w:hAnsi="Times New Roman" w:cs="Times New Roman"/>
                      <w:color w:val="auto"/>
                      <w:spacing w:val="-2"/>
                      <w:szCs w:val="21"/>
                      <w:highlight w:val="none"/>
                    </w:rPr>
                    <w:t>②本项目探伤房为单层设计屋顶无人员居留，根据《工业X射线探伤室辐射屏蔽规范》（GBZ/T250-2014），直接按100μSv/h控制；</w:t>
                  </w:r>
                </w:p>
                <w:p w14:paraId="547608AA">
                  <w:pPr>
                    <w:pStyle w:val="5"/>
                    <w:adjustRightInd w:val="0"/>
                    <w:snapToGrid w:val="0"/>
                    <w:ind w:firstLine="412"/>
                    <w:rPr>
                      <w:rFonts w:hint="default" w:ascii="Times New Roman" w:hAnsi="Times New Roman" w:cs="Times New Roman"/>
                      <w:color w:val="auto"/>
                      <w:spacing w:val="-2"/>
                      <w:szCs w:val="21"/>
                      <w:highlight w:val="none"/>
                    </w:rPr>
                  </w:pPr>
                  <w:r>
                    <w:rPr>
                      <w:rFonts w:hint="default" w:ascii="Times New Roman" w:hAnsi="Times New Roman" w:cs="Times New Roman"/>
                      <w:color w:val="auto"/>
                      <w:spacing w:val="-2"/>
                      <w:szCs w:val="21"/>
                      <w:highlight w:val="none"/>
                    </w:rPr>
                    <w:t>③表中居留因子根据《工业X射线探伤室辐射屏蔽规范》(GBZ/T250-2014)表A.1取值。其中探伤房外侧</w:t>
                  </w:r>
                  <w:r>
                    <w:rPr>
                      <w:rFonts w:hint="default" w:ascii="Times New Roman" w:hAnsi="Times New Roman" w:cs="Times New Roman"/>
                      <w:color w:val="auto"/>
                      <w:kern w:val="0"/>
                      <w:szCs w:val="21"/>
                      <w:highlight w:val="none"/>
                      <w:lang w:val="en-US" w:eastAsia="zh-CN" w:bidi="ar"/>
                    </w:rPr>
                    <w:t>2#车间加工区</w:t>
                  </w:r>
                  <w:r>
                    <w:rPr>
                      <w:rFonts w:hint="eastAsia" w:cs="Times New Roman"/>
                      <w:color w:val="auto"/>
                      <w:kern w:val="0"/>
                      <w:szCs w:val="21"/>
                      <w:highlight w:val="none"/>
                      <w:lang w:val="en-US" w:eastAsia="zh-CN" w:bidi="ar"/>
                    </w:rPr>
                    <w:t>、过道</w:t>
                  </w:r>
                  <w:r>
                    <w:rPr>
                      <w:rFonts w:hint="default" w:ascii="Times New Roman" w:hAnsi="Times New Roman" w:cs="Times New Roman"/>
                      <w:color w:val="auto"/>
                      <w:kern w:val="0"/>
                      <w:szCs w:val="21"/>
                      <w:highlight w:val="none"/>
                      <w:lang w:val="en-US" w:eastAsia="zh-CN" w:bidi="ar"/>
                    </w:rPr>
                    <w:t>为</w:t>
                  </w:r>
                  <w:r>
                    <w:rPr>
                      <w:rFonts w:hint="eastAsia" w:cs="Times New Roman"/>
                      <w:color w:val="auto"/>
                      <w:kern w:val="0"/>
                      <w:szCs w:val="21"/>
                      <w:highlight w:val="none"/>
                      <w:lang w:val="en-US" w:eastAsia="zh-CN" w:bidi="ar"/>
                    </w:rPr>
                    <w:t>部分居留</w:t>
                  </w:r>
                  <w:r>
                    <w:rPr>
                      <w:rFonts w:hint="default" w:ascii="Times New Roman" w:hAnsi="Times New Roman" w:cs="Times New Roman"/>
                      <w:color w:val="auto"/>
                      <w:kern w:val="0"/>
                      <w:szCs w:val="21"/>
                      <w:highlight w:val="none"/>
                      <w:lang w:val="en-US" w:eastAsia="zh-CN" w:bidi="ar"/>
                    </w:rPr>
                    <w:t>；</w:t>
                  </w:r>
                  <w:r>
                    <w:rPr>
                      <w:rFonts w:hint="default" w:ascii="Times New Roman" w:hAnsi="Times New Roman" w:cs="Times New Roman"/>
                      <w:color w:val="auto"/>
                      <w:spacing w:val="-2"/>
                      <w:szCs w:val="21"/>
                      <w:highlight w:val="none"/>
                      <w:lang w:val="en-US" w:eastAsia="zh-CN"/>
                    </w:rPr>
                    <w:t>厂区走道</w:t>
                  </w:r>
                  <w:r>
                    <w:rPr>
                      <w:rFonts w:hint="default" w:ascii="Times New Roman" w:hAnsi="Times New Roman" w:cs="Times New Roman"/>
                      <w:color w:val="auto"/>
                      <w:spacing w:val="-2"/>
                      <w:szCs w:val="21"/>
                      <w:highlight w:val="none"/>
                    </w:rPr>
                    <w:t>应属于部分居留范畴</w:t>
                  </w:r>
                  <w:r>
                    <w:rPr>
                      <w:rFonts w:hint="default" w:ascii="Times New Roman" w:hAnsi="Times New Roman" w:cs="Times New Roman"/>
                      <w:color w:val="auto"/>
                      <w:spacing w:val="-2"/>
                      <w:szCs w:val="21"/>
                      <w:highlight w:val="none"/>
                      <w:lang w:eastAsia="zh-CN"/>
                    </w:rPr>
                    <w:t>；</w:t>
                  </w:r>
                  <w:r>
                    <w:rPr>
                      <w:rFonts w:hint="default" w:ascii="Times New Roman" w:hAnsi="Times New Roman" w:cs="Times New Roman"/>
                      <w:color w:val="auto"/>
                      <w:spacing w:val="-2"/>
                      <w:szCs w:val="21"/>
                      <w:highlight w:val="none"/>
                    </w:rPr>
                    <w:t>探伤房</w:t>
                  </w:r>
                  <w:r>
                    <w:rPr>
                      <w:rFonts w:hint="default" w:ascii="Times New Roman" w:hAnsi="Times New Roman" w:cs="Times New Roman"/>
                      <w:color w:val="auto"/>
                      <w:spacing w:val="-2"/>
                      <w:szCs w:val="21"/>
                      <w:highlight w:val="none"/>
                      <w:lang w:val="en-US" w:eastAsia="zh-CN"/>
                    </w:rPr>
                    <w:t>东</w:t>
                  </w:r>
                  <w:r>
                    <w:rPr>
                      <w:rFonts w:hint="default" w:ascii="Times New Roman" w:hAnsi="Times New Roman" w:cs="Times New Roman"/>
                      <w:color w:val="auto"/>
                      <w:spacing w:val="-2"/>
                      <w:szCs w:val="21"/>
                      <w:highlight w:val="none"/>
                    </w:rPr>
                    <w:t>侧操作</w:t>
                  </w:r>
                  <w:r>
                    <w:rPr>
                      <w:rFonts w:hint="default" w:ascii="Times New Roman" w:hAnsi="Times New Roman" w:cs="Times New Roman"/>
                      <w:color w:val="auto"/>
                      <w:spacing w:val="-2"/>
                      <w:szCs w:val="21"/>
                      <w:highlight w:val="none"/>
                      <w:lang w:val="en-US" w:eastAsia="zh-CN"/>
                    </w:rPr>
                    <w:t>间</w:t>
                  </w:r>
                  <w:r>
                    <w:rPr>
                      <w:rFonts w:hint="default" w:ascii="Times New Roman" w:hAnsi="Times New Roman" w:cs="Times New Roman"/>
                      <w:color w:val="auto"/>
                      <w:spacing w:val="-2"/>
                      <w:szCs w:val="21"/>
                      <w:highlight w:val="none"/>
                    </w:rPr>
                    <w:t>及洗片室属于全居留范畴；</w:t>
                  </w:r>
                </w:p>
                <w:p w14:paraId="63B2F337">
                  <w:pPr>
                    <w:pStyle w:val="5"/>
                    <w:adjustRightInd w:val="0"/>
                    <w:snapToGrid w:val="0"/>
                    <w:ind w:firstLine="412"/>
                    <w:rPr>
                      <w:color w:val="auto"/>
                      <w:highlight w:val="none"/>
                    </w:rPr>
                  </w:pPr>
                  <w:r>
                    <w:rPr>
                      <w:rFonts w:hint="default" w:ascii="Times New Roman" w:hAnsi="Times New Roman" w:cs="Times New Roman"/>
                      <w:color w:val="auto"/>
                      <w:spacing w:val="-2"/>
                      <w:szCs w:val="21"/>
                      <w:highlight w:val="none"/>
                    </w:rPr>
                    <w:t>④表中使用因子保守均取1。</w:t>
                  </w:r>
                </w:p>
              </w:tc>
            </w:tr>
          </w:tbl>
          <w:p w14:paraId="5269BBB6">
            <w:pPr>
              <w:pStyle w:val="96"/>
              <w:spacing w:line="240" w:lineRule="auto"/>
              <w:ind w:firstLine="422"/>
              <w:rPr>
                <w:rFonts w:eastAsia="宋体" w:cs="Times New Roman"/>
                <w:b/>
                <w:color w:val="auto"/>
                <w:kern w:val="2"/>
                <w:sz w:val="21"/>
                <w:szCs w:val="21"/>
                <w:highlight w:val="none"/>
              </w:rPr>
            </w:pPr>
            <w:r>
              <w:rPr>
                <w:rFonts w:hint="eastAsia" w:eastAsia="宋体" w:cs="Times New Roman"/>
                <w:b/>
                <w:color w:val="auto"/>
                <w:kern w:val="2"/>
                <w:sz w:val="21"/>
                <w:szCs w:val="21"/>
                <w:highlight w:val="none"/>
              </w:rPr>
              <w:t>表11-</w:t>
            </w:r>
            <w:r>
              <w:rPr>
                <w:rFonts w:hint="eastAsia" w:eastAsia="宋体" w:cs="Times New Roman"/>
                <w:b/>
                <w:color w:val="auto"/>
                <w:kern w:val="2"/>
                <w:sz w:val="21"/>
                <w:szCs w:val="21"/>
                <w:highlight w:val="none"/>
                <w:lang w:val="en-US" w:eastAsia="zh-CN"/>
              </w:rPr>
              <w:t>8</w:t>
            </w:r>
            <w:r>
              <w:rPr>
                <w:rFonts w:hint="eastAsia" w:eastAsia="宋体" w:cs="Times New Roman"/>
                <w:b/>
                <w:color w:val="auto"/>
                <w:kern w:val="2"/>
                <w:sz w:val="21"/>
                <w:szCs w:val="21"/>
                <w:highlight w:val="none"/>
              </w:rPr>
              <w:t xml:space="preserve"> 不同场所与环境条件下的居留因子</w:t>
            </w:r>
          </w:p>
          <w:tbl>
            <w:tblPr>
              <w:tblStyle w:val="36"/>
              <w:tblW w:w="498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926"/>
              <w:gridCol w:w="1486"/>
              <w:gridCol w:w="5008"/>
            </w:tblGrid>
            <w:tr w14:paraId="3623CA6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943" w:type="dxa"/>
                  <w:tcBorders>
                    <w:tl2br w:val="nil"/>
                    <w:tr2bl w:val="nil"/>
                  </w:tcBorders>
                  <w:vAlign w:val="center"/>
                </w:tcPr>
                <w:p w14:paraId="77C35BAF">
                  <w:pPr>
                    <w:pStyle w:val="97"/>
                    <w:spacing w:line="240" w:lineRule="auto"/>
                    <w:ind w:firstLine="0" w:firstLineChars="0"/>
                    <w:jc w:val="center"/>
                    <w:rPr>
                      <w:rFonts w:cs="Times New Roman"/>
                      <w:b/>
                      <w:bCs w:val="0"/>
                      <w:color w:val="auto"/>
                      <w:sz w:val="21"/>
                      <w:szCs w:val="21"/>
                      <w:highlight w:val="none"/>
                    </w:rPr>
                  </w:pPr>
                  <w:r>
                    <w:rPr>
                      <w:rFonts w:hint="eastAsia" w:cs="Times New Roman"/>
                      <w:b/>
                      <w:bCs w:val="0"/>
                      <w:color w:val="auto"/>
                      <w:sz w:val="21"/>
                      <w:szCs w:val="21"/>
                      <w:highlight w:val="none"/>
                    </w:rPr>
                    <w:t>场所</w:t>
                  </w:r>
                </w:p>
              </w:tc>
              <w:tc>
                <w:tcPr>
                  <w:tcW w:w="1499" w:type="dxa"/>
                  <w:tcBorders>
                    <w:tl2br w:val="nil"/>
                    <w:tr2bl w:val="nil"/>
                  </w:tcBorders>
                  <w:vAlign w:val="center"/>
                </w:tcPr>
                <w:p w14:paraId="4E3FC1CF">
                  <w:pPr>
                    <w:pStyle w:val="97"/>
                    <w:spacing w:line="240" w:lineRule="auto"/>
                    <w:ind w:firstLine="0" w:firstLineChars="0"/>
                    <w:jc w:val="center"/>
                    <w:rPr>
                      <w:rFonts w:cs="Times New Roman"/>
                      <w:b/>
                      <w:bCs w:val="0"/>
                      <w:color w:val="auto"/>
                      <w:sz w:val="21"/>
                      <w:szCs w:val="21"/>
                      <w:highlight w:val="none"/>
                    </w:rPr>
                  </w:pPr>
                  <w:r>
                    <w:rPr>
                      <w:rFonts w:hint="eastAsia" w:cs="Times New Roman"/>
                      <w:b/>
                      <w:bCs w:val="0"/>
                      <w:color w:val="auto"/>
                      <w:sz w:val="21"/>
                      <w:szCs w:val="21"/>
                      <w:highlight w:val="none"/>
                    </w:rPr>
                    <w:t>居留因子T</w:t>
                  </w:r>
                </w:p>
              </w:tc>
              <w:tc>
                <w:tcPr>
                  <w:tcW w:w="5056" w:type="dxa"/>
                  <w:tcBorders>
                    <w:tl2br w:val="nil"/>
                    <w:tr2bl w:val="nil"/>
                  </w:tcBorders>
                  <w:vAlign w:val="center"/>
                </w:tcPr>
                <w:p w14:paraId="2EF17F82">
                  <w:pPr>
                    <w:pStyle w:val="97"/>
                    <w:spacing w:line="240" w:lineRule="auto"/>
                    <w:ind w:firstLine="0" w:firstLineChars="0"/>
                    <w:jc w:val="center"/>
                    <w:rPr>
                      <w:rFonts w:cs="Times New Roman"/>
                      <w:b/>
                      <w:bCs w:val="0"/>
                      <w:color w:val="auto"/>
                      <w:sz w:val="21"/>
                      <w:szCs w:val="21"/>
                      <w:highlight w:val="none"/>
                    </w:rPr>
                  </w:pPr>
                  <w:r>
                    <w:rPr>
                      <w:rFonts w:hint="eastAsia" w:cs="Times New Roman"/>
                      <w:b/>
                      <w:bCs w:val="0"/>
                      <w:color w:val="auto"/>
                      <w:sz w:val="21"/>
                      <w:szCs w:val="21"/>
                      <w:highlight w:val="none"/>
                    </w:rPr>
                    <w:t>示例</w:t>
                  </w:r>
                </w:p>
              </w:tc>
            </w:tr>
            <w:tr w14:paraId="19FEA6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943" w:type="dxa"/>
                  <w:tcBorders>
                    <w:tl2br w:val="nil"/>
                    <w:tr2bl w:val="nil"/>
                  </w:tcBorders>
                  <w:vAlign w:val="center"/>
                </w:tcPr>
                <w:p w14:paraId="1DD3B205">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全居留</w:t>
                  </w:r>
                </w:p>
              </w:tc>
              <w:tc>
                <w:tcPr>
                  <w:tcW w:w="1499" w:type="dxa"/>
                  <w:tcBorders>
                    <w:tl2br w:val="nil"/>
                    <w:tr2bl w:val="nil"/>
                  </w:tcBorders>
                  <w:vAlign w:val="center"/>
                </w:tcPr>
                <w:p w14:paraId="6EC9426A">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1</w:t>
                  </w:r>
                </w:p>
              </w:tc>
              <w:tc>
                <w:tcPr>
                  <w:tcW w:w="5056" w:type="dxa"/>
                  <w:tcBorders>
                    <w:tl2br w:val="nil"/>
                    <w:tr2bl w:val="nil"/>
                  </w:tcBorders>
                  <w:vAlign w:val="center"/>
                </w:tcPr>
                <w:p w14:paraId="0BB2933B">
                  <w:pPr>
                    <w:pStyle w:val="97"/>
                    <w:spacing w:line="240" w:lineRule="auto"/>
                    <w:ind w:firstLine="0" w:firstLineChars="0"/>
                    <w:jc w:val="center"/>
                    <w:rPr>
                      <w:rFonts w:hint="default" w:cs="Times New Roman"/>
                      <w:color w:val="auto"/>
                      <w:sz w:val="21"/>
                      <w:szCs w:val="21"/>
                      <w:highlight w:val="none"/>
                      <w:lang w:val="en-US"/>
                    </w:rPr>
                  </w:pPr>
                  <w:r>
                    <w:rPr>
                      <w:rFonts w:hint="eastAsia" w:cs="Times New Roman"/>
                      <w:color w:val="auto"/>
                      <w:sz w:val="21"/>
                      <w:szCs w:val="21"/>
                      <w:highlight w:val="none"/>
                      <w:lang w:val="en-US" w:eastAsia="zh-CN"/>
                    </w:rPr>
                    <w:t>洗片室</w:t>
                  </w:r>
                  <w:r>
                    <w:rPr>
                      <w:rFonts w:hint="eastAsia" w:cs="Times New Roman"/>
                      <w:color w:val="auto"/>
                      <w:sz w:val="21"/>
                      <w:szCs w:val="21"/>
                      <w:highlight w:val="none"/>
                    </w:rPr>
                    <w:t>、</w:t>
                  </w:r>
                  <w:r>
                    <w:rPr>
                      <w:rFonts w:hint="eastAsia" w:cs="Times New Roman"/>
                      <w:color w:val="auto"/>
                      <w:sz w:val="21"/>
                      <w:szCs w:val="21"/>
                      <w:highlight w:val="none"/>
                      <w:lang w:val="en-US" w:eastAsia="zh-CN"/>
                    </w:rPr>
                    <w:t>操作室、观片室</w:t>
                  </w:r>
                </w:p>
              </w:tc>
            </w:tr>
            <w:tr w14:paraId="40F9008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943" w:type="dxa"/>
                  <w:tcBorders>
                    <w:tl2br w:val="nil"/>
                    <w:tr2bl w:val="nil"/>
                  </w:tcBorders>
                  <w:vAlign w:val="center"/>
                </w:tcPr>
                <w:p w14:paraId="72CD70CC">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部分居留</w:t>
                  </w:r>
                </w:p>
              </w:tc>
              <w:tc>
                <w:tcPr>
                  <w:tcW w:w="1499" w:type="dxa"/>
                  <w:tcBorders>
                    <w:tl2br w:val="nil"/>
                    <w:tr2bl w:val="nil"/>
                  </w:tcBorders>
                  <w:vAlign w:val="center"/>
                </w:tcPr>
                <w:p w14:paraId="15ABAB08">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1/2-1/5</w:t>
                  </w:r>
                </w:p>
              </w:tc>
              <w:tc>
                <w:tcPr>
                  <w:tcW w:w="5056" w:type="dxa"/>
                  <w:tcBorders>
                    <w:tl2br w:val="nil"/>
                    <w:tr2bl w:val="nil"/>
                  </w:tcBorders>
                  <w:vAlign w:val="center"/>
                </w:tcPr>
                <w:p w14:paraId="6387AF36">
                  <w:pPr>
                    <w:pStyle w:val="97"/>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厂区走道</w:t>
                  </w:r>
                </w:p>
              </w:tc>
            </w:tr>
            <w:tr w14:paraId="7D65C10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943" w:type="dxa"/>
                  <w:tcBorders>
                    <w:tl2br w:val="nil"/>
                    <w:tr2bl w:val="nil"/>
                  </w:tcBorders>
                  <w:vAlign w:val="center"/>
                </w:tcPr>
                <w:p w14:paraId="4E22703F">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偶尔居留</w:t>
                  </w:r>
                </w:p>
              </w:tc>
              <w:tc>
                <w:tcPr>
                  <w:tcW w:w="1499" w:type="dxa"/>
                  <w:tcBorders>
                    <w:tl2br w:val="nil"/>
                    <w:tr2bl w:val="nil"/>
                  </w:tcBorders>
                  <w:vAlign w:val="center"/>
                </w:tcPr>
                <w:p w14:paraId="2C7BB565">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1/8-1/40</w:t>
                  </w:r>
                </w:p>
              </w:tc>
              <w:tc>
                <w:tcPr>
                  <w:tcW w:w="5056" w:type="dxa"/>
                  <w:tcBorders>
                    <w:tl2br w:val="nil"/>
                    <w:tr2bl w:val="nil"/>
                  </w:tcBorders>
                  <w:vAlign w:val="center"/>
                </w:tcPr>
                <w:p w14:paraId="4FD6526D">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厕所、楼梯</w:t>
                  </w:r>
                </w:p>
              </w:tc>
            </w:tr>
          </w:tbl>
          <w:p w14:paraId="115E0BEE">
            <w:pPr>
              <w:adjustRightInd w:val="0"/>
              <w:snapToGrid w:val="0"/>
              <w:spacing w:line="360" w:lineRule="auto"/>
              <w:ind w:firstLine="472" w:firstLineChars="200"/>
              <w:rPr>
                <w:color w:val="auto"/>
                <w:spacing w:val="-2"/>
                <w:sz w:val="24"/>
                <w:szCs w:val="24"/>
                <w:highlight w:val="none"/>
              </w:rPr>
            </w:pPr>
            <w:r>
              <w:rPr>
                <w:color w:val="auto"/>
                <w:spacing w:val="-2"/>
                <w:sz w:val="24"/>
                <w:szCs w:val="24"/>
                <w:highlight w:val="none"/>
              </w:rPr>
              <w:t>根据以上计算，本次评价取探伤</w:t>
            </w:r>
            <w:r>
              <w:rPr>
                <w:rFonts w:hint="eastAsia"/>
                <w:color w:val="auto"/>
                <w:spacing w:val="-2"/>
                <w:sz w:val="24"/>
                <w:szCs w:val="24"/>
                <w:highlight w:val="none"/>
              </w:rPr>
              <w:t>房</w:t>
            </w:r>
            <w:r>
              <w:rPr>
                <w:color w:val="auto"/>
                <w:spacing w:val="-2"/>
                <w:sz w:val="24"/>
                <w:szCs w:val="24"/>
                <w:highlight w:val="none"/>
              </w:rPr>
              <w:t>四周关注点控制剂量水平参数为2.5μSv/h；探伤</w:t>
            </w:r>
            <w:r>
              <w:rPr>
                <w:rFonts w:hint="eastAsia"/>
                <w:color w:val="auto"/>
                <w:spacing w:val="-2"/>
                <w:sz w:val="24"/>
                <w:szCs w:val="24"/>
                <w:highlight w:val="none"/>
              </w:rPr>
              <w:t>房</w:t>
            </w:r>
            <w:r>
              <w:rPr>
                <w:color w:val="auto"/>
                <w:spacing w:val="-2"/>
                <w:sz w:val="24"/>
                <w:szCs w:val="24"/>
                <w:highlight w:val="none"/>
              </w:rPr>
              <w:t>屋顶无人员居留，根据《工业X射线探伤室辐射屏蔽规范》（GBZ/T250-2014），直接按100μSv/h进行控制。</w:t>
            </w:r>
          </w:p>
          <w:p w14:paraId="3FE6E5BD">
            <w:pPr>
              <w:adjustRightInd w:val="0"/>
              <w:snapToGrid w:val="0"/>
              <w:spacing w:line="360" w:lineRule="auto"/>
              <w:ind w:firstLine="482" w:firstLineChars="200"/>
              <w:textAlignment w:val="baseline"/>
              <w:rPr>
                <w:color w:val="auto"/>
                <w:sz w:val="24"/>
                <w:szCs w:val="24"/>
                <w:highlight w:val="none"/>
              </w:rPr>
            </w:pPr>
            <w:r>
              <w:rPr>
                <w:rFonts w:hint="eastAsia"/>
                <w:b/>
                <w:bCs/>
                <w:color w:val="auto"/>
                <w:sz w:val="24"/>
                <w:szCs w:val="24"/>
                <w:highlight w:val="none"/>
              </w:rPr>
              <w:t>3.3.2</w:t>
            </w:r>
            <w:r>
              <w:rPr>
                <w:rFonts w:hint="eastAsia"/>
                <w:b/>
                <w:bCs/>
                <w:color w:val="auto"/>
                <w:sz w:val="24"/>
                <w:highlight w:val="none"/>
              </w:rPr>
              <w:t>估算公式及相关参数取值</w:t>
            </w:r>
          </w:p>
          <w:p w14:paraId="6E0BDBD1">
            <w:pPr>
              <w:pStyle w:val="5"/>
              <w:keepNext w:val="0"/>
              <w:keepLines w:val="0"/>
              <w:pageBreakBefore w:val="0"/>
              <w:widowControl w:val="0"/>
              <w:kinsoku/>
              <w:wordWrap/>
              <w:overflowPunct/>
              <w:topLinePunct w:val="0"/>
              <w:autoSpaceDE/>
              <w:autoSpaceDN/>
              <w:bidi w:val="0"/>
              <w:adjustRightInd/>
              <w:snapToGrid/>
              <w:spacing w:line="360" w:lineRule="auto"/>
              <w:ind w:firstLine="472"/>
              <w:textAlignment w:val="auto"/>
              <w:rPr>
                <w:b/>
                <w:bCs/>
                <w:color w:val="auto"/>
                <w:spacing w:val="-2"/>
                <w:sz w:val="24"/>
                <w:szCs w:val="24"/>
                <w:highlight w:val="none"/>
              </w:rPr>
            </w:pPr>
            <w:r>
              <w:rPr>
                <w:b/>
                <w:bCs/>
                <w:color w:val="auto"/>
                <w:spacing w:val="-2"/>
                <w:sz w:val="24"/>
                <w:szCs w:val="24"/>
                <w:highlight w:val="none"/>
              </w:rPr>
              <w:t>本项目X射线探伤</w:t>
            </w:r>
            <w:r>
              <w:rPr>
                <w:rFonts w:hint="eastAsia"/>
                <w:b/>
                <w:bCs/>
                <w:color w:val="auto"/>
                <w:spacing w:val="-2"/>
                <w:sz w:val="24"/>
                <w:szCs w:val="24"/>
                <w:highlight w:val="none"/>
              </w:rPr>
              <w:t>房</w:t>
            </w:r>
            <w:r>
              <w:rPr>
                <w:b/>
                <w:bCs/>
                <w:color w:val="auto"/>
                <w:spacing w:val="-2"/>
                <w:sz w:val="24"/>
                <w:szCs w:val="24"/>
                <w:highlight w:val="none"/>
              </w:rPr>
              <w:t>配备</w:t>
            </w:r>
            <w:r>
              <w:rPr>
                <w:rFonts w:hint="eastAsia"/>
                <w:b/>
                <w:bCs/>
                <w:color w:val="auto"/>
                <w:spacing w:val="-2"/>
                <w:sz w:val="24"/>
                <w:szCs w:val="24"/>
                <w:highlight w:val="none"/>
                <w:lang w:val="en-US" w:eastAsia="zh-CN"/>
              </w:rPr>
              <w:t>1</w:t>
            </w:r>
            <w:r>
              <w:rPr>
                <w:b/>
                <w:bCs/>
                <w:color w:val="auto"/>
                <w:spacing w:val="-2"/>
                <w:sz w:val="24"/>
                <w:szCs w:val="24"/>
                <w:highlight w:val="none"/>
              </w:rPr>
              <w:t>台X射线探伤机</w:t>
            </w:r>
            <w:r>
              <w:rPr>
                <w:rFonts w:hint="eastAsia"/>
                <w:b/>
                <w:bCs/>
                <w:color w:val="auto"/>
                <w:spacing w:val="-2"/>
                <w:sz w:val="24"/>
                <w:szCs w:val="24"/>
                <w:highlight w:val="none"/>
              </w:rPr>
              <w:t>，</w:t>
            </w:r>
            <w:r>
              <w:rPr>
                <w:b/>
                <w:bCs/>
                <w:color w:val="auto"/>
                <w:spacing w:val="-2"/>
                <w:sz w:val="24"/>
                <w:szCs w:val="24"/>
                <w:highlight w:val="none"/>
              </w:rPr>
              <w:t>定向机主射线朝</w:t>
            </w:r>
            <w:r>
              <w:rPr>
                <w:rFonts w:hint="eastAsia"/>
                <w:b/>
                <w:bCs/>
                <w:color w:val="auto"/>
                <w:spacing w:val="-2"/>
                <w:sz w:val="24"/>
                <w:szCs w:val="24"/>
                <w:highlight w:val="none"/>
                <w:lang w:val="en-US" w:eastAsia="zh-CN"/>
              </w:rPr>
              <w:t>西</w:t>
            </w:r>
            <w:r>
              <w:rPr>
                <w:b/>
                <w:bCs/>
                <w:color w:val="auto"/>
                <w:spacing w:val="-2"/>
                <w:sz w:val="24"/>
                <w:szCs w:val="24"/>
                <w:highlight w:val="none"/>
              </w:rPr>
              <w:t>，</w:t>
            </w:r>
            <w:r>
              <w:rPr>
                <w:rFonts w:hint="eastAsia"/>
                <w:b/>
                <w:bCs/>
                <w:color w:val="auto"/>
                <w:spacing w:val="-2"/>
                <w:sz w:val="24"/>
                <w:szCs w:val="24"/>
                <w:highlight w:val="none"/>
                <w:lang w:eastAsia="zh-CN"/>
              </w:rPr>
              <w:t>西</w:t>
            </w:r>
            <w:r>
              <w:rPr>
                <w:b/>
                <w:bCs/>
                <w:color w:val="auto"/>
                <w:spacing w:val="-2"/>
                <w:sz w:val="24"/>
                <w:szCs w:val="24"/>
                <w:highlight w:val="none"/>
              </w:rPr>
              <w:t xml:space="preserve">侧考虑有用线束的影响，其他方向考虑非有用线束的影响。 </w:t>
            </w:r>
          </w:p>
          <w:p w14:paraId="034C232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sz w:val="24"/>
                <w:szCs w:val="24"/>
                <w:highlight w:val="none"/>
                <w:lang w:val="en-US" w:eastAsia="zh-CN"/>
              </w:rPr>
            </w:pPr>
            <w:r>
              <w:rPr>
                <w:rFonts w:hint="eastAsia"/>
                <w:color w:val="auto"/>
                <w:sz w:val="24"/>
                <w:szCs w:val="24"/>
                <w:highlight w:val="none"/>
              </w:rPr>
              <w:t>工作区域：定向机距离东侧屏蔽墙最近距离为</w:t>
            </w:r>
            <w:r>
              <w:rPr>
                <w:rFonts w:hint="eastAsia"/>
                <w:color w:val="auto"/>
                <w:sz w:val="24"/>
                <w:szCs w:val="24"/>
                <w:highlight w:val="none"/>
                <w:lang w:val="en-US" w:eastAsia="zh-CN"/>
              </w:rPr>
              <w:t>0.6</w:t>
            </w:r>
            <w:r>
              <w:rPr>
                <w:rFonts w:hint="eastAsia"/>
                <w:color w:val="auto"/>
                <w:sz w:val="24"/>
                <w:szCs w:val="24"/>
                <w:highlight w:val="none"/>
              </w:rPr>
              <w:t>米，定向机距离西侧屏蔽墙最近距离为</w:t>
            </w:r>
            <w:r>
              <w:rPr>
                <w:rFonts w:hint="eastAsia"/>
                <w:color w:val="auto"/>
                <w:sz w:val="24"/>
                <w:szCs w:val="24"/>
                <w:highlight w:val="none"/>
                <w:lang w:val="en-US" w:eastAsia="zh-CN"/>
              </w:rPr>
              <w:t>1</w:t>
            </w:r>
            <w:r>
              <w:rPr>
                <w:rFonts w:hint="eastAsia"/>
                <w:color w:val="auto"/>
                <w:sz w:val="24"/>
                <w:szCs w:val="24"/>
                <w:highlight w:val="none"/>
              </w:rPr>
              <w:t>.</w:t>
            </w:r>
            <w:r>
              <w:rPr>
                <w:rFonts w:hint="eastAsia"/>
                <w:color w:val="auto"/>
                <w:sz w:val="24"/>
                <w:szCs w:val="24"/>
                <w:highlight w:val="none"/>
                <w:lang w:val="en-US" w:eastAsia="zh-CN"/>
              </w:rPr>
              <w:t>2</w:t>
            </w:r>
            <w:r>
              <w:rPr>
                <w:rFonts w:hint="eastAsia"/>
                <w:color w:val="auto"/>
                <w:sz w:val="24"/>
                <w:szCs w:val="24"/>
                <w:highlight w:val="none"/>
              </w:rPr>
              <w:t>米，距离南侧屏蔽墙最近距离为</w:t>
            </w:r>
            <w:r>
              <w:rPr>
                <w:rFonts w:hint="eastAsia"/>
                <w:color w:val="auto"/>
                <w:sz w:val="24"/>
                <w:szCs w:val="24"/>
                <w:highlight w:val="none"/>
                <w:lang w:val="en-US" w:eastAsia="zh-CN"/>
              </w:rPr>
              <w:t>1</w:t>
            </w:r>
            <w:r>
              <w:rPr>
                <w:rFonts w:hint="eastAsia"/>
                <w:color w:val="auto"/>
                <w:sz w:val="24"/>
                <w:szCs w:val="24"/>
                <w:highlight w:val="none"/>
              </w:rPr>
              <w:t>米，距离北侧屏蔽墙最近距离为</w:t>
            </w:r>
            <w:r>
              <w:rPr>
                <w:rFonts w:hint="eastAsia"/>
                <w:color w:val="auto"/>
                <w:sz w:val="24"/>
                <w:szCs w:val="24"/>
                <w:highlight w:val="none"/>
                <w:lang w:val="en-US" w:eastAsia="zh-CN"/>
              </w:rPr>
              <w:t>1</w:t>
            </w:r>
            <w:r>
              <w:rPr>
                <w:rFonts w:hint="eastAsia"/>
                <w:color w:val="auto"/>
                <w:sz w:val="24"/>
                <w:szCs w:val="24"/>
                <w:highlight w:val="none"/>
              </w:rPr>
              <w:t xml:space="preserve">米。 </w:t>
            </w:r>
          </w:p>
          <w:p w14:paraId="2139FC39">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spacing w:val="-2"/>
                <w:sz w:val="24"/>
                <w:szCs w:val="24"/>
                <w:highlight w:val="none"/>
              </w:rPr>
            </w:pPr>
            <w:r>
              <w:rPr>
                <w:rFonts w:hint="eastAsia"/>
                <w:color w:val="auto"/>
                <w:sz w:val="24"/>
                <w:szCs w:val="24"/>
                <w:highlight w:val="none"/>
              </w:rPr>
              <w:t>项目探伤机出束点最高离地1m，则出束点距离探伤房屋顶的最近距离为</w:t>
            </w:r>
            <w:r>
              <w:rPr>
                <w:rFonts w:hint="eastAsia"/>
                <w:color w:val="auto"/>
                <w:sz w:val="24"/>
                <w:szCs w:val="24"/>
                <w:highlight w:val="none"/>
                <w:lang w:val="en-US" w:eastAsia="zh-CN"/>
              </w:rPr>
              <w:t>1.5</w:t>
            </w:r>
            <w:r>
              <w:rPr>
                <w:rFonts w:hint="eastAsia"/>
                <w:color w:val="auto"/>
                <w:sz w:val="24"/>
                <w:szCs w:val="24"/>
                <w:highlight w:val="none"/>
              </w:rPr>
              <w:t>m</w:t>
            </w:r>
            <w:r>
              <w:rPr>
                <w:color w:val="auto"/>
                <w:spacing w:val="-2"/>
                <w:sz w:val="24"/>
                <w:szCs w:val="24"/>
                <w:highlight w:val="none"/>
              </w:rPr>
              <w:t>。</w:t>
            </w:r>
          </w:p>
          <w:p w14:paraId="5430F463">
            <w:pPr>
              <w:pStyle w:val="5"/>
              <w:keepNext w:val="0"/>
              <w:keepLines w:val="0"/>
              <w:pageBreakBefore w:val="0"/>
              <w:widowControl w:val="0"/>
              <w:kinsoku/>
              <w:wordWrap/>
              <w:overflowPunct/>
              <w:topLinePunct w:val="0"/>
              <w:autoSpaceDE/>
              <w:autoSpaceDN/>
              <w:bidi w:val="0"/>
              <w:adjustRightInd/>
              <w:snapToGrid/>
              <w:spacing w:line="360" w:lineRule="auto"/>
              <w:ind w:firstLine="472"/>
              <w:textAlignment w:val="auto"/>
              <w:rPr>
                <w:color w:val="auto"/>
                <w:spacing w:val="-2"/>
                <w:sz w:val="24"/>
                <w:szCs w:val="24"/>
                <w:highlight w:val="none"/>
              </w:rPr>
            </w:pPr>
            <w:r>
              <w:rPr>
                <w:color w:val="auto"/>
                <w:spacing w:val="-2"/>
                <w:sz w:val="24"/>
                <w:szCs w:val="24"/>
                <w:highlight w:val="none"/>
              </w:rPr>
              <w:t>计算模式采用《工业X射线探伤室辐射屏蔽规范》（GBZ/T 250-2014）中的计算公式。</w:t>
            </w:r>
          </w:p>
          <w:p w14:paraId="340A51F2">
            <w:pPr>
              <w:pStyle w:val="5"/>
              <w:adjustRightInd w:val="0"/>
              <w:snapToGrid w:val="0"/>
              <w:spacing w:line="360" w:lineRule="auto"/>
              <w:ind w:firstLine="472"/>
              <w:rPr>
                <w:color w:val="auto"/>
                <w:highlight w:val="none"/>
              </w:rPr>
            </w:pPr>
            <w:r>
              <w:rPr>
                <w:rFonts w:hint="eastAsia"/>
                <w:color w:val="auto"/>
                <w:spacing w:val="-2"/>
                <w:sz w:val="24"/>
                <w:szCs w:val="24"/>
                <w:highlight w:val="none"/>
              </w:rPr>
              <w:t>本项目探伤房内设置有</w:t>
            </w:r>
            <w:r>
              <w:rPr>
                <w:rFonts w:hint="eastAsia"/>
                <w:color w:val="auto"/>
                <w:spacing w:val="-2"/>
                <w:sz w:val="24"/>
                <w:szCs w:val="24"/>
                <w:highlight w:val="none"/>
                <w:lang w:val="en-US" w:eastAsia="zh-CN"/>
              </w:rPr>
              <w:t>1</w:t>
            </w:r>
            <w:r>
              <w:rPr>
                <w:color w:val="auto"/>
                <w:spacing w:val="-2"/>
                <w:sz w:val="24"/>
                <w:szCs w:val="24"/>
                <w:highlight w:val="none"/>
              </w:rPr>
              <w:t>台X射线探伤机，最大能量</w:t>
            </w:r>
            <w:r>
              <w:rPr>
                <w:rFonts w:hint="eastAsia"/>
                <w:color w:val="auto"/>
                <w:spacing w:val="-2"/>
                <w:sz w:val="24"/>
                <w:szCs w:val="24"/>
                <w:highlight w:val="none"/>
              </w:rPr>
              <w:t>均为</w:t>
            </w:r>
            <w:r>
              <w:rPr>
                <w:color w:val="auto"/>
                <w:spacing w:val="-2"/>
                <w:sz w:val="24"/>
                <w:szCs w:val="24"/>
                <w:highlight w:val="none"/>
              </w:rPr>
              <w:t>管电压</w:t>
            </w:r>
            <w:r>
              <w:rPr>
                <w:rFonts w:hint="eastAsia"/>
                <w:color w:val="auto"/>
                <w:spacing w:val="-2"/>
                <w:sz w:val="24"/>
                <w:szCs w:val="24"/>
                <w:highlight w:val="none"/>
              </w:rPr>
              <w:t>250</w:t>
            </w:r>
            <w:r>
              <w:rPr>
                <w:color w:val="auto"/>
                <w:spacing w:val="-2"/>
                <w:sz w:val="24"/>
                <w:szCs w:val="24"/>
                <w:highlight w:val="none"/>
              </w:rPr>
              <w:t>kV、管电流5mA</w:t>
            </w:r>
            <w:r>
              <w:rPr>
                <w:rFonts w:hint="eastAsia"/>
                <w:color w:val="auto"/>
                <w:spacing w:val="-2"/>
                <w:sz w:val="24"/>
                <w:szCs w:val="24"/>
                <w:highlight w:val="none"/>
              </w:rPr>
              <w:t>本次评价按照探伤机最大能量</w:t>
            </w:r>
            <w:r>
              <w:rPr>
                <w:color w:val="auto"/>
                <w:spacing w:val="-2"/>
                <w:sz w:val="24"/>
                <w:szCs w:val="24"/>
                <w:highlight w:val="none"/>
              </w:rPr>
              <w:t>来计算各关注点的剂量率水平和人员受照剂量是否满足国家标准及本项目管理</w:t>
            </w:r>
            <w:r>
              <w:rPr>
                <w:rFonts w:hint="eastAsia"/>
                <w:color w:val="auto"/>
                <w:spacing w:val="-2"/>
                <w:sz w:val="24"/>
                <w:szCs w:val="24"/>
                <w:highlight w:val="none"/>
              </w:rPr>
              <w:t>目标限值</w:t>
            </w:r>
            <w:r>
              <w:rPr>
                <w:color w:val="auto"/>
                <w:spacing w:val="-2"/>
                <w:sz w:val="24"/>
                <w:szCs w:val="24"/>
                <w:highlight w:val="none"/>
              </w:rPr>
              <w:t>要求</w:t>
            </w:r>
            <w:r>
              <w:rPr>
                <w:rFonts w:hint="eastAsia"/>
                <w:color w:val="auto"/>
                <w:spacing w:val="-2"/>
                <w:sz w:val="24"/>
                <w:szCs w:val="24"/>
                <w:highlight w:val="none"/>
              </w:rPr>
              <w:t>。</w:t>
            </w:r>
          </w:p>
          <w:p w14:paraId="668FA627">
            <w:pPr>
              <w:pStyle w:val="109"/>
              <w:ind w:firstLine="472"/>
              <w:rPr>
                <w:snapToGrid/>
                <w:color w:val="auto"/>
                <w:spacing w:val="-2"/>
                <w:kern w:val="2"/>
                <w:szCs w:val="24"/>
                <w:highlight w:val="none"/>
              </w:rPr>
            </w:pPr>
            <w:r>
              <w:rPr>
                <w:snapToGrid/>
                <w:color w:val="auto"/>
                <w:spacing w:val="-2"/>
                <w:kern w:val="2"/>
                <w:szCs w:val="24"/>
                <w:highlight w:val="none"/>
              </w:rPr>
              <w:t>（1）有用线束辐射</w:t>
            </w:r>
          </w:p>
          <w:p w14:paraId="7DC0EA36">
            <w:pPr>
              <w:pStyle w:val="109"/>
              <w:ind w:firstLine="0" w:firstLineChars="0"/>
              <w:jc w:val="center"/>
              <w:rPr>
                <w:snapToGrid/>
                <w:color w:val="auto"/>
                <w:spacing w:val="-2"/>
                <w:kern w:val="2"/>
                <w:szCs w:val="24"/>
                <w:highlight w:val="none"/>
              </w:rPr>
            </w:pPr>
            <w:r>
              <w:rPr>
                <w:snapToGrid/>
                <w:color w:val="auto"/>
                <w:spacing w:val="-2"/>
                <w:kern w:val="2"/>
                <w:szCs w:val="24"/>
                <w:highlight w:val="none"/>
              </w:rPr>
              <w:object>
                <v:shape id="_x0000_i1026" o:spt="75" type="#_x0000_t75" style="height:32.25pt;width:78pt;" o:ole="t" filled="f" o:preferrelative="t" stroked="f" coordsize="21600,21600">
                  <v:path/>
                  <v:fill on="f" focussize="0,0"/>
                  <v:stroke on="f" joinstyle="miter"/>
                  <v:imagedata r:id="rId56" o:title=""/>
                  <o:lock v:ext="edit" aspectratio="t"/>
                  <w10:wrap type="none"/>
                  <w10:anchorlock/>
                </v:shape>
                <o:OLEObject Type="Embed" ProgID="Equation.3" ShapeID="_x0000_i1026" DrawAspect="Content" ObjectID="_1468075726" r:id="rId55">
                  <o:LockedField>false</o:LockedField>
                </o:OLEObject>
              </w:object>
            </w:r>
          </w:p>
          <w:p w14:paraId="35952123">
            <w:pPr>
              <w:pStyle w:val="109"/>
              <w:ind w:firstLine="0" w:firstLineChars="0"/>
              <w:jc w:val="center"/>
              <w:rPr>
                <w:snapToGrid/>
                <w:color w:val="auto"/>
                <w:spacing w:val="-2"/>
                <w:kern w:val="2"/>
                <w:szCs w:val="24"/>
                <w:highlight w:val="none"/>
              </w:rPr>
            </w:pPr>
            <w:r>
              <w:rPr>
                <w:snapToGrid/>
                <w:color w:val="auto"/>
                <w:spacing w:val="-2"/>
                <w:kern w:val="2"/>
                <w:szCs w:val="24"/>
                <w:highlight w:val="none"/>
              </w:rPr>
              <w:object>
                <v:shape id="_x0000_i1027" o:spt="75" type="#_x0000_t75" style="height:21.75pt;width:81.75pt;" o:ole="t" filled="f" o:preferrelative="t" stroked="f" coordsize="21600,21600">
                  <v:path/>
                  <v:fill on="f" focussize="0,0"/>
                  <v:stroke on="f" joinstyle="miter"/>
                  <v:imagedata r:id="rId58" o:title=""/>
                  <o:lock v:ext="edit" aspectratio="t"/>
                  <w10:wrap type="none"/>
                  <w10:anchorlock/>
                </v:shape>
                <o:OLEObject Type="Embed" ProgID="Equation.3" ShapeID="_x0000_i1027" DrawAspect="Content" ObjectID="_1468075727" r:id="rId57">
                  <o:LockedField>false</o:LockedField>
                </o:OLEObject>
              </w:object>
            </w:r>
          </w:p>
          <w:p w14:paraId="4D2FDD82">
            <w:pPr>
              <w:pStyle w:val="109"/>
              <w:ind w:firstLine="472"/>
              <w:rPr>
                <w:snapToGrid/>
                <w:color w:val="auto"/>
                <w:spacing w:val="-2"/>
                <w:kern w:val="2"/>
                <w:szCs w:val="24"/>
                <w:highlight w:val="none"/>
              </w:rPr>
            </w:pPr>
            <w:r>
              <w:rPr>
                <w:snapToGrid/>
                <w:color w:val="auto"/>
                <w:spacing w:val="-2"/>
                <w:kern w:val="2"/>
                <w:szCs w:val="24"/>
                <w:highlight w:val="none"/>
              </w:rPr>
              <w:t>式中：</w:t>
            </w:r>
          </w:p>
          <w:p w14:paraId="4518A8C1">
            <w:pPr>
              <w:pStyle w:val="109"/>
              <w:ind w:firstLine="472"/>
              <w:rPr>
                <w:snapToGrid/>
                <w:color w:val="auto"/>
                <w:spacing w:val="-2"/>
                <w:kern w:val="2"/>
                <w:szCs w:val="24"/>
                <w:highlight w:val="none"/>
              </w:rPr>
            </w:pPr>
            <w:r>
              <w:rPr>
                <w:snapToGrid/>
                <w:color w:val="auto"/>
                <w:spacing w:val="-2"/>
                <w:kern w:val="2"/>
                <w:szCs w:val="24"/>
                <w:highlight w:val="none"/>
              </w:rPr>
              <w:t>H</w:t>
            </w:r>
            <w:r>
              <w:rPr>
                <w:rFonts w:hint="eastAsia"/>
                <w:snapToGrid/>
                <w:color w:val="auto"/>
                <w:spacing w:val="-2"/>
                <w:kern w:val="2"/>
                <w:szCs w:val="24"/>
                <w:highlight w:val="none"/>
              </w:rPr>
              <w:t>：</w:t>
            </w:r>
            <w:r>
              <w:rPr>
                <w:snapToGrid/>
                <w:color w:val="auto"/>
                <w:spacing w:val="-2"/>
                <w:kern w:val="2"/>
                <w:szCs w:val="24"/>
                <w:highlight w:val="none"/>
              </w:rPr>
              <w:t>关注点的剂量率，μSv/h；</w:t>
            </w:r>
          </w:p>
          <w:p w14:paraId="718BF3B2">
            <w:pPr>
              <w:pStyle w:val="109"/>
              <w:ind w:firstLine="472"/>
              <w:rPr>
                <w:snapToGrid/>
                <w:color w:val="auto"/>
                <w:spacing w:val="-2"/>
                <w:kern w:val="2"/>
                <w:szCs w:val="24"/>
                <w:highlight w:val="none"/>
              </w:rPr>
            </w:pPr>
            <w:r>
              <w:rPr>
                <w:snapToGrid/>
                <w:color w:val="auto"/>
                <w:spacing w:val="-2"/>
                <w:kern w:val="2"/>
                <w:szCs w:val="24"/>
                <w:highlight w:val="none"/>
              </w:rPr>
              <w:t>I</w:t>
            </w:r>
            <w:r>
              <w:rPr>
                <w:rFonts w:hint="eastAsia"/>
                <w:snapToGrid/>
                <w:color w:val="auto"/>
                <w:spacing w:val="-2"/>
                <w:kern w:val="2"/>
                <w:szCs w:val="24"/>
                <w:highlight w:val="none"/>
              </w:rPr>
              <w:t>：</w:t>
            </w:r>
            <w:r>
              <w:rPr>
                <w:snapToGrid/>
                <w:color w:val="auto"/>
                <w:spacing w:val="-2"/>
                <w:kern w:val="2"/>
                <w:szCs w:val="24"/>
                <w:highlight w:val="none"/>
              </w:rPr>
              <w:t>X射线探伤装置在最高管电压下的最大管电流，mA；本项目为5mA。</w:t>
            </w:r>
          </w:p>
          <w:p w14:paraId="22525E64">
            <w:pPr>
              <w:pStyle w:val="109"/>
              <w:ind w:firstLine="472"/>
              <w:rPr>
                <w:snapToGrid/>
                <w:color w:val="auto"/>
                <w:spacing w:val="-2"/>
                <w:kern w:val="2"/>
                <w:szCs w:val="24"/>
                <w:highlight w:val="none"/>
              </w:rPr>
            </w:pPr>
            <w:r>
              <w:rPr>
                <w:snapToGrid/>
                <w:color w:val="auto"/>
                <w:spacing w:val="-2"/>
                <w:kern w:val="2"/>
                <w:szCs w:val="24"/>
                <w:highlight w:val="none"/>
              </w:rPr>
              <w:t>H</w:t>
            </w:r>
            <w:r>
              <w:rPr>
                <w:snapToGrid/>
                <w:color w:val="auto"/>
                <w:spacing w:val="-2"/>
                <w:kern w:val="2"/>
                <w:szCs w:val="24"/>
                <w:highlight w:val="none"/>
                <w:vertAlign w:val="subscript"/>
              </w:rPr>
              <w:t>0</w:t>
            </w:r>
            <w:r>
              <w:rPr>
                <w:rFonts w:hint="eastAsia"/>
                <w:snapToGrid/>
                <w:color w:val="auto"/>
                <w:spacing w:val="-2"/>
                <w:kern w:val="2"/>
                <w:szCs w:val="24"/>
                <w:highlight w:val="none"/>
              </w:rPr>
              <w:t>：</w:t>
            </w:r>
            <w:r>
              <w:rPr>
                <w:snapToGrid/>
                <w:color w:val="auto"/>
                <w:spacing w:val="-2"/>
                <w:kern w:val="2"/>
                <w:szCs w:val="24"/>
                <w:highlight w:val="none"/>
              </w:rPr>
              <w:t>距X射线探伤机靶1m处的输出量，μSv·m</w:t>
            </w:r>
            <w:r>
              <w:rPr>
                <w:snapToGrid/>
                <w:color w:val="auto"/>
                <w:spacing w:val="-2"/>
                <w:kern w:val="2"/>
                <w:szCs w:val="24"/>
                <w:highlight w:val="none"/>
                <w:vertAlign w:val="superscript"/>
              </w:rPr>
              <w:t>2</w:t>
            </w:r>
            <w:r>
              <w:rPr>
                <w:snapToGrid/>
                <w:color w:val="auto"/>
                <w:spacing w:val="-2"/>
                <w:kern w:val="2"/>
                <w:szCs w:val="24"/>
                <w:highlight w:val="none"/>
              </w:rPr>
              <w:t>/mA·h；以mSvm</w:t>
            </w:r>
            <w:r>
              <w:rPr>
                <w:snapToGrid/>
                <w:color w:val="auto"/>
                <w:spacing w:val="-2"/>
                <w:kern w:val="2"/>
                <w:szCs w:val="24"/>
                <w:highlight w:val="none"/>
                <w:vertAlign w:val="superscript"/>
              </w:rPr>
              <w:t>2</w:t>
            </w:r>
            <w:r>
              <w:rPr>
                <w:snapToGrid/>
                <w:color w:val="auto"/>
                <w:spacing w:val="-2"/>
                <w:kern w:val="2"/>
                <w:szCs w:val="24"/>
                <w:highlight w:val="none"/>
              </w:rPr>
              <w:t>/mA·min为单位的值乘以6×10</w:t>
            </w:r>
            <w:r>
              <w:rPr>
                <w:snapToGrid/>
                <w:color w:val="auto"/>
                <w:spacing w:val="-2"/>
                <w:kern w:val="2"/>
                <w:szCs w:val="24"/>
                <w:highlight w:val="none"/>
                <w:vertAlign w:val="superscript"/>
              </w:rPr>
              <w:t>4</w:t>
            </w:r>
            <w:r>
              <w:rPr>
                <w:snapToGrid/>
                <w:color w:val="auto"/>
                <w:spacing w:val="-2"/>
                <w:kern w:val="2"/>
                <w:szCs w:val="24"/>
                <w:highlight w:val="none"/>
              </w:rPr>
              <w:t>。</w:t>
            </w:r>
            <w:r>
              <w:rPr>
                <w:rFonts w:hint="eastAsia"/>
                <w:snapToGrid/>
                <w:color w:val="auto"/>
                <w:spacing w:val="-2"/>
                <w:kern w:val="2"/>
                <w:szCs w:val="24"/>
                <w:highlight w:val="none"/>
                <w:lang w:val="en-US" w:eastAsia="zh-CN"/>
              </w:rPr>
              <w:t>本项目为</w:t>
            </w:r>
            <w:r>
              <w:rPr>
                <w:rFonts w:hint="eastAsia"/>
                <w:snapToGrid/>
                <w:color w:val="auto"/>
                <w:spacing w:val="-2"/>
                <w:kern w:val="2"/>
                <w:szCs w:val="24"/>
                <w:highlight w:val="none"/>
              </w:rPr>
              <w:t>250</w:t>
            </w:r>
            <w:r>
              <w:rPr>
                <w:snapToGrid/>
                <w:color w:val="auto"/>
                <w:spacing w:val="-2"/>
                <w:kern w:val="2"/>
                <w:szCs w:val="24"/>
                <w:highlight w:val="none"/>
              </w:rPr>
              <w:t>kV管电压</w:t>
            </w:r>
            <w:r>
              <w:rPr>
                <w:rFonts w:hint="eastAsia"/>
                <w:snapToGrid/>
                <w:color w:val="auto"/>
                <w:spacing w:val="-2"/>
                <w:kern w:val="2"/>
                <w:szCs w:val="24"/>
                <w:highlight w:val="none"/>
              </w:rPr>
              <w:t>0.5</w:t>
            </w:r>
            <w:r>
              <w:rPr>
                <w:snapToGrid/>
                <w:color w:val="auto"/>
                <w:spacing w:val="-2"/>
                <w:kern w:val="2"/>
                <w:szCs w:val="24"/>
                <w:highlight w:val="none"/>
              </w:rPr>
              <w:t>mm铜滤过条件下距辐射源点（靶点）1m处的输出量为</w:t>
            </w:r>
            <w:r>
              <w:rPr>
                <w:rFonts w:hint="eastAsia"/>
                <w:snapToGrid/>
                <w:color w:val="auto"/>
                <w:spacing w:val="-2"/>
                <w:kern w:val="2"/>
                <w:szCs w:val="24"/>
                <w:highlight w:val="none"/>
              </w:rPr>
              <w:t>16.5</w:t>
            </w:r>
            <w:r>
              <w:rPr>
                <w:snapToGrid/>
                <w:color w:val="auto"/>
                <w:spacing w:val="-2"/>
                <w:kern w:val="2"/>
                <w:szCs w:val="24"/>
                <w:highlight w:val="none"/>
              </w:rPr>
              <w:t>mSv·m</w:t>
            </w:r>
            <w:r>
              <w:rPr>
                <w:snapToGrid/>
                <w:color w:val="auto"/>
                <w:spacing w:val="-2"/>
                <w:kern w:val="2"/>
                <w:szCs w:val="24"/>
                <w:highlight w:val="none"/>
                <w:vertAlign w:val="superscript"/>
              </w:rPr>
              <w:t>2</w:t>
            </w:r>
            <w:r>
              <w:rPr>
                <w:snapToGrid/>
                <w:color w:val="auto"/>
                <w:spacing w:val="-2"/>
                <w:kern w:val="2"/>
                <w:szCs w:val="24"/>
                <w:highlight w:val="none"/>
              </w:rPr>
              <w:t>/（mA·min），本次预测H</w:t>
            </w:r>
            <w:r>
              <w:rPr>
                <w:snapToGrid/>
                <w:color w:val="auto"/>
                <w:spacing w:val="-2"/>
                <w:kern w:val="2"/>
                <w:szCs w:val="24"/>
                <w:highlight w:val="none"/>
                <w:vertAlign w:val="subscript"/>
              </w:rPr>
              <w:t>0</w:t>
            </w:r>
            <w:r>
              <w:rPr>
                <w:snapToGrid/>
                <w:color w:val="auto"/>
                <w:spacing w:val="-2"/>
                <w:kern w:val="2"/>
                <w:szCs w:val="24"/>
                <w:highlight w:val="none"/>
              </w:rPr>
              <w:t>按</w:t>
            </w:r>
            <w:r>
              <w:rPr>
                <w:rFonts w:hint="eastAsia"/>
                <w:snapToGrid/>
                <w:color w:val="auto"/>
                <w:spacing w:val="-2"/>
                <w:kern w:val="2"/>
                <w:szCs w:val="24"/>
                <w:highlight w:val="none"/>
              </w:rPr>
              <w:t>250</w:t>
            </w:r>
            <w:r>
              <w:rPr>
                <w:snapToGrid/>
                <w:color w:val="auto"/>
                <w:spacing w:val="-2"/>
                <w:kern w:val="2"/>
                <w:szCs w:val="24"/>
                <w:highlight w:val="none"/>
              </w:rPr>
              <w:t>kV管电压</w:t>
            </w:r>
            <w:r>
              <w:rPr>
                <w:rFonts w:hint="eastAsia"/>
                <w:snapToGrid/>
                <w:color w:val="auto"/>
                <w:spacing w:val="-2"/>
                <w:kern w:val="2"/>
                <w:szCs w:val="24"/>
                <w:highlight w:val="none"/>
              </w:rPr>
              <w:t>0.5</w:t>
            </w:r>
            <w:r>
              <w:rPr>
                <w:snapToGrid/>
                <w:color w:val="auto"/>
                <w:spacing w:val="-2"/>
                <w:kern w:val="2"/>
                <w:szCs w:val="24"/>
                <w:highlight w:val="none"/>
              </w:rPr>
              <w:t>mm</w:t>
            </w:r>
            <w:r>
              <w:rPr>
                <w:rFonts w:hint="eastAsia"/>
                <w:snapToGrid/>
                <w:color w:val="auto"/>
                <w:spacing w:val="-2"/>
                <w:kern w:val="2"/>
                <w:szCs w:val="24"/>
                <w:highlight w:val="none"/>
              </w:rPr>
              <w:t>铜滤过</w:t>
            </w:r>
            <w:r>
              <w:rPr>
                <w:snapToGrid/>
                <w:color w:val="auto"/>
                <w:spacing w:val="-2"/>
                <w:kern w:val="2"/>
                <w:szCs w:val="24"/>
                <w:highlight w:val="none"/>
              </w:rPr>
              <w:t>条件下输出量取值，取</w:t>
            </w:r>
            <w:r>
              <w:rPr>
                <w:rFonts w:hint="eastAsia"/>
                <w:snapToGrid/>
                <w:color w:val="auto"/>
                <w:spacing w:val="-2"/>
                <w:kern w:val="2"/>
                <w:szCs w:val="24"/>
                <w:highlight w:val="none"/>
              </w:rPr>
              <w:t>16.5</w:t>
            </w:r>
            <w:r>
              <w:rPr>
                <w:snapToGrid/>
                <w:color w:val="auto"/>
                <w:spacing w:val="-2"/>
                <w:kern w:val="2"/>
                <w:szCs w:val="24"/>
                <w:highlight w:val="none"/>
              </w:rPr>
              <w:t>×6×10</w:t>
            </w:r>
            <w:r>
              <w:rPr>
                <w:snapToGrid/>
                <w:color w:val="auto"/>
                <w:spacing w:val="-2"/>
                <w:kern w:val="2"/>
                <w:szCs w:val="24"/>
                <w:highlight w:val="none"/>
                <w:vertAlign w:val="superscript"/>
              </w:rPr>
              <w:t>4</w:t>
            </w:r>
            <w:r>
              <w:rPr>
                <w:snapToGrid/>
                <w:color w:val="auto"/>
                <w:spacing w:val="-2"/>
                <w:kern w:val="2"/>
                <w:szCs w:val="24"/>
                <w:highlight w:val="none"/>
              </w:rPr>
              <w:t>μSv·m</w:t>
            </w:r>
            <w:r>
              <w:rPr>
                <w:snapToGrid/>
                <w:color w:val="auto"/>
                <w:spacing w:val="-2"/>
                <w:kern w:val="2"/>
                <w:szCs w:val="24"/>
                <w:highlight w:val="none"/>
                <w:vertAlign w:val="superscript"/>
              </w:rPr>
              <w:t>2</w:t>
            </w:r>
            <w:r>
              <w:rPr>
                <w:snapToGrid/>
                <w:color w:val="auto"/>
                <w:spacing w:val="-2"/>
                <w:kern w:val="2"/>
                <w:szCs w:val="24"/>
                <w:highlight w:val="none"/>
              </w:rPr>
              <w:t>/mA·h。</w:t>
            </w:r>
          </w:p>
          <w:p w14:paraId="18ED9D2B">
            <w:pPr>
              <w:pStyle w:val="109"/>
              <w:ind w:firstLine="480"/>
              <w:rPr>
                <w:color w:val="auto"/>
                <w:highlight w:val="none"/>
              </w:rPr>
            </w:pPr>
            <w:r>
              <w:rPr>
                <w:color w:val="auto"/>
                <w:highlight w:val="none"/>
              </w:rPr>
              <w:t>B</w:t>
            </w:r>
            <w:r>
              <w:rPr>
                <w:rFonts w:hint="eastAsia"/>
                <w:color w:val="auto"/>
                <w:highlight w:val="none"/>
              </w:rPr>
              <w:t>：</w:t>
            </w:r>
            <w:r>
              <w:rPr>
                <w:color w:val="auto"/>
                <w:highlight w:val="none"/>
              </w:rPr>
              <w:t>屏蔽透射因子；</w:t>
            </w:r>
          </w:p>
          <w:p w14:paraId="2FA16EC3">
            <w:pPr>
              <w:pStyle w:val="109"/>
              <w:ind w:firstLine="480"/>
              <w:rPr>
                <w:color w:val="auto"/>
                <w:highlight w:val="none"/>
              </w:rPr>
            </w:pPr>
            <w:r>
              <w:rPr>
                <w:color w:val="auto"/>
                <w:highlight w:val="none"/>
              </w:rPr>
              <w:t>R</w:t>
            </w:r>
            <w:r>
              <w:rPr>
                <w:rFonts w:hint="eastAsia"/>
                <w:color w:val="auto"/>
                <w:highlight w:val="none"/>
              </w:rPr>
              <w:t>：</w:t>
            </w:r>
            <w:r>
              <w:rPr>
                <w:color w:val="auto"/>
                <w:highlight w:val="none"/>
              </w:rPr>
              <w:t>X射线探伤机靶至关注点的距离，m；</w:t>
            </w:r>
          </w:p>
          <w:p w14:paraId="247D144F">
            <w:pPr>
              <w:pStyle w:val="96"/>
              <w:ind w:firstLine="422"/>
              <w:jc w:val="both"/>
              <w:rPr>
                <w:rFonts w:ascii="Times New Roman" w:hAnsi="Times New Roman" w:eastAsia="宋体" w:cs="Times New Roman"/>
                <w:snapToGrid w:val="0"/>
                <w:color w:val="auto"/>
                <w:kern w:val="0"/>
                <w:sz w:val="24"/>
                <w:szCs w:val="21"/>
                <w:highlight w:val="none"/>
                <w:lang w:val="en-US" w:eastAsia="zh-CN" w:bidi="ar-SA"/>
              </w:rPr>
            </w:pPr>
            <w:r>
              <w:rPr>
                <w:rFonts w:ascii="Times New Roman" w:hAnsi="Times New Roman" w:eastAsia="宋体" w:cs="Times New Roman"/>
                <w:snapToGrid w:val="0"/>
                <w:color w:val="auto"/>
                <w:kern w:val="0"/>
                <w:sz w:val="24"/>
                <w:szCs w:val="21"/>
                <w:highlight w:val="none"/>
                <w:lang w:val="en-US" w:eastAsia="zh-CN" w:bidi="ar-SA"/>
              </w:rPr>
              <w:t>X</w:t>
            </w:r>
            <w:r>
              <w:rPr>
                <w:rFonts w:hint="eastAsia" w:ascii="Times New Roman" w:hAnsi="Times New Roman" w:eastAsia="宋体" w:cs="Times New Roman"/>
                <w:snapToGrid w:val="0"/>
                <w:color w:val="auto"/>
                <w:kern w:val="0"/>
                <w:sz w:val="24"/>
                <w:szCs w:val="21"/>
                <w:highlight w:val="none"/>
                <w:lang w:val="en-US" w:eastAsia="zh-CN" w:bidi="ar-SA"/>
              </w:rPr>
              <w:t>：</w:t>
            </w:r>
            <w:r>
              <w:rPr>
                <w:rFonts w:ascii="Times New Roman" w:hAnsi="Times New Roman" w:eastAsia="宋体" w:cs="Times New Roman"/>
                <w:snapToGrid w:val="0"/>
                <w:color w:val="auto"/>
                <w:kern w:val="0"/>
                <w:sz w:val="24"/>
                <w:szCs w:val="21"/>
                <w:highlight w:val="none"/>
                <w:lang w:val="en-US" w:eastAsia="zh-CN" w:bidi="ar-SA"/>
              </w:rPr>
              <w:t>屏蔽物质厚度，与TVL取相同单位；</w:t>
            </w:r>
          </w:p>
          <w:p w14:paraId="13076BAE">
            <w:pPr>
              <w:pStyle w:val="96"/>
              <w:spacing w:line="240" w:lineRule="auto"/>
              <w:ind w:firstLine="422"/>
              <w:rPr>
                <w:rFonts w:hint="default" w:eastAsia="宋体" w:cs="Times New Roman"/>
                <w:b/>
                <w:color w:val="auto"/>
                <w:kern w:val="2"/>
                <w:sz w:val="21"/>
                <w:szCs w:val="21"/>
                <w:highlight w:val="none"/>
                <w:lang w:val="en-US" w:eastAsia="zh-CN"/>
              </w:rPr>
            </w:pPr>
            <w:r>
              <w:rPr>
                <w:rFonts w:hint="eastAsia" w:eastAsia="宋体" w:cs="Times New Roman"/>
                <w:b/>
                <w:color w:val="auto"/>
                <w:kern w:val="2"/>
                <w:sz w:val="21"/>
                <w:szCs w:val="21"/>
                <w:highlight w:val="none"/>
              </w:rPr>
              <w:t>表11-</w:t>
            </w:r>
            <w:r>
              <w:rPr>
                <w:rFonts w:hint="eastAsia" w:eastAsia="宋体" w:cs="Times New Roman"/>
                <w:b/>
                <w:color w:val="auto"/>
                <w:kern w:val="2"/>
                <w:sz w:val="21"/>
                <w:szCs w:val="21"/>
                <w:highlight w:val="none"/>
                <w:lang w:val="en-US" w:eastAsia="zh-CN"/>
              </w:rPr>
              <w:t>9</w:t>
            </w:r>
            <w:r>
              <w:rPr>
                <w:rFonts w:hint="eastAsia" w:eastAsia="宋体" w:cs="Times New Roman"/>
                <w:b/>
                <w:color w:val="auto"/>
                <w:kern w:val="2"/>
                <w:sz w:val="21"/>
                <w:szCs w:val="21"/>
                <w:highlight w:val="none"/>
              </w:rPr>
              <w:t xml:space="preserve">  </w:t>
            </w:r>
            <w:r>
              <w:rPr>
                <w:rFonts w:hint="eastAsia" w:eastAsia="宋体" w:cs="Times New Roman"/>
                <w:b/>
                <w:color w:val="auto"/>
                <w:kern w:val="2"/>
                <w:sz w:val="21"/>
                <w:szCs w:val="21"/>
                <w:highlight w:val="none"/>
                <w:lang w:val="en-US" w:eastAsia="zh-CN"/>
              </w:rPr>
              <w:t>几种低能X线屏蔽材料的铅当量</w:t>
            </w:r>
          </w:p>
          <w:p w14:paraId="3CF34A3B">
            <w:pPr>
              <w:pStyle w:val="109"/>
              <w:ind w:left="0" w:leftChars="0" w:firstLine="0" w:firstLineChars="0"/>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394325" cy="2370455"/>
                  <wp:effectExtent l="0" t="0" r="15875" b="10795"/>
                  <wp:docPr id="197" name="图片 197" descr="364d0c741ee5ca051467b9c58c0e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364d0c741ee5ca051467b9c58c0ee68"/>
                          <pic:cNvPicPr>
                            <a:picLocks noChangeAspect="1"/>
                          </pic:cNvPicPr>
                        </pic:nvPicPr>
                        <pic:blipFill>
                          <a:blip r:embed="rId59"/>
                          <a:srcRect l="12891" t="27944" r="9430" b="20183"/>
                          <a:stretch>
                            <a:fillRect/>
                          </a:stretch>
                        </pic:blipFill>
                        <pic:spPr>
                          <a:xfrm>
                            <a:off x="0" y="0"/>
                            <a:ext cx="5394325" cy="2370455"/>
                          </a:xfrm>
                          <a:prstGeom prst="rect">
                            <a:avLst/>
                          </a:prstGeom>
                        </pic:spPr>
                      </pic:pic>
                    </a:graphicData>
                  </a:graphic>
                </wp:inline>
              </w:drawing>
            </w:r>
          </w:p>
          <w:p w14:paraId="7448BA57">
            <w:pPr>
              <w:pStyle w:val="109"/>
              <w:ind w:left="0" w:leftChars="0" w:firstLine="0" w:firstLineChars="0"/>
              <w:rPr>
                <w:rFonts w:hint="default" w:eastAsia="宋体"/>
                <w:b/>
                <w:bCs/>
                <w:color w:val="auto"/>
                <w:sz w:val="21"/>
                <w:szCs w:val="18"/>
                <w:highlight w:val="none"/>
                <w:lang w:val="en-US" w:eastAsia="zh-CN"/>
              </w:rPr>
            </w:pPr>
            <w:r>
              <w:rPr>
                <w:rFonts w:hint="eastAsia"/>
                <w:b/>
                <w:bCs/>
                <w:color w:val="auto"/>
                <w:sz w:val="21"/>
                <w:szCs w:val="18"/>
                <w:highlight w:val="none"/>
                <w:lang w:val="en-US" w:eastAsia="zh-CN"/>
              </w:rPr>
              <w:t>备注：引用自“ICRP第33号出版物第80页，表5”。本项目按照10cm重晶石混凝土在250kv电位下铅当量取0.77；在200kv电位下铅当量取0.68。</w:t>
            </w:r>
          </w:p>
          <w:p w14:paraId="5C941927">
            <w:pPr>
              <w:pStyle w:val="109"/>
              <w:ind w:firstLine="480"/>
              <w:rPr>
                <w:rFonts w:cs="宋体"/>
                <w:color w:val="auto"/>
                <w:highlight w:val="none"/>
              </w:rPr>
            </w:pPr>
            <w:r>
              <w:rPr>
                <w:color w:val="auto"/>
                <w:highlight w:val="none"/>
              </w:rPr>
              <w:t>TVL</w:t>
            </w:r>
            <w:r>
              <w:rPr>
                <w:rFonts w:hint="eastAsia"/>
                <w:color w:val="auto"/>
                <w:highlight w:val="none"/>
              </w:rPr>
              <w:t>：</w:t>
            </w:r>
            <w:r>
              <w:rPr>
                <w:color w:val="auto"/>
                <w:highlight w:val="none"/>
              </w:rPr>
              <w:t>屏蔽物质的什值层厚度。本项目取值见下表。</w:t>
            </w:r>
          </w:p>
          <w:p w14:paraId="5E2AE02E">
            <w:pPr>
              <w:pStyle w:val="96"/>
              <w:ind w:firstLine="422"/>
              <w:rPr>
                <w:rFonts w:eastAsia="宋体" w:cs="Times New Roman"/>
                <w:b/>
                <w:color w:val="auto"/>
                <w:kern w:val="2"/>
                <w:sz w:val="21"/>
                <w:szCs w:val="21"/>
                <w:highlight w:val="none"/>
              </w:rPr>
            </w:pPr>
            <w:r>
              <w:rPr>
                <w:rFonts w:hint="eastAsia" w:eastAsia="宋体" w:cs="Times New Roman"/>
                <w:b/>
                <w:color w:val="auto"/>
                <w:kern w:val="2"/>
                <w:sz w:val="21"/>
                <w:szCs w:val="21"/>
                <w:highlight w:val="none"/>
              </w:rPr>
              <w:t>表11-</w:t>
            </w:r>
            <w:r>
              <w:rPr>
                <w:rFonts w:hint="eastAsia" w:eastAsia="宋体" w:cs="Times New Roman"/>
                <w:b/>
                <w:color w:val="auto"/>
                <w:kern w:val="2"/>
                <w:sz w:val="21"/>
                <w:szCs w:val="21"/>
                <w:highlight w:val="none"/>
                <w:lang w:val="en-US" w:eastAsia="zh-CN"/>
              </w:rPr>
              <w:t>10</w:t>
            </w:r>
            <w:r>
              <w:rPr>
                <w:rFonts w:hint="eastAsia" w:eastAsia="宋体" w:cs="Times New Roman"/>
                <w:b/>
                <w:color w:val="auto"/>
                <w:kern w:val="2"/>
                <w:sz w:val="21"/>
                <w:szCs w:val="21"/>
                <w:highlight w:val="none"/>
              </w:rPr>
              <w:t xml:space="preserve">  不同屏蔽物质对X射线的TVL值</w:t>
            </w:r>
          </w:p>
          <w:tbl>
            <w:tblPr>
              <w:tblStyle w:val="36"/>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858"/>
              <w:gridCol w:w="5576"/>
            </w:tblGrid>
            <w:tr w14:paraId="753121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883" w:type="dxa"/>
                  <w:vMerge w:val="restart"/>
                  <w:tcBorders>
                    <w:tl2br w:val="nil"/>
                    <w:tr2bl w:val="nil"/>
                  </w:tcBorders>
                  <w:vAlign w:val="center"/>
                </w:tcPr>
                <w:p w14:paraId="484050B6">
                  <w:pPr>
                    <w:pStyle w:val="97"/>
                    <w:spacing w:line="240" w:lineRule="auto"/>
                    <w:ind w:firstLine="0" w:firstLineChars="0"/>
                    <w:jc w:val="center"/>
                    <w:rPr>
                      <w:rFonts w:cs="Times New Roman"/>
                      <w:b/>
                      <w:bCs w:val="0"/>
                      <w:color w:val="auto"/>
                      <w:sz w:val="21"/>
                      <w:szCs w:val="21"/>
                      <w:highlight w:val="none"/>
                    </w:rPr>
                  </w:pPr>
                  <w:r>
                    <w:rPr>
                      <w:rFonts w:hint="eastAsia" w:cs="Times New Roman"/>
                      <w:b/>
                      <w:bCs w:val="0"/>
                      <w:color w:val="auto"/>
                      <w:sz w:val="21"/>
                      <w:szCs w:val="21"/>
                      <w:highlight w:val="none"/>
                    </w:rPr>
                    <w:t>X射线管电压kV</w:t>
                  </w:r>
                </w:p>
              </w:tc>
              <w:tc>
                <w:tcPr>
                  <w:tcW w:w="5629" w:type="dxa"/>
                  <w:tcBorders>
                    <w:tl2br w:val="nil"/>
                    <w:tr2bl w:val="nil"/>
                  </w:tcBorders>
                  <w:vAlign w:val="center"/>
                </w:tcPr>
                <w:p w14:paraId="7EAAD917">
                  <w:pPr>
                    <w:pStyle w:val="97"/>
                    <w:spacing w:line="240" w:lineRule="auto"/>
                    <w:ind w:firstLine="0" w:firstLineChars="0"/>
                    <w:jc w:val="center"/>
                    <w:rPr>
                      <w:rFonts w:cs="Times New Roman"/>
                      <w:b/>
                      <w:bCs w:val="0"/>
                      <w:color w:val="auto"/>
                      <w:sz w:val="21"/>
                      <w:szCs w:val="21"/>
                      <w:highlight w:val="none"/>
                    </w:rPr>
                  </w:pPr>
                  <w:r>
                    <w:rPr>
                      <w:rFonts w:hint="eastAsia" w:cs="Times New Roman"/>
                      <w:b/>
                      <w:bCs w:val="0"/>
                      <w:color w:val="auto"/>
                      <w:sz w:val="21"/>
                      <w:szCs w:val="21"/>
                      <w:highlight w:val="none"/>
                    </w:rPr>
                    <w:t>什值层厚度TVL（mm）</w:t>
                  </w:r>
                </w:p>
              </w:tc>
            </w:tr>
            <w:tr w14:paraId="7C0FD86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883" w:type="dxa"/>
                  <w:vMerge w:val="continue"/>
                  <w:tcBorders>
                    <w:tl2br w:val="nil"/>
                    <w:tr2bl w:val="nil"/>
                  </w:tcBorders>
                  <w:vAlign w:val="center"/>
                </w:tcPr>
                <w:p w14:paraId="6E47764B">
                  <w:pPr>
                    <w:pStyle w:val="97"/>
                    <w:spacing w:line="240" w:lineRule="auto"/>
                    <w:ind w:firstLine="0" w:firstLineChars="0"/>
                    <w:jc w:val="center"/>
                    <w:rPr>
                      <w:rFonts w:cs="Times New Roman"/>
                      <w:b/>
                      <w:bCs w:val="0"/>
                      <w:color w:val="auto"/>
                      <w:sz w:val="21"/>
                      <w:szCs w:val="21"/>
                      <w:highlight w:val="none"/>
                    </w:rPr>
                  </w:pPr>
                </w:p>
              </w:tc>
              <w:tc>
                <w:tcPr>
                  <w:tcW w:w="5629" w:type="dxa"/>
                  <w:tcBorders>
                    <w:tl2br w:val="nil"/>
                    <w:tr2bl w:val="nil"/>
                  </w:tcBorders>
                  <w:vAlign w:val="center"/>
                </w:tcPr>
                <w:p w14:paraId="0582CEFA">
                  <w:pPr>
                    <w:pStyle w:val="97"/>
                    <w:spacing w:line="240" w:lineRule="auto"/>
                    <w:ind w:firstLine="0" w:firstLineChars="0"/>
                    <w:jc w:val="center"/>
                    <w:rPr>
                      <w:rFonts w:cs="Times New Roman"/>
                      <w:b/>
                      <w:bCs w:val="0"/>
                      <w:color w:val="auto"/>
                      <w:sz w:val="21"/>
                      <w:szCs w:val="21"/>
                      <w:highlight w:val="none"/>
                    </w:rPr>
                  </w:pPr>
                  <w:r>
                    <w:rPr>
                      <w:rFonts w:hint="eastAsia" w:cs="Times New Roman"/>
                      <w:b/>
                      <w:bCs w:val="0"/>
                      <w:color w:val="auto"/>
                      <w:sz w:val="21"/>
                      <w:szCs w:val="21"/>
                      <w:highlight w:val="none"/>
                    </w:rPr>
                    <w:t>铅</w:t>
                  </w:r>
                </w:p>
              </w:tc>
            </w:tr>
            <w:tr w14:paraId="2C19FB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883" w:type="dxa"/>
                  <w:tcBorders>
                    <w:tl2br w:val="nil"/>
                    <w:tr2bl w:val="nil"/>
                  </w:tcBorders>
                  <w:vAlign w:val="center"/>
                </w:tcPr>
                <w:p w14:paraId="73EEAB22">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250</w:t>
                  </w:r>
                </w:p>
              </w:tc>
              <w:tc>
                <w:tcPr>
                  <w:tcW w:w="5629" w:type="dxa"/>
                  <w:tcBorders>
                    <w:tl2br w:val="nil"/>
                    <w:tr2bl w:val="nil"/>
                  </w:tcBorders>
                  <w:vAlign w:val="center"/>
                </w:tcPr>
                <w:p w14:paraId="1DBB6583">
                  <w:pPr>
                    <w:pStyle w:val="97"/>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2.9</w:t>
                  </w:r>
                </w:p>
              </w:tc>
            </w:tr>
            <w:tr w14:paraId="5D37996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883" w:type="dxa"/>
                  <w:tcBorders>
                    <w:tl2br w:val="nil"/>
                    <w:tr2bl w:val="nil"/>
                  </w:tcBorders>
                  <w:vAlign w:val="center"/>
                </w:tcPr>
                <w:p w14:paraId="20CFE342">
                  <w:pPr>
                    <w:pStyle w:val="97"/>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200</w:t>
                  </w:r>
                </w:p>
              </w:tc>
              <w:tc>
                <w:tcPr>
                  <w:tcW w:w="5629" w:type="dxa"/>
                  <w:tcBorders>
                    <w:tl2br w:val="nil"/>
                    <w:tr2bl w:val="nil"/>
                  </w:tcBorders>
                  <w:vAlign w:val="center"/>
                </w:tcPr>
                <w:p w14:paraId="1BE5CD76">
                  <w:pPr>
                    <w:pStyle w:val="97"/>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w:t>
                  </w:r>
                </w:p>
              </w:tc>
            </w:tr>
          </w:tbl>
          <w:p w14:paraId="0FF514E2">
            <w:pPr>
              <w:pStyle w:val="109"/>
              <w:ind w:firstLine="472"/>
              <w:rPr>
                <w:snapToGrid/>
                <w:color w:val="auto"/>
                <w:spacing w:val="-2"/>
                <w:kern w:val="2"/>
                <w:szCs w:val="24"/>
                <w:highlight w:val="none"/>
              </w:rPr>
            </w:pPr>
            <w:r>
              <w:rPr>
                <w:rFonts w:hint="eastAsia"/>
                <w:snapToGrid/>
                <w:color w:val="auto"/>
                <w:spacing w:val="-2"/>
                <w:kern w:val="2"/>
                <w:szCs w:val="24"/>
                <w:highlight w:val="none"/>
              </w:rPr>
              <w:t>（2）泄漏辐射屏蔽</w:t>
            </w:r>
          </w:p>
          <w:p w14:paraId="31ED571C">
            <w:pPr>
              <w:pStyle w:val="109"/>
              <w:ind w:firstLine="472"/>
              <w:rPr>
                <w:snapToGrid/>
                <w:color w:val="auto"/>
                <w:spacing w:val="-2"/>
                <w:kern w:val="2"/>
                <w:szCs w:val="24"/>
                <w:highlight w:val="none"/>
              </w:rPr>
            </w:pPr>
            <w:r>
              <w:rPr>
                <w:rFonts w:hint="eastAsia"/>
                <w:snapToGrid/>
                <w:color w:val="auto"/>
                <w:spacing w:val="-2"/>
                <w:kern w:val="2"/>
                <w:szCs w:val="24"/>
                <w:highlight w:val="none"/>
              </w:rPr>
              <w:t>根据《工业X射线探伤室辐射屏蔽规范》（GBZ/T250-2014），泄漏辐射屏蔽的估算方法如下：</w:t>
            </w:r>
          </w:p>
          <w:p w14:paraId="4F570FE3">
            <w:pPr>
              <w:pStyle w:val="109"/>
              <w:ind w:firstLine="472"/>
              <w:rPr>
                <w:snapToGrid/>
                <w:color w:val="auto"/>
                <w:spacing w:val="-2"/>
                <w:kern w:val="2"/>
                <w:szCs w:val="24"/>
                <w:highlight w:val="none"/>
              </w:rPr>
            </w:pPr>
            <w:r>
              <w:rPr>
                <w:rFonts w:hint="eastAsia"/>
                <w:snapToGrid/>
                <w:color w:val="auto"/>
                <w:spacing w:val="-2"/>
                <w:kern w:val="2"/>
                <w:szCs w:val="24"/>
                <w:highlight w:val="none"/>
              </w:rPr>
              <w:t>在给定屏蔽物质厚度X时，</w:t>
            </w:r>
            <w:r>
              <w:rPr>
                <w:rFonts w:hint="eastAsia"/>
                <w:snapToGrid/>
                <w:color w:val="auto"/>
                <w:spacing w:val="-2"/>
                <w:kern w:val="2"/>
                <w:szCs w:val="24"/>
                <w:highlight w:val="none"/>
                <w:lang w:eastAsia="zh-CN"/>
              </w:rPr>
              <w:t>泄漏</w:t>
            </w:r>
            <w:r>
              <w:rPr>
                <w:rFonts w:hint="eastAsia"/>
                <w:snapToGrid/>
                <w:color w:val="auto"/>
                <w:spacing w:val="-2"/>
                <w:kern w:val="2"/>
                <w:szCs w:val="24"/>
                <w:highlight w:val="none"/>
              </w:rPr>
              <w:t>辐射在关注点的剂量率按下式计算：</w:t>
            </w:r>
          </w:p>
          <w:p w14:paraId="0A909210">
            <w:pPr>
              <w:pStyle w:val="109"/>
              <w:ind w:firstLine="0" w:firstLineChars="0"/>
              <w:jc w:val="center"/>
              <w:rPr>
                <w:snapToGrid/>
                <w:color w:val="auto"/>
                <w:spacing w:val="-2"/>
                <w:kern w:val="2"/>
                <w:szCs w:val="24"/>
                <w:highlight w:val="none"/>
              </w:rPr>
            </w:pPr>
            <w:r>
              <w:rPr>
                <w:snapToGrid/>
                <w:color w:val="auto"/>
                <w:spacing w:val="-2"/>
                <w:kern w:val="2"/>
                <w:szCs w:val="24"/>
                <w:highlight w:val="none"/>
              </w:rPr>
              <w:object>
                <v:shape id="_x0000_i1028" o:spt="75" type="#_x0000_t75" style="height:38.25pt;width:60pt;" o:ole="t" filled="f" o:preferrelative="t" stroked="f" coordsize="21600,21600">
                  <v:path/>
                  <v:fill on="f" focussize="0,0"/>
                  <v:stroke on="f" joinstyle="miter"/>
                  <v:imagedata r:id="rId61" o:title=""/>
                  <o:lock v:ext="edit" aspectratio="t"/>
                  <w10:wrap type="none"/>
                  <w10:anchorlock/>
                </v:shape>
                <o:OLEObject Type="Embed" ProgID="Equation.3" ShapeID="_x0000_i1028" DrawAspect="Content" ObjectID="_1468075728" r:id="rId60">
                  <o:LockedField>false</o:LockedField>
                </o:OLEObject>
              </w:object>
            </w:r>
          </w:p>
          <w:p w14:paraId="5ABDF7B3">
            <w:pPr>
              <w:pStyle w:val="109"/>
              <w:ind w:firstLine="472"/>
              <w:rPr>
                <w:snapToGrid/>
                <w:color w:val="auto"/>
                <w:spacing w:val="-2"/>
                <w:kern w:val="2"/>
                <w:szCs w:val="24"/>
                <w:highlight w:val="none"/>
              </w:rPr>
            </w:pPr>
            <w:r>
              <w:rPr>
                <w:rFonts w:hint="eastAsia"/>
                <w:snapToGrid/>
                <w:color w:val="auto"/>
                <w:spacing w:val="-2"/>
                <w:kern w:val="2"/>
                <w:szCs w:val="24"/>
                <w:highlight w:val="none"/>
              </w:rPr>
              <w:t>式中：B：屏蔽透射因子；</w:t>
            </w:r>
          </w:p>
          <w:p w14:paraId="2B60BF00">
            <w:pPr>
              <w:pStyle w:val="109"/>
              <w:ind w:firstLine="472"/>
              <w:rPr>
                <w:snapToGrid/>
                <w:color w:val="auto"/>
                <w:spacing w:val="-2"/>
                <w:kern w:val="2"/>
                <w:szCs w:val="24"/>
                <w:highlight w:val="none"/>
              </w:rPr>
            </w:pPr>
            <w:r>
              <w:rPr>
                <w:rFonts w:hint="eastAsia"/>
                <w:snapToGrid/>
                <w:color w:val="auto"/>
                <w:spacing w:val="-2"/>
                <w:kern w:val="2"/>
                <w:szCs w:val="24"/>
                <w:highlight w:val="none"/>
              </w:rPr>
              <w:t>R：辐射源点（靶点）至关注点的距离，单位为米（m）；</w:t>
            </w:r>
          </w:p>
          <w:p w14:paraId="1D30FE98">
            <w:pPr>
              <w:pStyle w:val="109"/>
              <w:keepNext w:val="0"/>
              <w:keepLines w:val="0"/>
              <w:pageBreakBefore w:val="0"/>
              <w:widowControl w:val="0"/>
              <w:kinsoku/>
              <w:wordWrap/>
              <w:overflowPunct/>
              <w:topLinePunct w:val="0"/>
              <w:autoSpaceDE/>
              <w:autoSpaceDN/>
              <w:bidi w:val="0"/>
              <w:adjustRightInd/>
              <w:snapToGrid/>
              <w:ind w:firstLine="480"/>
              <w:textAlignment w:val="auto"/>
              <w:rPr>
                <w:snapToGrid/>
                <w:color w:val="auto"/>
                <w:spacing w:val="-2"/>
                <w:kern w:val="2"/>
                <w:szCs w:val="24"/>
                <w:highlight w:val="none"/>
              </w:rPr>
            </w:pPr>
            <w:r>
              <w:rPr>
                <w:snapToGrid/>
                <w:color w:val="auto"/>
                <w:spacing w:val="-2"/>
                <w:kern w:val="2"/>
                <w:szCs w:val="24"/>
                <w:highlight w:val="none"/>
              </w:rPr>
              <w:object>
                <v:shape id="_x0000_i1029" o:spt="75" type="#_x0000_t75" style="height:21.75pt;width:18.75pt;" o:ole="t" filled="f" o:preferrelative="t" stroked="f" coordsize="21600,21600">
                  <v:path/>
                  <v:fill on="f" focussize="0,0"/>
                  <v:stroke on="f" joinstyle="miter"/>
                  <v:imagedata r:id="rId63" o:title=""/>
                  <o:lock v:ext="edit" aspectratio="t"/>
                  <w10:wrap type="none"/>
                  <w10:anchorlock/>
                </v:shape>
                <o:OLEObject Type="Embed" ProgID="Equation.3" ShapeID="_x0000_i1029" DrawAspect="Content" ObjectID="_1468075729" r:id="rId62">
                  <o:LockedField>false</o:LockedField>
                </o:OLEObject>
              </w:object>
            </w:r>
            <w:r>
              <w:rPr>
                <w:rFonts w:hint="eastAsia"/>
                <w:snapToGrid/>
                <w:color w:val="auto"/>
                <w:spacing w:val="-2"/>
                <w:kern w:val="2"/>
                <w:szCs w:val="24"/>
                <w:highlight w:val="none"/>
              </w:rPr>
              <w:t>：距靶点1m处X射</w:t>
            </w:r>
            <w:r>
              <w:rPr>
                <w:snapToGrid/>
                <w:color w:val="auto"/>
                <w:spacing w:val="-2"/>
                <w:kern w:val="2"/>
                <w:szCs w:val="24"/>
                <w:highlight w:val="none"/>
              </w:rPr>
              <w:t>线管的</w:t>
            </w:r>
            <w:r>
              <w:rPr>
                <w:rFonts w:hint="eastAsia"/>
                <w:snapToGrid/>
                <w:color w:val="auto"/>
                <w:spacing w:val="-2"/>
                <w:kern w:val="2"/>
                <w:szCs w:val="24"/>
                <w:highlight w:val="none"/>
                <w:lang w:eastAsia="zh-CN"/>
              </w:rPr>
              <w:t>泄漏</w:t>
            </w:r>
            <w:r>
              <w:rPr>
                <w:snapToGrid/>
                <w:color w:val="auto"/>
                <w:spacing w:val="-2"/>
                <w:kern w:val="2"/>
                <w:szCs w:val="24"/>
                <w:highlight w:val="none"/>
              </w:rPr>
              <w:t>辐射剂量率</w:t>
            </w:r>
            <w:r>
              <w:rPr>
                <w:rFonts w:hint="eastAsia"/>
                <w:snapToGrid/>
                <w:color w:val="auto"/>
                <w:spacing w:val="-2"/>
                <w:kern w:val="2"/>
                <w:szCs w:val="24"/>
                <w:highlight w:val="none"/>
              </w:rPr>
              <w:t>。根据《工业X射线探伤室辐射屏蔽规范》（G</w:t>
            </w:r>
            <w:r>
              <w:rPr>
                <w:snapToGrid/>
                <w:color w:val="auto"/>
                <w:spacing w:val="-2"/>
                <w:kern w:val="2"/>
                <w:szCs w:val="24"/>
                <w:highlight w:val="none"/>
              </w:rPr>
              <w:t>BZ/T250-2014</w:t>
            </w:r>
            <w:r>
              <w:rPr>
                <w:rFonts w:hint="eastAsia"/>
                <w:snapToGrid/>
                <w:color w:val="auto"/>
                <w:spacing w:val="-2"/>
                <w:kern w:val="2"/>
                <w:szCs w:val="24"/>
                <w:highlight w:val="none"/>
              </w:rPr>
              <w:t>），管电压＞</w:t>
            </w:r>
            <w:r>
              <w:rPr>
                <w:snapToGrid/>
                <w:color w:val="auto"/>
                <w:spacing w:val="-2"/>
                <w:kern w:val="2"/>
                <w:szCs w:val="24"/>
                <w:highlight w:val="none"/>
              </w:rPr>
              <w:t>200</w:t>
            </w:r>
            <w:r>
              <w:rPr>
                <w:rFonts w:hint="eastAsia"/>
                <w:snapToGrid/>
                <w:color w:val="auto"/>
                <w:spacing w:val="-2"/>
                <w:kern w:val="2"/>
                <w:szCs w:val="24"/>
                <w:highlight w:val="none"/>
              </w:rPr>
              <w:t>k</w:t>
            </w:r>
            <w:r>
              <w:rPr>
                <w:snapToGrid/>
                <w:color w:val="auto"/>
                <w:spacing w:val="-2"/>
                <w:kern w:val="2"/>
                <w:szCs w:val="24"/>
                <w:highlight w:val="none"/>
              </w:rPr>
              <w:t>V</w:t>
            </w:r>
            <w:r>
              <w:rPr>
                <w:rFonts w:hint="eastAsia"/>
                <w:snapToGrid/>
                <w:color w:val="auto"/>
                <w:spacing w:val="-2"/>
                <w:kern w:val="2"/>
                <w:szCs w:val="24"/>
                <w:highlight w:val="none"/>
              </w:rPr>
              <w:t>的X射线探伤机，距靶点1m处X射</w:t>
            </w:r>
            <w:r>
              <w:rPr>
                <w:snapToGrid/>
                <w:color w:val="auto"/>
                <w:spacing w:val="-2"/>
                <w:kern w:val="2"/>
                <w:szCs w:val="24"/>
                <w:highlight w:val="none"/>
              </w:rPr>
              <w:t>线管的泄漏辐射剂量率</w:t>
            </w:r>
            <w:r>
              <w:rPr>
                <w:rFonts w:hint="eastAsia"/>
                <w:snapToGrid/>
                <w:color w:val="auto"/>
                <w:spacing w:val="-2"/>
                <w:kern w:val="2"/>
                <w:szCs w:val="24"/>
                <w:highlight w:val="none"/>
              </w:rPr>
              <w:t>的典型值为</w:t>
            </w:r>
            <w:r>
              <w:rPr>
                <w:snapToGrid/>
                <w:color w:val="auto"/>
                <w:spacing w:val="-2"/>
                <w:kern w:val="2"/>
                <w:szCs w:val="24"/>
                <w:highlight w:val="none"/>
              </w:rPr>
              <w:t>5×10</w:t>
            </w:r>
            <w:r>
              <w:rPr>
                <w:snapToGrid/>
                <w:color w:val="auto"/>
                <w:spacing w:val="-2"/>
                <w:kern w:val="2"/>
                <w:szCs w:val="24"/>
                <w:highlight w:val="none"/>
                <w:vertAlign w:val="superscript"/>
              </w:rPr>
              <w:t>3</w:t>
            </w:r>
            <w:r>
              <w:rPr>
                <w:snapToGrid/>
                <w:color w:val="auto"/>
                <w:spacing w:val="-2"/>
                <w:kern w:val="2"/>
                <w:szCs w:val="24"/>
                <w:highlight w:val="none"/>
              </w:rPr>
              <w:t>μSv/h</w:t>
            </w:r>
            <w:r>
              <w:rPr>
                <w:rFonts w:hint="eastAsia"/>
                <w:snapToGrid/>
                <w:color w:val="auto"/>
                <w:spacing w:val="-2"/>
                <w:kern w:val="2"/>
                <w:szCs w:val="24"/>
                <w:highlight w:val="none"/>
              </w:rPr>
              <w:t>；本项目探伤机管电压为250k</w:t>
            </w:r>
            <w:r>
              <w:rPr>
                <w:snapToGrid/>
                <w:color w:val="auto"/>
                <w:spacing w:val="-2"/>
                <w:kern w:val="2"/>
                <w:szCs w:val="24"/>
                <w:highlight w:val="none"/>
              </w:rPr>
              <w:t>V</w:t>
            </w:r>
            <w:r>
              <w:rPr>
                <w:rFonts w:hint="eastAsia"/>
                <w:snapToGrid/>
                <w:color w:val="auto"/>
                <w:spacing w:val="-2"/>
                <w:kern w:val="2"/>
                <w:szCs w:val="24"/>
                <w:highlight w:val="none"/>
              </w:rPr>
              <w:t>，</w:t>
            </w:r>
            <w:r>
              <w:rPr>
                <w:snapToGrid/>
                <w:color w:val="auto"/>
                <w:spacing w:val="-2"/>
                <w:kern w:val="2"/>
                <w:szCs w:val="24"/>
                <w:highlight w:val="none"/>
              </w:rPr>
              <w:object>
                <v:shape id="_x0000_i1030" o:spt="75" type="#_x0000_t75" style="height:21pt;width:18.75pt;" o:ole="t" filled="f" o:preferrelative="t" stroked="f" coordsize="21600,21600">
                  <v:path/>
                  <v:fill on="f" focussize="0,0"/>
                  <v:stroke on="f" joinstyle="miter"/>
                  <v:imagedata r:id="rId63" o:title=""/>
                  <o:lock v:ext="edit" aspectratio="t"/>
                  <w10:wrap type="none"/>
                  <w10:anchorlock/>
                </v:shape>
                <o:OLEObject Type="Embed" ProgID="Equation.3" ShapeID="_x0000_i1030" DrawAspect="Content" ObjectID="_1468075730" r:id="rId64">
                  <o:LockedField>false</o:LockedField>
                </o:OLEObject>
              </w:object>
            </w:r>
            <w:r>
              <w:rPr>
                <w:snapToGrid/>
                <w:color w:val="auto"/>
                <w:spacing w:val="-2"/>
                <w:kern w:val="2"/>
                <w:szCs w:val="24"/>
                <w:highlight w:val="none"/>
              </w:rPr>
              <w:t>取5×10</w:t>
            </w:r>
            <w:r>
              <w:rPr>
                <w:snapToGrid/>
                <w:color w:val="auto"/>
                <w:spacing w:val="-2"/>
                <w:kern w:val="2"/>
                <w:szCs w:val="24"/>
                <w:highlight w:val="none"/>
                <w:vertAlign w:val="superscript"/>
              </w:rPr>
              <w:t>3</w:t>
            </w:r>
            <w:r>
              <w:rPr>
                <w:snapToGrid/>
                <w:color w:val="auto"/>
                <w:spacing w:val="-2"/>
                <w:kern w:val="2"/>
                <w:szCs w:val="24"/>
                <w:highlight w:val="none"/>
              </w:rPr>
              <w:t>μSv/h</w:t>
            </w:r>
            <w:r>
              <w:rPr>
                <w:rFonts w:hint="eastAsia"/>
                <w:snapToGrid/>
                <w:color w:val="auto"/>
                <w:spacing w:val="-2"/>
                <w:kern w:val="2"/>
                <w:szCs w:val="24"/>
                <w:highlight w:val="none"/>
              </w:rPr>
              <w:t>。</w:t>
            </w:r>
          </w:p>
          <w:p w14:paraId="26CA169D">
            <w:pPr>
              <w:pStyle w:val="109"/>
              <w:ind w:firstLine="472"/>
              <w:rPr>
                <w:snapToGrid/>
                <w:color w:val="auto"/>
                <w:spacing w:val="-2"/>
                <w:kern w:val="2"/>
                <w:szCs w:val="24"/>
                <w:highlight w:val="none"/>
              </w:rPr>
            </w:pPr>
            <w:r>
              <w:rPr>
                <w:rFonts w:hint="eastAsia"/>
                <w:snapToGrid/>
                <w:color w:val="auto"/>
                <w:spacing w:val="-2"/>
                <w:kern w:val="2"/>
                <w:szCs w:val="24"/>
                <w:highlight w:val="none"/>
              </w:rPr>
              <w:t>（3）散射辐射屏蔽</w:t>
            </w:r>
          </w:p>
          <w:p w14:paraId="38A8F455">
            <w:pPr>
              <w:pStyle w:val="109"/>
              <w:ind w:firstLine="472"/>
              <w:rPr>
                <w:snapToGrid/>
                <w:color w:val="auto"/>
                <w:spacing w:val="-2"/>
                <w:kern w:val="2"/>
                <w:szCs w:val="24"/>
                <w:highlight w:val="none"/>
              </w:rPr>
            </w:pPr>
            <w:r>
              <w:rPr>
                <w:rFonts w:hint="eastAsia"/>
                <w:snapToGrid/>
                <w:color w:val="auto"/>
                <w:spacing w:val="-2"/>
                <w:kern w:val="2"/>
                <w:szCs w:val="24"/>
                <w:highlight w:val="none"/>
              </w:rPr>
              <w:t>X射线90°散射辐射的最高能量低于入射X射线的最高能量，本项目所使用的探伤机的最高能量为250kV，参考GBZ/T250-2014中4.2.3散射辐射屏蔽中表2：原始X射线能量大于200kV且小于等于300kV时，X射线90°散射辐射最高的能量相应为200kV的散射辐射，因此，本项目探伤机散射的最高能量为200kV。</w:t>
            </w:r>
          </w:p>
          <w:p w14:paraId="76DAC450">
            <w:pPr>
              <w:pStyle w:val="109"/>
              <w:ind w:firstLine="472"/>
              <w:rPr>
                <w:snapToGrid/>
                <w:color w:val="auto"/>
                <w:spacing w:val="-2"/>
                <w:kern w:val="2"/>
                <w:szCs w:val="24"/>
                <w:highlight w:val="none"/>
              </w:rPr>
            </w:pPr>
            <w:r>
              <w:rPr>
                <w:rFonts w:hint="eastAsia"/>
                <w:snapToGrid/>
                <w:color w:val="auto"/>
                <w:spacing w:val="-2"/>
                <w:kern w:val="2"/>
                <w:szCs w:val="24"/>
                <w:highlight w:val="none"/>
              </w:rPr>
              <w:t>在给定屏蔽物质厚度时，关注点</w:t>
            </w:r>
            <w:r>
              <w:rPr>
                <w:snapToGrid/>
                <w:color w:val="auto"/>
                <w:spacing w:val="-2"/>
                <w:kern w:val="2"/>
                <w:szCs w:val="24"/>
                <w:highlight w:val="none"/>
              </w:rPr>
              <w:t>的散射辐射剂量率按《工业X射线探伤室辐射屏蔽规范》（GBZ/T250-2014）中给出的</w:t>
            </w:r>
            <w:r>
              <w:rPr>
                <w:rFonts w:hint="eastAsia"/>
                <w:snapToGrid/>
                <w:color w:val="auto"/>
                <w:spacing w:val="-2"/>
                <w:kern w:val="2"/>
                <w:szCs w:val="24"/>
                <w:highlight w:val="none"/>
              </w:rPr>
              <w:t>下式</w:t>
            </w:r>
            <w:r>
              <w:rPr>
                <w:snapToGrid/>
                <w:color w:val="auto"/>
                <w:spacing w:val="-2"/>
                <w:kern w:val="2"/>
                <w:szCs w:val="24"/>
                <w:highlight w:val="none"/>
              </w:rPr>
              <w:t>进行计算：</w:t>
            </w:r>
          </w:p>
          <w:p w14:paraId="34D7F703">
            <w:pPr>
              <w:pStyle w:val="109"/>
              <w:ind w:firstLine="0" w:firstLineChars="0"/>
              <w:jc w:val="center"/>
              <w:rPr>
                <w:snapToGrid/>
                <w:color w:val="auto"/>
                <w:spacing w:val="-2"/>
                <w:kern w:val="2"/>
                <w:szCs w:val="24"/>
                <w:highlight w:val="none"/>
              </w:rPr>
            </w:pPr>
            <w:r>
              <w:rPr>
                <w:snapToGrid/>
                <w:color w:val="auto"/>
                <w:spacing w:val="-2"/>
                <w:kern w:val="2"/>
                <w:szCs w:val="24"/>
                <w:highlight w:val="none"/>
              </w:rPr>
              <w:object>
                <v:shape id="_x0000_i1031" o:spt="75" type="#_x0000_t75" style="height:40.5pt;width:133.5pt;" o:ole="t" filled="f" o:preferrelative="t" stroked="f" coordsize="21600,21600">
                  <v:path/>
                  <v:fill on="f" focussize="0,0"/>
                  <v:stroke on="f" joinstyle="miter"/>
                  <v:imagedata r:id="rId66" o:title=""/>
                  <o:lock v:ext="edit" aspectratio="t"/>
                  <w10:wrap type="none"/>
                  <w10:anchorlock/>
                </v:shape>
                <o:OLEObject Type="Embed" ProgID="Equation.3" ShapeID="_x0000_i1031" DrawAspect="Content" ObjectID="_1468075731" r:id="rId65">
                  <o:LockedField>false</o:LockedField>
                </o:OLEObject>
              </w:object>
            </w:r>
          </w:p>
          <w:p w14:paraId="506FEA57">
            <w:pPr>
              <w:pStyle w:val="109"/>
              <w:ind w:firstLine="472"/>
              <w:rPr>
                <w:snapToGrid/>
                <w:color w:val="auto"/>
                <w:spacing w:val="-2"/>
                <w:kern w:val="2"/>
                <w:szCs w:val="24"/>
                <w:highlight w:val="none"/>
              </w:rPr>
            </w:pPr>
            <w:r>
              <w:rPr>
                <w:snapToGrid/>
                <w:color w:val="auto"/>
                <w:spacing w:val="-2"/>
                <w:kern w:val="2"/>
                <w:szCs w:val="24"/>
                <w:highlight w:val="none"/>
              </w:rPr>
              <w:t>式中：</w:t>
            </w:r>
          </w:p>
          <w:p w14:paraId="14BE9ABC">
            <w:pPr>
              <w:pStyle w:val="109"/>
              <w:ind w:firstLine="472"/>
              <w:rPr>
                <w:snapToGrid/>
                <w:color w:val="auto"/>
                <w:spacing w:val="-2"/>
                <w:kern w:val="2"/>
                <w:szCs w:val="24"/>
                <w:highlight w:val="none"/>
              </w:rPr>
            </w:pPr>
            <w:r>
              <w:rPr>
                <w:snapToGrid/>
                <w:color w:val="auto"/>
                <w:spacing w:val="-2"/>
                <w:kern w:val="2"/>
                <w:szCs w:val="24"/>
                <w:highlight w:val="none"/>
              </w:rPr>
              <w:t>I</w:t>
            </w:r>
            <w:r>
              <w:rPr>
                <w:rFonts w:hint="eastAsia"/>
                <w:snapToGrid/>
                <w:color w:val="auto"/>
                <w:spacing w:val="-2"/>
                <w:kern w:val="2"/>
                <w:szCs w:val="24"/>
                <w:highlight w:val="none"/>
              </w:rPr>
              <w:t>：</w:t>
            </w:r>
            <w:r>
              <w:rPr>
                <w:snapToGrid/>
                <w:color w:val="auto"/>
                <w:spacing w:val="-2"/>
                <w:kern w:val="2"/>
                <w:szCs w:val="24"/>
                <w:highlight w:val="none"/>
              </w:rPr>
              <w:t>X射线探伤装置在最高管电压下的常用最大管电流，单位为毫安（mA）；</w:t>
            </w:r>
            <w:r>
              <w:rPr>
                <w:rFonts w:hint="eastAsia"/>
                <w:snapToGrid/>
                <w:color w:val="auto"/>
                <w:spacing w:val="-2"/>
                <w:kern w:val="2"/>
                <w:szCs w:val="24"/>
                <w:highlight w:val="none"/>
              </w:rPr>
              <w:t>本项目为</w:t>
            </w:r>
            <w:r>
              <w:rPr>
                <w:snapToGrid/>
                <w:color w:val="auto"/>
                <w:spacing w:val="-2"/>
                <w:kern w:val="2"/>
                <w:szCs w:val="24"/>
                <w:highlight w:val="none"/>
              </w:rPr>
              <w:t>5</w:t>
            </w:r>
            <w:r>
              <w:rPr>
                <w:rFonts w:hint="eastAsia"/>
                <w:snapToGrid/>
                <w:color w:val="auto"/>
                <w:spacing w:val="-2"/>
                <w:kern w:val="2"/>
                <w:szCs w:val="24"/>
                <w:highlight w:val="none"/>
              </w:rPr>
              <w:t>mA；</w:t>
            </w:r>
          </w:p>
          <w:p w14:paraId="4157A864">
            <w:pPr>
              <w:pStyle w:val="109"/>
              <w:ind w:firstLine="472"/>
              <w:rPr>
                <w:snapToGrid/>
                <w:color w:val="auto"/>
                <w:spacing w:val="-2"/>
                <w:kern w:val="2"/>
                <w:szCs w:val="24"/>
                <w:highlight w:val="none"/>
              </w:rPr>
            </w:pPr>
            <w:r>
              <w:rPr>
                <w:snapToGrid/>
                <w:color w:val="auto"/>
                <w:spacing w:val="-2"/>
                <w:kern w:val="2"/>
                <w:szCs w:val="24"/>
                <w:highlight w:val="none"/>
              </w:rPr>
              <w:t>H</w:t>
            </w:r>
            <w:r>
              <w:rPr>
                <w:snapToGrid/>
                <w:color w:val="auto"/>
                <w:spacing w:val="-2"/>
                <w:kern w:val="2"/>
                <w:szCs w:val="24"/>
                <w:highlight w:val="none"/>
                <w:vertAlign w:val="subscript"/>
              </w:rPr>
              <w:t>0</w:t>
            </w:r>
            <w:r>
              <w:rPr>
                <w:rFonts w:hint="eastAsia"/>
                <w:snapToGrid/>
                <w:color w:val="auto"/>
                <w:spacing w:val="-2"/>
                <w:kern w:val="2"/>
                <w:szCs w:val="24"/>
                <w:highlight w:val="none"/>
              </w:rPr>
              <w:t>：</w:t>
            </w:r>
            <w:r>
              <w:rPr>
                <w:snapToGrid/>
                <w:color w:val="auto"/>
                <w:spacing w:val="-2"/>
                <w:kern w:val="2"/>
                <w:szCs w:val="24"/>
                <w:highlight w:val="none"/>
              </w:rPr>
              <w:t>距辐射源点（靶点）1m处输出量，μSv·m</w:t>
            </w:r>
            <w:r>
              <w:rPr>
                <w:snapToGrid/>
                <w:color w:val="auto"/>
                <w:spacing w:val="-2"/>
                <w:kern w:val="2"/>
                <w:szCs w:val="24"/>
                <w:highlight w:val="none"/>
                <w:vertAlign w:val="superscript"/>
              </w:rPr>
              <w:t>2</w:t>
            </w:r>
            <w:r>
              <w:rPr>
                <w:snapToGrid/>
                <w:color w:val="auto"/>
                <w:spacing w:val="-2"/>
                <w:kern w:val="2"/>
                <w:szCs w:val="24"/>
                <w:highlight w:val="none"/>
              </w:rPr>
              <w:t>/(mA·h)，以mSv·m</w:t>
            </w:r>
            <w:r>
              <w:rPr>
                <w:snapToGrid/>
                <w:color w:val="auto"/>
                <w:spacing w:val="-2"/>
                <w:kern w:val="2"/>
                <w:szCs w:val="24"/>
                <w:highlight w:val="none"/>
                <w:vertAlign w:val="superscript"/>
              </w:rPr>
              <w:t>2</w:t>
            </w:r>
            <w:r>
              <w:rPr>
                <w:snapToGrid/>
                <w:color w:val="auto"/>
                <w:spacing w:val="-2"/>
                <w:kern w:val="2"/>
                <w:szCs w:val="24"/>
                <w:highlight w:val="none"/>
              </w:rPr>
              <w:t>/mA·min为单位的值乘以6×10</w:t>
            </w:r>
            <w:r>
              <w:rPr>
                <w:rFonts w:hint="eastAsia"/>
                <w:snapToGrid/>
                <w:color w:val="auto"/>
                <w:spacing w:val="-2"/>
                <w:kern w:val="2"/>
                <w:szCs w:val="24"/>
                <w:highlight w:val="none"/>
                <w:vertAlign w:val="superscript"/>
              </w:rPr>
              <w:t>4</w:t>
            </w:r>
            <w:r>
              <w:rPr>
                <w:snapToGrid/>
                <w:color w:val="auto"/>
                <w:spacing w:val="-2"/>
                <w:kern w:val="2"/>
                <w:szCs w:val="24"/>
                <w:highlight w:val="none"/>
              </w:rPr>
              <w:t>。</w:t>
            </w:r>
            <w:r>
              <w:rPr>
                <w:rFonts w:hint="eastAsia"/>
                <w:snapToGrid/>
                <w:color w:val="auto"/>
                <w:spacing w:val="-2"/>
                <w:kern w:val="2"/>
                <w:szCs w:val="24"/>
                <w:highlight w:val="none"/>
              </w:rPr>
              <w:t>本项目</w:t>
            </w:r>
            <w:r>
              <w:rPr>
                <w:snapToGrid/>
                <w:color w:val="auto"/>
                <w:spacing w:val="-2"/>
                <w:kern w:val="2"/>
                <w:szCs w:val="24"/>
                <w:highlight w:val="none"/>
              </w:rPr>
              <w:t>H</w:t>
            </w:r>
            <w:r>
              <w:rPr>
                <w:snapToGrid/>
                <w:color w:val="auto"/>
                <w:spacing w:val="-2"/>
                <w:kern w:val="2"/>
                <w:szCs w:val="24"/>
                <w:highlight w:val="none"/>
                <w:vertAlign w:val="subscript"/>
              </w:rPr>
              <w:t>0</w:t>
            </w:r>
            <w:r>
              <w:rPr>
                <w:snapToGrid/>
                <w:color w:val="auto"/>
                <w:spacing w:val="-2"/>
                <w:kern w:val="2"/>
                <w:szCs w:val="24"/>
                <w:highlight w:val="none"/>
              </w:rPr>
              <w:t>取</w:t>
            </w:r>
            <w:r>
              <w:rPr>
                <w:rFonts w:hint="eastAsia"/>
                <w:snapToGrid/>
                <w:color w:val="auto"/>
                <w:spacing w:val="-2"/>
                <w:kern w:val="2"/>
                <w:szCs w:val="24"/>
                <w:highlight w:val="none"/>
              </w:rPr>
              <w:t>16.5</w:t>
            </w:r>
            <w:r>
              <w:rPr>
                <w:snapToGrid/>
                <w:color w:val="auto"/>
                <w:spacing w:val="-2"/>
                <w:kern w:val="2"/>
                <w:szCs w:val="24"/>
                <w:highlight w:val="none"/>
              </w:rPr>
              <w:t>×6×10</w:t>
            </w:r>
            <w:r>
              <w:rPr>
                <w:snapToGrid/>
                <w:color w:val="auto"/>
                <w:spacing w:val="-2"/>
                <w:kern w:val="2"/>
                <w:szCs w:val="24"/>
                <w:highlight w:val="none"/>
                <w:vertAlign w:val="superscript"/>
              </w:rPr>
              <w:t>4</w:t>
            </w:r>
            <w:r>
              <w:rPr>
                <w:snapToGrid/>
                <w:color w:val="auto"/>
                <w:spacing w:val="-2"/>
                <w:kern w:val="2"/>
                <w:szCs w:val="24"/>
                <w:highlight w:val="none"/>
              </w:rPr>
              <w:t>μSv·m</w:t>
            </w:r>
            <w:r>
              <w:rPr>
                <w:snapToGrid/>
                <w:color w:val="auto"/>
                <w:spacing w:val="-2"/>
                <w:kern w:val="2"/>
                <w:szCs w:val="24"/>
                <w:highlight w:val="none"/>
                <w:vertAlign w:val="superscript"/>
              </w:rPr>
              <w:t>2</w:t>
            </w:r>
            <w:r>
              <w:rPr>
                <w:snapToGrid/>
                <w:color w:val="auto"/>
                <w:spacing w:val="-2"/>
                <w:kern w:val="2"/>
                <w:szCs w:val="24"/>
                <w:highlight w:val="none"/>
              </w:rPr>
              <w:t>/mA·h</w:t>
            </w:r>
            <w:r>
              <w:rPr>
                <w:rFonts w:hint="eastAsia"/>
                <w:snapToGrid/>
                <w:color w:val="auto"/>
                <w:spacing w:val="-2"/>
                <w:kern w:val="2"/>
                <w:szCs w:val="24"/>
                <w:highlight w:val="none"/>
              </w:rPr>
              <w:t>；</w:t>
            </w:r>
          </w:p>
          <w:p w14:paraId="6B432F0A">
            <w:pPr>
              <w:pStyle w:val="109"/>
              <w:ind w:firstLine="472"/>
              <w:rPr>
                <w:snapToGrid/>
                <w:color w:val="auto"/>
                <w:spacing w:val="-2"/>
                <w:kern w:val="2"/>
                <w:szCs w:val="24"/>
                <w:highlight w:val="none"/>
              </w:rPr>
            </w:pPr>
            <w:r>
              <w:rPr>
                <w:rFonts w:hint="eastAsia"/>
                <w:snapToGrid/>
                <w:color w:val="auto"/>
                <w:spacing w:val="-2"/>
                <w:kern w:val="2"/>
                <w:szCs w:val="24"/>
                <w:highlight w:val="none"/>
              </w:rPr>
              <w:t>B：屏蔽透射因子；</w:t>
            </w:r>
          </w:p>
          <w:p w14:paraId="657B98F1">
            <w:pPr>
              <w:pStyle w:val="109"/>
              <w:ind w:firstLine="472"/>
              <w:rPr>
                <w:snapToGrid/>
                <w:color w:val="auto"/>
                <w:spacing w:val="-2"/>
                <w:kern w:val="2"/>
                <w:szCs w:val="24"/>
                <w:highlight w:val="none"/>
              </w:rPr>
            </w:pPr>
            <w:r>
              <w:rPr>
                <w:rFonts w:hint="eastAsia"/>
                <w:snapToGrid/>
                <w:color w:val="auto"/>
                <w:spacing w:val="-2"/>
                <w:kern w:val="2"/>
                <w:szCs w:val="24"/>
                <w:highlight w:val="none"/>
              </w:rPr>
              <w:t>F：R</w:t>
            </w:r>
            <w:r>
              <w:rPr>
                <w:rFonts w:hint="eastAsia"/>
                <w:snapToGrid/>
                <w:color w:val="auto"/>
                <w:spacing w:val="-2"/>
                <w:kern w:val="2"/>
                <w:szCs w:val="24"/>
                <w:highlight w:val="none"/>
                <w:vertAlign w:val="subscript"/>
              </w:rPr>
              <w:t>0</w:t>
            </w:r>
            <w:r>
              <w:rPr>
                <w:rFonts w:hint="eastAsia"/>
                <w:snapToGrid/>
                <w:color w:val="auto"/>
                <w:spacing w:val="-2"/>
                <w:kern w:val="2"/>
                <w:szCs w:val="24"/>
                <w:highlight w:val="none"/>
              </w:rPr>
              <w:t>处的辐射野面积，单位为平方米（m</w:t>
            </w:r>
            <w:r>
              <w:rPr>
                <w:rFonts w:hint="eastAsia"/>
                <w:snapToGrid/>
                <w:color w:val="auto"/>
                <w:spacing w:val="-2"/>
                <w:kern w:val="2"/>
                <w:szCs w:val="24"/>
                <w:highlight w:val="none"/>
                <w:vertAlign w:val="superscript"/>
              </w:rPr>
              <w:t>2</w:t>
            </w:r>
            <w:r>
              <w:rPr>
                <w:rFonts w:hint="eastAsia"/>
                <w:snapToGrid/>
                <w:color w:val="auto"/>
                <w:spacing w:val="-2"/>
                <w:kern w:val="2"/>
                <w:szCs w:val="24"/>
                <w:highlight w:val="none"/>
              </w:rPr>
              <w:t>）；</w:t>
            </w:r>
          </w:p>
          <w:p w14:paraId="7539BCB1">
            <w:pPr>
              <w:pStyle w:val="109"/>
              <w:ind w:firstLine="472"/>
              <w:rPr>
                <w:snapToGrid/>
                <w:color w:val="auto"/>
                <w:spacing w:val="-2"/>
                <w:kern w:val="2"/>
                <w:szCs w:val="24"/>
                <w:highlight w:val="none"/>
              </w:rPr>
            </w:pPr>
            <w:r>
              <w:rPr>
                <w:snapToGrid/>
                <w:color w:val="auto"/>
                <w:spacing w:val="-2"/>
                <w:kern w:val="2"/>
                <w:szCs w:val="24"/>
                <w:highlight w:val="none"/>
              </w:rPr>
              <w:t>Α</w:t>
            </w:r>
            <w:r>
              <w:rPr>
                <w:rFonts w:hint="eastAsia"/>
                <w:snapToGrid/>
                <w:color w:val="auto"/>
                <w:spacing w:val="-2"/>
                <w:kern w:val="2"/>
                <w:szCs w:val="24"/>
                <w:highlight w:val="none"/>
              </w:rPr>
              <w:t>：</w:t>
            </w:r>
            <w:r>
              <w:rPr>
                <w:snapToGrid/>
                <w:color w:val="auto"/>
                <w:spacing w:val="-2"/>
                <w:kern w:val="2"/>
                <w:szCs w:val="24"/>
                <w:highlight w:val="none"/>
              </w:rPr>
              <w:t>散射因子，入射辐射被单位面积（1m</w:t>
            </w:r>
            <w:r>
              <w:rPr>
                <w:snapToGrid/>
                <w:color w:val="auto"/>
                <w:spacing w:val="-2"/>
                <w:kern w:val="2"/>
                <w:szCs w:val="24"/>
                <w:highlight w:val="none"/>
                <w:vertAlign w:val="superscript"/>
              </w:rPr>
              <w:t>2</w:t>
            </w:r>
            <w:r>
              <w:rPr>
                <w:snapToGrid/>
                <w:color w:val="auto"/>
                <w:spacing w:val="-2"/>
                <w:kern w:val="2"/>
                <w:szCs w:val="24"/>
                <w:highlight w:val="none"/>
              </w:rPr>
              <w:t>）散射体散射到距其1m处的散射辐射剂量率与该面积上的入射辐射剂量率的比，与散射物质有关，在未获得相应物质的α值时，可以水模体的α值保守估计，见GBZ/T250-2014附录B表B.3；</w:t>
            </w:r>
          </w:p>
          <w:p w14:paraId="130036C3">
            <w:pPr>
              <w:pStyle w:val="109"/>
              <w:ind w:firstLine="472"/>
              <w:rPr>
                <w:snapToGrid/>
                <w:color w:val="auto"/>
                <w:spacing w:val="-2"/>
                <w:kern w:val="2"/>
                <w:szCs w:val="24"/>
                <w:highlight w:val="none"/>
              </w:rPr>
            </w:pPr>
            <w:r>
              <w:rPr>
                <w:rFonts w:hint="eastAsia"/>
                <w:snapToGrid/>
                <w:color w:val="auto"/>
                <w:spacing w:val="-2"/>
                <w:kern w:val="2"/>
                <w:szCs w:val="24"/>
                <w:highlight w:val="none"/>
              </w:rPr>
              <w:t>R</w:t>
            </w:r>
            <w:r>
              <w:rPr>
                <w:rFonts w:hint="eastAsia"/>
                <w:snapToGrid/>
                <w:color w:val="auto"/>
                <w:spacing w:val="-2"/>
                <w:kern w:val="2"/>
                <w:szCs w:val="24"/>
                <w:highlight w:val="none"/>
                <w:vertAlign w:val="subscript"/>
              </w:rPr>
              <w:t>0</w:t>
            </w:r>
            <w:r>
              <w:rPr>
                <w:rFonts w:hint="eastAsia"/>
                <w:snapToGrid/>
                <w:color w:val="auto"/>
                <w:spacing w:val="-2"/>
                <w:kern w:val="2"/>
                <w:szCs w:val="24"/>
                <w:highlight w:val="none"/>
              </w:rPr>
              <w:t>：辐射源点（靶点）至探伤工件的距离，单位为米（m）；</w:t>
            </w:r>
          </w:p>
          <w:p w14:paraId="2441D8F3">
            <w:pPr>
              <w:pStyle w:val="109"/>
              <w:ind w:firstLine="472"/>
              <w:rPr>
                <w:snapToGrid/>
                <w:color w:val="auto"/>
                <w:spacing w:val="-2"/>
                <w:kern w:val="2"/>
                <w:szCs w:val="24"/>
                <w:highlight w:val="none"/>
              </w:rPr>
            </w:pPr>
            <w:r>
              <w:rPr>
                <w:rFonts w:hint="eastAsia"/>
                <w:snapToGrid/>
                <w:color w:val="auto"/>
                <w:spacing w:val="-2"/>
                <w:kern w:val="2"/>
                <w:szCs w:val="24"/>
                <w:highlight w:val="none"/>
              </w:rPr>
              <w:t>（根据</w:t>
            </w:r>
            <w:r>
              <w:rPr>
                <w:snapToGrid/>
                <w:color w:val="auto"/>
                <w:spacing w:val="-2"/>
                <w:kern w:val="2"/>
                <w:szCs w:val="24"/>
                <w:highlight w:val="none"/>
              </w:rPr>
              <w:t>GBZ/T250-2014附录B</w:t>
            </w:r>
            <w:r>
              <w:rPr>
                <w:rFonts w:hint="eastAsia"/>
                <w:snapToGrid/>
                <w:color w:val="auto"/>
                <w:spacing w:val="-2"/>
                <w:kern w:val="2"/>
                <w:szCs w:val="24"/>
                <w:highlight w:val="none"/>
              </w:rPr>
              <w:t>.4.2，本项目</w:t>
            </w:r>
            <w:r>
              <w:rPr>
                <w:color w:val="auto"/>
                <w:position w:val="-30"/>
                <w:highlight w:val="none"/>
              </w:rPr>
              <w:object>
                <v:shape id="_x0000_i1032" o:spt="75" type="#_x0000_t75" style="height:34.5pt;width:26.25pt;" o:ole="t" filled="f" o:preferrelative="t" stroked="f" coordsize="21600,21600">
                  <v:path/>
                  <v:fill on="f" focussize="0,0"/>
                  <v:stroke on="f" joinstyle="miter"/>
                  <v:imagedata r:id="rId68" o:title=""/>
                  <o:lock v:ext="edit" aspectratio="t"/>
                  <w10:wrap type="none"/>
                  <w10:anchorlock/>
                </v:shape>
                <o:OLEObject Type="Embed" ProgID="Equation.DSMT4" ShapeID="_x0000_i1032" DrawAspect="Content" ObjectID="_1468075732" r:id="rId67">
                  <o:LockedField>false</o:LockedField>
                </o:OLEObject>
              </w:object>
            </w:r>
            <w:r>
              <w:rPr>
                <w:rFonts w:hint="eastAsia"/>
                <w:snapToGrid/>
                <w:color w:val="auto"/>
                <w:spacing w:val="-2"/>
                <w:kern w:val="2"/>
                <w:szCs w:val="24"/>
                <w:highlight w:val="none"/>
              </w:rPr>
              <w:t>取值为</w:t>
            </w:r>
            <w:r>
              <w:rPr>
                <w:rFonts w:hint="eastAsia"/>
                <w:snapToGrid/>
                <w:color w:val="auto"/>
                <w:spacing w:val="-2"/>
                <w:kern w:val="2"/>
                <w:szCs w:val="24"/>
                <w:highlight w:val="none"/>
                <w:lang w:val="en-US" w:eastAsia="zh-CN"/>
              </w:rPr>
              <w:t>1</w:t>
            </w:r>
            <w:r>
              <w:rPr>
                <w:rFonts w:hint="eastAsia"/>
                <w:snapToGrid/>
                <w:color w:val="auto"/>
                <w:spacing w:val="-2"/>
                <w:kern w:val="2"/>
                <w:szCs w:val="24"/>
                <w:highlight w:val="none"/>
              </w:rPr>
              <w:t>/</w:t>
            </w:r>
            <w:r>
              <w:rPr>
                <w:rFonts w:hint="eastAsia"/>
                <w:snapToGrid/>
                <w:color w:val="auto"/>
                <w:spacing w:val="-2"/>
                <w:kern w:val="2"/>
                <w:szCs w:val="24"/>
                <w:highlight w:val="none"/>
                <w:lang w:val="en-US" w:eastAsia="zh-CN"/>
              </w:rPr>
              <w:t>50</w:t>
            </w:r>
            <w:r>
              <w:rPr>
                <w:rFonts w:hint="eastAsia"/>
                <w:snapToGrid/>
                <w:color w:val="auto"/>
                <w:spacing w:val="-2"/>
                <w:kern w:val="2"/>
                <w:szCs w:val="24"/>
                <w:highlight w:val="none"/>
              </w:rPr>
              <w:t>）；</w:t>
            </w:r>
          </w:p>
          <w:p w14:paraId="7337D199">
            <w:pPr>
              <w:pStyle w:val="109"/>
              <w:adjustRightInd w:val="0"/>
              <w:snapToGrid w:val="0"/>
              <w:ind w:firstLine="472"/>
              <w:rPr>
                <w:color w:val="auto"/>
                <w:highlight w:val="none"/>
              </w:rPr>
            </w:pPr>
            <w:r>
              <w:rPr>
                <w:rFonts w:hint="eastAsia"/>
                <w:snapToGrid/>
                <w:color w:val="auto"/>
                <w:spacing w:val="-2"/>
                <w:kern w:val="2"/>
                <w:szCs w:val="24"/>
                <w:highlight w:val="none"/>
              </w:rPr>
              <w:t>R</w:t>
            </w:r>
            <w:r>
              <w:rPr>
                <w:rFonts w:hint="eastAsia"/>
                <w:snapToGrid/>
                <w:color w:val="auto"/>
                <w:spacing w:val="-2"/>
                <w:kern w:val="2"/>
                <w:szCs w:val="24"/>
                <w:highlight w:val="none"/>
                <w:vertAlign w:val="subscript"/>
              </w:rPr>
              <w:t>S</w:t>
            </w:r>
            <w:r>
              <w:rPr>
                <w:rFonts w:hint="eastAsia"/>
                <w:snapToGrid/>
                <w:color w:val="auto"/>
                <w:spacing w:val="-2"/>
                <w:kern w:val="2"/>
                <w:szCs w:val="24"/>
                <w:highlight w:val="none"/>
              </w:rPr>
              <w:t>：散射体至关注点的距离，单位为米（m）。</w:t>
            </w:r>
          </w:p>
          <w:p w14:paraId="012338FB">
            <w:pPr>
              <w:adjustRightInd w:val="0"/>
              <w:snapToGrid w:val="0"/>
              <w:spacing w:line="360" w:lineRule="auto"/>
              <w:ind w:firstLine="482" w:firstLineChars="200"/>
              <w:textAlignment w:val="baseline"/>
              <w:rPr>
                <w:color w:val="auto"/>
                <w:sz w:val="24"/>
                <w:szCs w:val="24"/>
                <w:highlight w:val="none"/>
              </w:rPr>
            </w:pPr>
            <w:r>
              <w:rPr>
                <w:rFonts w:hint="eastAsia"/>
                <w:b/>
                <w:bCs/>
                <w:color w:val="auto"/>
                <w:sz w:val="24"/>
                <w:szCs w:val="24"/>
                <w:highlight w:val="none"/>
              </w:rPr>
              <w:t>3.3.3</w:t>
            </w:r>
            <w:r>
              <w:rPr>
                <w:rFonts w:hint="eastAsia"/>
                <w:b/>
                <w:bCs/>
                <w:color w:val="auto"/>
                <w:sz w:val="24"/>
                <w:highlight w:val="none"/>
              </w:rPr>
              <w:t>计算结果</w:t>
            </w:r>
            <w:r>
              <w:rPr>
                <w:rFonts w:hint="eastAsia" w:ascii="宋体" w:hAnsi="宋体" w:cs="宋体"/>
                <w:color w:val="auto"/>
                <w:kern w:val="0"/>
                <w:sz w:val="24"/>
                <w:szCs w:val="24"/>
                <w:highlight w:val="none"/>
                <w:lang w:bidi="ar"/>
              </w:rPr>
              <w:t xml:space="preserve"> </w:t>
            </w:r>
          </w:p>
          <w:p w14:paraId="677D9459">
            <w:pPr>
              <w:pStyle w:val="109"/>
              <w:adjustRightInd w:val="0"/>
              <w:snapToGrid w:val="0"/>
              <w:ind w:firstLine="480"/>
              <w:rPr>
                <w:color w:val="auto"/>
                <w:szCs w:val="24"/>
                <w:highlight w:val="none"/>
              </w:rPr>
            </w:pPr>
            <w:r>
              <w:rPr>
                <w:rFonts w:hint="eastAsia"/>
                <w:color w:val="auto"/>
                <w:szCs w:val="24"/>
                <w:highlight w:val="none"/>
              </w:rPr>
              <w:t>本次预测时，保守考虑探伤工件焊缝的不严密性，不考虑探伤工件对</w:t>
            </w:r>
            <w:r>
              <w:rPr>
                <w:color w:val="auto"/>
                <w:szCs w:val="24"/>
                <w:highlight w:val="none"/>
              </w:rPr>
              <w:t>X射线的屏蔽效果，实际的辐射影响要小于本次预测数值。</w:t>
            </w:r>
          </w:p>
          <w:p w14:paraId="3E0CAC16">
            <w:pPr>
              <w:pStyle w:val="109"/>
              <w:numPr>
                <w:ilvl w:val="0"/>
                <w:numId w:val="4"/>
              </w:numPr>
              <w:adjustRightInd w:val="0"/>
              <w:snapToGrid w:val="0"/>
              <w:ind w:firstLine="480"/>
              <w:rPr>
                <w:rFonts w:hint="eastAsia"/>
                <w:color w:val="auto"/>
                <w:highlight w:val="none"/>
              </w:rPr>
            </w:pPr>
            <w:r>
              <w:rPr>
                <w:color w:val="auto"/>
                <w:sz w:val="24"/>
              </w:rPr>
              <mc:AlternateContent>
                <mc:Choice Requires="wps">
                  <w:drawing>
                    <wp:anchor distT="0" distB="0" distL="114300" distR="114300" simplePos="0" relativeHeight="251743232" behindDoc="0" locked="0" layoutInCell="1" allowOverlap="1">
                      <wp:simplePos x="0" y="0"/>
                      <wp:positionH relativeFrom="column">
                        <wp:posOffset>3175000</wp:posOffset>
                      </wp:positionH>
                      <wp:positionV relativeFrom="paragraph">
                        <wp:posOffset>159385</wp:posOffset>
                      </wp:positionV>
                      <wp:extent cx="663575" cy="266700"/>
                      <wp:effectExtent l="0" t="0" r="0" b="0"/>
                      <wp:wrapNone/>
                      <wp:docPr id="223" name="矩形 223"/>
                      <wp:cNvGraphicFramePr/>
                      <a:graphic xmlns:a="http://schemas.openxmlformats.org/drawingml/2006/main">
                        <a:graphicData uri="http://schemas.microsoft.com/office/word/2010/wordprocessingShape">
                          <wps:wsp>
                            <wps:cNvSpPr/>
                            <wps:spPr>
                              <a:xfrm>
                                <a:off x="0" y="0"/>
                                <a:ext cx="663575"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ADF686A">
                                  <w:pPr>
                                    <w:jc w:val="center"/>
                                    <w:rPr>
                                      <w:rFonts w:hint="default" w:eastAsia="宋体"/>
                                      <w:color w:val="FF0000"/>
                                      <w:lang w:val="en-US" w:eastAsia="zh-CN"/>
                                    </w:rPr>
                                  </w:pPr>
                                  <w:r>
                                    <w:rPr>
                                      <w:rFonts w:hint="eastAsia"/>
                                      <w:color w:val="FF0000"/>
                                      <w:lang w:val="en-US" w:eastAsia="zh-CN"/>
                                    </w:rPr>
                                    <w:t>C5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0pt;margin-top:12.55pt;height:21pt;width:52.25pt;z-index:251743232;v-text-anchor:middle;mso-width-relative:page;mso-height-relative:page;" filled="f" stroked="f" coordsize="21600,21600" o:gfxdata="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KAZ8itcAAAAJAQAADwAAAAAAAAABACAAAAAiAAAAZHJzL2Rvd25yZXYueG1sUEsBAhQAFAAA&#10;AAgAh07iQIJ5Xn5iAgAAsAQAAA4AAAAAAAAAAQAgAAAAJgEAAGRycy9lMm9Eb2MueG1sUEsFBgAA&#10;AAAGAAYAWQEAAPoFAAAAAA==&#10;">
                      <v:fill on="f" focussize="0,0"/>
                      <v:stroke on="f" weight="1pt" miterlimit="8" joinstyle="miter"/>
                      <v:imagedata o:title=""/>
                      <o:lock v:ext="edit" aspectratio="f"/>
                      <v:textbox>
                        <w:txbxContent>
                          <w:p w14:paraId="2ADF686A">
                            <w:pPr>
                              <w:jc w:val="center"/>
                              <w:rPr>
                                <w:rFonts w:hint="default" w:eastAsia="宋体"/>
                                <w:color w:val="FF0000"/>
                                <w:lang w:val="en-US" w:eastAsia="zh-CN"/>
                              </w:rPr>
                            </w:pPr>
                            <w:r>
                              <w:rPr>
                                <w:rFonts w:hint="eastAsia"/>
                                <w:color w:val="FF0000"/>
                                <w:lang w:val="en-US" w:eastAsia="zh-CN"/>
                              </w:rPr>
                              <w:t>C5</w:t>
                            </w:r>
                          </w:p>
                        </w:txbxContent>
                      </v:textbox>
                    </v:rect>
                  </w:pict>
                </mc:Fallback>
              </mc:AlternateContent>
            </w:r>
            <w:r>
              <w:rPr>
                <w:rFonts w:hint="eastAsia"/>
                <w:color w:val="auto"/>
                <w:highlight w:val="none"/>
              </w:rPr>
              <w:t>定向机辐射环境影响分析</w:t>
            </w:r>
          </w:p>
          <w:p w14:paraId="77CB1CAE">
            <w:pPr>
              <w:pStyle w:val="109"/>
              <w:numPr>
                <w:ilvl w:val="0"/>
                <w:numId w:val="0"/>
              </w:numPr>
              <w:adjustRightInd w:val="0"/>
              <w:snapToGrid w:val="0"/>
              <w:rPr>
                <w:rFonts w:hint="eastAsia"/>
                <w:color w:val="auto"/>
                <w:highlight w:val="none"/>
              </w:rPr>
            </w:pPr>
            <w:r>
              <w:rPr>
                <w:color w:val="auto"/>
                <w:sz w:val="24"/>
              </w:rPr>
              <mc:AlternateContent>
                <mc:Choice Requires="wps">
                  <w:drawing>
                    <wp:anchor distT="0" distB="0" distL="114300" distR="114300" simplePos="0" relativeHeight="251847680" behindDoc="0" locked="0" layoutInCell="1" allowOverlap="1">
                      <wp:simplePos x="0" y="0"/>
                      <wp:positionH relativeFrom="column">
                        <wp:posOffset>3490595</wp:posOffset>
                      </wp:positionH>
                      <wp:positionV relativeFrom="paragraph">
                        <wp:posOffset>85090</wp:posOffset>
                      </wp:positionV>
                      <wp:extent cx="6350" cy="2054860"/>
                      <wp:effectExtent l="38100" t="0" r="50800" b="2540"/>
                      <wp:wrapNone/>
                      <wp:docPr id="243" name="直接连接符 243"/>
                      <wp:cNvGraphicFramePr/>
                      <a:graphic xmlns:a="http://schemas.openxmlformats.org/drawingml/2006/main">
                        <a:graphicData uri="http://schemas.microsoft.com/office/word/2010/wordprocessingShape">
                          <wps:wsp>
                            <wps:cNvCnPr/>
                            <wps:spPr>
                              <a:xfrm flipH="1" flipV="1">
                                <a:off x="0" y="0"/>
                                <a:ext cx="6350" cy="2054860"/>
                              </a:xfrm>
                              <a:prstGeom prst="line">
                                <a:avLst/>
                              </a:prstGeom>
                              <a:ln>
                                <a:solidFill>
                                  <a:schemeClr val="accent4"/>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74.85pt;margin-top:6.7pt;height:161.8pt;width:0.5pt;z-index:251847680;mso-width-relative:page;mso-height-relative:page;" filled="f" stroked="t" coordsize="21600,21600" o:gfxdata="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4Lfc9kAAAAK&#10;AQAADwAAAAAAAAABACAAAAAiAAAAZHJzL2Rvd25yZXYueG1sUEsBAhQAFAAAAAgAh07iQO9GvOQb&#10;AgAAKQQAAA4AAAAAAAAAAQAgAAAAKAEAAGRycy9lMm9Eb2MueG1sUEsFBgAAAAAGAAYAWQEAALUF&#10;AAAAAA==&#10;">
                      <v:fill on="f" focussize="0,0"/>
                      <v:stroke weight="1pt" color="#FFC000 [3207]" miterlimit="8" joinstyle="miter" startarrow="block" endarrow="block"/>
                      <v:imagedata o:title=""/>
                      <o:lock v:ext="edit" aspectratio="f"/>
                    </v:line>
                  </w:pict>
                </mc:Fallback>
              </mc:AlternateContent>
            </w:r>
          </w:p>
          <w:p w14:paraId="7FF67746">
            <w:pPr>
              <w:pStyle w:val="109"/>
              <w:ind w:left="0" w:leftChars="0" w:firstLine="0" w:firstLineChars="0"/>
              <w:jc w:val="center"/>
              <w:rPr>
                <w:color w:val="auto"/>
                <w:highlight w:val="none"/>
              </w:rPr>
            </w:pPr>
            <w:r>
              <w:rPr>
                <w:color w:val="auto"/>
                <w:sz w:val="24"/>
              </w:rPr>
              <mc:AlternateContent>
                <mc:Choice Requires="wps">
                  <w:drawing>
                    <wp:anchor distT="0" distB="0" distL="114300" distR="114300" simplePos="0" relativeHeight="251781120" behindDoc="0" locked="0" layoutInCell="1" allowOverlap="1">
                      <wp:simplePos x="0" y="0"/>
                      <wp:positionH relativeFrom="column">
                        <wp:posOffset>1761490</wp:posOffset>
                      </wp:positionH>
                      <wp:positionV relativeFrom="paragraph">
                        <wp:posOffset>48260</wp:posOffset>
                      </wp:positionV>
                      <wp:extent cx="8890" cy="398780"/>
                      <wp:effectExtent l="36195" t="0" r="50165" b="1270"/>
                      <wp:wrapNone/>
                      <wp:docPr id="154" name="直接箭头连接符 154"/>
                      <wp:cNvGraphicFramePr/>
                      <a:graphic xmlns:a="http://schemas.openxmlformats.org/drawingml/2006/main">
                        <a:graphicData uri="http://schemas.microsoft.com/office/word/2010/wordprocessingShape">
                          <wps:wsp>
                            <wps:cNvCnPr/>
                            <wps:spPr>
                              <a:xfrm flipH="1">
                                <a:off x="4489450" y="1410970"/>
                                <a:ext cx="8890" cy="398780"/>
                              </a:xfrm>
                              <a:prstGeom prst="straightConnector1">
                                <a:avLst/>
                              </a:prstGeom>
                              <a:ln>
                                <a:solidFill>
                                  <a:srgbClr val="FFFF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38.7pt;margin-top:3.8pt;height:31.4pt;width:0.7pt;z-index:251781120;mso-width-relative:page;mso-height-relative:page;" filled="f" stroked="t" coordsize="21600,21600" o:gfxdata="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BzTAi1gAAAAgBAAAPAAAAAAAAAAEAIAAAACIAAABkcnMvZG93bnJldi54bWxQSwEC&#10;FAAUAAAACACHTuJA62viSy8CAAA+BAAADgAAAAAAAAABACAAAAAlAQAAZHJzL2Uyb0RvYy54bWxQ&#10;SwUGAAAAAAYABgBZAQAAxgUAAAAA&#10;">
                      <v:fill on="f" focussize="0,0"/>
                      <v:stroke weight="1pt" color="#FFFF00 [3204]" miterlimit="8" joinstyle="miter" startarrow="block" endarrow="block"/>
                      <v:imagedata o:title=""/>
                      <o:lock v:ext="edit" aspectratio="f"/>
                    </v:shape>
                  </w:pict>
                </mc:Fallback>
              </mc:AlternateContent>
            </w:r>
            <w:r>
              <w:rPr>
                <w:color w:val="auto"/>
                <w:sz w:val="24"/>
              </w:rPr>
              <mc:AlternateContent>
                <mc:Choice Requires="wps">
                  <w:drawing>
                    <wp:anchor distT="0" distB="0" distL="114300" distR="114300" simplePos="0" relativeHeight="251782144" behindDoc="0" locked="0" layoutInCell="1" allowOverlap="1">
                      <wp:simplePos x="0" y="0"/>
                      <wp:positionH relativeFrom="column">
                        <wp:posOffset>1197610</wp:posOffset>
                      </wp:positionH>
                      <wp:positionV relativeFrom="paragraph">
                        <wp:posOffset>73660</wp:posOffset>
                      </wp:positionV>
                      <wp:extent cx="781050" cy="266700"/>
                      <wp:effectExtent l="0" t="0" r="0" b="0"/>
                      <wp:wrapNone/>
                      <wp:docPr id="155" name="矩形 155"/>
                      <wp:cNvGraphicFramePr/>
                      <a:graphic xmlns:a="http://schemas.openxmlformats.org/drawingml/2006/main">
                        <a:graphicData uri="http://schemas.microsoft.com/office/word/2010/wordprocessingShape">
                          <wps:wsp>
                            <wps:cNvSpPr/>
                            <wps:spPr>
                              <a:xfrm>
                                <a:off x="0" y="0"/>
                                <a:ext cx="7810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733A6CD">
                                  <w:pPr>
                                    <w:jc w:val="center"/>
                                    <w:rPr>
                                      <w:rFonts w:hint="default" w:eastAsia="宋体"/>
                                      <w:color w:val="FF0000"/>
                                      <w:sz w:val="16"/>
                                      <w:szCs w:val="15"/>
                                      <w:lang w:val="en-US" w:eastAsia="zh-CN"/>
                                    </w:rPr>
                                  </w:pPr>
                                  <w:r>
                                    <w:rPr>
                                      <w:rFonts w:hint="eastAsia"/>
                                      <w:color w:val="FF0000"/>
                                      <w:sz w:val="16"/>
                                      <w:szCs w:val="15"/>
                                      <w:lang w:val="en-US" w:eastAsia="zh-CN"/>
                                    </w:rPr>
                                    <w:t>255mm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4.3pt;margin-top:5.8pt;height:21pt;width:61.5pt;z-index:251782144;v-text-anchor:middle;mso-width-relative:page;mso-height-relative:page;" filled="f" stroked="f" coordsize="21600,21600" o:gfxdata="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o4&#10;hUbUAAAACQEAAA8AAAAAAAAAAQAgAAAAIgAAAGRycy9kb3ducmV2LnhtbFBLAQIUABQAAAAIAIdO&#10;4kAqDs/NYAIAALAEAAAOAAAAAAAAAAEAIAAAACMBAABkcnMvZTJvRG9jLnhtbFBLBQYAAAAABgAG&#10;AFkBAAD1BQAAAAA=&#10;">
                      <v:fill on="f" focussize="0,0"/>
                      <v:stroke on="f" weight="1pt" miterlimit="8" joinstyle="miter"/>
                      <v:imagedata o:title=""/>
                      <o:lock v:ext="edit" aspectratio="f"/>
                      <v:textbox>
                        <w:txbxContent>
                          <w:p w14:paraId="2733A6CD">
                            <w:pPr>
                              <w:jc w:val="center"/>
                              <w:rPr>
                                <w:rFonts w:hint="default" w:eastAsia="宋体"/>
                                <w:color w:val="FF0000"/>
                                <w:sz w:val="16"/>
                                <w:szCs w:val="15"/>
                                <w:lang w:val="en-US" w:eastAsia="zh-CN"/>
                              </w:rPr>
                            </w:pPr>
                            <w:r>
                              <w:rPr>
                                <w:rFonts w:hint="eastAsia"/>
                                <w:color w:val="FF0000"/>
                                <w:sz w:val="16"/>
                                <w:szCs w:val="15"/>
                                <w:lang w:val="en-US" w:eastAsia="zh-CN"/>
                              </w:rPr>
                              <w:t>255mm</w:t>
                            </w:r>
                          </w:p>
                        </w:txbxContent>
                      </v:textbox>
                    </v:rect>
                  </w:pict>
                </mc:Fallback>
              </mc:AlternateContent>
            </w:r>
            <w:r>
              <w:rPr>
                <w:color w:val="auto"/>
                <w:sz w:val="24"/>
              </w:rPr>
              <mc:AlternateContent>
                <mc:Choice Requires="wps">
                  <w:drawing>
                    <wp:anchor distT="0" distB="0" distL="114300" distR="114300" simplePos="0" relativeHeight="251807744" behindDoc="0" locked="0" layoutInCell="1" allowOverlap="1">
                      <wp:simplePos x="0" y="0"/>
                      <wp:positionH relativeFrom="column">
                        <wp:posOffset>4483735</wp:posOffset>
                      </wp:positionH>
                      <wp:positionV relativeFrom="paragraph">
                        <wp:posOffset>53340</wp:posOffset>
                      </wp:positionV>
                      <wp:extent cx="390525" cy="3810"/>
                      <wp:effectExtent l="0" t="0" r="0" b="0"/>
                      <wp:wrapNone/>
                      <wp:docPr id="173" name="直接连接符 173"/>
                      <wp:cNvGraphicFramePr/>
                      <a:graphic xmlns:a="http://schemas.openxmlformats.org/drawingml/2006/main">
                        <a:graphicData uri="http://schemas.microsoft.com/office/word/2010/wordprocessingShape">
                          <wps:wsp>
                            <wps:cNvCnPr/>
                            <wps:spPr>
                              <a:xfrm flipV="1">
                                <a:off x="5589270" y="1403350"/>
                                <a:ext cx="390525" cy="3810"/>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53.05pt;margin-top:4.2pt;height:0.3pt;width:30.75pt;z-index:251807744;mso-width-relative:page;mso-height-relative:page;" filled="f" stroked="t" coordsize="21600,21600" o:gfxdata="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OBp253VAAAABwEAAA8AAAAAAAAAAQAgAAAAIgAAAGRycy9kb3ducmV2Lnht&#10;bFBLAQIUABQAAAAIAIdO4kBje33W/AEAAM4DAAAOAAAAAAAAAAEAIAAAACQBAABkcnMvZTJvRG9j&#10;LnhtbFBLBQYAAAAABgAGAFkBAACSBQAAAAA=&#10;">
                      <v:fill on="f" focussize="0,0"/>
                      <v:stroke weight="1.5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805696" behindDoc="0" locked="0" layoutInCell="1" allowOverlap="1">
                      <wp:simplePos x="0" y="0"/>
                      <wp:positionH relativeFrom="column">
                        <wp:posOffset>4672330</wp:posOffset>
                      </wp:positionH>
                      <wp:positionV relativeFrom="paragraph">
                        <wp:posOffset>49530</wp:posOffset>
                      </wp:positionV>
                      <wp:extent cx="0" cy="2635250"/>
                      <wp:effectExtent l="50800" t="0" r="63500" b="12700"/>
                      <wp:wrapNone/>
                      <wp:docPr id="170" name="直接连接符 170"/>
                      <wp:cNvGraphicFramePr/>
                      <a:graphic xmlns:a="http://schemas.openxmlformats.org/drawingml/2006/main">
                        <a:graphicData uri="http://schemas.microsoft.com/office/word/2010/wordprocessingShape">
                          <wps:wsp>
                            <wps:cNvCnPr/>
                            <wps:spPr>
                              <a:xfrm>
                                <a:off x="0" y="0"/>
                                <a:ext cx="0" cy="2635250"/>
                              </a:xfrm>
                              <a:prstGeom prst="line">
                                <a:avLst/>
                              </a:prstGeom>
                              <a:ln>
                                <a:solidFill>
                                  <a:schemeClr val="accent2"/>
                                </a:solidFill>
                                <a:headEnd type="arrow" w="med" len="med"/>
                                <a:tailEnd type="arrow"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67.9pt;margin-top:3.9pt;height:207.5pt;width:0pt;z-index:251805696;mso-width-relative:page;mso-height-relative:page;" filled="f" stroked="t" coordsize="21600,21600" o:gfxdata="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HQP+B1wAAAAkBAAAPAAAAAAAAAAEAIAAAACIA&#10;AABkcnMvZG93bnJldi54bWxQSwECFAAUAAAACACHTuJASaJaPAoCAAAMBAAADgAAAAAAAAABACAA&#10;AAAmAQAAZHJzL2Uyb0RvYy54bWxQSwUGAAAAAAYABgBZAQAAogUAAAAA&#10;">
                      <v:fill on="f" focussize="0,0"/>
                      <v:stroke weight="1pt" color="#ED7D31 [3205]" miterlimit="8" joinstyle="miter" startarrow="open" endarrow="open"/>
                      <v:imagedata o:title=""/>
                      <o:lock v:ext="edit" aspectratio="f"/>
                    </v:line>
                  </w:pict>
                </mc:Fallback>
              </mc:AlternateContent>
            </w:r>
            <w:r>
              <w:rPr>
                <w:color w:val="auto"/>
                <w:sz w:val="24"/>
              </w:rPr>
              <mc:AlternateContent>
                <mc:Choice Requires="wps">
                  <w:drawing>
                    <wp:anchor distT="0" distB="0" distL="114300" distR="114300" simplePos="0" relativeHeight="251738112" behindDoc="0" locked="0" layoutInCell="1" allowOverlap="1">
                      <wp:simplePos x="0" y="0"/>
                      <wp:positionH relativeFrom="column">
                        <wp:posOffset>3042920</wp:posOffset>
                      </wp:positionH>
                      <wp:positionV relativeFrom="paragraph">
                        <wp:posOffset>1229995</wp:posOffset>
                      </wp:positionV>
                      <wp:extent cx="2629535" cy="287020"/>
                      <wp:effectExtent l="6350" t="6350" r="11430" b="12065"/>
                      <wp:wrapNone/>
                      <wp:docPr id="214" name="矩形 214"/>
                      <wp:cNvGraphicFramePr/>
                      <a:graphic xmlns:a="http://schemas.openxmlformats.org/drawingml/2006/main">
                        <a:graphicData uri="http://schemas.microsoft.com/office/word/2010/wordprocessingShape">
                          <wps:wsp>
                            <wps:cNvSpPr/>
                            <wps:spPr>
                              <a:xfrm rot="16200000">
                                <a:off x="0" y="0"/>
                                <a:ext cx="2629535" cy="287020"/>
                              </a:xfrm>
                              <a:prstGeom prst="rect">
                                <a:avLst/>
                              </a:prstGeom>
                              <a:solidFill>
                                <a:schemeClr val="tx1">
                                  <a:lumMod val="50000"/>
                                  <a:lumOff val="50000"/>
                                </a:schemeClr>
                              </a:solidFill>
                              <a:ln>
                                <a:solidFill>
                                  <a:srgbClr val="7F7F7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9.6pt;margin-top:96.85pt;height:22.6pt;width:207.05pt;rotation:-5898240f;z-index:251738112;v-text-anchor:middle;mso-width-relative:page;mso-height-relative:page;" fillcolor="#808080 [1629]" filled="t" stroked="t" coordsize="21600,21600" o:gfxdata="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ZFOKTtkAAAALAQAADwAAAAAAAAABACAAAAAiAAAAZHJzL2Rvd25yZXYueG1sUEsBAhQAFAAAAAgA&#10;h07iQJU02XOWAgAAQAUAAA4AAAAAAAAAAQAgAAAAKAEAAGRycy9lMm9Eb2MueG1sUEsFBgAAAAAG&#10;AAYAWQEAADAGAAAAAA==&#10;">
                      <v:fill on="t" focussize="0,0"/>
                      <v:stroke weight="1pt" color="#7F7F7F [2404]"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739136" behindDoc="0" locked="0" layoutInCell="1" allowOverlap="1">
                      <wp:simplePos x="0" y="0"/>
                      <wp:positionH relativeFrom="column">
                        <wp:posOffset>-210185</wp:posOffset>
                      </wp:positionH>
                      <wp:positionV relativeFrom="paragraph">
                        <wp:posOffset>1236345</wp:posOffset>
                      </wp:positionV>
                      <wp:extent cx="2629535" cy="294640"/>
                      <wp:effectExtent l="6350" t="6350" r="22860" b="12065"/>
                      <wp:wrapNone/>
                      <wp:docPr id="213" name="矩形 213"/>
                      <wp:cNvGraphicFramePr/>
                      <a:graphic xmlns:a="http://schemas.openxmlformats.org/drawingml/2006/main">
                        <a:graphicData uri="http://schemas.microsoft.com/office/word/2010/wordprocessingShape">
                          <wps:wsp>
                            <wps:cNvSpPr/>
                            <wps:spPr>
                              <a:xfrm rot="16200000">
                                <a:off x="0" y="0"/>
                                <a:ext cx="2629535" cy="294640"/>
                              </a:xfrm>
                              <a:prstGeom prst="rect">
                                <a:avLst/>
                              </a:prstGeom>
                              <a:solidFill>
                                <a:srgbClr val="7F7F7F"/>
                              </a:solidFill>
                              <a:ln>
                                <a:solidFill>
                                  <a:srgbClr val="7F7F7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55pt;margin-top:97.35pt;height:23.2pt;width:207.05pt;rotation:-5898240f;z-index:251739136;v-text-anchor:middle;mso-width-relative:page;mso-height-relative:page;" fillcolor="#7F7F7F" filled="t" stroked="t" coordsize="21600,21600" o:gfxdata="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WdaECNkAAAALAQAADwAAAAAAAAABACAAAAAiAAAA&#10;ZHJzL2Rvd25yZXYueG1sUEsBAhQAFAAAAAgAh07iQJ1fUL14AgAABwUAAA4AAAAAAAAAAQAgAAAA&#10;KAEAAGRycy9lMm9Eb2MueG1sUEsFBgAAAAAGAAYAWQEAABIGAAAAAA==&#10;">
                      <v:fill on="t" focussize="0,0"/>
                      <v:stroke weight="1pt" color="#7F7F7F [2404]"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737088" behindDoc="0" locked="0" layoutInCell="1" allowOverlap="1">
                      <wp:simplePos x="0" y="0"/>
                      <wp:positionH relativeFrom="column">
                        <wp:posOffset>960120</wp:posOffset>
                      </wp:positionH>
                      <wp:positionV relativeFrom="paragraph">
                        <wp:posOffset>52705</wp:posOffset>
                      </wp:positionV>
                      <wp:extent cx="3526790" cy="372110"/>
                      <wp:effectExtent l="6350" t="6350" r="10160" b="21590"/>
                      <wp:wrapNone/>
                      <wp:docPr id="212" name="矩形 212"/>
                      <wp:cNvGraphicFramePr/>
                      <a:graphic xmlns:a="http://schemas.openxmlformats.org/drawingml/2006/main">
                        <a:graphicData uri="http://schemas.microsoft.com/office/word/2010/wordprocessingShape">
                          <wps:wsp>
                            <wps:cNvSpPr/>
                            <wps:spPr>
                              <a:xfrm>
                                <a:off x="2007235" y="5785485"/>
                                <a:ext cx="3526790" cy="372110"/>
                              </a:xfrm>
                              <a:prstGeom prst="rect">
                                <a:avLst/>
                              </a:prstGeom>
                              <a:solidFill>
                                <a:schemeClr val="tx1">
                                  <a:lumMod val="50000"/>
                                  <a:lumOff val="50000"/>
                                </a:schemeClr>
                              </a:solidFill>
                              <a:ln>
                                <a:solidFill>
                                  <a:srgbClr val="7F7F7F"/>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A454377">
                                  <w:pPr>
                                    <w:jc w:val="center"/>
                                    <w:rPr>
                                      <w:rFonts w:hint="eastAsia" w:eastAsia="宋体"/>
                                      <w:b/>
                                      <w:bCs/>
                                      <w:color w:val="000000" w:themeColor="text1"/>
                                      <w:sz w:val="24"/>
                                      <w:szCs w:val="22"/>
                                      <w:lang w:val="en-US" w:eastAsia="zh-CN"/>
                                      <w14:textFill>
                                        <w14:solidFill>
                                          <w14:schemeClr w14:val="tx1"/>
                                        </w14:solidFill>
                                      </w14:textFill>
                                    </w:rPr>
                                  </w:pPr>
                                  <w:r>
                                    <w:rPr>
                                      <w:rFonts w:hint="eastAsia"/>
                                      <w:b/>
                                      <w:bCs/>
                                      <w:color w:val="000000" w:themeColor="text1"/>
                                      <w:sz w:val="24"/>
                                      <w:szCs w:val="22"/>
                                      <w:lang w:val="en-US" w:eastAsia="zh-CN"/>
                                      <w14:textFill>
                                        <w14:solidFill>
                                          <w14:schemeClr w14:val="tx1"/>
                                        </w14:solidFill>
                                      </w14:textFill>
                                    </w:rPr>
                                    <w:t xml:space="preserve">    顶棚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5.6pt;margin-top:4.15pt;height:29.3pt;width:277.7pt;z-index:251737088;v-text-anchor:middle;mso-width-relative:page;mso-height-relative:page;" fillcolor="#808080 [1629]" filled="t" stroked="t" coordsize="21600,21600" o:gfxdata="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CfW6E2AAAAAgBAAAPAAAAAAAAAAEAIAAAACIAAABkcnMvZG93bnJldi54bWxQ&#10;SwECFAAUAAAACACHTuJARHxtpqICAABIBQAADgAAAAAAAAABACAAAAAnAQAAZHJzL2Uyb0RvYy54&#10;bWxQSwUGAAAAAAYABgBZAQAAOwYAAAAA&#10;">
                      <v:fill on="t" focussize="0,0"/>
                      <v:stroke weight="1pt" color="#7F7F7F [2404]" miterlimit="8" joinstyle="miter"/>
                      <v:imagedata o:title=""/>
                      <o:lock v:ext="edit" aspectratio="f"/>
                      <v:textbox>
                        <w:txbxContent>
                          <w:p w14:paraId="0A454377">
                            <w:pPr>
                              <w:jc w:val="center"/>
                              <w:rPr>
                                <w:rFonts w:hint="eastAsia" w:eastAsia="宋体"/>
                                <w:b/>
                                <w:bCs/>
                                <w:color w:val="000000" w:themeColor="text1"/>
                                <w:sz w:val="24"/>
                                <w:szCs w:val="22"/>
                                <w:lang w:val="en-US" w:eastAsia="zh-CN"/>
                                <w14:textFill>
                                  <w14:solidFill>
                                    <w14:schemeClr w14:val="tx1"/>
                                  </w14:solidFill>
                                </w14:textFill>
                              </w:rPr>
                            </w:pPr>
                            <w:r>
                              <w:rPr>
                                <w:rFonts w:hint="eastAsia"/>
                                <w:b/>
                                <w:bCs/>
                                <w:color w:val="000000" w:themeColor="text1"/>
                                <w:sz w:val="24"/>
                                <w:szCs w:val="22"/>
                                <w:lang w:val="en-US" w:eastAsia="zh-CN"/>
                                <w14:textFill>
                                  <w14:solidFill>
                                    <w14:schemeClr w14:val="tx1"/>
                                  </w14:solidFill>
                                </w14:textFill>
                              </w:rPr>
                              <w:t xml:space="preserve">    顶棚</w:t>
                            </w:r>
                          </w:p>
                        </w:txbxContent>
                      </v:textbox>
                    </v:rect>
                  </w:pict>
                </mc:Fallback>
              </mc:AlternateContent>
            </w:r>
          </w:p>
          <w:p w14:paraId="3F2A2629">
            <w:pPr>
              <w:pStyle w:val="109"/>
              <w:ind w:left="0" w:leftChars="0" w:firstLine="0" w:firstLineChars="0"/>
              <w:jc w:val="center"/>
              <w:rPr>
                <w:color w:val="auto"/>
                <w:highlight w:val="none"/>
              </w:rPr>
            </w:pPr>
          </w:p>
          <w:p w14:paraId="1463FBF5">
            <w:pPr>
              <w:pStyle w:val="109"/>
              <w:ind w:left="0" w:leftChars="0" w:firstLine="0" w:firstLineChars="0"/>
              <w:jc w:val="center"/>
              <w:rPr>
                <w:color w:val="auto"/>
                <w:highlight w:val="none"/>
              </w:rPr>
            </w:pPr>
            <w:r>
              <w:rPr>
                <w:color w:val="auto"/>
                <w:sz w:val="24"/>
              </w:rPr>
              <mc:AlternateContent>
                <mc:Choice Requires="wps">
                  <w:drawing>
                    <wp:anchor distT="0" distB="0" distL="114300" distR="114300" simplePos="0" relativeHeight="251848704" behindDoc="0" locked="0" layoutInCell="1" allowOverlap="1">
                      <wp:simplePos x="0" y="0"/>
                      <wp:positionH relativeFrom="column">
                        <wp:posOffset>2843530</wp:posOffset>
                      </wp:positionH>
                      <wp:positionV relativeFrom="paragraph">
                        <wp:posOffset>114300</wp:posOffset>
                      </wp:positionV>
                      <wp:extent cx="781050" cy="266700"/>
                      <wp:effectExtent l="0" t="0" r="0" b="0"/>
                      <wp:wrapNone/>
                      <wp:docPr id="244" name="矩形 244"/>
                      <wp:cNvGraphicFramePr/>
                      <a:graphic xmlns:a="http://schemas.openxmlformats.org/drawingml/2006/main">
                        <a:graphicData uri="http://schemas.microsoft.com/office/word/2010/wordprocessingShape">
                          <wps:wsp>
                            <wps:cNvSpPr/>
                            <wps:spPr>
                              <a:xfrm>
                                <a:off x="0" y="0"/>
                                <a:ext cx="7810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5AD0153">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2055mm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3.9pt;margin-top:9pt;height:21pt;width:61.5pt;z-index:251848704;v-text-anchor:middle;mso-width-relative:page;mso-height-relative:page;" filled="f" stroked="f" coordsize="21600,21600" o:gfxdata="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zxUGMNYAAAAJAQAADwAAAAAAAAABACAAAAAiAAAAZHJzL2Rvd25yZXYueG1sUEsBAhQAFAAAAAgA&#10;h07iQOkahoVgAgAAsAQAAA4AAAAAAAAAAQAgAAAAJQEAAGRycy9lMm9Eb2MueG1sUEsFBgAAAAAG&#10;AAYAWQEAAPcFAAAAAA==&#10;">
                      <v:fill on="f" focussize="0,0"/>
                      <v:stroke on="f" weight="1pt" miterlimit="8" joinstyle="miter"/>
                      <v:imagedata o:title=""/>
                      <o:lock v:ext="edit" aspectratio="f"/>
                      <v:textbox>
                        <w:txbxContent>
                          <w:p w14:paraId="45AD0153">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2055mm</w:t>
                            </w:r>
                          </w:p>
                        </w:txbxContent>
                      </v:textbox>
                    </v:rect>
                  </w:pict>
                </mc:Fallback>
              </mc:AlternateContent>
            </w:r>
          </w:p>
          <w:p w14:paraId="13FD65FB">
            <w:pPr>
              <w:pStyle w:val="109"/>
              <w:ind w:left="0" w:leftChars="0" w:firstLine="0" w:firstLineChars="0"/>
              <w:jc w:val="center"/>
              <w:rPr>
                <w:color w:val="auto"/>
                <w:highlight w:val="none"/>
              </w:rPr>
            </w:pPr>
            <w:r>
              <w:rPr>
                <w:color w:val="auto"/>
                <w:sz w:val="24"/>
              </w:rPr>
              <mc:AlternateContent>
                <mc:Choice Requires="wps">
                  <w:drawing>
                    <wp:anchor distT="0" distB="0" distL="114300" distR="114300" simplePos="0" relativeHeight="251810816" behindDoc="0" locked="0" layoutInCell="1" allowOverlap="1">
                      <wp:simplePos x="0" y="0"/>
                      <wp:positionH relativeFrom="column">
                        <wp:posOffset>3556000</wp:posOffset>
                      </wp:positionH>
                      <wp:positionV relativeFrom="paragraph">
                        <wp:posOffset>153670</wp:posOffset>
                      </wp:positionV>
                      <wp:extent cx="781050" cy="266700"/>
                      <wp:effectExtent l="0" t="0" r="0" b="0"/>
                      <wp:wrapNone/>
                      <wp:docPr id="177" name="矩形 177"/>
                      <wp:cNvGraphicFramePr/>
                      <a:graphic xmlns:a="http://schemas.openxmlformats.org/drawingml/2006/main">
                        <a:graphicData uri="http://schemas.microsoft.com/office/word/2010/wordprocessingShape">
                          <wps:wsp>
                            <wps:cNvSpPr/>
                            <wps:spPr>
                              <a:xfrm>
                                <a:off x="0" y="0"/>
                                <a:ext cx="7810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6529A92">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2500mm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0pt;margin-top:12.1pt;height:21pt;width:61.5pt;z-index:251810816;v-text-anchor:middle;mso-width-relative:page;mso-height-relative:page;" filled="f" stroked="f" coordsize="21600,21600" o:gfxdata="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jOgdbXAAAACQEAAA8AAAAAAAAAAQAgAAAAIgAAAGRycy9kb3ducmV2LnhtbFBLAQIUABQAAAAI&#10;AIdO4kBDwZ92YAIAALAEAAAOAAAAAAAAAAEAIAAAACYBAABkcnMvZTJvRG9jLnhtbFBLBQYAAAAA&#10;BgAGAFkBAAD4BQAAAAA=&#10;">
                      <v:fill on="f" focussize="0,0"/>
                      <v:stroke on="f" weight="1pt" miterlimit="8" joinstyle="miter"/>
                      <v:imagedata o:title=""/>
                      <o:lock v:ext="edit" aspectratio="f"/>
                      <v:textbox>
                        <w:txbxContent>
                          <w:p w14:paraId="76529A92">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2500mm</w:t>
                            </w:r>
                          </w:p>
                        </w:txbxContent>
                      </v:textbox>
                    </v:rect>
                  </w:pict>
                </mc:Fallback>
              </mc:AlternateContent>
            </w:r>
            <w:r>
              <w:rPr>
                <w:color w:val="auto"/>
                <w:sz w:val="24"/>
              </w:rPr>
              <mc:AlternateContent>
                <mc:Choice Requires="wps">
                  <w:drawing>
                    <wp:anchor distT="0" distB="0" distL="114300" distR="114300" simplePos="0" relativeHeight="251804672" behindDoc="0" locked="0" layoutInCell="1" allowOverlap="1">
                      <wp:simplePos x="0" y="0"/>
                      <wp:positionH relativeFrom="column">
                        <wp:posOffset>3994150</wp:posOffset>
                      </wp:positionH>
                      <wp:positionV relativeFrom="paragraph">
                        <wp:posOffset>17780</wp:posOffset>
                      </wp:positionV>
                      <wp:extent cx="781050" cy="250190"/>
                      <wp:effectExtent l="0" t="0" r="0" b="0"/>
                      <wp:wrapNone/>
                      <wp:docPr id="169" name="矩形 169"/>
                      <wp:cNvGraphicFramePr/>
                      <a:graphic xmlns:a="http://schemas.openxmlformats.org/drawingml/2006/main">
                        <a:graphicData uri="http://schemas.microsoft.com/office/word/2010/wordprocessingShape">
                          <wps:wsp>
                            <wps:cNvSpPr/>
                            <wps:spPr>
                              <a:xfrm>
                                <a:off x="0" y="0"/>
                                <a:ext cx="781050" cy="2501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69934CC">
                                  <w:pPr>
                                    <w:jc w:val="center"/>
                                    <w:rPr>
                                      <w:rFonts w:hint="default" w:eastAsia="宋体"/>
                                      <w:color w:val="FF0000"/>
                                      <w:sz w:val="16"/>
                                      <w:szCs w:val="15"/>
                                      <w:lang w:val="en-US" w:eastAsia="zh-CN"/>
                                    </w:rPr>
                                  </w:pPr>
                                  <w:r>
                                    <w:rPr>
                                      <w:rFonts w:hint="eastAsia"/>
                                      <w:color w:val="FF0000"/>
                                      <w:sz w:val="16"/>
                                      <w:szCs w:val="15"/>
                                      <w:lang w:val="en-US" w:eastAsia="zh-CN"/>
                                    </w:rPr>
                                    <w:t>210mm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4.5pt;margin-top:1.4pt;height:19.7pt;width:61.5pt;z-index:251804672;v-text-anchor:middle;mso-width-relative:page;mso-height-relative:page;" filled="f" stroked="f" coordsize="21600,21600" o:gfxdata="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CHc+pdYAAAAIAQAADwAAAAAAAAABACAAAAAiAAAAZHJzL2Rvd25yZXYueG1sUEsBAhQAFAAAAAgA&#10;h07iQLaoYJhgAgAAsAQAAA4AAAAAAAAAAQAgAAAAJQEAAGRycy9lMm9Eb2MueG1sUEsFBgAAAAAG&#10;AAYAWQEAAPcFAAAAAA==&#10;">
                      <v:fill on="f" focussize="0,0"/>
                      <v:stroke on="f" weight="1pt" miterlimit="8" joinstyle="miter"/>
                      <v:imagedata o:title=""/>
                      <o:lock v:ext="edit" aspectratio="f"/>
                      <v:textbox>
                        <w:txbxContent>
                          <w:p w14:paraId="269934CC">
                            <w:pPr>
                              <w:jc w:val="center"/>
                              <w:rPr>
                                <w:rFonts w:hint="default" w:eastAsia="宋体"/>
                                <w:color w:val="FF0000"/>
                                <w:sz w:val="16"/>
                                <w:szCs w:val="15"/>
                                <w:lang w:val="en-US" w:eastAsia="zh-CN"/>
                              </w:rPr>
                            </w:pPr>
                            <w:r>
                              <w:rPr>
                                <w:rFonts w:hint="eastAsia"/>
                                <w:color w:val="FF0000"/>
                                <w:sz w:val="16"/>
                                <w:szCs w:val="15"/>
                                <w:lang w:val="en-US" w:eastAsia="zh-CN"/>
                              </w:rPr>
                              <w:t>210mm</w:t>
                            </w:r>
                          </w:p>
                        </w:txbxContent>
                      </v:textbox>
                    </v:rect>
                  </w:pict>
                </mc:Fallback>
              </mc:AlternateContent>
            </w:r>
            <w:r>
              <w:rPr>
                <w:color w:val="auto"/>
                <w:sz w:val="24"/>
              </w:rPr>
              <mc:AlternateContent>
                <mc:Choice Requires="wps">
                  <w:drawing>
                    <wp:anchor distT="0" distB="0" distL="114300" distR="114300" simplePos="0" relativeHeight="251803648" behindDoc="0" locked="0" layoutInCell="1" allowOverlap="1">
                      <wp:simplePos x="0" y="0"/>
                      <wp:positionH relativeFrom="column">
                        <wp:posOffset>4196080</wp:posOffset>
                      </wp:positionH>
                      <wp:positionV relativeFrom="paragraph">
                        <wp:posOffset>22225</wp:posOffset>
                      </wp:positionV>
                      <wp:extent cx="324485" cy="4445"/>
                      <wp:effectExtent l="0" t="36830" r="18415" b="53975"/>
                      <wp:wrapNone/>
                      <wp:docPr id="168" name="直接箭头连接符 168"/>
                      <wp:cNvGraphicFramePr/>
                      <a:graphic xmlns:a="http://schemas.openxmlformats.org/drawingml/2006/main">
                        <a:graphicData uri="http://schemas.microsoft.com/office/word/2010/wordprocessingShape">
                          <wps:wsp>
                            <wps:cNvCnPr/>
                            <wps:spPr>
                              <a:xfrm flipH="1" flipV="1">
                                <a:off x="0" y="0"/>
                                <a:ext cx="324485" cy="4445"/>
                              </a:xfrm>
                              <a:prstGeom prst="straightConnector1">
                                <a:avLst/>
                              </a:prstGeom>
                              <a:ln>
                                <a:solidFill>
                                  <a:srgbClr val="FFFF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30.4pt;margin-top:1.75pt;height:0.35pt;width:25.55pt;z-index:251803648;mso-width-relative:page;mso-height-relative:page;" filled="f" stroked="t" coordsize="21600,21600" o:gfxdata="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0lz5vNoAAAAHAQAADwAAAAAAAAABACAAAAAiAAAAZHJzL2Rvd25yZXYueG1sUEsBAhQA&#10;FAAAAAgAh07iQDyMzK8pAgAAPAQAAA4AAAAAAAAAAQAgAAAAKQEAAGRycy9lMm9Eb2MueG1sUEsF&#10;BgAAAAAGAAYAWQEAAMQFAAAAAA==&#10;">
                      <v:fill on="f" focussize="0,0"/>
                      <v:stroke weight="1pt" color="#FFFF00 [3204]" miterlimit="8" joinstyle="miter" startarrow="block" endarrow="block"/>
                      <v:imagedata o:title=""/>
                      <o:lock v:ext="edit" aspectratio="f"/>
                    </v:shape>
                  </w:pict>
                </mc:Fallback>
              </mc:AlternateContent>
            </w:r>
            <w:r>
              <w:rPr>
                <w:color w:val="auto"/>
                <w:sz w:val="24"/>
              </w:rPr>
              <mc:AlternateContent>
                <mc:Choice Requires="wps">
                  <w:drawing>
                    <wp:anchor distT="0" distB="0" distL="114300" distR="114300" simplePos="0" relativeHeight="251802624" behindDoc="0" locked="0" layoutInCell="1" allowOverlap="1">
                      <wp:simplePos x="0" y="0"/>
                      <wp:positionH relativeFrom="column">
                        <wp:posOffset>722630</wp:posOffset>
                      </wp:positionH>
                      <wp:positionV relativeFrom="paragraph">
                        <wp:posOffset>40005</wp:posOffset>
                      </wp:positionV>
                      <wp:extent cx="781050" cy="250190"/>
                      <wp:effectExtent l="0" t="0" r="0" b="0"/>
                      <wp:wrapNone/>
                      <wp:docPr id="167" name="矩形 167"/>
                      <wp:cNvGraphicFramePr/>
                      <a:graphic xmlns:a="http://schemas.openxmlformats.org/drawingml/2006/main">
                        <a:graphicData uri="http://schemas.microsoft.com/office/word/2010/wordprocessingShape">
                          <wps:wsp>
                            <wps:cNvSpPr/>
                            <wps:spPr>
                              <a:xfrm>
                                <a:off x="0" y="0"/>
                                <a:ext cx="781050" cy="2501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538E5F3">
                                  <w:pPr>
                                    <w:jc w:val="center"/>
                                    <w:rPr>
                                      <w:rFonts w:hint="default" w:eastAsia="宋体"/>
                                      <w:color w:val="FF0000"/>
                                      <w:sz w:val="16"/>
                                      <w:szCs w:val="15"/>
                                      <w:lang w:val="en-US" w:eastAsia="zh-CN"/>
                                    </w:rPr>
                                  </w:pPr>
                                  <w:r>
                                    <w:rPr>
                                      <w:rFonts w:hint="eastAsia"/>
                                      <w:color w:val="FF0000"/>
                                      <w:sz w:val="16"/>
                                      <w:szCs w:val="15"/>
                                      <w:lang w:val="en-US" w:eastAsia="zh-CN"/>
                                    </w:rPr>
                                    <w:t>210mm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9pt;margin-top:3.15pt;height:19.7pt;width:61.5pt;z-index:251802624;v-text-anchor:middle;mso-width-relative:page;mso-height-relative:page;" filled="f" stroked="f" coordsize="21600,21600" o:gfxdata="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i&#10;756I1QAAAAgBAAAPAAAAAAAAAAEAIAAAACIAAABkcnMvZG93bnJldi54bWxQSwECFAAUAAAACACH&#10;TuJA9uUMeGACAACwBAAADgAAAAAAAAABACAAAAAkAQAAZHJzL2Uyb0RvYy54bWxQSwUGAAAAAAYA&#10;BgBZAQAA9gUAAAAA&#10;">
                      <v:fill on="f" focussize="0,0"/>
                      <v:stroke on="f" weight="1pt" miterlimit="8" joinstyle="miter"/>
                      <v:imagedata o:title=""/>
                      <o:lock v:ext="edit" aspectratio="f"/>
                      <v:textbox>
                        <w:txbxContent>
                          <w:p w14:paraId="6538E5F3">
                            <w:pPr>
                              <w:jc w:val="center"/>
                              <w:rPr>
                                <w:rFonts w:hint="default" w:eastAsia="宋体"/>
                                <w:color w:val="FF0000"/>
                                <w:sz w:val="16"/>
                                <w:szCs w:val="15"/>
                                <w:lang w:val="en-US" w:eastAsia="zh-CN"/>
                              </w:rPr>
                            </w:pPr>
                            <w:r>
                              <w:rPr>
                                <w:rFonts w:hint="eastAsia"/>
                                <w:color w:val="FF0000"/>
                                <w:sz w:val="16"/>
                                <w:szCs w:val="15"/>
                                <w:lang w:val="en-US" w:eastAsia="zh-CN"/>
                              </w:rPr>
                              <w:t>210mm</w:t>
                            </w:r>
                          </w:p>
                        </w:txbxContent>
                      </v:textbox>
                    </v:rect>
                  </w:pict>
                </mc:Fallback>
              </mc:AlternateContent>
            </w:r>
            <w:r>
              <w:rPr>
                <w:color w:val="auto"/>
                <w:sz w:val="24"/>
              </w:rPr>
              <mc:AlternateContent>
                <mc:Choice Requires="wps">
                  <w:drawing>
                    <wp:anchor distT="0" distB="0" distL="114300" distR="114300" simplePos="0" relativeHeight="251801600" behindDoc="0" locked="0" layoutInCell="1" allowOverlap="1">
                      <wp:simplePos x="0" y="0"/>
                      <wp:positionH relativeFrom="column">
                        <wp:posOffset>955675</wp:posOffset>
                      </wp:positionH>
                      <wp:positionV relativeFrom="paragraph">
                        <wp:posOffset>36195</wp:posOffset>
                      </wp:positionV>
                      <wp:extent cx="310515" cy="6350"/>
                      <wp:effectExtent l="0" t="36830" r="13335" b="52070"/>
                      <wp:wrapNone/>
                      <wp:docPr id="166" name="直接箭头连接符 166"/>
                      <wp:cNvGraphicFramePr/>
                      <a:graphic xmlns:a="http://schemas.openxmlformats.org/drawingml/2006/main">
                        <a:graphicData uri="http://schemas.microsoft.com/office/word/2010/wordprocessingShape">
                          <wps:wsp>
                            <wps:cNvCnPr/>
                            <wps:spPr>
                              <a:xfrm flipH="1" flipV="1">
                                <a:off x="0" y="0"/>
                                <a:ext cx="310515" cy="6350"/>
                              </a:xfrm>
                              <a:prstGeom prst="straightConnector1">
                                <a:avLst/>
                              </a:prstGeom>
                              <a:ln>
                                <a:solidFill>
                                  <a:srgbClr val="FFFF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75.25pt;margin-top:2.85pt;height:0.5pt;width:24.45pt;z-index:251801600;mso-width-relative:page;mso-height-relative:page;" filled="f" stroked="t" coordsize="21600,21600" o:gfxdata="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CW+c+DZAAAABwEAAA8AAAAAAAAAAQAgAAAAIgAAAGRycy9kb3ducmV2LnhtbFBLAQIUABQA&#10;AAAIAIdO4kD/dMRsKAIAADwEAAAOAAAAAAAAAAEAIAAAACgBAABkcnMvZTJvRG9jLnhtbFBLBQYA&#10;AAAABgAGAFkBAADCBQAAAAA=&#10;">
                      <v:fill on="f" focussize="0,0"/>
                      <v:stroke weight="1pt" color="#FFFF00 [3204]" miterlimit="8" joinstyle="miter" startarrow="block" endarrow="block"/>
                      <v:imagedata o:title=""/>
                      <o:lock v:ext="edit" aspectratio="f"/>
                    </v:shape>
                  </w:pict>
                </mc:Fallback>
              </mc:AlternateContent>
            </w:r>
          </w:p>
          <w:p w14:paraId="5A142179">
            <w:pPr>
              <w:pStyle w:val="109"/>
              <w:ind w:left="0" w:leftChars="0" w:firstLine="0" w:firstLineChars="0"/>
              <w:jc w:val="center"/>
              <w:rPr>
                <w:color w:val="auto"/>
                <w:highlight w:val="none"/>
              </w:rPr>
            </w:pPr>
            <w:r>
              <w:rPr>
                <w:color w:val="auto"/>
                <w:sz w:val="24"/>
              </w:rPr>
              <mc:AlternateContent>
                <mc:Choice Requires="wps">
                  <w:drawing>
                    <wp:anchor distT="0" distB="0" distL="114300" distR="114300" simplePos="0" relativeHeight="251806720" behindDoc="0" locked="0" layoutInCell="1" allowOverlap="1">
                      <wp:simplePos x="0" y="0"/>
                      <wp:positionH relativeFrom="column">
                        <wp:posOffset>4540885</wp:posOffset>
                      </wp:positionH>
                      <wp:positionV relativeFrom="paragraph">
                        <wp:posOffset>32385</wp:posOffset>
                      </wp:positionV>
                      <wp:extent cx="781050" cy="266700"/>
                      <wp:effectExtent l="0" t="0" r="0" b="0"/>
                      <wp:wrapNone/>
                      <wp:docPr id="172" name="矩形 172"/>
                      <wp:cNvGraphicFramePr/>
                      <a:graphic xmlns:a="http://schemas.openxmlformats.org/drawingml/2006/main">
                        <a:graphicData uri="http://schemas.microsoft.com/office/word/2010/wordprocessingShape">
                          <wps:wsp>
                            <wps:cNvSpPr/>
                            <wps:spPr>
                              <a:xfrm>
                                <a:off x="0" y="0"/>
                                <a:ext cx="7810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4576397">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2755mm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7.55pt;margin-top:2.55pt;height:21pt;width:61.5pt;z-index:251806720;v-text-anchor:middle;mso-width-relative:page;mso-height-relative:page;" filled="f" stroked="f" coordsize="21600,21600" o:gfxdata="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zXT8pdYAAAAIAQAADwAAAAAAAAABACAAAAAiAAAAZHJzL2Rvd25yZXYueG1sUEsBAhQAFAAAAAgA&#10;h07iQCP+vSZgAgAAsAQAAA4AAAAAAAAAAQAgAAAAJQEAAGRycy9lMm9Eb2MueG1sUEsFBgAAAAAG&#10;AAYAWQEAAPcFAAAAAA==&#10;">
                      <v:fill on="f" focussize="0,0"/>
                      <v:stroke on="f" weight="1pt" miterlimit="8" joinstyle="miter"/>
                      <v:imagedata o:title=""/>
                      <o:lock v:ext="edit" aspectratio="f"/>
                      <v:textbox>
                        <w:txbxContent>
                          <w:p w14:paraId="74576397">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2755mm</w:t>
                            </w:r>
                          </w:p>
                        </w:txbxContent>
                      </v:textbox>
                    </v:rect>
                  </w:pict>
                </mc:Fallback>
              </mc:AlternateContent>
            </w:r>
          </w:p>
          <w:p w14:paraId="321AE10B">
            <w:pPr>
              <w:pStyle w:val="109"/>
              <w:ind w:left="0" w:leftChars="0" w:firstLine="0" w:firstLineChars="0"/>
              <w:jc w:val="center"/>
              <w:rPr>
                <w:color w:val="auto"/>
                <w:highlight w:val="none"/>
              </w:rPr>
            </w:pPr>
            <w:r>
              <w:rPr>
                <w:color w:val="auto"/>
                <w:sz w:val="24"/>
              </w:rPr>
              <mc:AlternateContent>
                <mc:Choice Requires="wps">
                  <w:drawing>
                    <wp:anchor distT="0" distB="0" distL="114300" distR="114300" simplePos="0" relativeHeight="251845632" behindDoc="0" locked="0" layoutInCell="1" allowOverlap="1">
                      <wp:simplePos x="0" y="0"/>
                      <wp:positionH relativeFrom="column">
                        <wp:posOffset>2660650</wp:posOffset>
                      </wp:positionH>
                      <wp:positionV relativeFrom="paragraph">
                        <wp:posOffset>165100</wp:posOffset>
                      </wp:positionV>
                      <wp:extent cx="1096010" cy="400050"/>
                      <wp:effectExtent l="0" t="0" r="0" b="0"/>
                      <wp:wrapNone/>
                      <wp:docPr id="29" name="矩形 29"/>
                      <wp:cNvGraphicFramePr/>
                      <a:graphic xmlns:a="http://schemas.openxmlformats.org/drawingml/2006/main">
                        <a:graphicData uri="http://schemas.microsoft.com/office/word/2010/wordprocessingShape">
                          <wps:wsp>
                            <wps:cNvSpPr/>
                            <wps:spPr>
                              <a:xfrm>
                                <a:off x="0" y="0"/>
                                <a:ext cx="1096010" cy="4000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8540C35">
                                  <w:pPr>
                                    <w:jc w:val="center"/>
                                    <w:rPr>
                                      <w:rFonts w:hint="default" w:eastAsia="宋体"/>
                                      <w:color w:val="00B0F0"/>
                                      <w:sz w:val="18"/>
                                      <w:szCs w:val="16"/>
                                      <w:lang w:val="en-US" w:eastAsia="zh-CN"/>
                                    </w:rPr>
                                  </w:pPr>
                                  <w:r>
                                    <w:rPr>
                                      <w:rFonts w:hint="eastAsia"/>
                                      <w:b/>
                                      <w:bCs/>
                                      <w:color w:val="00B0F0"/>
                                      <w:sz w:val="20"/>
                                      <w:szCs w:val="18"/>
                                      <w:lang w:val="en-US" w:eastAsia="zh-CN"/>
                                    </w:rPr>
                                    <w:t>出束点</w:t>
                                  </w:r>
                                  <w:r>
                                    <w:rPr>
                                      <w:rFonts w:hint="eastAsia"/>
                                      <w:b/>
                                      <w:bCs/>
                                      <w:color w:val="00B0F0"/>
                                      <w:sz w:val="24"/>
                                      <w:szCs w:val="22"/>
                                      <w:lang w:val="en-US" w:eastAsia="zh-CN"/>
                                    </w:rPr>
                                    <w:t>O</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9.5pt;margin-top:13pt;height:31.5pt;width:86.3pt;z-index:251845632;v-text-anchor:middle;mso-width-relative:page;mso-height-relative:page;" filled="f" stroked="f" coordsize="21600,21600" o:gfxdata="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e970zNcAAAAJAQAADwAAAAAAAAABACAAAAAiAAAAZHJzL2Rvd25yZXYueG1sUEsBAhQAFAAAAAgA&#10;h07iQNAQJWFfAgAArwQAAA4AAAAAAAAAAQAgAAAAJgEAAGRycy9lMm9Eb2MueG1sUEsFBgAAAAAG&#10;AAYAWQEAAPcFAAAAAA==&#10;">
                      <v:fill on="f" focussize="0,0"/>
                      <v:stroke on="f" weight="1pt" miterlimit="8" joinstyle="miter"/>
                      <v:imagedata o:title=""/>
                      <o:lock v:ext="edit" aspectratio="f"/>
                      <v:textbox>
                        <w:txbxContent>
                          <w:p w14:paraId="68540C35">
                            <w:pPr>
                              <w:jc w:val="center"/>
                              <w:rPr>
                                <w:rFonts w:hint="default" w:eastAsia="宋体"/>
                                <w:color w:val="00B0F0"/>
                                <w:sz w:val="18"/>
                                <w:szCs w:val="16"/>
                                <w:lang w:val="en-US" w:eastAsia="zh-CN"/>
                              </w:rPr>
                            </w:pPr>
                            <w:r>
                              <w:rPr>
                                <w:rFonts w:hint="eastAsia"/>
                                <w:b/>
                                <w:bCs/>
                                <w:color w:val="00B0F0"/>
                                <w:sz w:val="20"/>
                                <w:szCs w:val="18"/>
                                <w:lang w:val="en-US" w:eastAsia="zh-CN"/>
                              </w:rPr>
                              <w:t>出束点</w:t>
                            </w:r>
                            <w:r>
                              <w:rPr>
                                <w:rFonts w:hint="eastAsia"/>
                                <w:b/>
                                <w:bCs/>
                                <w:color w:val="00B0F0"/>
                                <w:sz w:val="24"/>
                                <w:szCs w:val="22"/>
                                <w:lang w:val="en-US" w:eastAsia="zh-CN"/>
                              </w:rPr>
                              <w:t>O</w:t>
                            </w:r>
                          </w:p>
                        </w:txbxContent>
                      </v:textbox>
                    </v:rect>
                  </w:pict>
                </mc:Fallback>
              </mc:AlternateContent>
            </w:r>
          </w:p>
          <w:p w14:paraId="0D4591FB">
            <w:pPr>
              <w:pStyle w:val="109"/>
              <w:ind w:left="0" w:leftChars="0" w:firstLine="0" w:firstLineChars="0"/>
              <w:jc w:val="center"/>
              <w:rPr>
                <w:color w:val="auto"/>
                <w:highlight w:val="none"/>
              </w:rPr>
            </w:pPr>
            <w:r>
              <w:rPr>
                <w:color w:val="auto"/>
                <w:sz w:val="24"/>
              </w:rPr>
              <mc:AlternateContent>
                <mc:Choice Requires="wps">
                  <w:drawing>
                    <wp:anchor distT="0" distB="0" distL="114300" distR="114300" simplePos="0" relativeHeight="251846656" behindDoc="0" locked="0" layoutInCell="1" allowOverlap="1">
                      <wp:simplePos x="0" y="0"/>
                      <wp:positionH relativeFrom="column">
                        <wp:posOffset>3449320</wp:posOffset>
                      </wp:positionH>
                      <wp:positionV relativeFrom="paragraph">
                        <wp:posOffset>92075</wp:posOffset>
                      </wp:positionV>
                      <wp:extent cx="75565" cy="75565"/>
                      <wp:effectExtent l="6350" t="6350" r="13335" b="13335"/>
                      <wp:wrapNone/>
                      <wp:docPr id="72" name="椭圆 72"/>
                      <wp:cNvGraphicFramePr/>
                      <a:graphic xmlns:a="http://schemas.openxmlformats.org/drawingml/2006/main">
                        <a:graphicData uri="http://schemas.microsoft.com/office/word/2010/wordprocessingShape">
                          <wps:wsp>
                            <wps:cNvSpPr/>
                            <wps:spPr>
                              <a:xfrm>
                                <a:off x="4507230" y="5308600"/>
                                <a:ext cx="75565" cy="75565"/>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71.6pt;margin-top:7.25pt;height:5.95pt;width:5.95pt;z-index:251846656;v-text-anchor:middle;mso-width-relative:page;mso-height-relative:page;" fillcolor="#5B9BD5 [3204]" filled="t" stroked="t" coordsize="21600,21600" o:gfxdata="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Vpjt99cA&#10;AAAJAQAADwAAAAAAAAABACAAAAAiAAAAZHJzL2Rvd25yZXYueG1sUEsBAhQAFAAAAAgAh07iQLt7&#10;Vu6SAgAAJAUAAA4AAAAAAAAAAQAgAAAAJgEAAGRycy9lMm9Eb2MueG1sUEsFBgAAAAAGAAYAWQEA&#10;ACoGAAAAAA==&#10;">
                      <v:fill on="t" focussize="0,0"/>
                      <v:stroke weight="1pt" color="#2E75B6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41184" behindDoc="0" locked="0" layoutInCell="1" allowOverlap="1">
                      <wp:simplePos x="0" y="0"/>
                      <wp:positionH relativeFrom="column">
                        <wp:posOffset>3094355</wp:posOffset>
                      </wp:positionH>
                      <wp:positionV relativeFrom="paragraph">
                        <wp:posOffset>223520</wp:posOffset>
                      </wp:positionV>
                      <wp:extent cx="486410" cy="400050"/>
                      <wp:effectExtent l="0" t="0" r="0" b="0"/>
                      <wp:wrapNone/>
                      <wp:docPr id="229" name="矩形 229"/>
                      <wp:cNvGraphicFramePr/>
                      <a:graphic xmlns:a="http://schemas.openxmlformats.org/drawingml/2006/main">
                        <a:graphicData uri="http://schemas.microsoft.com/office/word/2010/wordprocessingShape">
                          <wps:wsp>
                            <wps:cNvSpPr/>
                            <wps:spPr>
                              <a:xfrm>
                                <a:off x="0" y="0"/>
                                <a:ext cx="486410" cy="4000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7FC954C">
                                  <w:pPr>
                                    <w:jc w:val="center"/>
                                    <w:rPr>
                                      <w:rFonts w:hint="default" w:eastAsia="宋体"/>
                                      <w:color w:val="FF0000"/>
                                      <w:lang w:val="en-US" w:eastAsia="zh-CN"/>
                                    </w:rPr>
                                  </w:pPr>
                                  <w:r>
                                    <w:rPr>
                                      <w:rFonts w:hint="eastAsia"/>
                                      <w:b/>
                                      <w:bCs/>
                                      <w:color w:val="FF0000"/>
                                      <w:sz w:val="32"/>
                                      <w:szCs w:val="28"/>
                                      <w:lang w:val="en-US" w:eastAsia="zh-CN"/>
                                    </w:rPr>
                                    <w:t>O</w:t>
                                  </w:r>
                                  <w:r>
                                    <w:rPr>
                                      <w:rFonts w:hint="eastAsia"/>
                                      <w:color w:val="FF0000"/>
                                      <w:lang w:val="en-US" w:eastAsia="zh-CN"/>
                                    </w:rPr>
                                    <w:t>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3.65pt;margin-top:17.6pt;height:31.5pt;width:38.3pt;z-index:251741184;v-text-anchor:middle;mso-width-relative:page;mso-height-relative:page;" filled="f" stroked="f" coordsize="21600,21600" o:gfxdata="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wBG0B2QAAAAkBAAAPAAAAAAAAAAEAIAAAACIAAABkcnMvZG93bnJldi54bWxQSwECFAAUAAAA&#10;CACHTuJAp2NCQF8CAACwBAAADgAAAAAAAAABACAAAAAoAQAAZHJzL2Uyb0RvYy54bWxQSwUGAAAA&#10;AAYABgBZAQAA+QUAAAAA&#10;">
                      <v:fill on="f" focussize="0,0"/>
                      <v:stroke on="f" weight="1pt" miterlimit="8" joinstyle="miter"/>
                      <v:imagedata o:title=""/>
                      <o:lock v:ext="edit" aspectratio="f"/>
                      <v:textbox>
                        <w:txbxContent>
                          <w:p w14:paraId="07FC954C">
                            <w:pPr>
                              <w:jc w:val="center"/>
                              <w:rPr>
                                <w:rFonts w:hint="default" w:eastAsia="宋体"/>
                                <w:color w:val="FF0000"/>
                                <w:lang w:val="en-US" w:eastAsia="zh-CN"/>
                              </w:rPr>
                            </w:pPr>
                            <w:r>
                              <w:rPr>
                                <w:rFonts w:hint="eastAsia"/>
                                <w:b/>
                                <w:bCs/>
                                <w:color w:val="FF0000"/>
                                <w:sz w:val="32"/>
                                <w:szCs w:val="28"/>
                                <w:lang w:val="en-US" w:eastAsia="zh-CN"/>
                              </w:rPr>
                              <w:t>O</w:t>
                            </w:r>
                            <w:r>
                              <w:rPr>
                                <w:rFonts w:hint="eastAsia"/>
                                <w:color w:val="FF0000"/>
                                <w:lang w:val="en-US" w:eastAsia="zh-CN"/>
                              </w:rPr>
                              <w:t>5</w:t>
                            </w:r>
                          </w:p>
                        </w:txbxContent>
                      </v:textbox>
                    </v:rect>
                  </w:pict>
                </mc:Fallback>
              </mc:AlternateContent>
            </w:r>
            <w:r>
              <w:rPr>
                <w:color w:val="auto"/>
                <w:sz w:val="24"/>
              </w:rPr>
              <mc:AlternateContent>
                <mc:Choice Requires="wps">
                  <w:drawing>
                    <wp:anchor distT="0" distB="0" distL="114300" distR="114300" simplePos="0" relativeHeight="251792384" behindDoc="0" locked="0" layoutInCell="1" allowOverlap="1">
                      <wp:simplePos x="0" y="0"/>
                      <wp:positionH relativeFrom="column">
                        <wp:posOffset>1457325</wp:posOffset>
                      </wp:positionH>
                      <wp:positionV relativeFrom="paragraph">
                        <wp:posOffset>271145</wp:posOffset>
                      </wp:positionV>
                      <wp:extent cx="781050" cy="266700"/>
                      <wp:effectExtent l="0" t="0" r="0" b="0"/>
                      <wp:wrapNone/>
                      <wp:docPr id="3" name="矩形 3"/>
                      <wp:cNvGraphicFramePr/>
                      <a:graphic xmlns:a="http://schemas.openxmlformats.org/drawingml/2006/main">
                        <a:graphicData uri="http://schemas.microsoft.com/office/word/2010/wordprocessingShape">
                          <wps:wsp>
                            <wps:cNvSpPr/>
                            <wps:spPr>
                              <a:xfrm>
                                <a:off x="0" y="0"/>
                                <a:ext cx="7810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F5E026B">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2600mm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75pt;margin-top:21.35pt;height:21pt;width:61.5pt;z-index:251792384;v-text-anchor:middle;mso-width-relative:page;mso-height-relative:page;" filled="f" stroked="f" coordsize="21600,21600" o:gfxdata="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Yqmn9tgAAAAJAQAADwAAAAAAAAABACAAAAAiAAAAZHJzL2Rvd25yZXYueG1sUEsBAhQAFAAAAAgA&#10;h07iQLns8rdeAgAArAQAAA4AAAAAAAAAAQAgAAAAJwEAAGRycy9lMm9Eb2MueG1sUEsFBgAAAAAG&#10;AAYAWQEAAPcFAAAAAA==&#10;">
                      <v:fill on="f" focussize="0,0"/>
                      <v:stroke on="f" weight="1pt" miterlimit="8" joinstyle="miter"/>
                      <v:imagedata o:title=""/>
                      <o:lock v:ext="edit" aspectratio="f"/>
                      <v:textbox>
                        <w:txbxContent>
                          <w:p w14:paraId="0F5E026B">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2600mm</w:t>
                            </w:r>
                          </w:p>
                        </w:txbxContent>
                      </v:textbox>
                    </v:rect>
                  </w:pict>
                </mc:Fallback>
              </mc:AlternateContent>
            </w:r>
          </w:p>
          <w:p w14:paraId="25922D3B">
            <w:pPr>
              <w:pStyle w:val="109"/>
              <w:ind w:left="0" w:leftChars="0" w:firstLine="0" w:firstLineChars="0"/>
              <w:jc w:val="center"/>
              <w:rPr>
                <w:color w:val="auto"/>
                <w:highlight w:val="none"/>
              </w:rPr>
            </w:pPr>
            <w:r>
              <w:rPr>
                <w:color w:val="auto"/>
                <w:sz w:val="24"/>
              </w:rPr>
              <mc:AlternateContent>
                <mc:Choice Requires="wps">
                  <w:drawing>
                    <wp:anchor distT="0" distB="0" distL="114300" distR="114300" simplePos="0" relativeHeight="251844608" behindDoc="0" locked="0" layoutInCell="1" allowOverlap="1">
                      <wp:simplePos x="0" y="0"/>
                      <wp:positionH relativeFrom="column">
                        <wp:posOffset>3101975</wp:posOffset>
                      </wp:positionH>
                      <wp:positionV relativeFrom="paragraph">
                        <wp:posOffset>279400</wp:posOffset>
                      </wp:positionV>
                      <wp:extent cx="723900" cy="245745"/>
                      <wp:effectExtent l="0" t="0" r="0" b="0"/>
                      <wp:wrapNone/>
                      <wp:docPr id="258" name="矩形 258"/>
                      <wp:cNvGraphicFramePr/>
                      <a:graphic xmlns:a="http://schemas.openxmlformats.org/drawingml/2006/main">
                        <a:graphicData uri="http://schemas.microsoft.com/office/word/2010/wordprocessingShape">
                          <wps:wsp>
                            <wps:cNvSpPr/>
                            <wps:spPr>
                              <a:xfrm>
                                <a:off x="0" y="0"/>
                                <a:ext cx="723900" cy="2457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EEA057B">
                                  <w:pPr>
                                    <w:jc w:val="center"/>
                                    <w:rPr>
                                      <w:rFonts w:hint="default" w:eastAsia="宋体"/>
                                      <w:b/>
                                      <w:bCs/>
                                      <w:color w:val="FFFF00"/>
                                      <w:sz w:val="11"/>
                                      <w:szCs w:val="10"/>
                                      <w:lang w:val="en-US" w:eastAsia="zh-CN"/>
                                    </w:rPr>
                                  </w:pPr>
                                  <w:r>
                                    <w:rPr>
                                      <w:rFonts w:hint="eastAsia"/>
                                      <w:b/>
                                      <w:bCs/>
                                      <w:color w:val="FFFF00"/>
                                      <w:sz w:val="11"/>
                                      <w:szCs w:val="10"/>
                                      <w:lang w:val="en-US" w:eastAsia="zh-CN"/>
                                    </w:rPr>
                                    <w:t>500mm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4.25pt;margin-top:22pt;height:19.35pt;width:57pt;z-index:251844608;v-text-anchor:middle;mso-width-relative:page;mso-height-relative:page;" filled="f" stroked="f" coordsize="21600,21600" o:gfxdata="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rE+w29cAAAAJAQAADwAAAAAAAAABACAAAAAiAAAAZHJzL2Rvd25yZXYueG1sUEsBAhQAFAAAAAgA&#10;h07iQEaFyUZfAgAAsAQAAA4AAAAAAAAAAQAgAAAAJgEAAGRycy9lMm9Eb2MueG1sUEsFBgAAAAAG&#10;AAYAWQEAAPcFAAAAAA==&#10;">
                      <v:fill on="f" focussize="0,0"/>
                      <v:stroke on="f" weight="1pt" miterlimit="8" joinstyle="miter"/>
                      <v:imagedata o:title=""/>
                      <o:lock v:ext="edit" aspectratio="f"/>
                      <v:textbox>
                        <w:txbxContent>
                          <w:p w14:paraId="0EEA057B">
                            <w:pPr>
                              <w:jc w:val="center"/>
                              <w:rPr>
                                <w:rFonts w:hint="default" w:eastAsia="宋体"/>
                                <w:b/>
                                <w:bCs/>
                                <w:color w:val="FFFF00"/>
                                <w:sz w:val="11"/>
                                <w:szCs w:val="10"/>
                                <w:lang w:val="en-US" w:eastAsia="zh-CN"/>
                              </w:rPr>
                            </w:pPr>
                            <w:r>
                              <w:rPr>
                                <w:rFonts w:hint="eastAsia"/>
                                <w:b/>
                                <w:bCs/>
                                <w:color w:val="FFFF00"/>
                                <w:sz w:val="11"/>
                                <w:szCs w:val="10"/>
                                <w:lang w:val="en-US" w:eastAsia="zh-CN"/>
                              </w:rPr>
                              <w:t>500mm</w:t>
                            </w:r>
                          </w:p>
                        </w:txbxContent>
                      </v:textbox>
                    </v:rect>
                  </w:pict>
                </mc:Fallback>
              </mc:AlternateContent>
            </w:r>
            <w:r>
              <w:rPr>
                <w:color w:val="auto"/>
                <w:sz w:val="24"/>
              </w:rPr>
              <mc:AlternateContent>
                <mc:Choice Requires="wps">
                  <w:drawing>
                    <wp:anchor distT="0" distB="0" distL="114300" distR="114300" simplePos="0" relativeHeight="251843584" behindDoc="0" locked="0" layoutInCell="1" allowOverlap="1">
                      <wp:simplePos x="0" y="0"/>
                      <wp:positionH relativeFrom="column">
                        <wp:posOffset>3482975</wp:posOffset>
                      </wp:positionH>
                      <wp:positionV relativeFrom="paragraph">
                        <wp:posOffset>287020</wp:posOffset>
                      </wp:positionV>
                      <wp:extent cx="5080" cy="360045"/>
                      <wp:effectExtent l="36830" t="0" r="53340" b="1905"/>
                      <wp:wrapNone/>
                      <wp:docPr id="257" name="直接箭头连接符 257"/>
                      <wp:cNvGraphicFramePr/>
                      <a:graphic xmlns:a="http://schemas.openxmlformats.org/drawingml/2006/main">
                        <a:graphicData uri="http://schemas.microsoft.com/office/word/2010/wordprocessingShape">
                          <wps:wsp>
                            <wps:cNvCnPr/>
                            <wps:spPr>
                              <a:xfrm flipH="1">
                                <a:off x="0" y="0"/>
                                <a:ext cx="5080" cy="360045"/>
                              </a:xfrm>
                              <a:prstGeom prst="straightConnector1">
                                <a:avLst/>
                              </a:prstGeom>
                              <a:ln>
                                <a:solidFill>
                                  <a:srgbClr val="FFFF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74.25pt;margin-top:22.6pt;height:28.35pt;width:0.4pt;z-index:251843584;mso-width-relative:page;mso-height-relative:page;" filled="f" stroked="t" coordsize="21600,21600" o:gfxdata="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NAiR3NkAAAAKAQAADwAAAAAAAAABACAAAAAiAAAAZHJzL2Rvd25yZXYueG1sUEsBAhQAFAAAAAgA&#10;h07iQFLeObkkAgAAMgQAAA4AAAAAAAAAAQAgAAAAKAEAAGRycy9lMm9Eb2MueG1sUEsFBgAAAAAG&#10;AAYAWQEAAL4FAAAAAA==&#10;">
                      <v:fill on="f" focussize="0,0"/>
                      <v:stroke weight="1pt" color="#FFFF00 [3204]" miterlimit="8" joinstyle="miter" startarrow="block" endarrow="block"/>
                      <v:imagedata o:title=""/>
                      <o:lock v:ext="edit" aspectratio="f"/>
                    </v:shape>
                  </w:pict>
                </mc:Fallback>
              </mc:AlternateContent>
            </w:r>
            <w:r>
              <w:rPr>
                <w:color w:val="auto"/>
                <w:sz w:val="24"/>
              </w:rPr>
              <mc:AlternateContent>
                <mc:Choice Requires="wps">
                  <w:drawing>
                    <wp:anchor distT="0" distB="0" distL="114300" distR="114300" simplePos="0" relativeHeight="251829248" behindDoc="0" locked="0" layoutInCell="1" allowOverlap="1">
                      <wp:simplePos x="0" y="0"/>
                      <wp:positionH relativeFrom="column">
                        <wp:posOffset>3729355</wp:posOffset>
                      </wp:positionH>
                      <wp:positionV relativeFrom="paragraph">
                        <wp:posOffset>287020</wp:posOffset>
                      </wp:positionV>
                      <wp:extent cx="723900" cy="266700"/>
                      <wp:effectExtent l="0" t="0" r="0" b="0"/>
                      <wp:wrapNone/>
                      <wp:docPr id="240" name="矩形 240"/>
                      <wp:cNvGraphicFramePr/>
                      <a:graphic xmlns:a="http://schemas.openxmlformats.org/drawingml/2006/main">
                        <a:graphicData uri="http://schemas.microsoft.com/office/word/2010/wordprocessingShape">
                          <wps:wsp>
                            <wps:cNvSpPr/>
                            <wps:spPr>
                              <a:xfrm>
                                <a:off x="0" y="0"/>
                                <a:ext cx="72390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5E93DAB">
                                  <w:pPr>
                                    <w:jc w:val="center"/>
                                    <w:rPr>
                                      <w:rFonts w:hint="default" w:eastAsia="宋体"/>
                                      <w:b/>
                                      <w:bCs/>
                                      <w:color w:val="FF0000"/>
                                      <w:sz w:val="11"/>
                                      <w:szCs w:val="10"/>
                                      <w:lang w:val="en-US" w:eastAsia="zh-CN"/>
                                    </w:rPr>
                                  </w:pPr>
                                  <w:r>
                                    <w:rPr>
                                      <w:rFonts w:hint="eastAsia"/>
                                      <w:b/>
                                      <w:bCs/>
                                      <w:color w:val="FF0000"/>
                                      <w:sz w:val="11"/>
                                      <w:szCs w:val="10"/>
                                      <w:lang w:val="en-US" w:eastAsia="zh-CN"/>
                                    </w:rPr>
                                    <w:t>600mm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3.65pt;margin-top:22.6pt;height:21pt;width:57pt;z-index:251829248;v-text-anchor:middle;mso-width-relative:page;mso-height-relative:page;" filled="f" stroked="f" coordsize="21600,21600" o:gfxdata="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9&#10;DVho1wAAAAkBAAAPAAAAAAAAAAEAIAAAACIAAABkcnMvZG93bnJldi54bWxQSwECFAAUAAAACACH&#10;TuJA4x3B7l4CAACwBAAADgAAAAAAAAABACAAAAAmAQAAZHJzL2Uyb0RvYy54bWxQSwUGAAAAAAYA&#10;BgBZAQAA9gUAAAAA&#10;">
                      <v:fill on="f" focussize="0,0"/>
                      <v:stroke on="f" weight="1pt" miterlimit="8" joinstyle="miter"/>
                      <v:imagedata o:title=""/>
                      <o:lock v:ext="edit" aspectratio="f"/>
                      <v:textbox>
                        <w:txbxContent>
                          <w:p w14:paraId="65E93DAB">
                            <w:pPr>
                              <w:jc w:val="center"/>
                              <w:rPr>
                                <w:rFonts w:hint="default" w:eastAsia="宋体"/>
                                <w:b/>
                                <w:bCs/>
                                <w:color w:val="FF0000"/>
                                <w:sz w:val="11"/>
                                <w:szCs w:val="10"/>
                                <w:lang w:val="en-US" w:eastAsia="zh-CN"/>
                              </w:rPr>
                            </w:pPr>
                            <w:r>
                              <w:rPr>
                                <w:rFonts w:hint="eastAsia"/>
                                <w:b/>
                                <w:bCs/>
                                <w:color w:val="FF0000"/>
                                <w:sz w:val="11"/>
                                <w:szCs w:val="10"/>
                                <w:lang w:val="en-US" w:eastAsia="zh-CN"/>
                              </w:rPr>
                              <w:t>600mm</w:t>
                            </w:r>
                          </w:p>
                        </w:txbxContent>
                      </v:textbox>
                    </v:rect>
                  </w:pict>
                </mc:Fallback>
              </mc:AlternateContent>
            </w:r>
            <w:r>
              <w:rPr>
                <w:color w:val="auto"/>
                <w:sz w:val="24"/>
              </w:rPr>
              <mc:AlternateContent>
                <mc:Choice Requires="wps">
                  <w:drawing>
                    <wp:anchor distT="0" distB="0" distL="114300" distR="114300" simplePos="0" relativeHeight="251794432" behindDoc="0" locked="0" layoutInCell="1" allowOverlap="1">
                      <wp:simplePos x="0" y="0"/>
                      <wp:positionH relativeFrom="column">
                        <wp:posOffset>2409825</wp:posOffset>
                      </wp:positionH>
                      <wp:positionV relativeFrom="paragraph">
                        <wp:posOffset>274955</wp:posOffset>
                      </wp:positionV>
                      <wp:extent cx="723900" cy="266700"/>
                      <wp:effectExtent l="0" t="0" r="0" b="0"/>
                      <wp:wrapNone/>
                      <wp:docPr id="12" name="矩形 12"/>
                      <wp:cNvGraphicFramePr/>
                      <a:graphic xmlns:a="http://schemas.openxmlformats.org/drawingml/2006/main">
                        <a:graphicData uri="http://schemas.microsoft.com/office/word/2010/wordprocessingShape">
                          <wps:wsp>
                            <wps:cNvSpPr/>
                            <wps:spPr>
                              <a:xfrm>
                                <a:off x="0" y="0"/>
                                <a:ext cx="72390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8E43037">
                                  <w:pPr>
                                    <w:jc w:val="center"/>
                                    <w:rPr>
                                      <w:rFonts w:hint="default" w:eastAsia="宋体"/>
                                      <w:b/>
                                      <w:bCs/>
                                      <w:color w:val="FFFF00"/>
                                      <w:sz w:val="11"/>
                                      <w:szCs w:val="10"/>
                                      <w:lang w:val="en-US" w:eastAsia="zh-CN"/>
                                    </w:rPr>
                                  </w:pPr>
                                  <w:r>
                                    <w:rPr>
                                      <w:rFonts w:hint="eastAsia"/>
                                      <w:b/>
                                      <w:bCs/>
                                      <w:color w:val="FFFF00"/>
                                      <w:sz w:val="11"/>
                                      <w:szCs w:val="10"/>
                                      <w:lang w:val="en-US" w:eastAsia="zh-CN"/>
                                    </w:rPr>
                                    <w:t>800mm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9.75pt;margin-top:21.65pt;height:21pt;width:57pt;z-index:251794432;v-text-anchor:middle;mso-width-relative:page;mso-height-relative:page;" filled="f" stroked="f" coordsize="21600,21600" o:gfxdata="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j&#10;28q92AAAAAkBAAAPAAAAAAAAAAEAIAAAACIAAABkcnMvZG93bnJldi54bWxQSwECFAAUAAAACACH&#10;TuJANquEHV0CAACuBAAADgAAAAAAAAABACAAAAAnAQAAZHJzL2Uyb0RvYy54bWxQSwUGAAAAAAYA&#10;BgBZAQAA9gUAAAAA&#10;">
                      <v:fill on="f" focussize="0,0"/>
                      <v:stroke on="f" weight="1pt" miterlimit="8" joinstyle="miter"/>
                      <v:imagedata o:title=""/>
                      <o:lock v:ext="edit" aspectratio="f"/>
                      <v:textbox>
                        <w:txbxContent>
                          <w:p w14:paraId="18E43037">
                            <w:pPr>
                              <w:jc w:val="center"/>
                              <w:rPr>
                                <w:rFonts w:hint="default" w:eastAsia="宋体"/>
                                <w:b/>
                                <w:bCs/>
                                <w:color w:val="FFFF00"/>
                                <w:sz w:val="11"/>
                                <w:szCs w:val="10"/>
                                <w:lang w:val="en-US" w:eastAsia="zh-CN"/>
                              </w:rPr>
                            </w:pPr>
                            <w:r>
                              <w:rPr>
                                <w:rFonts w:hint="eastAsia"/>
                                <w:b/>
                                <w:bCs/>
                                <w:color w:val="FFFF00"/>
                                <w:sz w:val="11"/>
                                <w:szCs w:val="10"/>
                                <w:lang w:val="en-US" w:eastAsia="zh-CN"/>
                              </w:rPr>
                              <w:t>800mm</w:t>
                            </w:r>
                          </w:p>
                        </w:txbxContent>
                      </v:textbox>
                    </v:rect>
                  </w:pict>
                </mc:Fallback>
              </mc:AlternateContent>
            </w:r>
            <w:r>
              <w:rPr>
                <w:color w:val="auto"/>
                <w:sz w:val="24"/>
              </w:rPr>
              <mc:AlternateContent>
                <mc:Choice Requires="wps">
                  <w:drawing>
                    <wp:anchor distT="0" distB="0" distL="114300" distR="114300" simplePos="0" relativeHeight="251740160" behindDoc="0" locked="0" layoutInCell="1" allowOverlap="1">
                      <wp:simplePos x="0" y="0"/>
                      <wp:positionH relativeFrom="column">
                        <wp:posOffset>2585720</wp:posOffset>
                      </wp:positionH>
                      <wp:positionV relativeFrom="paragraph">
                        <wp:posOffset>286385</wp:posOffset>
                      </wp:positionV>
                      <wp:extent cx="1078865" cy="360680"/>
                      <wp:effectExtent l="6350" t="6350" r="19685" b="13970"/>
                      <wp:wrapNone/>
                      <wp:docPr id="215" name="矩形 215"/>
                      <wp:cNvGraphicFramePr/>
                      <a:graphic xmlns:a="http://schemas.openxmlformats.org/drawingml/2006/main">
                        <a:graphicData uri="http://schemas.microsoft.com/office/word/2010/wordprocessingShape">
                          <wps:wsp>
                            <wps:cNvSpPr/>
                            <wps:spPr>
                              <a:xfrm>
                                <a:off x="0" y="0"/>
                                <a:ext cx="1078865" cy="360680"/>
                              </a:xfrm>
                              <a:prstGeom prst="rect">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txbx>
                              <w:txbxContent>
                                <w:p w14:paraId="3FB88D0C">
                                  <w:pPr>
                                    <w:jc w:val="center"/>
                                    <w:rPr>
                                      <w:rFonts w:hint="default" w:eastAsia="宋体"/>
                                      <w:b/>
                                      <w:bCs/>
                                      <w:color w:val="000000" w:themeColor="text1"/>
                                      <w:sz w:val="16"/>
                                      <w:szCs w:val="15"/>
                                      <w:lang w:val="en-US" w:eastAsia="zh-CN"/>
                                      <w14:textFill>
                                        <w14:solidFill>
                                          <w14:schemeClr w14:val="tx1"/>
                                        </w14:solidFill>
                                      </w14:textFill>
                                    </w:rPr>
                                  </w:pPr>
                                  <w:r>
                                    <w:rPr>
                                      <w:rFonts w:hint="eastAsia"/>
                                      <w:b/>
                                      <w:bCs/>
                                      <w:color w:val="000000" w:themeColor="text1"/>
                                      <w:sz w:val="16"/>
                                      <w:szCs w:val="15"/>
                                      <w:lang w:val="en-US" w:eastAsia="zh-CN"/>
                                      <w14:textFill>
                                        <w14:solidFill>
                                          <w14:schemeClr w14:val="tx1"/>
                                        </w14:solidFill>
                                      </w14:textFill>
                                    </w:rPr>
                                    <w:t>工作范围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3.6pt;margin-top:22.55pt;height:28.4pt;width:84.95pt;z-index:251740160;v-text-anchor:middle;mso-width-relative:page;mso-height-relative:page;" fillcolor="#FF0000" filled="t" stroked="t" coordsize="21600,21600" o:gfxdata="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7aMf+dkAAAAK&#10;AQAADwAAAAAAAAABACAAAAAiAAAAZHJzL2Rvd25yZXYueG1sUEsBAhQAFAAAAAgAh07iQHkFCDCN&#10;AgAAJQUAAA4AAAAAAAAAAQAgAAAAKAEAAGRycy9lMm9Eb2MueG1sUEsFBgAAAAAGAAYAWQEAACcG&#10;AAAAAA==&#10;">
                      <v:fill on="t" focussize="0,0"/>
                      <v:stroke weight="1pt" color="#2E75B6 [2404]" miterlimit="8" joinstyle="miter"/>
                      <v:imagedata o:title=""/>
                      <o:lock v:ext="edit" aspectratio="f"/>
                      <v:textbox>
                        <w:txbxContent>
                          <w:p w14:paraId="3FB88D0C">
                            <w:pPr>
                              <w:jc w:val="center"/>
                              <w:rPr>
                                <w:rFonts w:hint="default" w:eastAsia="宋体"/>
                                <w:b/>
                                <w:bCs/>
                                <w:color w:val="000000" w:themeColor="text1"/>
                                <w:sz w:val="16"/>
                                <w:szCs w:val="15"/>
                                <w:lang w:val="en-US" w:eastAsia="zh-CN"/>
                                <w14:textFill>
                                  <w14:solidFill>
                                    <w14:schemeClr w14:val="tx1"/>
                                  </w14:solidFill>
                                </w14:textFill>
                              </w:rPr>
                            </w:pPr>
                            <w:r>
                              <w:rPr>
                                <w:rFonts w:hint="eastAsia"/>
                                <w:b/>
                                <w:bCs/>
                                <w:color w:val="000000" w:themeColor="text1"/>
                                <w:sz w:val="16"/>
                                <w:szCs w:val="15"/>
                                <w:lang w:val="en-US" w:eastAsia="zh-CN"/>
                                <w14:textFill>
                                  <w14:solidFill>
                                    <w14:schemeClr w14:val="tx1"/>
                                  </w14:solidFill>
                                </w14:textFill>
                              </w:rPr>
                              <w:t>工作范围</w:t>
                            </w:r>
                          </w:p>
                        </w:txbxContent>
                      </v:textbox>
                    </v:rect>
                  </w:pict>
                </mc:Fallback>
              </mc:AlternateContent>
            </w:r>
            <w:r>
              <w:rPr>
                <w:color w:val="auto"/>
                <w:sz w:val="24"/>
              </w:rPr>
              <mc:AlternateContent>
                <mc:Choice Requires="wps">
                  <w:drawing>
                    <wp:anchor distT="0" distB="0" distL="114300" distR="114300" simplePos="0" relativeHeight="251809792" behindDoc="0" locked="0" layoutInCell="1" allowOverlap="1">
                      <wp:simplePos x="0" y="0"/>
                      <wp:positionH relativeFrom="column">
                        <wp:posOffset>3890645</wp:posOffset>
                      </wp:positionH>
                      <wp:positionV relativeFrom="paragraph">
                        <wp:posOffset>-1663700</wp:posOffset>
                      </wp:positionV>
                      <wp:extent cx="0" cy="2277745"/>
                      <wp:effectExtent l="50800" t="0" r="63500" b="8255"/>
                      <wp:wrapNone/>
                      <wp:docPr id="176" name="直接连接符 176"/>
                      <wp:cNvGraphicFramePr/>
                      <a:graphic xmlns:a="http://schemas.openxmlformats.org/drawingml/2006/main">
                        <a:graphicData uri="http://schemas.microsoft.com/office/word/2010/wordprocessingShape">
                          <wps:wsp>
                            <wps:cNvCnPr/>
                            <wps:spPr>
                              <a:xfrm>
                                <a:off x="0" y="0"/>
                                <a:ext cx="0" cy="2277745"/>
                              </a:xfrm>
                              <a:prstGeom prst="line">
                                <a:avLst/>
                              </a:prstGeom>
                              <a:ln>
                                <a:solidFill>
                                  <a:schemeClr val="accent2"/>
                                </a:solidFill>
                                <a:headEnd type="arrow" w="med" len="med"/>
                                <a:tailEnd type="arrow"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06.35pt;margin-top:-131pt;height:179.35pt;width:0pt;z-index:251809792;mso-width-relative:page;mso-height-relative:page;" filled="f" stroked="t" coordsize="21600,21600" o:gfxdata="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MOzGItgAAAALAQAADwAAAAAAAAABACAAAAAi&#10;AAAAZHJzL2Rvd25yZXYueG1sUEsBAhQAFAAAAAgAh07iQA2HX4gKAgAADAQAAA4AAAAAAAAAAQAg&#10;AAAAJwEAAGRycy9lMm9Eb2MueG1sUEsFBgAAAAAGAAYAWQEAAKMFAAAAAA==&#10;">
                      <v:fill on="f" focussize="0,0"/>
                      <v:stroke weight="1pt" color="#ED7D31 [3205]" miterlimit="8" joinstyle="miter" startarrow="open" endarrow="open"/>
                      <v:imagedata o:title=""/>
                      <o:lock v:ext="edit" aspectratio="f"/>
                    </v:line>
                  </w:pict>
                </mc:Fallback>
              </mc:AlternateContent>
            </w:r>
            <w:r>
              <w:rPr>
                <w:color w:val="auto"/>
                <w:sz w:val="24"/>
              </w:rPr>
              <mc:AlternateContent>
                <mc:Choice Requires="wps">
                  <w:drawing>
                    <wp:anchor distT="0" distB="0" distL="114300" distR="114300" simplePos="0" relativeHeight="251791360" behindDoc="0" locked="0" layoutInCell="1" allowOverlap="1">
                      <wp:simplePos x="0" y="0"/>
                      <wp:positionH relativeFrom="column">
                        <wp:posOffset>1257935</wp:posOffset>
                      </wp:positionH>
                      <wp:positionV relativeFrom="paragraph">
                        <wp:posOffset>258445</wp:posOffset>
                      </wp:positionV>
                      <wp:extent cx="2965450" cy="0"/>
                      <wp:effectExtent l="0" t="50800" r="6350" b="63500"/>
                      <wp:wrapNone/>
                      <wp:docPr id="1" name="直接连接符 1"/>
                      <wp:cNvGraphicFramePr/>
                      <a:graphic xmlns:a="http://schemas.openxmlformats.org/drawingml/2006/main">
                        <a:graphicData uri="http://schemas.microsoft.com/office/word/2010/wordprocessingShape">
                          <wps:wsp>
                            <wps:cNvCnPr/>
                            <wps:spPr>
                              <a:xfrm flipH="1">
                                <a:off x="0" y="0"/>
                                <a:ext cx="2965450" cy="0"/>
                              </a:xfrm>
                              <a:prstGeom prst="line">
                                <a:avLst/>
                              </a:prstGeom>
                              <a:ln>
                                <a:solidFill>
                                  <a:schemeClr val="accent2"/>
                                </a:solidFill>
                                <a:headEnd type="arrow" w="med" len="med"/>
                                <a:tailEnd type="arrow"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99.05pt;margin-top:20.35pt;height:0pt;width:233.5pt;z-index:251791360;mso-width-relative:page;mso-height-relative:page;" filled="f" stroked="t" coordsize="21600,21600" o:gfxdata="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vFSHG1gAAAAkBAAAPAAAAAAAAAAEAIAAA&#10;ACIAAABkcnMvZG93bnJldi54bWxQSwECFAAUAAAACACHTuJAHMO+4Q4CAAASBAAADgAAAAAAAAAB&#10;ACAAAAAlAQAAZHJzL2Uyb0RvYy54bWxQSwUGAAAAAAYABgBZAQAApQUAAAAA&#10;">
                      <v:fill on="f" focussize="0,0"/>
                      <v:stroke weight="1pt" color="#ED7D31 [3205]" miterlimit="8" joinstyle="miter" startarrow="open" endarrow="open"/>
                      <v:imagedata o:title=""/>
                      <o:lock v:ext="edit" aspectratio="f"/>
                    </v:line>
                  </w:pict>
                </mc:Fallback>
              </mc:AlternateContent>
            </w:r>
          </w:p>
          <w:p w14:paraId="50C6369B">
            <w:pPr>
              <w:pStyle w:val="109"/>
              <w:ind w:left="0" w:leftChars="0" w:firstLine="0" w:firstLineChars="0"/>
              <w:jc w:val="both"/>
              <w:rPr>
                <w:color w:val="auto"/>
                <w:highlight w:val="none"/>
              </w:rPr>
            </w:pPr>
            <w:r>
              <w:rPr>
                <w:color w:val="auto"/>
                <w:sz w:val="24"/>
              </w:rPr>
              <mc:AlternateContent>
                <mc:Choice Requires="wps">
                  <w:drawing>
                    <wp:anchor distT="0" distB="0" distL="114300" distR="114300" simplePos="0" relativeHeight="251828224" behindDoc="0" locked="0" layoutInCell="1" allowOverlap="1">
                      <wp:simplePos x="0" y="0"/>
                      <wp:positionH relativeFrom="column">
                        <wp:posOffset>3674110</wp:posOffset>
                      </wp:positionH>
                      <wp:positionV relativeFrom="paragraph">
                        <wp:posOffset>61595</wp:posOffset>
                      </wp:positionV>
                      <wp:extent cx="537210" cy="3810"/>
                      <wp:effectExtent l="0" t="37465" r="15240" b="53975"/>
                      <wp:wrapNone/>
                      <wp:docPr id="239" name="直接箭头连接符 239"/>
                      <wp:cNvGraphicFramePr/>
                      <a:graphic xmlns:a="http://schemas.openxmlformats.org/drawingml/2006/main">
                        <a:graphicData uri="http://schemas.microsoft.com/office/word/2010/wordprocessingShape">
                          <wps:wsp>
                            <wps:cNvCnPr/>
                            <wps:spPr>
                              <a:xfrm flipH="1" flipV="1">
                                <a:off x="0" y="0"/>
                                <a:ext cx="537210" cy="3810"/>
                              </a:xfrm>
                              <a:prstGeom prst="straightConnector1">
                                <a:avLst/>
                              </a:prstGeom>
                              <a:ln>
                                <a:solidFill>
                                  <a:srgbClr val="FFFF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89.3pt;margin-top:4.85pt;height:0.3pt;width:42.3pt;z-index:251828224;mso-width-relative:page;mso-height-relative:page;" filled="f" stroked="t" coordsize="21600,21600" o:gfxdata="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iwrBq2wAAAAgBAAAPAAAAAAAAAAEAIAAAACIAAABkcnMvZG93bnJldi54bWxQSwECFAAU&#10;AAAACACHTuJA67dicCcCAAA8BAAADgAAAAAAAAABACAAAAAqAQAAZHJzL2Uyb0RvYy54bWxQSwUG&#10;AAAAAAYABgBZAQAAwwUAAAAA&#10;">
                      <v:fill on="f" focussize="0,0"/>
                      <v:stroke weight="1pt" color="#FFFF00 [3204]" miterlimit="8" joinstyle="miter" startarrow="block" endarrow="block"/>
                      <v:imagedata o:title=""/>
                      <o:lock v:ext="edit" aspectratio="f"/>
                    </v:shape>
                  </w:pict>
                </mc:Fallback>
              </mc:AlternateContent>
            </w:r>
            <w:r>
              <w:rPr>
                <w:color w:val="auto"/>
                <w:sz w:val="24"/>
              </w:rPr>
              <mc:AlternateContent>
                <mc:Choice Requires="wps">
                  <w:drawing>
                    <wp:anchor distT="0" distB="0" distL="114300" distR="114300" simplePos="0" relativeHeight="251793408" behindDoc="0" locked="0" layoutInCell="1" allowOverlap="1">
                      <wp:simplePos x="0" y="0"/>
                      <wp:positionH relativeFrom="column">
                        <wp:posOffset>2583815</wp:posOffset>
                      </wp:positionH>
                      <wp:positionV relativeFrom="paragraph">
                        <wp:posOffset>66040</wp:posOffset>
                      </wp:positionV>
                      <wp:extent cx="1070610" cy="8890"/>
                      <wp:effectExtent l="0" t="37465" r="15240" b="48895"/>
                      <wp:wrapNone/>
                      <wp:docPr id="11" name="直接箭头连接符 11"/>
                      <wp:cNvGraphicFramePr/>
                      <a:graphic xmlns:a="http://schemas.openxmlformats.org/drawingml/2006/main">
                        <a:graphicData uri="http://schemas.microsoft.com/office/word/2010/wordprocessingShape">
                          <wps:wsp>
                            <wps:cNvCnPr/>
                            <wps:spPr>
                              <a:xfrm flipH="1" flipV="1">
                                <a:off x="0" y="0"/>
                                <a:ext cx="1070610" cy="8890"/>
                              </a:xfrm>
                              <a:prstGeom prst="straightConnector1">
                                <a:avLst/>
                              </a:prstGeom>
                              <a:ln>
                                <a:solidFill>
                                  <a:srgbClr val="FFFF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03.45pt;margin-top:5.2pt;height:0.7pt;width:84.3pt;z-index:251793408;mso-width-relative:page;mso-height-relative:page;" filled="f" stroked="t" coordsize="21600,21600" o:gfxdata="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H29NW2gAAAAkBAAAPAAAAAAAAAAEAIAAAACIAAABkcnMvZG93bnJldi54bWxQSwECFAAUAAAA&#10;CACHTuJAIj+tQCUCAAA7BAAADgAAAAAAAAABACAAAAApAQAAZHJzL2Uyb0RvYy54bWxQSwUGAAAA&#10;AAYABgBZAQAAwAUAAAAA&#10;">
                      <v:fill on="f" focussize="0,0"/>
                      <v:stroke weight="1pt" color="#FFFF00 [3204]" miterlimit="8" joinstyle="miter" startarrow="block" endarrow="block"/>
                      <v:imagedata o:title=""/>
                      <o:lock v:ext="edit" aspectratio="f"/>
                    </v:shape>
                  </w:pict>
                </mc:Fallback>
              </mc:AlternateContent>
            </w:r>
          </w:p>
          <w:p w14:paraId="26D738F5">
            <w:pPr>
              <w:pStyle w:val="109"/>
              <w:spacing w:line="240" w:lineRule="auto"/>
              <w:ind w:left="0" w:leftChars="0" w:firstLine="0" w:firstLineChars="0"/>
              <w:jc w:val="center"/>
              <w:rPr>
                <w:rFonts w:hint="eastAsia"/>
                <w:b/>
                <w:color w:val="auto"/>
                <w:sz w:val="21"/>
                <w:szCs w:val="21"/>
                <w:highlight w:val="none"/>
              </w:rPr>
            </w:pPr>
            <w:r>
              <w:rPr>
                <w:color w:val="auto"/>
                <w:sz w:val="24"/>
              </w:rPr>
              <mc:AlternateContent>
                <mc:Choice Requires="wps">
                  <w:drawing>
                    <wp:anchor distT="0" distB="0" distL="114300" distR="114300" simplePos="0" relativeHeight="251808768" behindDoc="0" locked="0" layoutInCell="1" allowOverlap="1">
                      <wp:simplePos x="0" y="0"/>
                      <wp:positionH relativeFrom="column">
                        <wp:posOffset>3816350</wp:posOffset>
                      </wp:positionH>
                      <wp:positionV relativeFrom="paragraph">
                        <wp:posOffset>24765</wp:posOffset>
                      </wp:positionV>
                      <wp:extent cx="1066165" cy="2540"/>
                      <wp:effectExtent l="0" t="0" r="0" b="0"/>
                      <wp:wrapNone/>
                      <wp:docPr id="174" name="直接连接符 174"/>
                      <wp:cNvGraphicFramePr/>
                      <a:graphic xmlns:a="http://schemas.openxmlformats.org/drawingml/2006/main">
                        <a:graphicData uri="http://schemas.microsoft.com/office/word/2010/wordprocessingShape">
                          <wps:wsp>
                            <wps:cNvCnPr/>
                            <wps:spPr>
                              <a:xfrm>
                                <a:off x="0" y="0"/>
                                <a:ext cx="1066165" cy="2540"/>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00.5pt;margin-top:1.95pt;height:0.2pt;width:83.95pt;z-index:251808768;mso-width-relative:page;mso-height-relative:page;" filled="f" stroked="t" coordsize="21600,21600" o:gfxdata="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rr2mQ&#10;1wAAAAcBAAAPAAAAAAAAAAEAIAAAACIAAABkcnMvZG93bnJldi54bWxQSwECFAAUAAAACACHTuJA&#10;M3MNFekBAAC5AwAADgAAAAAAAAABACAAAAAmAQAAZHJzL2Uyb0RvYy54bWxQSwUGAAAAAAYABgBZ&#10;AQAAgQUAAAAA&#10;">
                      <v:fill on="f" focussize="0,0"/>
                      <v:stroke weight="1.5pt" color="#000000 [3213]" miterlimit="8" joinstyle="miter"/>
                      <v:imagedata o:title=""/>
                      <o:lock v:ext="edit" aspectratio="f"/>
                    </v:line>
                  </w:pict>
                </mc:Fallback>
              </mc:AlternateContent>
            </w:r>
          </w:p>
          <w:p w14:paraId="34025295">
            <w:pPr>
              <w:pStyle w:val="109"/>
              <w:spacing w:line="240" w:lineRule="auto"/>
              <w:ind w:left="0" w:leftChars="0" w:firstLine="0" w:firstLineChars="0"/>
              <w:jc w:val="center"/>
              <w:rPr>
                <w:rFonts w:hint="eastAsia"/>
                <w:b/>
                <w:color w:val="auto"/>
                <w:sz w:val="21"/>
                <w:szCs w:val="21"/>
                <w:highlight w:val="none"/>
                <w:lang w:val="en-US" w:eastAsia="zh-CN"/>
              </w:rPr>
            </w:pPr>
            <w:r>
              <w:rPr>
                <w:rFonts w:hint="eastAsia"/>
                <w:b/>
                <w:color w:val="auto"/>
                <w:sz w:val="21"/>
                <w:szCs w:val="21"/>
                <w:highlight w:val="none"/>
              </w:rPr>
              <w:t>定向机射线路径</w:t>
            </w:r>
            <w:r>
              <w:rPr>
                <w:rFonts w:hint="eastAsia"/>
                <w:b/>
                <w:color w:val="auto"/>
                <w:sz w:val="21"/>
                <w:szCs w:val="21"/>
                <w:highlight w:val="none"/>
                <w:lang w:val="en-US" w:eastAsia="zh-CN"/>
              </w:rPr>
              <w:t>示意图（东西向）</w:t>
            </w:r>
          </w:p>
          <w:p w14:paraId="639B7C26">
            <w:pPr>
              <w:pStyle w:val="109"/>
              <w:spacing w:line="240" w:lineRule="auto"/>
              <w:jc w:val="both"/>
              <w:rPr>
                <w:rFonts w:hint="eastAsia"/>
                <w:b/>
                <w:color w:val="auto"/>
                <w:sz w:val="18"/>
                <w:szCs w:val="18"/>
                <w:highlight w:val="none"/>
                <w:lang w:val="en-US" w:eastAsia="zh-CN"/>
              </w:rPr>
            </w:pPr>
            <w:r>
              <w:rPr>
                <w:rFonts w:hint="eastAsia"/>
                <w:b/>
                <w:color w:val="auto"/>
                <w:sz w:val="18"/>
                <w:szCs w:val="18"/>
                <w:highlight w:val="none"/>
                <w:lang w:val="en-US" w:eastAsia="zh-CN"/>
              </w:rPr>
              <w:t>注：靶点距地高度最大为1m，工件最大宽度50cm。</w:t>
            </w:r>
          </w:p>
          <w:p w14:paraId="6EEC2B45">
            <w:pPr>
              <w:pStyle w:val="109"/>
              <w:spacing w:line="240" w:lineRule="auto"/>
              <w:ind w:left="0" w:leftChars="0" w:firstLine="0" w:firstLineChars="0"/>
              <w:jc w:val="both"/>
              <w:rPr>
                <w:rFonts w:hint="eastAsia"/>
                <w:b/>
                <w:color w:val="auto"/>
                <w:sz w:val="18"/>
                <w:szCs w:val="18"/>
                <w:highlight w:val="none"/>
                <w:lang w:val="en-US" w:eastAsia="zh-CN"/>
              </w:rPr>
            </w:pPr>
          </w:p>
          <w:p w14:paraId="581A127F">
            <w:pPr>
              <w:pStyle w:val="109"/>
              <w:spacing w:line="240" w:lineRule="auto"/>
              <w:ind w:left="0" w:leftChars="0" w:firstLine="0" w:firstLineChars="0"/>
              <w:jc w:val="both"/>
              <w:rPr>
                <w:rFonts w:hint="eastAsia"/>
                <w:b/>
                <w:color w:val="auto"/>
                <w:sz w:val="18"/>
                <w:szCs w:val="18"/>
                <w:highlight w:val="none"/>
                <w:lang w:val="en-US" w:eastAsia="zh-CN"/>
              </w:rPr>
            </w:pPr>
          </w:p>
          <w:p w14:paraId="24CD23B1">
            <w:pPr>
              <w:pStyle w:val="109"/>
              <w:spacing w:line="240" w:lineRule="auto"/>
              <w:ind w:left="0" w:leftChars="0" w:firstLine="0" w:firstLineChars="0"/>
              <w:jc w:val="both"/>
              <w:rPr>
                <w:rFonts w:hint="eastAsia"/>
                <w:b/>
                <w:color w:val="auto"/>
                <w:sz w:val="18"/>
                <w:szCs w:val="18"/>
                <w:highlight w:val="none"/>
                <w:lang w:val="en-US" w:eastAsia="zh-CN"/>
              </w:rPr>
            </w:pPr>
          </w:p>
          <w:p w14:paraId="519DCB87">
            <w:pPr>
              <w:pStyle w:val="109"/>
              <w:spacing w:line="240" w:lineRule="auto"/>
              <w:ind w:left="0" w:leftChars="0" w:firstLine="0" w:firstLineChars="0"/>
              <w:jc w:val="both"/>
              <w:rPr>
                <w:rFonts w:hint="eastAsia"/>
                <w:b/>
                <w:color w:val="auto"/>
                <w:sz w:val="18"/>
                <w:szCs w:val="18"/>
                <w:highlight w:val="none"/>
                <w:lang w:val="en-US" w:eastAsia="zh-CN"/>
              </w:rPr>
            </w:pPr>
          </w:p>
          <w:p w14:paraId="1743B0E6">
            <w:pPr>
              <w:pStyle w:val="109"/>
              <w:spacing w:line="240" w:lineRule="auto"/>
              <w:ind w:left="0" w:leftChars="0" w:firstLine="0" w:firstLineChars="0"/>
              <w:jc w:val="both"/>
              <w:rPr>
                <w:rFonts w:hint="eastAsia"/>
                <w:b/>
                <w:color w:val="auto"/>
                <w:sz w:val="18"/>
                <w:szCs w:val="18"/>
                <w:highlight w:val="none"/>
                <w:lang w:val="en-US" w:eastAsia="zh-CN"/>
              </w:rPr>
            </w:pPr>
          </w:p>
          <w:p w14:paraId="33E6C25C">
            <w:pPr>
              <w:pStyle w:val="109"/>
              <w:spacing w:line="240" w:lineRule="auto"/>
              <w:ind w:left="0" w:leftChars="0" w:firstLine="0" w:firstLineChars="0"/>
              <w:jc w:val="both"/>
              <w:rPr>
                <w:rFonts w:hint="eastAsia"/>
                <w:b/>
                <w:color w:val="auto"/>
                <w:sz w:val="18"/>
                <w:szCs w:val="18"/>
                <w:highlight w:val="none"/>
                <w:lang w:val="en-US" w:eastAsia="zh-CN"/>
              </w:rPr>
            </w:pPr>
          </w:p>
          <w:p w14:paraId="0A288A33">
            <w:pPr>
              <w:pStyle w:val="109"/>
              <w:spacing w:line="240" w:lineRule="auto"/>
              <w:ind w:left="0" w:leftChars="0" w:firstLine="0" w:firstLineChars="0"/>
              <w:jc w:val="both"/>
              <w:rPr>
                <w:rFonts w:hint="eastAsia"/>
                <w:b/>
                <w:color w:val="auto"/>
                <w:sz w:val="18"/>
                <w:szCs w:val="18"/>
                <w:highlight w:val="none"/>
                <w:lang w:val="en-US" w:eastAsia="zh-CN"/>
              </w:rPr>
            </w:pPr>
          </w:p>
          <w:p w14:paraId="0499BE27">
            <w:pPr>
              <w:pStyle w:val="109"/>
              <w:spacing w:line="240" w:lineRule="auto"/>
              <w:ind w:left="0" w:leftChars="0" w:firstLine="0" w:firstLineChars="0"/>
              <w:jc w:val="both"/>
              <w:rPr>
                <w:rFonts w:hint="eastAsia"/>
                <w:b/>
                <w:color w:val="auto"/>
                <w:sz w:val="18"/>
                <w:szCs w:val="18"/>
                <w:highlight w:val="none"/>
                <w:lang w:val="en-US" w:eastAsia="zh-CN"/>
              </w:rPr>
            </w:pPr>
          </w:p>
          <w:p w14:paraId="0B3646C3">
            <w:pPr>
              <w:pStyle w:val="109"/>
              <w:spacing w:line="240" w:lineRule="auto"/>
              <w:ind w:left="0" w:leftChars="0" w:firstLine="0" w:firstLineChars="0"/>
              <w:jc w:val="both"/>
              <w:rPr>
                <w:rFonts w:hint="eastAsia"/>
                <w:b/>
                <w:color w:val="auto"/>
                <w:sz w:val="18"/>
                <w:szCs w:val="18"/>
                <w:highlight w:val="none"/>
                <w:lang w:val="en-US" w:eastAsia="zh-CN"/>
              </w:rPr>
            </w:pPr>
          </w:p>
          <w:p w14:paraId="2AEED27B">
            <w:pPr>
              <w:pStyle w:val="109"/>
              <w:spacing w:line="240" w:lineRule="auto"/>
              <w:ind w:left="0" w:leftChars="0" w:firstLine="0" w:firstLineChars="0"/>
              <w:jc w:val="both"/>
              <w:rPr>
                <w:rFonts w:hint="eastAsia"/>
                <w:b/>
                <w:color w:val="auto"/>
                <w:sz w:val="18"/>
                <w:szCs w:val="18"/>
                <w:highlight w:val="none"/>
                <w:lang w:val="en-US" w:eastAsia="zh-CN"/>
              </w:rPr>
            </w:pPr>
          </w:p>
          <w:p w14:paraId="003ECEAE">
            <w:pPr>
              <w:pStyle w:val="109"/>
              <w:spacing w:line="240" w:lineRule="auto"/>
              <w:ind w:left="0" w:leftChars="0" w:firstLine="0" w:firstLineChars="0"/>
              <w:jc w:val="both"/>
              <w:rPr>
                <w:rFonts w:hint="eastAsia"/>
                <w:b/>
                <w:color w:val="auto"/>
                <w:sz w:val="18"/>
                <w:szCs w:val="18"/>
                <w:highlight w:val="none"/>
                <w:lang w:val="en-US" w:eastAsia="zh-CN"/>
              </w:rPr>
            </w:pPr>
          </w:p>
          <w:p w14:paraId="04B559C0">
            <w:pPr>
              <w:pStyle w:val="109"/>
              <w:spacing w:line="240" w:lineRule="auto"/>
              <w:ind w:left="0" w:leftChars="0" w:firstLine="0" w:firstLineChars="0"/>
              <w:jc w:val="both"/>
              <w:rPr>
                <w:rFonts w:hint="eastAsia"/>
                <w:b/>
                <w:color w:val="auto"/>
                <w:sz w:val="18"/>
                <w:szCs w:val="18"/>
                <w:highlight w:val="none"/>
                <w:lang w:val="en-US" w:eastAsia="zh-CN"/>
              </w:rPr>
            </w:pPr>
          </w:p>
          <w:p w14:paraId="0E09A1B9">
            <w:pPr>
              <w:pStyle w:val="109"/>
              <w:spacing w:line="240" w:lineRule="auto"/>
              <w:ind w:left="0" w:leftChars="0" w:firstLine="0" w:firstLineChars="0"/>
              <w:jc w:val="both"/>
              <w:rPr>
                <w:rFonts w:hint="eastAsia"/>
                <w:b/>
                <w:color w:val="auto"/>
                <w:sz w:val="18"/>
                <w:szCs w:val="18"/>
                <w:highlight w:val="none"/>
                <w:lang w:val="en-US" w:eastAsia="zh-CN"/>
              </w:rPr>
            </w:pPr>
          </w:p>
          <w:p w14:paraId="0C839FB6">
            <w:pPr>
              <w:pStyle w:val="109"/>
              <w:spacing w:line="240" w:lineRule="auto"/>
              <w:ind w:left="0" w:leftChars="0" w:firstLine="0" w:firstLineChars="0"/>
              <w:jc w:val="both"/>
              <w:rPr>
                <w:rFonts w:hint="eastAsia"/>
                <w:b/>
                <w:color w:val="auto"/>
                <w:sz w:val="18"/>
                <w:szCs w:val="18"/>
                <w:highlight w:val="none"/>
                <w:lang w:val="en-US" w:eastAsia="zh-CN"/>
              </w:rPr>
            </w:pPr>
          </w:p>
          <w:p w14:paraId="269242A5">
            <w:pPr>
              <w:bidi w:val="0"/>
              <w:rPr>
                <w:rFonts w:hint="eastAsia"/>
                <w:color w:val="auto"/>
                <w:highlight w:val="none"/>
              </w:rPr>
            </w:pPr>
            <w:r>
              <w:rPr>
                <w:rFonts w:hint="eastAsia" w:eastAsia="宋体" w:cs="Times New Roman"/>
                <w:b/>
                <w:color w:val="auto"/>
                <w:kern w:val="2"/>
                <w:sz w:val="21"/>
                <w:szCs w:val="21"/>
                <w:highlight w:val="none"/>
              </w:rPr>
              <w:drawing>
                <wp:anchor distT="0" distB="0" distL="114300" distR="114300" simplePos="0" relativeHeight="251820032" behindDoc="0" locked="0" layoutInCell="1" allowOverlap="1">
                  <wp:simplePos x="0" y="0"/>
                  <wp:positionH relativeFrom="column">
                    <wp:posOffset>4772660</wp:posOffset>
                  </wp:positionH>
                  <wp:positionV relativeFrom="paragraph">
                    <wp:posOffset>87630</wp:posOffset>
                  </wp:positionV>
                  <wp:extent cx="616585" cy="600075"/>
                  <wp:effectExtent l="0" t="0" r="12065" b="9525"/>
                  <wp:wrapNone/>
                  <wp:docPr id="231" name="图片 231" descr="7cb1dc3bc0824f6b768fb174a86d5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7cb1dc3bc0824f6b768fb174a86d5b3"/>
                          <pic:cNvPicPr>
                            <a:picLocks noChangeAspect="1"/>
                          </pic:cNvPicPr>
                        </pic:nvPicPr>
                        <pic:blipFill>
                          <a:blip r:embed="rId27"/>
                          <a:stretch>
                            <a:fillRect/>
                          </a:stretch>
                        </pic:blipFill>
                        <pic:spPr>
                          <a:xfrm>
                            <a:off x="0" y="0"/>
                            <a:ext cx="616585" cy="600075"/>
                          </a:xfrm>
                          <a:prstGeom prst="rect">
                            <a:avLst/>
                          </a:prstGeom>
                        </pic:spPr>
                      </pic:pic>
                    </a:graphicData>
                  </a:graphic>
                </wp:anchor>
              </w:drawing>
            </w:r>
            <w:r>
              <w:rPr>
                <w:color w:val="auto"/>
                <w:sz w:val="24"/>
              </w:rPr>
              <mc:AlternateContent>
                <mc:Choice Requires="wps">
                  <w:drawing>
                    <wp:anchor distT="0" distB="0" distL="114300" distR="114300" simplePos="0" relativeHeight="251800576" behindDoc="0" locked="0" layoutInCell="1" allowOverlap="1">
                      <wp:simplePos x="0" y="0"/>
                      <wp:positionH relativeFrom="column">
                        <wp:posOffset>2426335</wp:posOffset>
                      </wp:positionH>
                      <wp:positionV relativeFrom="paragraph">
                        <wp:posOffset>1682750</wp:posOffset>
                      </wp:positionV>
                      <wp:extent cx="742950" cy="266700"/>
                      <wp:effectExtent l="0" t="0" r="0" b="0"/>
                      <wp:wrapNone/>
                      <wp:docPr id="165" name="矩形 165"/>
                      <wp:cNvGraphicFramePr/>
                      <a:graphic xmlns:a="http://schemas.openxmlformats.org/drawingml/2006/main">
                        <a:graphicData uri="http://schemas.microsoft.com/office/word/2010/wordprocessingShape">
                          <wps:wsp>
                            <wps:cNvSpPr/>
                            <wps:spPr>
                              <a:xfrm>
                                <a:off x="0" y="0"/>
                                <a:ext cx="7429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E80AE38">
                                  <w:pPr>
                                    <w:jc w:val="center"/>
                                    <w:rPr>
                                      <w:rFonts w:hint="default" w:eastAsia="宋体"/>
                                      <w:b/>
                                      <w:bCs/>
                                      <w:color w:val="FFFF00"/>
                                      <w:sz w:val="16"/>
                                      <w:szCs w:val="15"/>
                                      <w:lang w:val="en-US" w:eastAsia="zh-CN"/>
                                    </w:rPr>
                                  </w:pPr>
                                  <w:r>
                                    <w:rPr>
                                      <w:rFonts w:hint="eastAsia"/>
                                      <w:b/>
                                      <w:bCs/>
                                      <w:color w:val="FFFF00"/>
                                      <w:sz w:val="16"/>
                                      <w:szCs w:val="15"/>
                                      <w:lang w:val="en-US" w:eastAsia="zh-CN"/>
                                    </w:rPr>
                                    <w:t>210mm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1.05pt;margin-top:132.5pt;height:21pt;width:58.5pt;z-index:251800576;v-text-anchor:middle;mso-width-relative:page;mso-height-relative:page;" filled="f" stroked="f" coordsize="21600,21600" o:gfxdata="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mWKrc2AAAAAsBAAAPAAAAAAAAAAEAIAAAACIAAABkcnMvZG93bnJldi54bWxQSwECFAAUAAAA&#10;CACHTuJA0ffC5WACAACwBAAADgAAAAAAAAABACAAAAAnAQAAZHJzL2Uyb0RvYy54bWxQSwUGAAAA&#10;AAYABgBZAQAA+QUAAAAA&#10;">
                      <v:fill on="f" focussize="0,0"/>
                      <v:stroke on="f" weight="1pt" miterlimit="8" joinstyle="miter"/>
                      <v:imagedata o:title=""/>
                      <o:lock v:ext="edit" aspectratio="f"/>
                      <v:textbox>
                        <w:txbxContent>
                          <w:p w14:paraId="5E80AE38">
                            <w:pPr>
                              <w:jc w:val="center"/>
                              <w:rPr>
                                <w:rFonts w:hint="default" w:eastAsia="宋体"/>
                                <w:b/>
                                <w:bCs/>
                                <w:color w:val="FFFF00"/>
                                <w:sz w:val="16"/>
                                <w:szCs w:val="15"/>
                                <w:lang w:val="en-US" w:eastAsia="zh-CN"/>
                              </w:rPr>
                            </w:pPr>
                            <w:r>
                              <w:rPr>
                                <w:rFonts w:hint="eastAsia"/>
                                <w:b/>
                                <w:bCs/>
                                <w:color w:val="FFFF00"/>
                                <w:sz w:val="16"/>
                                <w:szCs w:val="15"/>
                                <w:lang w:val="en-US" w:eastAsia="zh-CN"/>
                              </w:rPr>
                              <w:t>210mm</w:t>
                            </w:r>
                          </w:p>
                        </w:txbxContent>
                      </v:textbox>
                    </v:rect>
                  </w:pict>
                </mc:Fallback>
              </mc:AlternateContent>
            </w:r>
            <w:r>
              <w:rPr>
                <w:color w:val="auto"/>
              </w:rPr>
              <w:drawing>
                <wp:inline distT="0" distB="0" distL="114300" distR="114300">
                  <wp:extent cx="5402580" cy="4810125"/>
                  <wp:effectExtent l="0" t="0" r="7620" b="9525"/>
                  <wp:docPr id="19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2"/>
                          <pic:cNvPicPr>
                            <a:picLocks noChangeAspect="1"/>
                          </pic:cNvPicPr>
                        </pic:nvPicPr>
                        <pic:blipFill>
                          <a:blip r:embed="rId69">
                            <a:lum bright="36000"/>
                          </a:blip>
                          <a:stretch>
                            <a:fillRect/>
                          </a:stretch>
                        </pic:blipFill>
                        <pic:spPr>
                          <a:xfrm>
                            <a:off x="0" y="0"/>
                            <a:ext cx="5402580" cy="4810125"/>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251742208" behindDoc="0" locked="0" layoutInCell="1" allowOverlap="1">
                      <wp:simplePos x="0" y="0"/>
                      <wp:positionH relativeFrom="column">
                        <wp:posOffset>2032635</wp:posOffset>
                      </wp:positionH>
                      <wp:positionV relativeFrom="paragraph">
                        <wp:posOffset>2049780</wp:posOffset>
                      </wp:positionV>
                      <wp:extent cx="486410" cy="400050"/>
                      <wp:effectExtent l="0" t="0" r="0" b="0"/>
                      <wp:wrapNone/>
                      <wp:docPr id="225" name="矩形 225"/>
                      <wp:cNvGraphicFramePr/>
                      <a:graphic xmlns:a="http://schemas.openxmlformats.org/drawingml/2006/main">
                        <a:graphicData uri="http://schemas.microsoft.com/office/word/2010/wordprocessingShape">
                          <wps:wsp>
                            <wps:cNvSpPr/>
                            <wps:spPr>
                              <a:xfrm>
                                <a:off x="0" y="0"/>
                                <a:ext cx="486410" cy="4000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ED87514">
                                  <w:pPr>
                                    <w:jc w:val="center"/>
                                    <w:rPr>
                                      <w:rFonts w:hint="default" w:eastAsia="宋体"/>
                                      <w:color w:val="FF0000"/>
                                      <w:sz w:val="16"/>
                                      <w:szCs w:val="15"/>
                                      <w:lang w:val="en-US" w:eastAsia="zh-CN"/>
                                    </w:rPr>
                                  </w:pPr>
                                  <w:r>
                                    <w:rPr>
                                      <w:rFonts w:hint="eastAsia"/>
                                      <w:b/>
                                      <w:bCs/>
                                      <w:color w:val="FF0000"/>
                                      <w:sz w:val="22"/>
                                      <w:szCs w:val="21"/>
                                      <w:lang w:val="en-US" w:eastAsia="zh-CN"/>
                                    </w:rPr>
                                    <w:t>O</w:t>
                                  </w:r>
                                  <w:r>
                                    <w:rPr>
                                      <w:rFonts w:hint="eastAsia"/>
                                      <w:color w:val="FF0000"/>
                                      <w:sz w:val="16"/>
                                      <w:szCs w:val="15"/>
                                      <w:lang w:val="en-US" w:eastAsia="zh-CN"/>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0.05pt;margin-top:161.4pt;height:31.5pt;width:38.3pt;z-index:251742208;v-text-anchor:middle;mso-width-relative:page;mso-height-relative:page;" filled="f" stroked="f" coordsize="21600,21600" o:gfxdata="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FwnBlDYAAAACwEAAA8AAAAAAAAAAQAgAAAAIgAAAGRycy9kb3ducmV2LnhtbFBLAQIUABQAAAAI&#10;AIdO4kAnNzqAXwIAALAEAAAOAAAAAAAAAAEAIAAAACcBAABkcnMvZTJvRG9jLnhtbFBLBQYAAAAA&#10;BgAGAFkBAAD4BQAAAAA=&#10;">
                      <v:fill on="f" focussize="0,0"/>
                      <v:stroke on="f" weight="1pt" miterlimit="8" joinstyle="miter"/>
                      <v:imagedata o:title=""/>
                      <o:lock v:ext="edit" aspectratio="f"/>
                      <v:textbox>
                        <w:txbxContent>
                          <w:p w14:paraId="0ED87514">
                            <w:pPr>
                              <w:jc w:val="center"/>
                              <w:rPr>
                                <w:rFonts w:hint="default" w:eastAsia="宋体"/>
                                <w:color w:val="FF0000"/>
                                <w:sz w:val="16"/>
                                <w:szCs w:val="15"/>
                                <w:lang w:val="en-US" w:eastAsia="zh-CN"/>
                              </w:rPr>
                            </w:pPr>
                            <w:r>
                              <w:rPr>
                                <w:rFonts w:hint="eastAsia"/>
                                <w:b/>
                                <w:bCs/>
                                <w:color w:val="FF0000"/>
                                <w:sz w:val="22"/>
                                <w:szCs w:val="21"/>
                                <w:lang w:val="en-US" w:eastAsia="zh-CN"/>
                              </w:rPr>
                              <w:t>O</w:t>
                            </w:r>
                            <w:r>
                              <w:rPr>
                                <w:rFonts w:hint="eastAsia"/>
                                <w:color w:val="FF0000"/>
                                <w:sz w:val="16"/>
                                <w:szCs w:val="15"/>
                                <w:lang w:val="en-US" w:eastAsia="zh-CN"/>
                              </w:rPr>
                              <w:t>2</w:t>
                            </w:r>
                          </w:p>
                        </w:txbxContent>
                      </v:textbox>
                    </v:rect>
                  </w:pict>
                </mc:Fallback>
              </mc:AlternateContent>
            </w:r>
            <w:r>
              <w:rPr>
                <w:color w:val="auto"/>
                <w:sz w:val="24"/>
              </w:rPr>
              <mc:AlternateContent>
                <mc:Choice Requires="wps">
                  <w:drawing>
                    <wp:anchor distT="0" distB="0" distL="114300" distR="114300" simplePos="0" relativeHeight="251741184" behindDoc="0" locked="0" layoutInCell="1" allowOverlap="1">
                      <wp:simplePos x="0" y="0"/>
                      <wp:positionH relativeFrom="column">
                        <wp:posOffset>1278890</wp:posOffset>
                      </wp:positionH>
                      <wp:positionV relativeFrom="paragraph">
                        <wp:posOffset>2032000</wp:posOffset>
                      </wp:positionV>
                      <wp:extent cx="486410" cy="400050"/>
                      <wp:effectExtent l="0" t="0" r="0" b="0"/>
                      <wp:wrapNone/>
                      <wp:docPr id="226" name="矩形 226"/>
                      <wp:cNvGraphicFramePr/>
                      <a:graphic xmlns:a="http://schemas.openxmlformats.org/drawingml/2006/main">
                        <a:graphicData uri="http://schemas.microsoft.com/office/word/2010/wordprocessingShape">
                          <wps:wsp>
                            <wps:cNvSpPr/>
                            <wps:spPr>
                              <a:xfrm>
                                <a:off x="0" y="0"/>
                                <a:ext cx="486410" cy="4000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5C7F44A">
                                  <w:pPr>
                                    <w:jc w:val="center"/>
                                    <w:rPr>
                                      <w:rFonts w:hint="default" w:eastAsia="宋体"/>
                                      <w:color w:val="FF0000"/>
                                      <w:sz w:val="18"/>
                                      <w:szCs w:val="16"/>
                                      <w:lang w:val="en-US" w:eastAsia="zh-CN"/>
                                    </w:rPr>
                                  </w:pPr>
                                  <w:r>
                                    <w:rPr>
                                      <w:rFonts w:hint="eastAsia"/>
                                      <w:b/>
                                      <w:bCs/>
                                      <w:color w:val="FF0000"/>
                                      <w:sz w:val="24"/>
                                      <w:szCs w:val="22"/>
                                      <w:lang w:val="en-US" w:eastAsia="zh-CN"/>
                                    </w:rPr>
                                    <w:t>O</w:t>
                                  </w:r>
                                  <w:r>
                                    <w:rPr>
                                      <w:rFonts w:hint="eastAsia"/>
                                      <w:color w:val="FF0000"/>
                                      <w:sz w:val="18"/>
                                      <w:szCs w:val="16"/>
                                      <w:lang w:val="en-US" w:eastAsia="zh-CN"/>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0.7pt;margin-top:160pt;height:31.5pt;width:38.3pt;z-index:251741184;v-text-anchor:middle;mso-width-relative:page;mso-height-relative:page;" filled="f" stroked="f" coordsize="21600,21600" o:gfxdata="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L6P5g9cAAAALAQAADwAAAAAAAAABACAAAAAiAAAAZHJzL2Rvd25yZXYueG1sUEsBAhQAFAAAAAgA&#10;h07iQAciJLBfAgAAsAQAAA4AAAAAAAAAAQAgAAAAJgEAAGRycy9lMm9Eb2MueG1sUEsFBgAAAAAG&#10;AAYAWQEAAPcFAAAAAA==&#10;">
                      <v:fill on="f" focussize="0,0"/>
                      <v:stroke on="f" weight="1pt" miterlimit="8" joinstyle="miter"/>
                      <v:imagedata o:title=""/>
                      <o:lock v:ext="edit" aspectratio="f"/>
                      <v:textbox>
                        <w:txbxContent>
                          <w:p w14:paraId="65C7F44A">
                            <w:pPr>
                              <w:jc w:val="center"/>
                              <w:rPr>
                                <w:rFonts w:hint="default" w:eastAsia="宋体"/>
                                <w:color w:val="FF0000"/>
                                <w:sz w:val="18"/>
                                <w:szCs w:val="16"/>
                                <w:lang w:val="en-US" w:eastAsia="zh-CN"/>
                              </w:rPr>
                            </w:pPr>
                            <w:r>
                              <w:rPr>
                                <w:rFonts w:hint="eastAsia"/>
                                <w:b/>
                                <w:bCs/>
                                <w:color w:val="FF0000"/>
                                <w:sz w:val="24"/>
                                <w:szCs w:val="22"/>
                                <w:lang w:val="en-US" w:eastAsia="zh-CN"/>
                              </w:rPr>
                              <w:t>O</w:t>
                            </w:r>
                            <w:r>
                              <w:rPr>
                                <w:rFonts w:hint="eastAsia"/>
                                <w:color w:val="FF0000"/>
                                <w:sz w:val="18"/>
                                <w:szCs w:val="16"/>
                                <w:lang w:val="en-US" w:eastAsia="zh-CN"/>
                              </w:rPr>
                              <w:t>1</w:t>
                            </w:r>
                          </w:p>
                        </w:txbxContent>
                      </v:textbox>
                    </v:rect>
                  </w:pict>
                </mc:Fallback>
              </mc:AlternateContent>
            </w:r>
            <w:r>
              <w:rPr>
                <w:color w:val="auto"/>
                <w:sz w:val="24"/>
              </w:rPr>
              <mc:AlternateContent>
                <mc:Choice Requires="wps">
                  <w:drawing>
                    <wp:anchor distT="0" distB="0" distL="114300" distR="114300" simplePos="0" relativeHeight="251731968" behindDoc="0" locked="0" layoutInCell="1" allowOverlap="1">
                      <wp:simplePos x="0" y="0"/>
                      <wp:positionH relativeFrom="column">
                        <wp:posOffset>2043430</wp:posOffset>
                      </wp:positionH>
                      <wp:positionV relativeFrom="paragraph">
                        <wp:posOffset>256540</wp:posOffset>
                      </wp:positionV>
                      <wp:extent cx="3810" cy="2005965"/>
                      <wp:effectExtent l="38100" t="0" r="53340" b="13335"/>
                      <wp:wrapNone/>
                      <wp:docPr id="201" name="直接连接符 201"/>
                      <wp:cNvGraphicFramePr/>
                      <a:graphic xmlns:a="http://schemas.openxmlformats.org/drawingml/2006/main">
                        <a:graphicData uri="http://schemas.microsoft.com/office/word/2010/wordprocessingShape">
                          <wps:wsp>
                            <wps:cNvCnPr/>
                            <wps:spPr>
                              <a:xfrm flipH="1" flipV="1">
                                <a:off x="2477135" y="1531620"/>
                                <a:ext cx="3810" cy="2005965"/>
                              </a:xfrm>
                              <a:prstGeom prst="line">
                                <a:avLst/>
                              </a:prstGeom>
                              <a:ln>
                                <a:solidFill>
                                  <a:schemeClr val="accent4"/>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160.9pt;margin-top:20.2pt;height:157.95pt;width:0.3pt;z-index:251731968;mso-width-relative:page;mso-height-relative:page;" filled="f" stroked="t" coordsize="21600,21600" o:gfxdata="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R0z1/YAAAACgEAAA8AAAAAAAAAAQAgAAAAIgAAAGRycy9kb3ducmV2LnhtbFBLAQIUABQAAAAI&#10;AIdO4kAgiMQaJgIAADUEAAAOAAAAAAAAAAEAIAAAACcBAABkcnMvZTJvRG9jLnhtbFBLBQYAAAAA&#10;BgAGAFkBAAC/BQAAAAA=&#10;">
                      <v:fill on="f" focussize="0,0"/>
                      <v:stroke weight="1pt" color="#FFC000 [3207]" miterlimit="8" joinstyle="miter" startarrow="block" endarrow="block"/>
                      <v:imagedata o:title=""/>
                      <o:lock v:ext="edit" aspectratio="f"/>
                    </v:line>
                  </w:pict>
                </mc:Fallback>
              </mc:AlternateContent>
            </w:r>
            <w:r>
              <w:rPr>
                <w:color w:val="auto"/>
                <w:sz w:val="24"/>
              </w:rPr>
              <mc:AlternateContent>
                <mc:Choice Requires="wps">
                  <w:drawing>
                    <wp:anchor distT="0" distB="0" distL="114300" distR="114300" simplePos="0" relativeHeight="251827200" behindDoc="0" locked="0" layoutInCell="1" allowOverlap="1">
                      <wp:simplePos x="0" y="0"/>
                      <wp:positionH relativeFrom="column">
                        <wp:posOffset>1909445</wp:posOffset>
                      </wp:positionH>
                      <wp:positionV relativeFrom="paragraph">
                        <wp:posOffset>2190115</wp:posOffset>
                      </wp:positionV>
                      <wp:extent cx="486410" cy="400050"/>
                      <wp:effectExtent l="0" t="0" r="0" b="0"/>
                      <wp:wrapNone/>
                      <wp:docPr id="238" name="矩形 238"/>
                      <wp:cNvGraphicFramePr/>
                      <a:graphic xmlns:a="http://schemas.openxmlformats.org/drawingml/2006/main">
                        <a:graphicData uri="http://schemas.microsoft.com/office/word/2010/wordprocessingShape">
                          <wps:wsp>
                            <wps:cNvSpPr/>
                            <wps:spPr>
                              <a:xfrm>
                                <a:off x="0" y="0"/>
                                <a:ext cx="486410" cy="4000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E1368C3">
                                  <w:pPr>
                                    <w:jc w:val="center"/>
                                    <w:rPr>
                                      <w:rFonts w:hint="default" w:eastAsia="宋体"/>
                                      <w:color w:val="00B0F0"/>
                                      <w:sz w:val="18"/>
                                      <w:szCs w:val="16"/>
                                      <w:lang w:val="en-US" w:eastAsia="zh-CN"/>
                                    </w:rPr>
                                  </w:pPr>
                                  <w:r>
                                    <w:rPr>
                                      <w:rFonts w:hint="eastAsia"/>
                                      <w:b/>
                                      <w:bCs/>
                                      <w:color w:val="00B0F0"/>
                                      <w:sz w:val="24"/>
                                      <w:szCs w:val="22"/>
                                      <w:lang w:val="en-US" w:eastAsia="zh-CN"/>
                                    </w:rPr>
                                    <w:t>O</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0.35pt;margin-top:172.45pt;height:31.5pt;width:38.3pt;z-index:251827200;v-text-anchor:middle;mso-width-relative:page;mso-height-relative:page;" filled="f" stroked="f" coordsize="21600,21600" o:gfxdata="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qMSUe2QAAAAsBAAAPAAAAAAAAAAEAIAAAACIAAABkcnMvZG93bnJldi54bWxQSwECFAAUAAAA&#10;CACHTuJAM4dS8F8CAACwBAAADgAAAAAAAAABACAAAAAoAQAAZHJzL2Uyb0RvYy54bWxQSwUGAAAA&#10;AAYABgBZAQAA+QUAAAAA&#10;">
                      <v:fill on="f" focussize="0,0"/>
                      <v:stroke on="f" weight="1pt" miterlimit="8" joinstyle="miter"/>
                      <v:imagedata o:title=""/>
                      <o:lock v:ext="edit" aspectratio="f"/>
                      <v:textbox>
                        <w:txbxContent>
                          <w:p w14:paraId="0E1368C3">
                            <w:pPr>
                              <w:jc w:val="center"/>
                              <w:rPr>
                                <w:rFonts w:hint="default" w:eastAsia="宋体"/>
                                <w:color w:val="00B0F0"/>
                                <w:sz w:val="18"/>
                                <w:szCs w:val="16"/>
                                <w:lang w:val="en-US" w:eastAsia="zh-CN"/>
                              </w:rPr>
                            </w:pPr>
                            <w:r>
                              <w:rPr>
                                <w:rFonts w:hint="eastAsia"/>
                                <w:b/>
                                <w:bCs/>
                                <w:color w:val="00B0F0"/>
                                <w:sz w:val="24"/>
                                <w:szCs w:val="22"/>
                                <w:lang w:val="en-US" w:eastAsia="zh-CN"/>
                              </w:rPr>
                              <w:t>O</w:t>
                            </w:r>
                          </w:p>
                        </w:txbxContent>
                      </v:textbox>
                    </v:rect>
                  </w:pict>
                </mc:Fallback>
              </mc:AlternateContent>
            </w:r>
            <w:r>
              <w:rPr>
                <w:color w:val="auto"/>
                <w:sz w:val="24"/>
              </w:rPr>
              <mc:AlternateContent>
                <mc:Choice Requires="wps">
                  <w:drawing>
                    <wp:anchor distT="0" distB="0" distL="114300" distR="114300" simplePos="0" relativeHeight="251741184" behindDoc="0" locked="0" layoutInCell="1" allowOverlap="1">
                      <wp:simplePos x="0" y="0"/>
                      <wp:positionH relativeFrom="column">
                        <wp:posOffset>1904365</wp:posOffset>
                      </wp:positionH>
                      <wp:positionV relativeFrom="paragraph">
                        <wp:posOffset>2981325</wp:posOffset>
                      </wp:positionV>
                      <wp:extent cx="486410" cy="400050"/>
                      <wp:effectExtent l="0" t="0" r="0" b="0"/>
                      <wp:wrapNone/>
                      <wp:docPr id="228" name="矩形 228"/>
                      <wp:cNvGraphicFramePr/>
                      <a:graphic xmlns:a="http://schemas.openxmlformats.org/drawingml/2006/main">
                        <a:graphicData uri="http://schemas.microsoft.com/office/word/2010/wordprocessingShape">
                          <wps:wsp>
                            <wps:cNvSpPr/>
                            <wps:spPr>
                              <a:xfrm>
                                <a:off x="0" y="0"/>
                                <a:ext cx="486410" cy="4000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240C1D0">
                                  <w:pPr>
                                    <w:jc w:val="center"/>
                                    <w:rPr>
                                      <w:rFonts w:hint="default" w:eastAsia="宋体"/>
                                      <w:color w:val="FF0000"/>
                                      <w:sz w:val="18"/>
                                      <w:szCs w:val="16"/>
                                      <w:lang w:val="en-US" w:eastAsia="zh-CN"/>
                                    </w:rPr>
                                  </w:pPr>
                                  <w:r>
                                    <w:rPr>
                                      <w:rFonts w:hint="eastAsia"/>
                                      <w:b/>
                                      <w:bCs/>
                                      <w:color w:val="FF0000"/>
                                      <w:sz w:val="24"/>
                                      <w:szCs w:val="22"/>
                                      <w:lang w:val="en-US" w:eastAsia="zh-CN"/>
                                    </w:rPr>
                                    <w:t>O</w:t>
                                  </w:r>
                                  <w:r>
                                    <w:rPr>
                                      <w:rFonts w:hint="eastAsia"/>
                                      <w:color w:val="FF0000"/>
                                      <w:sz w:val="18"/>
                                      <w:szCs w:val="16"/>
                                      <w:lang w:val="en-US" w:eastAsia="zh-CN"/>
                                    </w:rPr>
                                    <w:t>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9.95pt;margin-top:234.75pt;height:31.5pt;width:38.3pt;z-index:251741184;v-text-anchor:middle;mso-width-relative:page;mso-height-relative:page;" filled="f" stroked="f" coordsize="21600,21600" o:gfxdata="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cFVG6NoAAAALAQAADwAAAAAAAAABACAAAAAiAAAAZHJzL2Rvd25yZXYueG1sUEsBAhQAFAAA&#10;AAgAh07iQEdvSFBfAgAAsAQAAA4AAAAAAAAAAQAgAAAAKQEAAGRycy9lMm9Eb2MueG1sUEsFBgAA&#10;AAAGAAYAWQEAAPoFAAAAAA==&#10;">
                      <v:fill on="f" focussize="0,0"/>
                      <v:stroke on="f" weight="1pt" miterlimit="8" joinstyle="miter"/>
                      <v:imagedata o:title=""/>
                      <o:lock v:ext="edit" aspectratio="f"/>
                      <v:textbox>
                        <w:txbxContent>
                          <w:p w14:paraId="2240C1D0">
                            <w:pPr>
                              <w:jc w:val="center"/>
                              <w:rPr>
                                <w:rFonts w:hint="default" w:eastAsia="宋体"/>
                                <w:color w:val="FF0000"/>
                                <w:sz w:val="18"/>
                                <w:szCs w:val="16"/>
                                <w:lang w:val="en-US" w:eastAsia="zh-CN"/>
                              </w:rPr>
                            </w:pPr>
                            <w:r>
                              <w:rPr>
                                <w:rFonts w:hint="eastAsia"/>
                                <w:b/>
                                <w:bCs/>
                                <w:color w:val="FF0000"/>
                                <w:sz w:val="24"/>
                                <w:szCs w:val="22"/>
                                <w:lang w:val="en-US" w:eastAsia="zh-CN"/>
                              </w:rPr>
                              <w:t>O</w:t>
                            </w:r>
                            <w:r>
                              <w:rPr>
                                <w:rFonts w:hint="eastAsia"/>
                                <w:color w:val="FF0000"/>
                                <w:sz w:val="18"/>
                                <w:szCs w:val="16"/>
                                <w:lang w:val="en-US" w:eastAsia="zh-CN"/>
                              </w:rPr>
                              <w:t>4</w:t>
                            </w:r>
                          </w:p>
                        </w:txbxContent>
                      </v:textbox>
                    </v:rect>
                  </w:pict>
                </mc:Fallback>
              </mc:AlternateContent>
            </w:r>
            <w:r>
              <w:rPr>
                <w:color w:val="auto"/>
                <w:sz w:val="24"/>
              </w:rPr>
              <mc:AlternateContent>
                <mc:Choice Requires="wps">
                  <w:drawing>
                    <wp:anchor distT="0" distB="0" distL="114300" distR="114300" simplePos="0" relativeHeight="251783168" behindDoc="0" locked="0" layoutInCell="1" allowOverlap="1">
                      <wp:simplePos x="0" y="0"/>
                      <wp:positionH relativeFrom="column">
                        <wp:posOffset>2087245</wp:posOffset>
                      </wp:positionH>
                      <wp:positionV relativeFrom="paragraph">
                        <wp:posOffset>2327910</wp:posOffset>
                      </wp:positionV>
                      <wp:extent cx="887095" cy="5080"/>
                      <wp:effectExtent l="0" t="37465" r="8255" b="52705"/>
                      <wp:wrapNone/>
                      <wp:docPr id="156" name="直接连接符 156"/>
                      <wp:cNvGraphicFramePr/>
                      <a:graphic xmlns:a="http://schemas.openxmlformats.org/drawingml/2006/main">
                        <a:graphicData uri="http://schemas.microsoft.com/office/word/2010/wordprocessingShape">
                          <wps:wsp>
                            <wps:cNvCnPr/>
                            <wps:spPr>
                              <a:xfrm flipH="1">
                                <a:off x="0" y="0"/>
                                <a:ext cx="887095" cy="5080"/>
                              </a:xfrm>
                              <a:prstGeom prst="line">
                                <a:avLst/>
                              </a:prstGeom>
                              <a:ln>
                                <a:solidFill>
                                  <a:srgbClr val="FFC0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64.35pt;margin-top:183.3pt;height:0.4pt;width:69.85pt;z-index:251783168;mso-width-relative:page;mso-height-relative:page;" filled="f" stroked="t" coordsize="21600,21600" o:gfxdata="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SXVM22QAAAAsBAAAPAAAA&#10;AAAAAAEAIAAAACIAAABkcnMvZG93bnJldi54bWxQSwECFAAUAAAACACHTuJA4JRWEhQCAAAeBAAA&#10;DgAAAAAAAAABACAAAAAoAQAAZHJzL2Uyb0RvYy54bWxQSwUGAAAAAAYABgBZAQAArgUAAAAA&#10;">
                      <v:fill on="f" focussize="0,0"/>
                      <v:stroke weight="1pt" color="#FFC000 [3204]" miterlimit="8" joinstyle="miter" startarrow="block" endarrow="block"/>
                      <v:imagedata o:title=""/>
                      <o:lock v:ext="edit" aspectratio="f"/>
                    </v:line>
                  </w:pict>
                </mc:Fallback>
              </mc:AlternateContent>
            </w:r>
            <w:r>
              <w:rPr>
                <w:color w:val="auto"/>
                <w:sz w:val="24"/>
              </w:rPr>
              <mc:AlternateContent>
                <mc:Choice Requires="wps">
                  <w:drawing>
                    <wp:anchor distT="0" distB="0" distL="114300" distR="114300" simplePos="0" relativeHeight="251784192" behindDoc="0" locked="0" layoutInCell="1" allowOverlap="1">
                      <wp:simplePos x="0" y="0"/>
                      <wp:positionH relativeFrom="column">
                        <wp:posOffset>2112010</wp:posOffset>
                      </wp:positionH>
                      <wp:positionV relativeFrom="paragraph">
                        <wp:posOffset>2259965</wp:posOffset>
                      </wp:positionV>
                      <wp:extent cx="704850" cy="277495"/>
                      <wp:effectExtent l="0" t="0" r="0" b="0"/>
                      <wp:wrapNone/>
                      <wp:docPr id="157" name="矩形 157"/>
                      <wp:cNvGraphicFramePr/>
                      <a:graphic xmlns:a="http://schemas.openxmlformats.org/drawingml/2006/main">
                        <a:graphicData uri="http://schemas.microsoft.com/office/word/2010/wordprocessingShape">
                          <wps:wsp>
                            <wps:cNvSpPr/>
                            <wps:spPr>
                              <a:xfrm>
                                <a:off x="0" y="0"/>
                                <a:ext cx="704850" cy="2774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830B641">
                                  <w:pPr>
                                    <w:jc w:val="center"/>
                                    <w:rPr>
                                      <w:rFonts w:hint="default" w:eastAsia="宋体"/>
                                      <w:b/>
                                      <w:bCs/>
                                      <w:sz w:val="13"/>
                                      <w:szCs w:val="11"/>
                                      <w:lang w:val="en-US" w:eastAsia="zh-CN"/>
                                    </w:rPr>
                                  </w:pPr>
                                  <w:r>
                                    <w:rPr>
                                      <w:rFonts w:hint="eastAsia"/>
                                      <w:b/>
                                      <w:bCs/>
                                      <w:sz w:val="13"/>
                                      <w:szCs w:val="11"/>
                                      <w:lang w:val="en-US" w:eastAsia="zh-CN"/>
                                    </w:rPr>
                                    <w:t>1310mm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6.3pt;margin-top:177.95pt;height:21.85pt;width:55.5pt;z-index:251784192;v-text-anchor:middle;mso-width-relative:page;mso-height-relative:page;" filled="f" stroked="f" coordsize="21600,21600" o:gfxdata="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ysJBj9kAAAALAQAADwAAAAAAAAABACAAAAAiAAAAZHJzL2Rvd25yZXYueG1sUEsBAhQAFAAA&#10;AAgAh07iQFhTRqhgAgAAsAQAAA4AAAAAAAAAAQAgAAAAKAEAAGRycy9lMm9Eb2MueG1sUEsFBgAA&#10;AAAGAAYAWQEAAPoFAAAAAA==&#10;">
                      <v:fill on="f" focussize="0,0"/>
                      <v:stroke on="f" weight="1pt" miterlimit="8" joinstyle="miter"/>
                      <v:imagedata o:title=""/>
                      <o:lock v:ext="edit" aspectratio="f"/>
                      <v:textbox>
                        <w:txbxContent>
                          <w:p w14:paraId="7830B641">
                            <w:pPr>
                              <w:jc w:val="center"/>
                              <w:rPr>
                                <w:rFonts w:hint="default" w:eastAsia="宋体"/>
                                <w:b/>
                                <w:bCs/>
                                <w:sz w:val="13"/>
                                <w:szCs w:val="11"/>
                                <w:lang w:val="en-US" w:eastAsia="zh-CN"/>
                              </w:rPr>
                            </w:pPr>
                            <w:r>
                              <w:rPr>
                                <w:rFonts w:hint="eastAsia"/>
                                <w:b/>
                                <w:bCs/>
                                <w:sz w:val="13"/>
                                <w:szCs w:val="11"/>
                                <w:lang w:val="en-US" w:eastAsia="zh-CN"/>
                              </w:rPr>
                              <w:t>1310mm</w:t>
                            </w:r>
                          </w:p>
                        </w:txbxContent>
                      </v:textbox>
                    </v:rect>
                  </w:pict>
                </mc:Fallback>
              </mc:AlternateContent>
            </w:r>
            <w:r>
              <w:rPr>
                <w:color w:val="auto"/>
                <w:sz w:val="24"/>
              </w:rPr>
              <mc:AlternateContent>
                <mc:Choice Requires="wps">
                  <w:drawing>
                    <wp:anchor distT="0" distB="0" distL="114300" distR="114300" simplePos="0" relativeHeight="251826176" behindDoc="0" locked="0" layoutInCell="1" allowOverlap="1">
                      <wp:simplePos x="0" y="0"/>
                      <wp:positionH relativeFrom="column">
                        <wp:posOffset>1907540</wp:posOffset>
                      </wp:positionH>
                      <wp:positionV relativeFrom="paragraph">
                        <wp:posOffset>1253490</wp:posOffset>
                      </wp:positionV>
                      <wp:extent cx="486410" cy="400050"/>
                      <wp:effectExtent l="0" t="0" r="0" b="0"/>
                      <wp:wrapNone/>
                      <wp:docPr id="237" name="矩形 237"/>
                      <wp:cNvGraphicFramePr/>
                      <a:graphic xmlns:a="http://schemas.openxmlformats.org/drawingml/2006/main">
                        <a:graphicData uri="http://schemas.microsoft.com/office/word/2010/wordprocessingShape">
                          <wps:wsp>
                            <wps:cNvSpPr/>
                            <wps:spPr>
                              <a:xfrm>
                                <a:off x="0" y="0"/>
                                <a:ext cx="486410" cy="4000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3DC6ADE">
                                  <w:pPr>
                                    <w:jc w:val="center"/>
                                    <w:rPr>
                                      <w:rFonts w:hint="default" w:eastAsia="宋体"/>
                                      <w:color w:val="FF0000"/>
                                      <w:sz w:val="18"/>
                                      <w:szCs w:val="16"/>
                                      <w:lang w:val="en-US" w:eastAsia="zh-CN"/>
                                    </w:rPr>
                                  </w:pPr>
                                  <w:r>
                                    <w:rPr>
                                      <w:rFonts w:hint="eastAsia"/>
                                      <w:b/>
                                      <w:bCs/>
                                      <w:color w:val="FF0000"/>
                                      <w:sz w:val="24"/>
                                      <w:szCs w:val="22"/>
                                      <w:lang w:val="en-US" w:eastAsia="zh-CN"/>
                                    </w:rPr>
                                    <w:t>O</w:t>
                                  </w:r>
                                  <w:r>
                                    <w:rPr>
                                      <w:rFonts w:hint="eastAsia"/>
                                      <w:color w:val="FF0000"/>
                                      <w:sz w:val="18"/>
                                      <w:szCs w:val="16"/>
                                      <w:lang w:val="en-US" w:eastAsia="zh-CN"/>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0.2pt;margin-top:98.7pt;height:31.5pt;width:38.3pt;z-index:251826176;v-text-anchor:middle;mso-width-relative:page;mso-height-relative:page;" filled="f" stroked="f" coordsize="21600,21600" o:gfxdata="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jSRCC2AAAAAsBAAAPAAAAAAAAAAEAIAAAACIAAABkcnMvZG93bnJldi54bWxQSwECFAAUAAAA&#10;CACHTuJAk8Y0AGACAACwBAAADgAAAAAAAAABACAAAAAnAQAAZHJzL2Uyb0RvYy54bWxQSwUGAAAA&#10;AAYABgBZAQAA+QUAAAAA&#10;">
                      <v:fill on="f" focussize="0,0"/>
                      <v:stroke on="f" weight="1pt" miterlimit="8" joinstyle="miter"/>
                      <v:imagedata o:title=""/>
                      <o:lock v:ext="edit" aspectratio="f"/>
                      <v:textbox>
                        <w:txbxContent>
                          <w:p w14:paraId="23DC6ADE">
                            <w:pPr>
                              <w:jc w:val="center"/>
                              <w:rPr>
                                <w:rFonts w:hint="default" w:eastAsia="宋体"/>
                                <w:color w:val="FF0000"/>
                                <w:sz w:val="18"/>
                                <w:szCs w:val="16"/>
                                <w:lang w:val="en-US" w:eastAsia="zh-CN"/>
                              </w:rPr>
                            </w:pPr>
                            <w:r>
                              <w:rPr>
                                <w:rFonts w:hint="eastAsia"/>
                                <w:b/>
                                <w:bCs/>
                                <w:color w:val="FF0000"/>
                                <w:sz w:val="24"/>
                                <w:szCs w:val="22"/>
                                <w:lang w:val="en-US" w:eastAsia="zh-CN"/>
                              </w:rPr>
                              <w:t>O</w:t>
                            </w:r>
                            <w:r>
                              <w:rPr>
                                <w:rFonts w:hint="eastAsia"/>
                                <w:color w:val="FF0000"/>
                                <w:sz w:val="18"/>
                                <w:szCs w:val="16"/>
                                <w:lang w:val="en-US" w:eastAsia="zh-CN"/>
                              </w:rPr>
                              <w:t>3</w:t>
                            </w:r>
                          </w:p>
                        </w:txbxContent>
                      </v:textbox>
                    </v:rect>
                  </w:pict>
                </mc:Fallback>
              </mc:AlternateContent>
            </w:r>
            <w:r>
              <w:rPr>
                <w:color w:val="auto"/>
                <w:sz w:val="24"/>
              </w:rPr>
              <mc:AlternateContent>
                <mc:Choice Requires="wps">
                  <w:drawing>
                    <wp:anchor distT="0" distB="0" distL="114300" distR="114300" simplePos="0" relativeHeight="251743232" behindDoc="0" locked="0" layoutInCell="1" allowOverlap="1">
                      <wp:simplePos x="0" y="0"/>
                      <wp:positionH relativeFrom="column">
                        <wp:posOffset>1551940</wp:posOffset>
                      </wp:positionH>
                      <wp:positionV relativeFrom="paragraph">
                        <wp:posOffset>4283075</wp:posOffset>
                      </wp:positionV>
                      <wp:extent cx="691515" cy="310515"/>
                      <wp:effectExtent l="0" t="0" r="0" b="0"/>
                      <wp:wrapNone/>
                      <wp:docPr id="221" name="矩形 221"/>
                      <wp:cNvGraphicFramePr/>
                      <a:graphic xmlns:a="http://schemas.openxmlformats.org/drawingml/2006/main">
                        <a:graphicData uri="http://schemas.microsoft.com/office/word/2010/wordprocessingShape">
                          <wps:wsp>
                            <wps:cNvSpPr/>
                            <wps:spPr>
                              <a:xfrm>
                                <a:off x="0" y="0"/>
                                <a:ext cx="691515" cy="31051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D88B7AD">
                                  <w:pPr>
                                    <w:jc w:val="center"/>
                                    <w:rPr>
                                      <w:rFonts w:hint="default" w:eastAsia="宋体"/>
                                      <w:color w:val="FF0000"/>
                                      <w:lang w:val="en-US" w:eastAsia="zh-CN"/>
                                    </w:rPr>
                                  </w:pPr>
                                  <w:r>
                                    <w:rPr>
                                      <w:rFonts w:hint="eastAsia"/>
                                      <w:color w:val="FF0000"/>
                                      <w:lang w:val="en-US" w:eastAsia="zh-CN"/>
                                    </w:rPr>
                                    <w:t>C4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2.2pt;margin-top:337.25pt;height:24.45pt;width:54.45pt;z-index:251743232;v-text-anchor:middle;mso-width-relative:page;mso-height-relative:page;" filled="f" stroked="f" coordsize="21600,21600" o:gfxdata="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EW8LDNoAAAALAQAADwAAAAAAAAABACAAAAAiAAAAZHJzL2Rvd25yZXYueG1sUEsBAhQAFAAA&#10;AAgAh07iQHZejVNfAgAAsAQAAA4AAAAAAAAAAQAgAAAAKQEAAGRycy9lMm9Eb2MueG1sUEsFBgAA&#10;AAAGAAYAWQEAAPoFAAAAAA==&#10;">
                      <v:fill on="f" focussize="0,0"/>
                      <v:stroke on="f" weight="1pt" miterlimit="8" joinstyle="miter"/>
                      <v:imagedata o:title=""/>
                      <o:lock v:ext="edit" aspectratio="f"/>
                      <v:textbox>
                        <w:txbxContent>
                          <w:p w14:paraId="7D88B7AD">
                            <w:pPr>
                              <w:jc w:val="center"/>
                              <w:rPr>
                                <w:rFonts w:hint="default" w:eastAsia="宋体"/>
                                <w:color w:val="FF0000"/>
                                <w:lang w:val="en-US" w:eastAsia="zh-CN"/>
                              </w:rPr>
                            </w:pPr>
                            <w:r>
                              <w:rPr>
                                <w:rFonts w:hint="eastAsia"/>
                                <w:color w:val="FF0000"/>
                                <w:lang w:val="en-US" w:eastAsia="zh-CN"/>
                              </w:rPr>
                              <w:t>C4</w:t>
                            </w:r>
                          </w:p>
                        </w:txbxContent>
                      </v:textbox>
                    </v:rect>
                  </w:pict>
                </mc:Fallback>
              </mc:AlternateContent>
            </w:r>
            <w:r>
              <w:rPr>
                <w:color w:val="auto"/>
                <w:sz w:val="24"/>
              </w:rPr>
              <mc:AlternateContent>
                <mc:Choice Requires="wps">
                  <w:drawing>
                    <wp:anchor distT="0" distB="0" distL="114300" distR="114300" simplePos="0" relativeHeight="251732992" behindDoc="0" locked="0" layoutInCell="1" allowOverlap="1">
                      <wp:simplePos x="0" y="0"/>
                      <wp:positionH relativeFrom="column">
                        <wp:posOffset>2042160</wp:posOffset>
                      </wp:positionH>
                      <wp:positionV relativeFrom="paragraph">
                        <wp:posOffset>2371725</wp:posOffset>
                      </wp:positionV>
                      <wp:extent cx="3810" cy="2117090"/>
                      <wp:effectExtent l="38100" t="0" r="53340" b="16510"/>
                      <wp:wrapNone/>
                      <wp:docPr id="204" name="直接连接符 204"/>
                      <wp:cNvGraphicFramePr/>
                      <a:graphic xmlns:a="http://schemas.openxmlformats.org/drawingml/2006/main">
                        <a:graphicData uri="http://schemas.microsoft.com/office/word/2010/wordprocessingShape">
                          <wps:wsp>
                            <wps:cNvCnPr/>
                            <wps:spPr>
                              <a:xfrm flipH="1">
                                <a:off x="0" y="0"/>
                                <a:ext cx="3810" cy="2117090"/>
                              </a:xfrm>
                              <a:prstGeom prst="line">
                                <a:avLst/>
                              </a:prstGeom>
                              <a:ln>
                                <a:solidFill>
                                  <a:schemeClr val="accent4"/>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60.8pt;margin-top:186.75pt;height:166.7pt;width:0.3pt;z-index:251732992;mso-width-relative:page;mso-height-relative:page;" filled="f" stroked="t" coordsize="21600,21600" o:gfxdata="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L8klPaAAAACwEAAA8A&#10;AAAAAAAAAQAgAAAAIgAAAGRycy9kb3ducmV2LnhtbFBLAQIUABQAAAAIAIdO4kDTbjvoFQIAAB8E&#10;AAAOAAAAAAAAAAEAIAAAACkBAABkcnMvZTJvRG9jLnhtbFBLBQYAAAAABgAGAFkBAACwBQAAAAA=&#10;">
                      <v:fill on="f" focussize="0,0"/>
                      <v:stroke weight="1pt" color="#FFC000 [3207]" miterlimit="8" joinstyle="miter" startarrow="block" endarrow="block"/>
                      <v:imagedata o:title=""/>
                      <o:lock v:ext="edit" aspectratio="f"/>
                    </v:line>
                  </w:pict>
                </mc:Fallback>
              </mc:AlternateContent>
            </w:r>
            <w:r>
              <w:rPr>
                <w:color w:val="auto"/>
                <w:sz w:val="24"/>
              </w:rPr>
              <mc:AlternateContent>
                <mc:Choice Requires="wps">
                  <w:drawing>
                    <wp:anchor distT="0" distB="0" distL="114300" distR="114300" simplePos="0" relativeHeight="251825152" behindDoc="0" locked="0" layoutInCell="1" allowOverlap="1">
                      <wp:simplePos x="0" y="0"/>
                      <wp:positionH relativeFrom="column">
                        <wp:posOffset>1697355</wp:posOffset>
                      </wp:positionH>
                      <wp:positionV relativeFrom="paragraph">
                        <wp:posOffset>34925</wp:posOffset>
                      </wp:positionV>
                      <wp:extent cx="742950" cy="266700"/>
                      <wp:effectExtent l="0" t="0" r="0" b="0"/>
                      <wp:wrapNone/>
                      <wp:docPr id="232" name="矩形 232"/>
                      <wp:cNvGraphicFramePr/>
                      <a:graphic xmlns:a="http://schemas.openxmlformats.org/drawingml/2006/main">
                        <a:graphicData uri="http://schemas.microsoft.com/office/word/2010/wordprocessingShape">
                          <wps:wsp>
                            <wps:cNvSpPr/>
                            <wps:spPr>
                              <a:xfrm>
                                <a:off x="0" y="0"/>
                                <a:ext cx="7429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3BDB197">
                                  <w:pPr>
                                    <w:jc w:val="center"/>
                                    <w:rPr>
                                      <w:rFonts w:hint="default" w:eastAsia="宋体"/>
                                      <w:color w:val="FF0000"/>
                                      <w:lang w:val="en-US" w:eastAsia="zh-CN"/>
                                    </w:rPr>
                                  </w:pPr>
                                  <w:r>
                                    <w:rPr>
                                      <w:rFonts w:hint="eastAsia"/>
                                      <w:color w:val="FF0000"/>
                                      <w:lang w:val="en-US" w:eastAsia="zh-CN"/>
                                    </w:rPr>
                                    <w:t>C3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3.65pt;margin-top:2.75pt;height:21pt;width:58.5pt;z-index:251825152;v-text-anchor:middle;mso-width-relative:page;mso-height-relative:page;" filled="f" stroked="f" coordsize="21600,21600" o:gfxdata="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slTojXAAAACAEAAA8AAAAAAAAAAQAgAAAAIgAAAGRycy9kb3ducmV2LnhtbFBLAQIUABQAAAAI&#10;AIdO4kBBYk8gYAIAALAEAAAOAAAAAAAAAAEAIAAAACYBAABkcnMvZTJvRG9jLnhtbFBLBQYAAAAA&#10;BgAGAFkBAAD4BQAAAAA=&#10;">
                      <v:fill on="f" focussize="0,0"/>
                      <v:stroke on="f" weight="1pt" miterlimit="8" joinstyle="miter"/>
                      <v:imagedata o:title=""/>
                      <o:lock v:ext="edit" aspectratio="f"/>
                      <v:textbox>
                        <w:txbxContent>
                          <w:p w14:paraId="63BDB197">
                            <w:pPr>
                              <w:jc w:val="center"/>
                              <w:rPr>
                                <w:rFonts w:hint="default" w:eastAsia="宋体"/>
                                <w:color w:val="FF0000"/>
                                <w:lang w:val="en-US" w:eastAsia="zh-CN"/>
                              </w:rPr>
                            </w:pPr>
                            <w:r>
                              <w:rPr>
                                <w:rFonts w:hint="eastAsia"/>
                                <w:color w:val="FF0000"/>
                                <w:lang w:val="en-US" w:eastAsia="zh-CN"/>
                              </w:rPr>
                              <w:t>C3</w:t>
                            </w:r>
                          </w:p>
                        </w:txbxContent>
                      </v:textbox>
                    </v:rect>
                  </w:pict>
                </mc:Fallback>
              </mc:AlternateContent>
            </w:r>
            <w:r>
              <w:rPr>
                <w:color w:val="auto"/>
                <w:sz w:val="24"/>
              </w:rPr>
              <mc:AlternateContent>
                <mc:Choice Requires="wps">
                  <w:drawing>
                    <wp:anchor distT="0" distB="0" distL="114300" distR="114300" simplePos="0" relativeHeight="251824128" behindDoc="0" locked="0" layoutInCell="1" allowOverlap="1">
                      <wp:simplePos x="0" y="0"/>
                      <wp:positionH relativeFrom="column">
                        <wp:posOffset>2618740</wp:posOffset>
                      </wp:positionH>
                      <wp:positionV relativeFrom="paragraph">
                        <wp:posOffset>2061210</wp:posOffset>
                      </wp:positionV>
                      <wp:extent cx="742950" cy="266700"/>
                      <wp:effectExtent l="0" t="0" r="0" b="0"/>
                      <wp:wrapNone/>
                      <wp:docPr id="230" name="矩形 230"/>
                      <wp:cNvGraphicFramePr/>
                      <a:graphic xmlns:a="http://schemas.openxmlformats.org/drawingml/2006/main">
                        <a:graphicData uri="http://schemas.microsoft.com/office/word/2010/wordprocessingShape">
                          <wps:wsp>
                            <wps:cNvSpPr/>
                            <wps:spPr>
                              <a:xfrm>
                                <a:off x="0" y="0"/>
                                <a:ext cx="7429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BAAA70E">
                                  <w:pPr>
                                    <w:jc w:val="center"/>
                                    <w:rPr>
                                      <w:rFonts w:hint="default" w:eastAsia="宋体"/>
                                      <w:color w:val="FF0000"/>
                                      <w:lang w:val="en-US" w:eastAsia="zh-CN"/>
                                    </w:rPr>
                                  </w:pPr>
                                  <w:r>
                                    <w:rPr>
                                      <w:rFonts w:hint="eastAsia"/>
                                      <w:color w:val="FF0000"/>
                                      <w:lang w:val="en-US" w:eastAsia="zh-CN"/>
                                    </w:rPr>
                                    <w:t>C2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6.2pt;margin-top:162.3pt;height:21pt;width:58.5pt;z-index:251824128;v-text-anchor:middle;mso-width-relative:page;mso-height-relative:page;" filled="f" stroked="f" coordsize="21600,21600" o:gfxdata="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MwwnprYAAAACwEAAA8AAAAAAAAAAQAgAAAAIgAAAGRycy9kb3ducmV2LnhtbFBLAQIUABQAAAAI&#10;AIdO4kCBe1sAXwIAALAEAAAOAAAAAAAAAAEAIAAAACcBAABkcnMvZTJvRG9jLnhtbFBLBQYAAAAA&#10;BgAGAFkBAAD4BQAAAAA=&#10;">
                      <v:fill on="f" focussize="0,0"/>
                      <v:stroke on="f" weight="1pt" miterlimit="8" joinstyle="miter"/>
                      <v:imagedata o:title=""/>
                      <o:lock v:ext="edit" aspectratio="f"/>
                      <v:textbox>
                        <w:txbxContent>
                          <w:p w14:paraId="6BAAA70E">
                            <w:pPr>
                              <w:jc w:val="center"/>
                              <w:rPr>
                                <w:rFonts w:hint="default" w:eastAsia="宋体"/>
                                <w:color w:val="FF0000"/>
                                <w:lang w:val="en-US" w:eastAsia="zh-CN"/>
                              </w:rPr>
                            </w:pPr>
                            <w:r>
                              <w:rPr>
                                <w:rFonts w:hint="eastAsia"/>
                                <w:color w:val="FF0000"/>
                                <w:lang w:val="en-US" w:eastAsia="zh-CN"/>
                              </w:rPr>
                              <w:t>C2</w:t>
                            </w:r>
                          </w:p>
                        </w:txbxContent>
                      </v:textbox>
                    </v:rect>
                  </w:pict>
                </mc:Fallback>
              </mc:AlternateContent>
            </w:r>
            <w:r>
              <w:rPr>
                <w:color w:val="auto"/>
                <w:sz w:val="24"/>
              </w:rPr>
              <mc:AlternateContent>
                <mc:Choice Requires="wps">
                  <w:drawing>
                    <wp:anchor distT="0" distB="0" distL="114300" distR="114300" simplePos="0" relativeHeight="251823104" behindDoc="0" locked="0" layoutInCell="1" allowOverlap="1">
                      <wp:simplePos x="0" y="0"/>
                      <wp:positionH relativeFrom="column">
                        <wp:posOffset>1995170</wp:posOffset>
                      </wp:positionH>
                      <wp:positionV relativeFrom="paragraph">
                        <wp:posOffset>2265045</wp:posOffset>
                      </wp:positionV>
                      <wp:extent cx="100330" cy="109220"/>
                      <wp:effectExtent l="6350" t="6350" r="7620" b="17780"/>
                      <wp:wrapNone/>
                      <wp:docPr id="211" name="椭圆 211"/>
                      <wp:cNvGraphicFramePr/>
                      <a:graphic xmlns:a="http://schemas.openxmlformats.org/drawingml/2006/main">
                        <a:graphicData uri="http://schemas.microsoft.com/office/word/2010/wordprocessingShape">
                          <wps:wsp>
                            <wps:cNvSpPr/>
                            <wps:spPr>
                              <a:xfrm>
                                <a:off x="3140075" y="3312795"/>
                                <a:ext cx="100330" cy="109220"/>
                              </a:xfrm>
                              <a:prstGeom prst="ellipse">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57.1pt;margin-top:178.35pt;height:8.6pt;width:7.9pt;z-index:251823104;v-text-anchor:middle;mso-width-relative:page;mso-height-relative:page;" fillcolor="#FFFF00" filled="t" stroked="t" coordsize="21600,21600" o:gfxdata="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CV6D0Q&#10;2AAAAAsBAAAPAAAAAAAAAAEAIAAAACIAAABkcnMvZG93bnJldi54bWxQSwECFAAUAAAACACHTuJA&#10;miKb15MCAAAoBQAADgAAAAAAAAABACAAAAAnAQAAZHJzL2Uyb0RvYy54bWxQSwUGAAAAAAYABgBZ&#10;AQAALAYAAAAA&#10;">
                      <v:fill on="t" focussize="0,0"/>
                      <v:stroke weight="1pt" color="#2E75B6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34016" behindDoc="0" locked="0" layoutInCell="1" allowOverlap="1">
                      <wp:simplePos x="0" y="0"/>
                      <wp:positionH relativeFrom="column">
                        <wp:posOffset>534670</wp:posOffset>
                      </wp:positionH>
                      <wp:positionV relativeFrom="paragraph">
                        <wp:posOffset>2312670</wp:posOffset>
                      </wp:positionV>
                      <wp:extent cx="1456690" cy="3175"/>
                      <wp:effectExtent l="0" t="38100" r="10160" b="53975"/>
                      <wp:wrapNone/>
                      <wp:docPr id="205" name="直接连接符 205"/>
                      <wp:cNvGraphicFramePr/>
                      <a:graphic xmlns:a="http://schemas.openxmlformats.org/drawingml/2006/main">
                        <a:graphicData uri="http://schemas.microsoft.com/office/word/2010/wordprocessingShape">
                          <wps:wsp>
                            <wps:cNvCnPr/>
                            <wps:spPr>
                              <a:xfrm flipH="1" flipV="1">
                                <a:off x="0" y="0"/>
                                <a:ext cx="1456690" cy="3175"/>
                              </a:xfrm>
                              <a:prstGeom prst="line">
                                <a:avLst/>
                              </a:prstGeom>
                              <a:ln>
                                <a:solidFill>
                                  <a:schemeClr val="accent4"/>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42.1pt;margin-top:182.1pt;height:0.25pt;width:114.7pt;z-index:251734016;mso-width-relative:page;mso-height-relative:page;" filled="f" stroked="t" coordsize="21600,21600" o:gfxdata="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OWTmXXYAAAACgEA&#10;AA8AAAAAAAAAAQAgAAAAIgAAAGRycy9kb3ducmV2LnhtbFBLAQIUABQAAAAIAIdO4kCdonGFGgIA&#10;ACkEAAAOAAAAAAAAAAEAIAAAACcBAABkcnMvZTJvRG9jLnhtbFBLBQYAAAAABgAGAFkBAACzBQAA&#10;AAA=&#10;">
                      <v:fill on="f" focussize="0,0"/>
                      <v:stroke weight="1pt" color="#FFC000 [3207]" miterlimit="8" joinstyle="miter" startarrow="block" endarrow="block"/>
                      <v:imagedata o:title=""/>
                      <o:lock v:ext="edit" aspectratio="f"/>
                    </v:line>
                  </w:pict>
                </mc:Fallback>
              </mc:AlternateContent>
            </w:r>
            <w:r>
              <w:rPr>
                <w:color w:val="auto"/>
                <w:sz w:val="24"/>
              </w:rPr>
              <mc:AlternateContent>
                <mc:Choice Requires="wps">
                  <w:drawing>
                    <wp:anchor distT="0" distB="0" distL="114300" distR="114300" simplePos="0" relativeHeight="251730944" behindDoc="0" locked="0" layoutInCell="1" allowOverlap="1">
                      <wp:simplePos x="0" y="0"/>
                      <wp:positionH relativeFrom="column">
                        <wp:posOffset>1605915</wp:posOffset>
                      </wp:positionH>
                      <wp:positionV relativeFrom="paragraph">
                        <wp:posOffset>1546860</wp:posOffset>
                      </wp:positionV>
                      <wp:extent cx="598805" cy="1538605"/>
                      <wp:effectExtent l="6350" t="6350" r="23495" b="17145"/>
                      <wp:wrapNone/>
                      <wp:docPr id="200" name="矩形 200"/>
                      <wp:cNvGraphicFramePr/>
                      <a:graphic xmlns:a="http://schemas.openxmlformats.org/drawingml/2006/main">
                        <a:graphicData uri="http://schemas.microsoft.com/office/word/2010/wordprocessingShape">
                          <wps:wsp>
                            <wps:cNvSpPr/>
                            <wps:spPr>
                              <a:xfrm>
                                <a:off x="2265680" y="3106420"/>
                                <a:ext cx="598805" cy="1538605"/>
                              </a:xfrm>
                              <a:prstGeom prst="rect">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txbx>
                              <w:txbxContent>
                                <w:p w14:paraId="40A925AE">
                                  <w:pPr>
                                    <w:jc w:val="both"/>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工</w:t>
                                  </w:r>
                                </w:p>
                                <w:p w14:paraId="20CBC7A9">
                                  <w:pPr>
                                    <w:jc w:val="both"/>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作</w:t>
                                  </w:r>
                                </w:p>
                                <w:p w14:paraId="7A48735F">
                                  <w:pPr>
                                    <w:jc w:val="both"/>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范</w:t>
                                  </w:r>
                                </w:p>
                                <w:p w14:paraId="60FE650A">
                                  <w:pPr>
                                    <w:jc w:val="both"/>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6.45pt;margin-top:121.8pt;height:121.15pt;width:47.15pt;z-index:251730944;v-text-anchor:middle;mso-width-relative:page;mso-height-relative:page;" fillcolor="#FF0000" filled="t" stroked="t" coordsize="21600,21600" o:gfxdata="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JLj2cN0AAAALAQAADwAAAAAAAAABACAAAAAiAAAAZHJzL2Rvd25yZXYueG1sUEsBAhQA&#10;FAAAAAgAh07iQELkgSOYAgAAMQUAAA4AAAAAAAAAAQAgAAAALAEAAGRycy9lMm9Eb2MueG1sUEsF&#10;BgAAAAAGAAYAWQEAADYGAAAAAA==&#10;">
                      <v:fill on="t" focussize="0,0"/>
                      <v:stroke weight="1pt" color="#2E75B6 [2404]" miterlimit="8" joinstyle="miter"/>
                      <v:imagedata o:title=""/>
                      <o:lock v:ext="edit" aspectratio="f"/>
                      <v:textbox>
                        <w:txbxContent>
                          <w:p w14:paraId="40A925AE">
                            <w:pPr>
                              <w:jc w:val="both"/>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工</w:t>
                            </w:r>
                          </w:p>
                          <w:p w14:paraId="20CBC7A9">
                            <w:pPr>
                              <w:jc w:val="both"/>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作</w:t>
                            </w:r>
                          </w:p>
                          <w:p w14:paraId="7A48735F">
                            <w:pPr>
                              <w:jc w:val="both"/>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范</w:t>
                            </w:r>
                          </w:p>
                          <w:p w14:paraId="60FE650A">
                            <w:pPr>
                              <w:jc w:val="both"/>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围</w:t>
                            </w:r>
                          </w:p>
                        </w:txbxContent>
                      </v:textbox>
                    </v:rect>
                  </w:pict>
                </mc:Fallback>
              </mc:AlternateContent>
            </w:r>
            <w:r>
              <w:rPr>
                <w:color w:val="auto"/>
                <w:sz w:val="24"/>
              </w:rPr>
              <mc:AlternateContent>
                <mc:Choice Requires="wps">
                  <w:drawing>
                    <wp:anchor distT="0" distB="0" distL="114300" distR="114300" simplePos="0" relativeHeight="251789312" behindDoc="0" locked="0" layoutInCell="1" allowOverlap="1">
                      <wp:simplePos x="0" y="0"/>
                      <wp:positionH relativeFrom="column">
                        <wp:posOffset>1607820</wp:posOffset>
                      </wp:positionH>
                      <wp:positionV relativeFrom="paragraph">
                        <wp:posOffset>1636395</wp:posOffset>
                      </wp:positionV>
                      <wp:extent cx="723900" cy="266700"/>
                      <wp:effectExtent l="0" t="0" r="0" b="0"/>
                      <wp:wrapNone/>
                      <wp:docPr id="163" name="矩形 163"/>
                      <wp:cNvGraphicFramePr/>
                      <a:graphic xmlns:a="http://schemas.openxmlformats.org/drawingml/2006/main">
                        <a:graphicData uri="http://schemas.microsoft.com/office/word/2010/wordprocessingShape">
                          <wps:wsp>
                            <wps:cNvSpPr/>
                            <wps:spPr>
                              <a:xfrm>
                                <a:off x="0" y="0"/>
                                <a:ext cx="72390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0B23AA8">
                                  <w:pPr>
                                    <w:jc w:val="center"/>
                                    <w:rPr>
                                      <w:rFonts w:hint="default" w:eastAsia="宋体"/>
                                      <w:b/>
                                      <w:bCs/>
                                      <w:color w:val="FFFF00"/>
                                      <w:sz w:val="15"/>
                                      <w:szCs w:val="13"/>
                                      <w:lang w:val="en-US" w:eastAsia="zh-CN"/>
                                    </w:rPr>
                                  </w:pPr>
                                  <w:r>
                                    <w:rPr>
                                      <w:rFonts w:hint="eastAsia"/>
                                      <w:b/>
                                      <w:bCs/>
                                      <w:color w:val="FFFF00"/>
                                      <w:sz w:val="15"/>
                                      <w:szCs w:val="13"/>
                                      <w:lang w:val="en-US" w:eastAsia="zh-CN"/>
                                    </w:rPr>
                                    <w:t>2000mm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6.6pt;margin-top:128.85pt;height:21pt;width:57pt;z-index:251789312;v-text-anchor:middle;mso-width-relative:page;mso-height-relative:page;" filled="f" stroked="f" coordsize="21600,21600" o:gfxdata="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fdtYG2QAAAAsBAAAPAAAAAAAAAAEAIAAAACIAAABkcnMvZG93bnJldi54bWxQSwECFAAUAAAA&#10;CACHTuJAPS7CvV8CAACwBAAADgAAAAAAAAABACAAAAAoAQAAZHJzL2Uyb0RvYy54bWxQSwUGAAAA&#10;AAYABgBZAQAA+QUAAAAA&#10;">
                      <v:fill on="f" focussize="0,0"/>
                      <v:stroke on="f" weight="1pt" miterlimit="8" joinstyle="miter"/>
                      <v:imagedata o:title=""/>
                      <o:lock v:ext="edit" aspectratio="f"/>
                      <v:textbox>
                        <w:txbxContent>
                          <w:p w14:paraId="20B23AA8">
                            <w:pPr>
                              <w:jc w:val="center"/>
                              <w:rPr>
                                <w:rFonts w:hint="default" w:eastAsia="宋体"/>
                                <w:b/>
                                <w:bCs/>
                                <w:color w:val="FFFF00"/>
                                <w:sz w:val="15"/>
                                <w:szCs w:val="13"/>
                                <w:lang w:val="en-US" w:eastAsia="zh-CN"/>
                              </w:rPr>
                            </w:pPr>
                            <w:r>
                              <w:rPr>
                                <w:rFonts w:hint="eastAsia"/>
                                <w:b/>
                                <w:bCs/>
                                <w:color w:val="FFFF00"/>
                                <w:sz w:val="15"/>
                                <w:szCs w:val="13"/>
                                <w:lang w:val="en-US" w:eastAsia="zh-CN"/>
                              </w:rPr>
                              <w:t>2000mm</w:t>
                            </w:r>
                          </w:p>
                        </w:txbxContent>
                      </v:textbox>
                    </v:rect>
                  </w:pict>
                </mc:Fallback>
              </mc:AlternateContent>
            </w:r>
            <w:r>
              <w:rPr>
                <w:color w:val="auto"/>
                <w:sz w:val="24"/>
              </w:rPr>
              <mc:AlternateContent>
                <mc:Choice Requires="wps">
                  <w:drawing>
                    <wp:anchor distT="0" distB="0" distL="114300" distR="114300" simplePos="0" relativeHeight="251788288" behindDoc="0" locked="0" layoutInCell="1" allowOverlap="1">
                      <wp:simplePos x="0" y="0"/>
                      <wp:positionH relativeFrom="column">
                        <wp:posOffset>1598930</wp:posOffset>
                      </wp:positionH>
                      <wp:positionV relativeFrom="paragraph">
                        <wp:posOffset>2641600</wp:posOffset>
                      </wp:positionV>
                      <wp:extent cx="606425" cy="7620"/>
                      <wp:effectExtent l="0" t="36830" r="3175" b="50800"/>
                      <wp:wrapNone/>
                      <wp:docPr id="162" name="直接箭头连接符 162"/>
                      <wp:cNvGraphicFramePr/>
                      <a:graphic xmlns:a="http://schemas.openxmlformats.org/drawingml/2006/main">
                        <a:graphicData uri="http://schemas.microsoft.com/office/word/2010/wordprocessingShape">
                          <wps:wsp>
                            <wps:cNvCnPr/>
                            <wps:spPr>
                              <a:xfrm flipH="1">
                                <a:off x="0" y="0"/>
                                <a:ext cx="606425" cy="7620"/>
                              </a:xfrm>
                              <a:prstGeom prst="straightConnector1">
                                <a:avLst/>
                              </a:prstGeom>
                              <a:ln>
                                <a:solidFill>
                                  <a:srgbClr val="FFFF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25.9pt;margin-top:208pt;height:0.6pt;width:47.75pt;z-index:251788288;mso-width-relative:page;mso-height-relative:page;" filled="f" stroked="t" coordsize="21600,21600" o:gfxdata="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xZo4xNkAAAALAQAADwAAAAAAAAABACAAAAAiAAAAZHJzL2Rvd25yZXYueG1sUEsBAhQAFAAAAAgA&#10;h07iQO2h6AYkAgAAMgQAAA4AAAAAAAAAAQAgAAAAKAEAAGRycy9lMm9Eb2MueG1sUEsFBgAAAAAG&#10;AAYAWQEAAL4FAAAAAA==&#10;">
                      <v:fill on="f" focussize="0,0"/>
                      <v:stroke weight="1pt" color="#FFFF00 [3204]" miterlimit="8" joinstyle="miter" startarrow="block" endarrow="block"/>
                      <v:imagedata o:title=""/>
                      <o:lock v:ext="edit" aspectratio="f"/>
                    </v:shape>
                  </w:pict>
                </mc:Fallback>
              </mc:AlternateContent>
            </w:r>
            <w:r>
              <w:rPr>
                <w:color w:val="auto"/>
                <w:sz w:val="24"/>
              </w:rPr>
              <mc:AlternateContent>
                <mc:Choice Requires="wps">
                  <w:drawing>
                    <wp:anchor distT="0" distB="0" distL="114300" distR="114300" simplePos="0" relativeHeight="251816960" behindDoc="0" locked="0" layoutInCell="1" allowOverlap="1">
                      <wp:simplePos x="0" y="0"/>
                      <wp:positionH relativeFrom="column">
                        <wp:posOffset>2703195</wp:posOffset>
                      </wp:positionH>
                      <wp:positionV relativeFrom="paragraph">
                        <wp:posOffset>4062730</wp:posOffset>
                      </wp:positionV>
                      <wp:extent cx="5080" cy="510540"/>
                      <wp:effectExtent l="9525" t="0" r="23495" b="3810"/>
                      <wp:wrapNone/>
                      <wp:docPr id="207" name="直接连接符 207"/>
                      <wp:cNvGraphicFramePr/>
                      <a:graphic xmlns:a="http://schemas.openxmlformats.org/drawingml/2006/main">
                        <a:graphicData uri="http://schemas.microsoft.com/office/word/2010/wordprocessingShape">
                          <wps:wsp>
                            <wps:cNvCnPr/>
                            <wps:spPr>
                              <a:xfrm flipH="1" flipV="1">
                                <a:off x="0" y="0"/>
                                <a:ext cx="5080" cy="510540"/>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12.85pt;margin-top:319.9pt;height:40.2pt;width:0.4pt;z-index:251816960;mso-width-relative:page;mso-height-relative:page;" filled="f" stroked="t" coordsize="21600,21600" o:gfxdata="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HlgUHbAAAACwEAAA8AAAAAAAAAAQAgAAAAIgAAAGRycy9kb3ducmV2LnhtbFBL&#10;AQIUABQAAAAIAIdO4kDbTj7A8wEAAMwDAAAOAAAAAAAAAAEAIAAAACoBAABkcnMvZTJvRG9jLnht&#10;bFBLBQYAAAAABgAGAFkBAACPBQAAAAA=&#10;">
                      <v:fill on="f" focussize="0,0"/>
                      <v:stroke weight="1.5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90336" behindDoc="0" locked="0" layoutInCell="1" allowOverlap="1">
                      <wp:simplePos x="0" y="0"/>
                      <wp:positionH relativeFrom="column">
                        <wp:posOffset>1443355</wp:posOffset>
                      </wp:positionH>
                      <wp:positionV relativeFrom="paragraph">
                        <wp:posOffset>2599690</wp:posOffset>
                      </wp:positionV>
                      <wp:extent cx="723900" cy="266700"/>
                      <wp:effectExtent l="0" t="0" r="0" b="0"/>
                      <wp:wrapNone/>
                      <wp:docPr id="164" name="矩形 164"/>
                      <wp:cNvGraphicFramePr/>
                      <a:graphic xmlns:a="http://schemas.openxmlformats.org/drawingml/2006/main">
                        <a:graphicData uri="http://schemas.microsoft.com/office/word/2010/wordprocessingShape">
                          <wps:wsp>
                            <wps:cNvSpPr/>
                            <wps:spPr>
                              <a:xfrm>
                                <a:off x="0" y="0"/>
                                <a:ext cx="72390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7E65A61">
                                  <w:pPr>
                                    <w:jc w:val="center"/>
                                    <w:rPr>
                                      <w:rFonts w:hint="default"/>
                                      <w:b/>
                                      <w:bCs/>
                                      <w:color w:val="FFFF00"/>
                                      <w:sz w:val="15"/>
                                      <w:szCs w:val="13"/>
                                      <w:lang w:val="en-US" w:eastAsia="zh-CN"/>
                                    </w:rPr>
                                  </w:pPr>
                                  <w:r>
                                    <w:rPr>
                                      <w:rFonts w:hint="eastAsia"/>
                                      <w:b/>
                                      <w:bCs/>
                                      <w:color w:val="FFFF00"/>
                                      <w:sz w:val="15"/>
                                      <w:szCs w:val="13"/>
                                      <w:lang w:val="en-US" w:eastAsia="zh-CN"/>
                                    </w:rPr>
                                    <w:t>800mm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3.65pt;margin-top:204.7pt;height:21pt;width:57pt;z-index:251790336;v-text-anchor:middle;mso-width-relative:page;mso-height-relative:page;" filled="f" stroked="f" coordsize="21600,21600" o:gfxdata="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OsriKjYAAAACwEAAA8AAAAAAAAAAQAgAAAAIgAAAGRycy9kb3ducmV2LnhtbFBLAQIUABQAAAAI&#10;AIdO4kCdCPTNXwIAALAEAAAOAAAAAAAAAAEAIAAAACcBAABkcnMvZTJvRG9jLnhtbFBLBQYAAAAA&#10;BgAGAFkBAAD4BQAAAAA=&#10;">
                      <v:fill on="f" focussize="0,0"/>
                      <v:stroke on="f" weight="1pt" miterlimit="8" joinstyle="miter"/>
                      <v:imagedata o:title=""/>
                      <o:lock v:ext="edit" aspectratio="f"/>
                      <v:textbox>
                        <w:txbxContent>
                          <w:p w14:paraId="07E65A61">
                            <w:pPr>
                              <w:jc w:val="center"/>
                              <w:rPr>
                                <w:rFonts w:hint="default"/>
                                <w:b/>
                                <w:bCs/>
                                <w:color w:val="FFFF00"/>
                                <w:sz w:val="15"/>
                                <w:szCs w:val="13"/>
                                <w:lang w:val="en-US" w:eastAsia="zh-CN"/>
                              </w:rPr>
                            </w:pPr>
                            <w:r>
                              <w:rPr>
                                <w:rFonts w:hint="eastAsia"/>
                                <w:b/>
                                <w:bCs/>
                                <w:color w:val="FFFF00"/>
                                <w:sz w:val="15"/>
                                <w:szCs w:val="13"/>
                                <w:lang w:val="en-US" w:eastAsia="zh-CN"/>
                              </w:rPr>
                              <w:t>800mm</w:t>
                            </w:r>
                          </w:p>
                        </w:txbxContent>
                      </v:textbox>
                    </v:rect>
                  </w:pict>
                </mc:Fallback>
              </mc:AlternateContent>
            </w:r>
            <w:r>
              <w:rPr>
                <w:color w:val="auto"/>
                <w:sz w:val="24"/>
              </w:rPr>
              <mc:AlternateContent>
                <mc:Choice Requires="wps">
                  <w:drawing>
                    <wp:anchor distT="0" distB="0" distL="114300" distR="114300" simplePos="0" relativeHeight="251736064" behindDoc="0" locked="0" layoutInCell="1" allowOverlap="1">
                      <wp:simplePos x="0" y="0"/>
                      <wp:positionH relativeFrom="column">
                        <wp:posOffset>1640840</wp:posOffset>
                      </wp:positionH>
                      <wp:positionV relativeFrom="paragraph">
                        <wp:posOffset>725805</wp:posOffset>
                      </wp:positionV>
                      <wp:extent cx="742950" cy="266700"/>
                      <wp:effectExtent l="0" t="0" r="0" b="0"/>
                      <wp:wrapNone/>
                      <wp:docPr id="208" name="矩形 208"/>
                      <wp:cNvGraphicFramePr/>
                      <a:graphic xmlns:a="http://schemas.openxmlformats.org/drawingml/2006/main">
                        <a:graphicData uri="http://schemas.microsoft.com/office/word/2010/wordprocessingShape">
                          <wps:wsp>
                            <wps:cNvSpPr/>
                            <wps:spPr>
                              <a:xfrm>
                                <a:off x="0" y="0"/>
                                <a:ext cx="7429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8DA411B">
                                  <w:pPr>
                                    <w:jc w:val="center"/>
                                    <w:rPr>
                                      <w:rFonts w:hint="default" w:eastAsia="宋体"/>
                                      <w:b/>
                                      <w:bCs/>
                                      <w:sz w:val="20"/>
                                      <w:szCs w:val="18"/>
                                      <w:lang w:val="en-US" w:eastAsia="zh-CN"/>
                                    </w:rPr>
                                  </w:pPr>
                                  <w:r>
                                    <w:rPr>
                                      <w:rFonts w:hint="eastAsia"/>
                                      <w:b/>
                                      <w:bCs/>
                                      <w:sz w:val="20"/>
                                      <w:szCs w:val="18"/>
                                      <w:lang w:val="en-US" w:eastAsia="zh-CN"/>
                                    </w:rPr>
                                    <w:t>2510mm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2pt;margin-top:57.15pt;height:21pt;width:58.5pt;z-index:251736064;v-text-anchor:middle;mso-width-relative:page;mso-height-relative:page;" filled="f" stroked="f" coordsize="21600,21600" o:gfxdata="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EL7YX2AAAAAsBAAAPAAAAAAAAAAEAIAAAACIAAABkcnMvZG93bnJldi54bWxQSwECFAAUAAAA&#10;CACHTuJAXCJVu2ACAACwBAAADgAAAAAAAAABACAAAAAnAQAAZHJzL2Uyb0RvYy54bWxQSwUGAAAA&#10;AAYABgBZAQAA+QUAAAAA&#10;">
                      <v:fill on="f" focussize="0,0"/>
                      <v:stroke on="f" weight="1pt" miterlimit="8" joinstyle="miter"/>
                      <v:imagedata o:title=""/>
                      <o:lock v:ext="edit" aspectratio="f"/>
                      <v:textbox>
                        <w:txbxContent>
                          <w:p w14:paraId="18DA411B">
                            <w:pPr>
                              <w:jc w:val="center"/>
                              <w:rPr>
                                <w:rFonts w:hint="default" w:eastAsia="宋体"/>
                                <w:b/>
                                <w:bCs/>
                                <w:sz w:val="20"/>
                                <w:szCs w:val="18"/>
                                <w:lang w:val="en-US" w:eastAsia="zh-CN"/>
                              </w:rPr>
                            </w:pPr>
                            <w:r>
                              <w:rPr>
                                <w:rFonts w:hint="eastAsia"/>
                                <w:b/>
                                <w:bCs/>
                                <w:sz w:val="20"/>
                                <w:szCs w:val="18"/>
                                <w:lang w:val="en-US" w:eastAsia="zh-CN"/>
                              </w:rPr>
                              <w:t>2510mm</w:t>
                            </w:r>
                          </w:p>
                        </w:txbxContent>
                      </v:textbox>
                    </v:rect>
                  </w:pict>
                </mc:Fallback>
              </mc:AlternateContent>
            </w:r>
            <w:r>
              <w:rPr>
                <w:color w:val="auto"/>
                <w:sz w:val="24"/>
              </w:rPr>
              <mc:AlternateContent>
                <mc:Choice Requires="wps">
                  <w:drawing>
                    <wp:anchor distT="0" distB="0" distL="114300" distR="114300" simplePos="0" relativeHeight="251819008" behindDoc="0" locked="0" layoutInCell="1" allowOverlap="1">
                      <wp:simplePos x="0" y="0"/>
                      <wp:positionH relativeFrom="column">
                        <wp:posOffset>1427480</wp:posOffset>
                      </wp:positionH>
                      <wp:positionV relativeFrom="paragraph">
                        <wp:posOffset>4504690</wp:posOffset>
                      </wp:positionV>
                      <wp:extent cx="781050" cy="266700"/>
                      <wp:effectExtent l="0" t="0" r="0" b="0"/>
                      <wp:wrapNone/>
                      <wp:docPr id="224" name="矩形 224"/>
                      <wp:cNvGraphicFramePr/>
                      <a:graphic xmlns:a="http://schemas.openxmlformats.org/drawingml/2006/main">
                        <a:graphicData uri="http://schemas.microsoft.com/office/word/2010/wordprocessingShape">
                          <wps:wsp>
                            <wps:cNvSpPr/>
                            <wps:spPr>
                              <a:xfrm>
                                <a:off x="0" y="0"/>
                                <a:ext cx="7810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D69165C">
                                  <w:pPr>
                                    <w:jc w:val="center"/>
                                    <w:rPr>
                                      <w:rFonts w:hint="default" w:eastAsia="宋体"/>
                                      <w:b/>
                                      <w:bCs/>
                                      <w:color w:val="FFFF00"/>
                                      <w:sz w:val="18"/>
                                      <w:szCs w:val="16"/>
                                      <w:lang w:val="en-US" w:eastAsia="zh-CN"/>
                                    </w:rPr>
                                  </w:pPr>
                                  <w:r>
                                    <w:rPr>
                                      <w:rFonts w:hint="eastAsia"/>
                                      <w:b/>
                                      <w:bCs/>
                                      <w:color w:val="FFFF00"/>
                                      <w:sz w:val="18"/>
                                      <w:szCs w:val="16"/>
                                      <w:lang w:val="en-US" w:eastAsia="zh-CN"/>
                                    </w:rPr>
                                    <w:t>3020mm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2.4pt;margin-top:354.7pt;height:21pt;width:61.5pt;z-index:251819008;v-text-anchor:middle;mso-width-relative:page;mso-height-relative:page;" filled="f" stroked="f" coordsize="21600,21600" o:gfxdata="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1aCNW2AAAAAsBAAAPAAAAAAAAAAEAIAAAACIAAABkcnMvZG93bnJldi54bWxQSwECFAAUAAAA&#10;CACHTuJAU2c682ACAACwBAAADgAAAAAAAAABACAAAAAnAQAAZHJzL2Uyb0RvYy54bWxQSwUGAAAA&#10;AAYABgBZAQAA+QUAAAAA&#10;">
                      <v:fill on="f" focussize="0,0"/>
                      <v:stroke on="f" weight="1pt" miterlimit="8" joinstyle="miter"/>
                      <v:imagedata o:title=""/>
                      <o:lock v:ext="edit" aspectratio="f"/>
                      <v:textbox>
                        <w:txbxContent>
                          <w:p w14:paraId="2D69165C">
                            <w:pPr>
                              <w:jc w:val="center"/>
                              <w:rPr>
                                <w:rFonts w:hint="default" w:eastAsia="宋体"/>
                                <w:b/>
                                <w:bCs/>
                                <w:color w:val="FFFF00"/>
                                <w:sz w:val="18"/>
                                <w:szCs w:val="16"/>
                                <w:lang w:val="en-US" w:eastAsia="zh-CN"/>
                              </w:rPr>
                            </w:pPr>
                            <w:r>
                              <w:rPr>
                                <w:rFonts w:hint="eastAsia"/>
                                <w:b/>
                                <w:bCs/>
                                <w:color w:val="FFFF00"/>
                                <w:sz w:val="18"/>
                                <w:szCs w:val="16"/>
                                <w:lang w:val="en-US" w:eastAsia="zh-CN"/>
                              </w:rPr>
                              <w:t>3020mm</w:t>
                            </w:r>
                          </w:p>
                        </w:txbxContent>
                      </v:textbox>
                    </v:rect>
                  </w:pict>
                </mc:Fallback>
              </mc:AlternateContent>
            </w:r>
            <w:r>
              <w:rPr>
                <w:color w:val="auto"/>
                <w:sz w:val="24"/>
              </w:rPr>
              <mc:AlternateContent>
                <mc:Choice Requires="wps">
                  <w:drawing>
                    <wp:anchor distT="0" distB="0" distL="114300" distR="114300" simplePos="0" relativeHeight="251817984" behindDoc="0" locked="0" layoutInCell="1" allowOverlap="1">
                      <wp:simplePos x="0" y="0"/>
                      <wp:positionH relativeFrom="column">
                        <wp:posOffset>788670</wp:posOffset>
                      </wp:positionH>
                      <wp:positionV relativeFrom="paragraph">
                        <wp:posOffset>4554220</wp:posOffset>
                      </wp:positionV>
                      <wp:extent cx="1917700" cy="12700"/>
                      <wp:effectExtent l="0" t="53340" r="6350" b="67310"/>
                      <wp:wrapNone/>
                      <wp:docPr id="220" name="直接连接符 220"/>
                      <wp:cNvGraphicFramePr/>
                      <a:graphic xmlns:a="http://schemas.openxmlformats.org/drawingml/2006/main">
                        <a:graphicData uri="http://schemas.microsoft.com/office/word/2010/wordprocessingShape">
                          <wps:wsp>
                            <wps:cNvCnPr/>
                            <wps:spPr>
                              <a:xfrm flipH="1" flipV="1">
                                <a:off x="0" y="0"/>
                                <a:ext cx="1917700" cy="12700"/>
                              </a:xfrm>
                              <a:prstGeom prst="line">
                                <a:avLst/>
                              </a:prstGeom>
                              <a:ln w="19050">
                                <a:solidFill>
                                  <a:schemeClr val="accent2"/>
                                </a:solidFill>
                                <a:headEnd type="arrow" w="med" len="med"/>
                                <a:tailEnd type="arrow"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62.1pt;margin-top:358.6pt;height:1pt;width:151pt;z-index:251817984;mso-width-relative:page;mso-height-relative:page;" filled="f" stroked="t" coordsize="21600,21600" o:gfxdata="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ccgf/XAAAACwEAAA8A&#10;AAAAAAAAAQAgAAAAIgAAAGRycy9kb3ducmV2LnhtbFBLAQIUABQAAAAIAIdO4kCzjmPrGAIAACQE&#10;AAAOAAAAAAAAAAEAIAAAACYBAABkcnMvZTJvRG9jLnhtbFBLBQYAAAAABgAGAFkBAACwBQAAAAA=&#10;">
                      <v:fill on="f" focussize="0,0"/>
                      <v:stroke weight="1.5pt" color="#ED7D31 [3205]" miterlimit="8" joinstyle="miter" startarrow="open" endarrow="open"/>
                      <v:imagedata o:title=""/>
                      <o:lock v:ext="edit" aspectratio="f"/>
                    </v:line>
                  </w:pict>
                </mc:Fallback>
              </mc:AlternateContent>
            </w:r>
            <w:r>
              <w:rPr>
                <w:color w:val="auto"/>
                <w:sz w:val="24"/>
              </w:rPr>
              <mc:AlternateContent>
                <mc:Choice Requires="wps">
                  <w:drawing>
                    <wp:anchor distT="0" distB="0" distL="114300" distR="114300" simplePos="0" relativeHeight="251744256" behindDoc="0" locked="0" layoutInCell="1" allowOverlap="1">
                      <wp:simplePos x="0" y="0"/>
                      <wp:positionH relativeFrom="column">
                        <wp:posOffset>228600</wp:posOffset>
                      </wp:positionH>
                      <wp:positionV relativeFrom="paragraph">
                        <wp:posOffset>2143760</wp:posOffset>
                      </wp:positionV>
                      <wp:extent cx="417195" cy="274320"/>
                      <wp:effectExtent l="0" t="0" r="0" b="0"/>
                      <wp:wrapNone/>
                      <wp:docPr id="218" name="矩形 218"/>
                      <wp:cNvGraphicFramePr/>
                      <a:graphic xmlns:a="http://schemas.openxmlformats.org/drawingml/2006/main">
                        <a:graphicData uri="http://schemas.microsoft.com/office/word/2010/wordprocessingShape">
                          <wps:wsp>
                            <wps:cNvSpPr/>
                            <wps:spPr>
                              <a:xfrm>
                                <a:off x="0" y="0"/>
                                <a:ext cx="417195" cy="2743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8F2A4B6">
                                  <w:pPr>
                                    <w:jc w:val="center"/>
                                    <w:rPr>
                                      <w:rFonts w:hint="default" w:eastAsia="宋体"/>
                                      <w:color w:val="FF0000"/>
                                      <w:lang w:val="en-US" w:eastAsia="zh-CN"/>
                                    </w:rPr>
                                  </w:pPr>
                                  <w:r>
                                    <w:rPr>
                                      <w:rFonts w:hint="eastAsia"/>
                                      <w:color w:val="FF0000"/>
                                      <w:lang w:val="en-US" w:eastAsia="zh-CN"/>
                                    </w:rPr>
                                    <w:t>C1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pt;margin-top:168.8pt;height:21.6pt;width:32.85pt;z-index:251744256;v-text-anchor:middle;mso-width-relative:page;mso-height-relative:page;" filled="f" stroked="f" coordsize="21600,21600" o:gfxdata="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LRyI6bYAAAACgEAAA8AAAAAAAAAAQAgAAAAIgAAAGRycy9kb3ducmV2LnhtbFBLAQIUABQA&#10;AAAIAIdO4kCBtOGOYgIAALAEAAAOAAAAAAAAAAEAIAAAACcBAABkcnMvZTJvRG9jLnhtbFBLBQYA&#10;AAAABgAGAFkBAAD7BQAAAAA=&#10;">
                      <v:fill on="f" focussize="0,0"/>
                      <v:stroke on="f" weight="1pt" miterlimit="8" joinstyle="miter"/>
                      <v:imagedata o:title=""/>
                      <o:lock v:ext="edit" aspectratio="f"/>
                      <v:textbox>
                        <w:txbxContent>
                          <w:p w14:paraId="08F2A4B6">
                            <w:pPr>
                              <w:jc w:val="center"/>
                              <w:rPr>
                                <w:rFonts w:hint="default" w:eastAsia="宋体"/>
                                <w:color w:val="FF0000"/>
                                <w:lang w:val="en-US" w:eastAsia="zh-CN"/>
                              </w:rPr>
                            </w:pPr>
                            <w:r>
                              <w:rPr>
                                <w:rFonts w:hint="eastAsia"/>
                                <w:color w:val="FF0000"/>
                                <w:lang w:val="en-US" w:eastAsia="zh-CN"/>
                              </w:rPr>
                              <w:t>C1</w:t>
                            </w:r>
                          </w:p>
                        </w:txbxContent>
                      </v:textbox>
                    </v:rect>
                  </w:pict>
                </mc:Fallback>
              </mc:AlternateContent>
            </w:r>
            <w:r>
              <w:rPr>
                <w:color w:val="auto"/>
                <w:sz w:val="24"/>
              </w:rPr>
              <mc:AlternateContent>
                <mc:Choice Requires="wps">
                  <w:drawing>
                    <wp:anchor distT="0" distB="0" distL="114300" distR="114300" simplePos="0" relativeHeight="251787264" behindDoc="0" locked="0" layoutInCell="1" allowOverlap="1">
                      <wp:simplePos x="0" y="0"/>
                      <wp:positionH relativeFrom="column">
                        <wp:posOffset>1985645</wp:posOffset>
                      </wp:positionH>
                      <wp:positionV relativeFrom="paragraph">
                        <wp:posOffset>1545590</wp:posOffset>
                      </wp:positionV>
                      <wp:extent cx="5715" cy="1534795"/>
                      <wp:effectExtent l="38100" t="0" r="51435" b="8255"/>
                      <wp:wrapNone/>
                      <wp:docPr id="161" name="直接箭头连接符 161"/>
                      <wp:cNvGraphicFramePr/>
                      <a:graphic xmlns:a="http://schemas.openxmlformats.org/drawingml/2006/main">
                        <a:graphicData uri="http://schemas.microsoft.com/office/word/2010/wordprocessingShape">
                          <wps:wsp>
                            <wps:cNvCnPr/>
                            <wps:spPr>
                              <a:xfrm>
                                <a:off x="2697480" y="6351270"/>
                                <a:ext cx="5715" cy="1534795"/>
                              </a:xfrm>
                              <a:prstGeom prst="straightConnector1">
                                <a:avLst/>
                              </a:prstGeom>
                              <a:ln>
                                <a:solidFill>
                                  <a:srgbClr val="FFFF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56.35pt;margin-top:121.7pt;height:120.85pt;width:0.45pt;z-index:251787264;mso-width-relative:page;mso-height-relative:page;" filled="f" stroked="t" coordsize="21600,21600" o:gfxdata="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bvQA79kAAAALAQAADwAAAAAAAAABACAAAAAiAAAAZHJzL2Rvd25yZXYueG1sUEsB&#10;AhQAFAAAAAgAh07iQJcyiNYtAgAANQQAAA4AAAAAAAAAAQAgAAAAKAEAAGRycy9lMm9Eb2MueG1s&#10;UEsFBgAAAAAGAAYAWQEAAMcFAAAAAA==&#10;">
                      <v:fill on="f" focussize="0,0"/>
                      <v:stroke weight="1pt" color="#FFFF00 [3204]" miterlimit="8" joinstyle="miter" startarrow="block" endarrow="block"/>
                      <v:imagedata o:title=""/>
                      <o:lock v:ext="edit" aspectratio="f"/>
                    </v:shape>
                  </w:pict>
                </mc:Fallback>
              </mc:AlternateContent>
            </w:r>
            <w:r>
              <w:rPr>
                <w:color w:val="auto"/>
                <w:sz w:val="24"/>
              </w:rPr>
              <mc:AlternateContent>
                <mc:Choice Requires="wps">
                  <w:drawing>
                    <wp:anchor distT="0" distB="0" distL="114300" distR="114300" simplePos="0" relativeHeight="251741184" behindDoc="0" locked="0" layoutInCell="1" allowOverlap="1">
                      <wp:simplePos x="0" y="0"/>
                      <wp:positionH relativeFrom="column">
                        <wp:posOffset>1630680</wp:posOffset>
                      </wp:positionH>
                      <wp:positionV relativeFrom="paragraph">
                        <wp:posOffset>1457960</wp:posOffset>
                      </wp:positionV>
                      <wp:extent cx="486410" cy="400050"/>
                      <wp:effectExtent l="0" t="0" r="0" b="0"/>
                      <wp:wrapNone/>
                      <wp:docPr id="227" name="矩形 227"/>
                      <wp:cNvGraphicFramePr/>
                      <a:graphic xmlns:a="http://schemas.openxmlformats.org/drawingml/2006/main">
                        <a:graphicData uri="http://schemas.microsoft.com/office/word/2010/wordprocessingShape">
                          <wps:wsp>
                            <wps:cNvSpPr/>
                            <wps:spPr>
                              <a:xfrm>
                                <a:off x="0" y="0"/>
                                <a:ext cx="486410" cy="4000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3CC317F">
                                  <w:pPr>
                                    <w:jc w:val="center"/>
                                    <w:rPr>
                                      <w:rFonts w:hint="default" w:eastAsia="宋体"/>
                                      <w:color w:val="FF0000"/>
                                      <w:sz w:val="18"/>
                                      <w:szCs w:val="16"/>
                                      <w:lang w:val="en-US" w:eastAsia="zh-CN"/>
                                    </w:rPr>
                                  </w:pPr>
                                  <w:r>
                                    <w:rPr>
                                      <w:rFonts w:hint="eastAsia"/>
                                      <w:b/>
                                      <w:bCs/>
                                      <w:color w:val="FF0000"/>
                                      <w:sz w:val="24"/>
                                      <w:szCs w:val="22"/>
                                      <w:lang w:val="en-US" w:eastAsia="zh-CN"/>
                                    </w:rPr>
                                    <w:t>O</w:t>
                                  </w:r>
                                  <w:r>
                                    <w:rPr>
                                      <w:rFonts w:hint="eastAsia"/>
                                      <w:color w:val="FF0000"/>
                                      <w:sz w:val="18"/>
                                      <w:szCs w:val="16"/>
                                      <w:lang w:val="en-US" w:eastAsia="zh-CN"/>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8.4pt;margin-top:114.8pt;height:31.5pt;width:38.3pt;z-index:251741184;v-text-anchor:middle;mso-width-relative:page;mso-height-relative:page;" filled="f" stroked="f" coordsize="21600,21600" o:gfxdata="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dcClC2QAAAAsBAAAPAAAAAAAAAAEAIAAAACIAAABkcnMvZG93bnJldi54bWxQSwECFAAUAAAA&#10;CACHTuJA5y4uoF8CAACwBAAADgAAAAAAAAABACAAAAAoAQAAZHJzL2Uyb0RvYy54bWxQSwUGAAAA&#10;AAYABgBZAQAA+QUAAAAA&#10;">
                      <v:fill on="f" focussize="0,0"/>
                      <v:stroke on="f" weight="1pt" miterlimit="8" joinstyle="miter"/>
                      <v:imagedata o:title=""/>
                      <o:lock v:ext="edit" aspectratio="f"/>
                      <v:textbox>
                        <w:txbxContent>
                          <w:p w14:paraId="63CC317F">
                            <w:pPr>
                              <w:jc w:val="center"/>
                              <w:rPr>
                                <w:rFonts w:hint="default" w:eastAsia="宋体"/>
                                <w:color w:val="FF0000"/>
                                <w:sz w:val="18"/>
                                <w:szCs w:val="16"/>
                                <w:lang w:val="en-US" w:eastAsia="zh-CN"/>
                              </w:rPr>
                            </w:pPr>
                            <w:r>
                              <w:rPr>
                                <w:rFonts w:hint="eastAsia"/>
                                <w:b/>
                                <w:bCs/>
                                <w:color w:val="FF0000"/>
                                <w:sz w:val="24"/>
                                <w:szCs w:val="22"/>
                                <w:lang w:val="en-US" w:eastAsia="zh-CN"/>
                              </w:rPr>
                              <w:t>O</w:t>
                            </w:r>
                            <w:r>
                              <w:rPr>
                                <w:rFonts w:hint="eastAsia"/>
                                <w:color w:val="FF0000"/>
                                <w:sz w:val="18"/>
                                <w:szCs w:val="16"/>
                                <w:lang w:val="en-US" w:eastAsia="zh-CN"/>
                              </w:rPr>
                              <w:t>3</w:t>
                            </w:r>
                          </w:p>
                        </w:txbxContent>
                      </v:textbox>
                    </v:rect>
                  </w:pict>
                </mc:Fallback>
              </mc:AlternateContent>
            </w:r>
            <w:r>
              <w:rPr>
                <w:color w:val="auto"/>
                <w:sz w:val="24"/>
              </w:rPr>
              <mc:AlternateContent>
                <mc:Choice Requires="wps">
                  <w:drawing>
                    <wp:anchor distT="0" distB="0" distL="114300" distR="114300" simplePos="0" relativeHeight="251735040" behindDoc="0" locked="0" layoutInCell="1" allowOverlap="1">
                      <wp:simplePos x="0" y="0"/>
                      <wp:positionH relativeFrom="column">
                        <wp:posOffset>860425</wp:posOffset>
                      </wp:positionH>
                      <wp:positionV relativeFrom="paragraph">
                        <wp:posOffset>2220595</wp:posOffset>
                      </wp:positionV>
                      <wp:extent cx="704850" cy="266700"/>
                      <wp:effectExtent l="0" t="0" r="0" b="0"/>
                      <wp:wrapNone/>
                      <wp:docPr id="210" name="矩形 210"/>
                      <wp:cNvGraphicFramePr/>
                      <a:graphic xmlns:a="http://schemas.openxmlformats.org/drawingml/2006/main">
                        <a:graphicData uri="http://schemas.microsoft.com/office/word/2010/wordprocessingShape">
                          <wps:wsp>
                            <wps:cNvSpPr/>
                            <wps:spPr>
                              <a:xfrm>
                                <a:off x="0" y="0"/>
                                <a:ext cx="7048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40D55D1">
                                  <w:pPr>
                                    <w:jc w:val="center"/>
                                    <w:rPr>
                                      <w:rFonts w:hint="default" w:eastAsia="宋体"/>
                                      <w:b/>
                                      <w:bCs/>
                                      <w:sz w:val="13"/>
                                      <w:szCs w:val="11"/>
                                      <w:lang w:val="en-US" w:eastAsia="zh-CN"/>
                                    </w:rPr>
                                  </w:pPr>
                                  <w:r>
                                    <w:rPr>
                                      <w:rFonts w:hint="eastAsia"/>
                                      <w:b/>
                                      <w:bCs/>
                                      <w:sz w:val="13"/>
                                      <w:szCs w:val="11"/>
                                      <w:lang w:val="en-US" w:eastAsia="zh-CN"/>
                                    </w:rPr>
                                    <w:t>2310mm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7.75pt;margin-top:174.85pt;height:21pt;width:55.5pt;z-index:251735040;v-text-anchor:middle;mso-width-relative:page;mso-height-relative:page;" filled="f" stroked="f" coordsize="21600,21600" o:gfxdata="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HZHJp/YAAAACwEAAA8AAAAAAAAAAQAgAAAAIgAAAGRycy9kb3ducmV2LnhtbFBLAQIUABQAAAAI&#10;AIdO4kDprb4QXwIAALAEAAAOAAAAAAAAAAEAIAAAACcBAABkcnMvZTJvRG9jLnhtbFBLBQYAAAAA&#10;BgAGAFkBAAD4BQAAAAA=&#10;">
                      <v:fill on="f" focussize="0,0"/>
                      <v:stroke on="f" weight="1pt" miterlimit="8" joinstyle="miter"/>
                      <v:imagedata o:title=""/>
                      <o:lock v:ext="edit" aspectratio="f"/>
                      <v:textbox>
                        <w:txbxContent>
                          <w:p w14:paraId="140D55D1">
                            <w:pPr>
                              <w:jc w:val="center"/>
                              <w:rPr>
                                <w:rFonts w:hint="default" w:eastAsia="宋体"/>
                                <w:b/>
                                <w:bCs/>
                                <w:sz w:val="13"/>
                                <w:szCs w:val="11"/>
                                <w:lang w:val="en-US" w:eastAsia="zh-CN"/>
                              </w:rPr>
                            </w:pPr>
                            <w:r>
                              <w:rPr>
                                <w:rFonts w:hint="eastAsia"/>
                                <w:b/>
                                <w:bCs/>
                                <w:sz w:val="13"/>
                                <w:szCs w:val="11"/>
                                <w:lang w:val="en-US" w:eastAsia="zh-CN"/>
                              </w:rPr>
                              <w:t>2310mm</w:t>
                            </w:r>
                          </w:p>
                        </w:txbxContent>
                      </v:textbox>
                    </v:rect>
                  </w:pict>
                </mc:Fallback>
              </mc:AlternateContent>
            </w:r>
            <w:r>
              <w:rPr>
                <w:color w:val="auto"/>
                <w:sz w:val="24"/>
              </w:rPr>
              <mc:AlternateContent>
                <mc:Choice Requires="wps">
                  <w:drawing>
                    <wp:anchor distT="0" distB="0" distL="114300" distR="114300" simplePos="0" relativeHeight="251812864" behindDoc="0" locked="0" layoutInCell="1" allowOverlap="1">
                      <wp:simplePos x="0" y="0"/>
                      <wp:positionH relativeFrom="column">
                        <wp:posOffset>-5080</wp:posOffset>
                      </wp:positionH>
                      <wp:positionV relativeFrom="paragraph">
                        <wp:posOffset>4068445</wp:posOffset>
                      </wp:positionV>
                      <wp:extent cx="800100" cy="3810"/>
                      <wp:effectExtent l="0" t="0" r="0" b="0"/>
                      <wp:wrapNone/>
                      <wp:docPr id="198" name="直接连接符 198"/>
                      <wp:cNvGraphicFramePr/>
                      <a:graphic xmlns:a="http://schemas.openxmlformats.org/drawingml/2006/main">
                        <a:graphicData uri="http://schemas.microsoft.com/office/word/2010/wordprocessingShape">
                          <wps:wsp>
                            <wps:cNvCnPr/>
                            <wps:spPr>
                              <a:xfrm flipV="1">
                                <a:off x="0" y="0"/>
                                <a:ext cx="800100" cy="3810"/>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0.4pt;margin-top:320.35pt;height:0.3pt;width:63pt;z-index:251812864;mso-width-relative:page;mso-height-relative:page;" filled="f" stroked="t" coordsize="21600,21600" o:gfxdata="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LN5b&#10;ZtUAAAAJAQAADwAAAAAAAAABACAAAAAiAAAAZHJzL2Rvd25yZXYueG1sUEsBAhQAFAAAAAgAh07i&#10;QNr5PE3sAQAAwgMAAA4AAAAAAAAAAQAgAAAAJAEAAGRycy9lMm9Eb2MueG1sUEsFBgAAAAAGAAYA&#10;WQEAAIIFAAAAAA==&#10;">
                      <v:fill on="f" focussize="0,0"/>
                      <v:stroke weight="1.5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815936" behindDoc="0" locked="0" layoutInCell="1" allowOverlap="1">
                      <wp:simplePos x="0" y="0"/>
                      <wp:positionH relativeFrom="column">
                        <wp:posOffset>775970</wp:posOffset>
                      </wp:positionH>
                      <wp:positionV relativeFrom="paragraph">
                        <wp:posOffset>4072255</wp:posOffset>
                      </wp:positionV>
                      <wp:extent cx="6985" cy="507365"/>
                      <wp:effectExtent l="9525" t="0" r="21590" b="6985"/>
                      <wp:wrapNone/>
                      <wp:docPr id="206" name="直接连接符 206"/>
                      <wp:cNvGraphicFramePr/>
                      <a:graphic xmlns:a="http://schemas.openxmlformats.org/drawingml/2006/main">
                        <a:graphicData uri="http://schemas.microsoft.com/office/word/2010/wordprocessingShape">
                          <wps:wsp>
                            <wps:cNvCnPr/>
                            <wps:spPr>
                              <a:xfrm flipV="1">
                                <a:off x="0" y="0"/>
                                <a:ext cx="6985" cy="507365"/>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61.1pt;margin-top:320.65pt;height:39.95pt;width:0.55pt;z-index:251815936;mso-width-relative:page;mso-height-relative:page;" filled="f" stroked="t" coordsize="21600,21600" o:gfxdata="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nJLtJ9cAAAALAQAADwAAAAAAAAABACAAAAAiAAAAZHJzL2Rvd25yZXYueG1sUEsBAhQAFAAA&#10;AAgAh07iQKQ66AfwAQAAwgMAAA4AAAAAAAAAAQAgAAAAJgEAAGRycy9lMm9Eb2MueG1sUEsFBgAA&#10;AAAGAAYAWQEAAIgFAAAAAA==&#10;">
                      <v:fill on="f" focussize="0,0"/>
                      <v:stroke weight="1.5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814912" behindDoc="0" locked="0" layoutInCell="1" allowOverlap="1">
                      <wp:simplePos x="0" y="0"/>
                      <wp:positionH relativeFrom="column">
                        <wp:posOffset>6985</wp:posOffset>
                      </wp:positionH>
                      <wp:positionV relativeFrom="paragraph">
                        <wp:posOffset>1701165</wp:posOffset>
                      </wp:positionV>
                      <wp:extent cx="781050" cy="266700"/>
                      <wp:effectExtent l="0" t="0" r="0" b="0"/>
                      <wp:wrapNone/>
                      <wp:docPr id="203" name="矩形 203"/>
                      <wp:cNvGraphicFramePr/>
                      <a:graphic xmlns:a="http://schemas.openxmlformats.org/drawingml/2006/main">
                        <a:graphicData uri="http://schemas.microsoft.com/office/word/2010/wordprocessingShape">
                          <wps:wsp>
                            <wps:cNvSpPr/>
                            <wps:spPr>
                              <a:xfrm>
                                <a:off x="0" y="0"/>
                                <a:ext cx="7810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AE7B6B4">
                                  <w:pPr>
                                    <w:jc w:val="center"/>
                                    <w:rPr>
                                      <w:rFonts w:hint="default" w:eastAsia="宋体"/>
                                      <w:b/>
                                      <w:bCs/>
                                      <w:color w:val="FFFF00"/>
                                      <w:sz w:val="18"/>
                                      <w:szCs w:val="16"/>
                                      <w:lang w:val="en-US" w:eastAsia="zh-CN"/>
                                    </w:rPr>
                                  </w:pPr>
                                  <w:r>
                                    <w:rPr>
                                      <w:rFonts w:hint="eastAsia"/>
                                      <w:b/>
                                      <w:bCs/>
                                      <w:color w:val="FFFF00"/>
                                      <w:sz w:val="18"/>
                                      <w:szCs w:val="16"/>
                                      <w:lang w:val="en-US" w:eastAsia="zh-CN"/>
                                    </w:rPr>
                                    <w:t>4420mm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55pt;margin-top:133.95pt;height:21pt;width:61.5pt;z-index:251814912;v-text-anchor:middle;mso-width-relative:page;mso-height-relative:page;" filled="f" stroked="f" coordsize="21600,21600" o:gfxdata="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vizKb9YAAAAJAQAADwAAAAAAAAABACAAAAAiAAAAZHJzL2Rvd25yZXYueG1sUEsBAhQAFAAAAAgA&#10;h07iQFqXSBhgAgAAsAQAAA4AAAAAAAAAAQAgAAAAJQEAAGRycy9lMm9Eb2MueG1sUEsFBgAAAAAG&#10;AAYAWQEAAPcFAAAAAA==&#10;">
                      <v:fill on="f" focussize="0,0"/>
                      <v:stroke on="f" weight="1pt" miterlimit="8" joinstyle="miter"/>
                      <v:imagedata o:title=""/>
                      <o:lock v:ext="edit" aspectratio="f"/>
                      <v:textbox>
                        <w:txbxContent>
                          <w:p w14:paraId="3AE7B6B4">
                            <w:pPr>
                              <w:jc w:val="center"/>
                              <w:rPr>
                                <w:rFonts w:hint="default" w:eastAsia="宋体"/>
                                <w:b/>
                                <w:bCs/>
                                <w:color w:val="FFFF00"/>
                                <w:sz w:val="18"/>
                                <w:szCs w:val="16"/>
                                <w:lang w:val="en-US" w:eastAsia="zh-CN"/>
                              </w:rPr>
                            </w:pPr>
                            <w:r>
                              <w:rPr>
                                <w:rFonts w:hint="eastAsia"/>
                                <w:b/>
                                <w:bCs/>
                                <w:color w:val="FFFF00"/>
                                <w:sz w:val="18"/>
                                <w:szCs w:val="16"/>
                                <w:lang w:val="en-US" w:eastAsia="zh-CN"/>
                              </w:rPr>
                              <w:t>4420mm</w:t>
                            </w:r>
                          </w:p>
                        </w:txbxContent>
                      </v:textbox>
                    </v:rect>
                  </w:pict>
                </mc:Fallback>
              </mc:AlternateContent>
            </w:r>
            <w:r>
              <w:rPr>
                <w:color w:val="auto"/>
                <w:sz w:val="24"/>
              </w:rPr>
              <mc:AlternateContent>
                <mc:Choice Requires="wps">
                  <w:drawing>
                    <wp:anchor distT="0" distB="0" distL="114300" distR="114300" simplePos="0" relativeHeight="251813888" behindDoc="0" locked="0" layoutInCell="1" allowOverlap="1">
                      <wp:simplePos x="0" y="0"/>
                      <wp:positionH relativeFrom="column">
                        <wp:posOffset>137160</wp:posOffset>
                      </wp:positionH>
                      <wp:positionV relativeFrom="paragraph">
                        <wp:posOffset>567690</wp:posOffset>
                      </wp:positionV>
                      <wp:extent cx="20320" cy="3510280"/>
                      <wp:effectExtent l="53340" t="0" r="59690" b="13970"/>
                      <wp:wrapNone/>
                      <wp:docPr id="202" name="直接连接符 202"/>
                      <wp:cNvGraphicFramePr/>
                      <a:graphic xmlns:a="http://schemas.openxmlformats.org/drawingml/2006/main">
                        <a:graphicData uri="http://schemas.microsoft.com/office/word/2010/wordprocessingShape">
                          <wps:wsp>
                            <wps:cNvCnPr/>
                            <wps:spPr>
                              <a:xfrm flipH="1">
                                <a:off x="0" y="0"/>
                                <a:ext cx="20320" cy="3510280"/>
                              </a:xfrm>
                              <a:prstGeom prst="line">
                                <a:avLst/>
                              </a:prstGeom>
                              <a:ln w="19050">
                                <a:solidFill>
                                  <a:schemeClr val="accent2"/>
                                </a:solidFill>
                                <a:headEnd type="arrow" w="med" len="med"/>
                                <a:tailEnd type="arrow"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0.8pt;margin-top:44.7pt;height:276.4pt;width:1.6pt;z-index:251813888;mso-width-relative:page;mso-height-relative:page;" filled="f" stroked="t" coordsize="21600,21600" o:gfxdata="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PPce/bVAAAACAEAAA8AAAAA&#10;AAAAAQAgAAAAIgAAAGRycy9kb3ducmV2LnhtbFBLAQIUABQAAAAIAIdO4kCbEKmeFwIAABoEAAAO&#10;AAAAAAAAAAEAIAAAACQBAABkcnMvZTJvRG9jLnhtbFBLBQYAAAAABgAGAFkBAACtBQAAAAA=&#10;">
                      <v:fill on="f" focussize="0,0"/>
                      <v:stroke weight="1.5pt" color="#ED7D31 [3205]" miterlimit="8" joinstyle="miter" startarrow="open" endarrow="open"/>
                      <v:imagedata o:title=""/>
                      <o:lock v:ext="edit" aspectratio="f"/>
                    </v:line>
                  </w:pict>
                </mc:Fallback>
              </mc:AlternateContent>
            </w:r>
            <w:r>
              <w:rPr>
                <w:color w:val="auto"/>
                <w:sz w:val="24"/>
              </w:rPr>
              <mc:AlternateContent>
                <mc:Choice Requires="wps">
                  <w:drawing>
                    <wp:anchor distT="0" distB="0" distL="114300" distR="114300" simplePos="0" relativeHeight="251811840" behindDoc="0" locked="0" layoutInCell="1" allowOverlap="1">
                      <wp:simplePos x="0" y="0"/>
                      <wp:positionH relativeFrom="column">
                        <wp:posOffset>6985</wp:posOffset>
                      </wp:positionH>
                      <wp:positionV relativeFrom="paragraph">
                        <wp:posOffset>559435</wp:posOffset>
                      </wp:positionV>
                      <wp:extent cx="800100" cy="3810"/>
                      <wp:effectExtent l="0" t="0" r="0" b="0"/>
                      <wp:wrapNone/>
                      <wp:docPr id="183" name="直接连接符 183"/>
                      <wp:cNvGraphicFramePr/>
                      <a:graphic xmlns:a="http://schemas.openxmlformats.org/drawingml/2006/main">
                        <a:graphicData uri="http://schemas.microsoft.com/office/word/2010/wordprocessingShape">
                          <wps:wsp>
                            <wps:cNvCnPr/>
                            <wps:spPr>
                              <a:xfrm flipV="1">
                                <a:off x="0" y="0"/>
                                <a:ext cx="800100" cy="3810"/>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0.55pt;margin-top:44.05pt;height:0.3pt;width:63pt;z-index:251811840;mso-width-relative:page;mso-height-relative:page;" filled="f" stroked="t" coordsize="21600,21600" o:gfxdata="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qoF4&#10;B9MAAAAHAQAADwAAAAAAAAABACAAAAAiAAAAZHJzL2Rvd25yZXYueG1sUEsBAhQAFAAAAAgAh07i&#10;QOsU7LPuAQAAwgMAAA4AAAAAAAAAAQAgAAAAIgEAAGRycy9lMm9Eb2MueG1sUEsFBgAAAAAGAAYA&#10;WQEAAIIFAAAAAA==&#10;">
                      <v:fill on="f" focussize="0,0"/>
                      <v:stroke weight="1.5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96480" behindDoc="0" locked="0" layoutInCell="1" allowOverlap="1">
                      <wp:simplePos x="0" y="0"/>
                      <wp:positionH relativeFrom="column">
                        <wp:posOffset>1025525</wp:posOffset>
                      </wp:positionH>
                      <wp:positionV relativeFrom="paragraph">
                        <wp:posOffset>3976370</wp:posOffset>
                      </wp:positionV>
                      <wp:extent cx="572770" cy="266700"/>
                      <wp:effectExtent l="0" t="0" r="0" b="0"/>
                      <wp:wrapNone/>
                      <wp:docPr id="26" name="矩形 26"/>
                      <wp:cNvGraphicFramePr/>
                      <a:graphic xmlns:a="http://schemas.openxmlformats.org/drawingml/2006/main">
                        <a:graphicData uri="http://schemas.microsoft.com/office/word/2010/wordprocessingShape">
                          <wps:wsp>
                            <wps:cNvSpPr/>
                            <wps:spPr>
                              <a:xfrm>
                                <a:off x="0" y="0"/>
                                <a:ext cx="57277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847D7D5">
                                  <w:pPr>
                                    <w:jc w:val="center"/>
                                    <w:rPr>
                                      <w:rFonts w:hint="default" w:eastAsia="宋体"/>
                                      <w:b/>
                                      <w:bCs/>
                                      <w:color w:val="FFFF00"/>
                                      <w:sz w:val="13"/>
                                      <w:szCs w:val="11"/>
                                      <w:lang w:val="en-US" w:eastAsia="zh-CN"/>
                                    </w:rPr>
                                  </w:pPr>
                                  <w:r>
                                    <w:rPr>
                                      <w:rFonts w:hint="eastAsia"/>
                                      <w:b/>
                                      <w:bCs/>
                                      <w:color w:val="FFFF00"/>
                                      <w:sz w:val="13"/>
                                      <w:szCs w:val="11"/>
                                      <w:lang w:val="en-US" w:eastAsia="zh-CN"/>
                                    </w:rPr>
                                    <w:t>141mm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0.75pt;margin-top:313.1pt;height:21pt;width:45.1pt;z-index:251796480;v-text-anchor:middle;mso-width-relative:page;mso-height-relative:page;" filled="f" stroked="f" coordsize="21600,21600" o:gfxdata="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V&#10;kxpq1wAAAAsBAAAPAAAAAAAAAAEAIAAAACIAAABkcnMvZG93bnJldi54bWxQSwECFAAUAAAACACH&#10;TuJAiIPj8V4CAACuBAAADgAAAAAAAAABACAAAAAmAQAAZHJzL2Uyb0RvYy54bWxQSwUGAAAAAAYA&#10;BgBZAQAA9gUAAAAA&#10;">
                      <v:fill on="f" focussize="0,0"/>
                      <v:stroke on="f" weight="1pt" miterlimit="8" joinstyle="miter"/>
                      <v:imagedata o:title=""/>
                      <o:lock v:ext="edit" aspectratio="f"/>
                      <v:textbox>
                        <w:txbxContent>
                          <w:p w14:paraId="5847D7D5">
                            <w:pPr>
                              <w:jc w:val="center"/>
                              <w:rPr>
                                <w:rFonts w:hint="default" w:eastAsia="宋体"/>
                                <w:b/>
                                <w:bCs/>
                                <w:color w:val="FFFF00"/>
                                <w:sz w:val="13"/>
                                <w:szCs w:val="11"/>
                                <w:lang w:val="en-US" w:eastAsia="zh-CN"/>
                              </w:rPr>
                            </w:pPr>
                            <w:r>
                              <w:rPr>
                                <w:rFonts w:hint="eastAsia"/>
                                <w:b/>
                                <w:bCs/>
                                <w:color w:val="FFFF00"/>
                                <w:sz w:val="13"/>
                                <w:szCs w:val="11"/>
                                <w:lang w:val="en-US" w:eastAsia="zh-CN"/>
                              </w:rPr>
                              <w:t>141mm</w:t>
                            </w:r>
                          </w:p>
                        </w:txbxContent>
                      </v:textbox>
                    </v:rect>
                  </w:pict>
                </mc:Fallback>
              </mc:AlternateContent>
            </w:r>
            <w:r>
              <w:rPr>
                <w:color w:val="auto"/>
                <w:sz w:val="24"/>
              </w:rPr>
              <mc:AlternateContent>
                <mc:Choice Requires="wps">
                  <w:drawing>
                    <wp:anchor distT="0" distB="0" distL="114300" distR="114300" simplePos="0" relativeHeight="251795456" behindDoc="0" locked="0" layoutInCell="1" allowOverlap="1">
                      <wp:simplePos x="0" y="0"/>
                      <wp:positionH relativeFrom="column">
                        <wp:posOffset>1138555</wp:posOffset>
                      </wp:positionH>
                      <wp:positionV relativeFrom="paragraph">
                        <wp:posOffset>4061460</wp:posOffset>
                      </wp:positionV>
                      <wp:extent cx="635" cy="130175"/>
                      <wp:effectExtent l="19050" t="0" r="37465" b="3175"/>
                      <wp:wrapNone/>
                      <wp:docPr id="25" name="直接连接符 25"/>
                      <wp:cNvGraphicFramePr/>
                      <a:graphic xmlns:a="http://schemas.openxmlformats.org/drawingml/2006/main">
                        <a:graphicData uri="http://schemas.microsoft.com/office/word/2010/wordprocessingShape">
                          <wps:wsp>
                            <wps:cNvCnPr/>
                            <wps:spPr>
                              <a:xfrm flipH="1">
                                <a:off x="0" y="0"/>
                                <a:ext cx="635" cy="130175"/>
                              </a:xfrm>
                              <a:prstGeom prst="line">
                                <a:avLst/>
                              </a:prstGeom>
                              <a:ln w="38100">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89.65pt;margin-top:319.8pt;height:10.25pt;width:0.05pt;z-index:251795456;mso-width-relative:page;mso-height-relative:page;" filled="f" stroked="t" coordsize="21600,21600" o:gfxdata="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sUadc1wAAAAsBAAAPAAAAAAAAAAEAIAAAACIAAABkcnMvZG93bnJldi54bWxQSwECFAAU&#10;AAAACACHTuJAE6kMpfIBAAC/AwAADgAAAAAAAAABACAAAAAmAQAAZHJzL2Uyb0RvYy54bWxQSwUG&#10;AAAAAAYABgBZAQAAigUAAAAA&#10;">
                      <v:fill on="f" focussize="0,0"/>
                      <v:stroke weight="3pt" color="#FFFF00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86240" behindDoc="0" locked="0" layoutInCell="1" allowOverlap="1">
                      <wp:simplePos x="0" y="0"/>
                      <wp:positionH relativeFrom="column">
                        <wp:posOffset>1130935</wp:posOffset>
                      </wp:positionH>
                      <wp:positionV relativeFrom="paragraph">
                        <wp:posOffset>561975</wp:posOffset>
                      </wp:positionV>
                      <wp:extent cx="1270" cy="177165"/>
                      <wp:effectExtent l="19050" t="0" r="36830" b="13335"/>
                      <wp:wrapNone/>
                      <wp:docPr id="160" name="直接连接符 160"/>
                      <wp:cNvGraphicFramePr/>
                      <a:graphic xmlns:a="http://schemas.openxmlformats.org/drawingml/2006/main">
                        <a:graphicData uri="http://schemas.microsoft.com/office/word/2010/wordprocessingShape">
                          <wps:wsp>
                            <wps:cNvCnPr/>
                            <wps:spPr>
                              <a:xfrm flipH="1">
                                <a:off x="2201545" y="4873625"/>
                                <a:ext cx="1270" cy="177165"/>
                              </a:xfrm>
                              <a:prstGeom prst="line">
                                <a:avLst/>
                              </a:prstGeom>
                              <a:ln w="38100">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89.05pt;margin-top:44.25pt;height:13.95pt;width:0.1pt;z-index:251786240;mso-width-relative:page;mso-height-relative:page;" filled="f" stroked="t" coordsize="21600,21600" o:gfxdata="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Jpybm1gAAAAoBAAAPAAAAAAAAAAEAIAAAACIAAABkcnMvZG93bnJl&#10;di54bWxQSwECFAAUAAAACACHTuJAjZ7Y0f8BAADOAwAADgAAAAAAAAABACAAAAAlAQAAZHJzL2Uy&#10;b0RvYy54bWxQSwUGAAAAAAYABgBZAQAAlgUAAAAA&#10;">
                      <v:fill on="f" focussize="0,0"/>
                      <v:stroke weight="3pt" color="#FFFF00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99552" behindDoc="0" locked="0" layoutInCell="1" allowOverlap="1">
                      <wp:simplePos x="0" y="0"/>
                      <wp:positionH relativeFrom="column">
                        <wp:posOffset>2567940</wp:posOffset>
                      </wp:positionH>
                      <wp:positionV relativeFrom="paragraph">
                        <wp:posOffset>1134110</wp:posOffset>
                      </wp:positionV>
                      <wp:extent cx="139700" cy="0"/>
                      <wp:effectExtent l="0" t="19050" r="12700" b="19050"/>
                      <wp:wrapNone/>
                      <wp:docPr id="158" name="直接连接符 158"/>
                      <wp:cNvGraphicFramePr/>
                      <a:graphic xmlns:a="http://schemas.openxmlformats.org/drawingml/2006/main">
                        <a:graphicData uri="http://schemas.microsoft.com/office/word/2010/wordprocessingShape">
                          <wps:wsp>
                            <wps:cNvCnPr/>
                            <wps:spPr>
                              <a:xfrm>
                                <a:off x="0" y="0"/>
                                <a:ext cx="139700" cy="0"/>
                              </a:xfrm>
                              <a:prstGeom prst="line">
                                <a:avLst/>
                              </a:prstGeom>
                              <a:ln w="38100">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02.2pt;margin-top:89.3pt;height:0pt;width:11pt;z-index:251799552;mso-width-relative:page;mso-height-relative:page;" filled="f" stroked="t" coordsize="21600,21600" o:gfxdata="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KRHt6dUAAAAL&#10;AQAADwAAAAAAAAABACAAAAAiAAAAZHJzL2Rvd25yZXYueG1sUEsBAhQAFAAAAAgAh07iQCm4HE7m&#10;AQAAtQMAAA4AAAAAAAAAAQAgAAAAJAEAAGRycy9lMm9Eb2MueG1sUEsFBgAAAAAGAAYAWQEAAHwF&#10;AAAAAA==&#10;">
                      <v:fill on="f" focussize="0,0"/>
                      <v:stroke weight="3pt" color="#FFFF00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98528" behindDoc="0" locked="0" layoutInCell="1" allowOverlap="1">
                      <wp:simplePos x="0" y="0"/>
                      <wp:positionH relativeFrom="column">
                        <wp:posOffset>520700</wp:posOffset>
                      </wp:positionH>
                      <wp:positionV relativeFrom="paragraph">
                        <wp:posOffset>1173480</wp:posOffset>
                      </wp:positionV>
                      <wp:extent cx="742950" cy="266700"/>
                      <wp:effectExtent l="0" t="0" r="0" b="0"/>
                      <wp:wrapNone/>
                      <wp:docPr id="148" name="矩形 148"/>
                      <wp:cNvGraphicFramePr/>
                      <a:graphic xmlns:a="http://schemas.openxmlformats.org/drawingml/2006/main">
                        <a:graphicData uri="http://schemas.microsoft.com/office/word/2010/wordprocessingShape">
                          <wps:wsp>
                            <wps:cNvSpPr/>
                            <wps:spPr>
                              <a:xfrm>
                                <a:off x="0" y="0"/>
                                <a:ext cx="7429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C0F77B2">
                                  <w:pPr>
                                    <w:jc w:val="center"/>
                                    <w:rPr>
                                      <w:rFonts w:hint="default" w:eastAsia="宋体"/>
                                      <w:b/>
                                      <w:bCs/>
                                      <w:color w:val="FFFF00"/>
                                      <w:sz w:val="16"/>
                                      <w:szCs w:val="15"/>
                                      <w:lang w:val="en-US" w:eastAsia="zh-CN"/>
                                    </w:rPr>
                                  </w:pPr>
                                  <w:r>
                                    <w:rPr>
                                      <w:rFonts w:hint="eastAsia"/>
                                      <w:b/>
                                      <w:bCs/>
                                      <w:color w:val="FFFF00"/>
                                      <w:sz w:val="16"/>
                                      <w:szCs w:val="15"/>
                                      <w:lang w:val="en-US" w:eastAsia="zh-CN"/>
                                    </w:rPr>
                                    <w:t>210mm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pt;margin-top:92.4pt;height:21pt;width:58.5pt;z-index:251798528;v-text-anchor:middle;mso-width-relative:page;mso-height-relative:page;" filled="f" stroked="f" coordsize="21600,21600" o:gfxdata="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JIxQPtcAAAAKAQAADwAAAAAAAAABACAAAAAiAAAAZHJzL2Rvd25yZXYueG1sUEsBAhQAFAAAAAgA&#10;h07iQBh59K5fAgAAsAQAAA4AAAAAAAAAAQAgAAAAJgEAAGRycy9lMm9Eb2MueG1sUEsFBgAAAAAG&#10;AAYAWQEAAPcFAAAAAA==&#10;">
                      <v:fill on="f" focussize="0,0"/>
                      <v:stroke on="f" weight="1pt" miterlimit="8" joinstyle="miter"/>
                      <v:imagedata o:title=""/>
                      <o:lock v:ext="edit" aspectratio="f"/>
                      <v:textbox>
                        <w:txbxContent>
                          <w:p w14:paraId="4C0F77B2">
                            <w:pPr>
                              <w:jc w:val="center"/>
                              <w:rPr>
                                <w:rFonts w:hint="default" w:eastAsia="宋体"/>
                                <w:b/>
                                <w:bCs/>
                                <w:color w:val="FFFF00"/>
                                <w:sz w:val="16"/>
                                <w:szCs w:val="15"/>
                                <w:lang w:val="en-US" w:eastAsia="zh-CN"/>
                              </w:rPr>
                            </w:pPr>
                            <w:r>
                              <w:rPr>
                                <w:rFonts w:hint="eastAsia"/>
                                <w:b/>
                                <w:bCs/>
                                <w:color w:val="FFFF00"/>
                                <w:sz w:val="16"/>
                                <w:szCs w:val="15"/>
                                <w:lang w:val="en-US" w:eastAsia="zh-CN"/>
                              </w:rPr>
                              <w:t>210mm</w:t>
                            </w:r>
                          </w:p>
                        </w:txbxContent>
                      </v:textbox>
                    </v:rect>
                  </w:pict>
                </mc:Fallback>
              </mc:AlternateContent>
            </w:r>
            <w:r>
              <w:rPr>
                <w:color w:val="auto"/>
                <w:sz w:val="24"/>
              </w:rPr>
              <mc:AlternateContent>
                <mc:Choice Requires="wps">
                  <w:drawing>
                    <wp:anchor distT="0" distB="0" distL="114300" distR="114300" simplePos="0" relativeHeight="251797504" behindDoc="0" locked="0" layoutInCell="1" allowOverlap="1">
                      <wp:simplePos x="0" y="0"/>
                      <wp:positionH relativeFrom="column">
                        <wp:posOffset>786765</wp:posOffset>
                      </wp:positionH>
                      <wp:positionV relativeFrom="paragraph">
                        <wp:posOffset>1221740</wp:posOffset>
                      </wp:positionV>
                      <wp:extent cx="139700" cy="0"/>
                      <wp:effectExtent l="0" t="19050" r="12700" b="19050"/>
                      <wp:wrapNone/>
                      <wp:docPr id="78" name="直接连接符 78"/>
                      <wp:cNvGraphicFramePr/>
                      <a:graphic xmlns:a="http://schemas.openxmlformats.org/drawingml/2006/main">
                        <a:graphicData uri="http://schemas.microsoft.com/office/word/2010/wordprocessingShape">
                          <wps:wsp>
                            <wps:cNvCnPr/>
                            <wps:spPr>
                              <a:xfrm>
                                <a:off x="0" y="0"/>
                                <a:ext cx="139700" cy="0"/>
                              </a:xfrm>
                              <a:prstGeom prst="line">
                                <a:avLst/>
                              </a:prstGeom>
                              <a:ln w="38100">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61.95pt;margin-top:96.2pt;height:0pt;width:11pt;z-index:251797504;mso-width-relative:page;mso-height-relative:page;" filled="f" stroked="t" coordsize="21600,21600" o:gfxdata="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UIpaw1QAAAAsB&#10;AAAPAAAAAAAAAAEAIAAAACIAAABkcnMvZG93bnJldi54bWxQSwECFAAUAAAACACHTuJAmmaYueUB&#10;AACzAwAADgAAAAAAAAABACAAAAAkAQAAZHJzL2Uyb0RvYy54bWxQSwUGAAAAAAYABgBZAQAAewUA&#10;AAAA&#10;">
                      <v:fill on="f" focussize="0,0"/>
                      <v:stroke weight="3pt" color="#FFFF00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85216" behindDoc="0" locked="0" layoutInCell="1" allowOverlap="1">
                      <wp:simplePos x="0" y="0"/>
                      <wp:positionH relativeFrom="column">
                        <wp:posOffset>1000760</wp:posOffset>
                      </wp:positionH>
                      <wp:positionV relativeFrom="paragraph">
                        <wp:posOffset>494030</wp:posOffset>
                      </wp:positionV>
                      <wp:extent cx="742950" cy="266700"/>
                      <wp:effectExtent l="0" t="0" r="0" b="0"/>
                      <wp:wrapNone/>
                      <wp:docPr id="159" name="矩形 159"/>
                      <wp:cNvGraphicFramePr/>
                      <a:graphic xmlns:a="http://schemas.openxmlformats.org/drawingml/2006/main">
                        <a:graphicData uri="http://schemas.microsoft.com/office/word/2010/wordprocessingShape">
                          <wps:wsp>
                            <wps:cNvSpPr/>
                            <wps:spPr>
                              <a:xfrm>
                                <a:off x="0" y="0"/>
                                <a:ext cx="7429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BBA776B">
                                  <w:pPr>
                                    <w:jc w:val="center"/>
                                    <w:rPr>
                                      <w:rFonts w:hint="default" w:eastAsia="宋体"/>
                                      <w:b/>
                                      <w:bCs/>
                                      <w:color w:val="FFFF00"/>
                                      <w:sz w:val="16"/>
                                      <w:szCs w:val="15"/>
                                      <w:lang w:val="en-US" w:eastAsia="zh-CN"/>
                                    </w:rPr>
                                  </w:pPr>
                                  <w:r>
                                    <w:rPr>
                                      <w:rFonts w:hint="eastAsia"/>
                                      <w:b/>
                                      <w:bCs/>
                                      <w:color w:val="FFFF00"/>
                                      <w:sz w:val="16"/>
                                      <w:szCs w:val="15"/>
                                      <w:lang w:val="en-US" w:eastAsia="zh-CN"/>
                                    </w:rPr>
                                    <w:t>210mm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8.8pt;margin-top:38.9pt;height:21pt;width:58.5pt;z-index:251785216;v-text-anchor:middle;mso-width-relative:page;mso-height-relative:page;" filled="f" stroked="f" coordsize="21600,21600" o:gfxdata="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4Vx6/XAAAACgEAAA8AAAAAAAAAAQAgAAAAIgAAAGRycy9kb3ducmV2LnhtbFBLAQIUABQAAAAI&#10;AIdO4kCMneQeYAIAALAEAAAOAAAAAAAAAAEAIAAAACYBAABkcnMvZTJvRG9jLnhtbFBLBQYAAAAA&#10;BgAGAFkBAAD4BQAAAAA=&#10;">
                      <v:fill on="f" focussize="0,0"/>
                      <v:stroke on="f" weight="1pt" miterlimit="8" joinstyle="miter"/>
                      <v:imagedata o:title=""/>
                      <o:lock v:ext="edit" aspectratio="f"/>
                      <v:textbox>
                        <w:txbxContent>
                          <w:p w14:paraId="5BBA776B">
                            <w:pPr>
                              <w:jc w:val="center"/>
                              <w:rPr>
                                <w:rFonts w:hint="default" w:eastAsia="宋体"/>
                                <w:b/>
                                <w:bCs/>
                                <w:color w:val="FFFF00"/>
                                <w:sz w:val="16"/>
                                <w:szCs w:val="15"/>
                                <w:lang w:val="en-US" w:eastAsia="zh-CN"/>
                              </w:rPr>
                            </w:pPr>
                            <w:r>
                              <w:rPr>
                                <w:rFonts w:hint="eastAsia"/>
                                <w:b/>
                                <w:bCs/>
                                <w:color w:val="FFFF00"/>
                                <w:sz w:val="16"/>
                                <w:szCs w:val="15"/>
                                <w:lang w:val="en-US" w:eastAsia="zh-CN"/>
                              </w:rPr>
                              <w:t>210mm</w:t>
                            </w:r>
                          </w:p>
                        </w:txbxContent>
                      </v:textbox>
                    </v:rect>
                  </w:pict>
                </mc:Fallback>
              </mc:AlternateContent>
            </w:r>
            <w:r>
              <w:rPr>
                <w:color w:val="auto"/>
                <w:sz w:val="24"/>
              </w:rPr>
              <mc:AlternateContent>
                <mc:Choice Requires="wps">
                  <w:drawing>
                    <wp:anchor distT="0" distB="0" distL="114300" distR="114300" simplePos="0" relativeHeight="251735040" behindDoc="0" locked="0" layoutInCell="1" allowOverlap="1">
                      <wp:simplePos x="0" y="0"/>
                      <wp:positionH relativeFrom="column">
                        <wp:posOffset>1627505</wp:posOffset>
                      </wp:positionH>
                      <wp:positionV relativeFrom="paragraph">
                        <wp:posOffset>3353435</wp:posOffset>
                      </wp:positionV>
                      <wp:extent cx="742950" cy="266700"/>
                      <wp:effectExtent l="0" t="0" r="0" b="0"/>
                      <wp:wrapNone/>
                      <wp:docPr id="209" name="矩形 209"/>
                      <wp:cNvGraphicFramePr/>
                      <a:graphic xmlns:a="http://schemas.openxmlformats.org/drawingml/2006/main">
                        <a:graphicData uri="http://schemas.microsoft.com/office/word/2010/wordprocessingShape">
                          <wps:wsp>
                            <wps:cNvSpPr/>
                            <wps:spPr>
                              <a:xfrm>
                                <a:off x="0" y="0"/>
                                <a:ext cx="742950" cy="2667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8EBE576">
                                  <w:pPr>
                                    <w:jc w:val="center"/>
                                    <w:rPr>
                                      <w:rFonts w:hint="default" w:eastAsia="宋体"/>
                                      <w:b/>
                                      <w:bCs/>
                                      <w:sz w:val="20"/>
                                      <w:szCs w:val="18"/>
                                      <w:lang w:val="en-US" w:eastAsia="zh-CN"/>
                                    </w:rPr>
                                  </w:pPr>
                                  <w:r>
                                    <w:rPr>
                                      <w:rFonts w:hint="eastAsia"/>
                                      <w:b/>
                                      <w:bCs/>
                                      <w:sz w:val="20"/>
                                      <w:szCs w:val="18"/>
                                      <w:lang w:val="en-US" w:eastAsia="zh-CN"/>
                                    </w:rPr>
                                    <w:t>2441mm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8.15pt;margin-top:264.05pt;height:21pt;width:58.5pt;z-index:251735040;v-text-anchor:middle;mso-width-relative:page;mso-height-relative:page;" filled="f" stroked="f" coordsize="21600,21600" o:gfxdata="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3Ns2CtkAAAALAQAADwAAAAAAAAABACAAAAAiAAAAZHJzL2Rvd25yZXYueG1sUEsBAhQAFAAA&#10;AAgAh07iQLwuX6tgAgAAsAQAAA4AAAAAAAAAAQAgAAAAKAEAAGRycy9lMm9Eb2MueG1sUEsFBgAA&#10;AAAGAAYAWQEAAPoFAAAAAA==&#10;">
                      <v:fill on="f" focussize="0,0"/>
                      <v:stroke on="f" weight="1pt" miterlimit="8" joinstyle="miter"/>
                      <v:imagedata o:title=""/>
                      <o:lock v:ext="edit" aspectratio="f"/>
                      <v:textbox>
                        <w:txbxContent>
                          <w:p w14:paraId="18EBE576">
                            <w:pPr>
                              <w:jc w:val="center"/>
                              <w:rPr>
                                <w:rFonts w:hint="default" w:eastAsia="宋体"/>
                                <w:b/>
                                <w:bCs/>
                                <w:sz w:val="20"/>
                                <w:szCs w:val="18"/>
                                <w:lang w:val="en-US" w:eastAsia="zh-CN"/>
                              </w:rPr>
                            </w:pPr>
                            <w:r>
                              <w:rPr>
                                <w:rFonts w:hint="eastAsia"/>
                                <w:b/>
                                <w:bCs/>
                                <w:sz w:val="20"/>
                                <w:szCs w:val="18"/>
                                <w:lang w:val="en-US" w:eastAsia="zh-CN"/>
                              </w:rPr>
                              <w:t>2441mm</w:t>
                            </w:r>
                          </w:p>
                        </w:txbxContent>
                      </v:textbox>
                    </v:rect>
                  </w:pict>
                </mc:Fallback>
              </mc:AlternateContent>
            </w:r>
          </w:p>
          <w:p w14:paraId="1A773F42">
            <w:pPr>
              <w:snapToGrid w:val="0"/>
              <w:ind w:firstLine="422" w:firstLineChars="200"/>
              <w:jc w:val="center"/>
              <w:rPr>
                <w:rFonts w:hint="eastAsia" w:eastAsia="宋体"/>
                <w:b/>
                <w:bCs/>
                <w:color w:val="auto"/>
                <w:spacing w:val="-2"/>
                <w:sz w:val="24"/>
                <w:szCs w:val="24"/>
                <w:highlight w:val="none"/>
                <w:lang w:val="en-US" w:eastAsia="zh-CN"/>
              </w:rPr>
            </w:pPr>
            <w:r>
              <w:rPr>
                <w:rFonts w:hint="eastAsia"/>
                <w:b/>
                <w:color w:val="auto"/>
                <w:szCs w:val="21"/>
                <w:highlight w:val="none"/>
              </w:rPr>
              <w:t>图11-</w:t>
            </w:r>
            <w:r>
              <w:rPr>
                <w:rFonts w:hint="eastAsia"/>
                <w:b/>
                <w:color w:val="auto"/>
                <w:szCs w:val="21"/>
                <w:highlight w:val="none"/>
                <w:lang w:val="en-US" w:eastAsia="zh-CN"/>
              </w:rPr>
              <w:t>2</w:t>
            </w:r>
            <w:r>
              <w:rPr>
                <w:rFonts w:hint="eastAsia"/>
                <w:b/>
                <w:color w:val="auto"/>
                <w:szCs w:val="21"/>
                <w:highlight w:val="none"/>
              </w:rPr>
              <w:t xml:space="preserve"> 定向机射线路径示意图</w:t>
            </w:r>
            <w:r>
              <w:rPr>
                <w:rFonts w:hint="eastAsia"/>
                <w:b/>
                <w:color w:val="auto"/>
                <w:szCs w:val="21"/>
                <w:highlight w:val="none"/>
                <w:lang w:eastAsia="zh-CN"/>
              </w:rPr>
              <w:t>（</w:t>
            </w:r>
            <w:r>
              <w:rPr>
                <w:rFonts w:hint="eastAsia"/>
                <w:b/>
                <w:color w:val="auto"/>
                <w:szCs w:val="21"/>
                <w:highlight w:val="none"/>
                <w:lang w:val="en-US" w:eastAsia="zh-CN"/>
              </w:rPr>
              <w:t>平面图</w:t>
            </w:r>
            <w:r>
              <w:rPr>
                <w:rFonts w:hint="eastAsia"/>
                <w:b/>
                <w:color w:val="auto"/>
                <w:szCs w:val="21"/>
                <w:highlight w:val="none"/>
                <w:lang w:eastAsia="zh-CN"/>
              </w:rPr>
              <w:t>）</w:t>
            </w:r>
          </w:p>
          <w:p w14:paraId="30BD431A">
            <w:pPr>
              <w:pStyle w:val="109"/>
              <w:ind w:left="0" w:leftChars="0" w:firstLine="480" w:firstLineChars="200"/>
              <w:rPr>
                <w:rFonts w:hint="eastAsia"/>
                <w:b/>
                <w:bCs/>
                <w:color w:val="auto"/>
                <w:highlight w:val="none"/>
                <w:lang w:val="en-US" w:eastAsia="zh-CN"/>
              </w:rPr>
            </w:pPr>
            <w:r>
              <w:rPr>
                <w:rFonts w:hint="eastAsia"/>
                <w:color w:val="auto"/>
                <w:highlight w:val="none"/>
                <w:lang w:val="en-US" w:eastAsia="zh-CN"/>
              </w:rPr>
              <w:t>根据图示，</w:t>
            </w:r>
            <w:r>
              <w:rPr>
                <w:rFonts w:hint="eastAsia"/>
                <w:b/>
                <w:bCs/>
                <w:color w:val="auto"/>
                <w:highlight w:val="none"/>
                <w:lang w:val="en-US" w:eastAsia="zh-CN"/>
              </w:rPr>
              <w:t>定向机辐射源点O至各关注点C1、C2、C3、C4、C5的距离R分别为2.31m、1.31m、2.51m、2.441m、2.055m。</w:t>
            </w:r>
          </w:p>
          <w:p w14:paraId="42D17859">
            <w:pPr>
              <w:pStyle w:val="109"/>
              <w:ind w:left="0" w:leftChars="0" w:firstLine="482" w:firstLineChars="200"/>
              <w:rPr>
                <w:rFonts w:hint="default"/>
                <w:color w:val="auto"/>
                <w:highlight w:val="none"/>
                <w:lang w:val="en-US" w:eastAsia="zh-CN"/>
              </w:rPr>
            </w:pPr>
            <w:r>
              <w:rPr>
                <w:rFonts w:hint="eastAsia"/>
                <w:b/>
                <w:bCs/>
                <w:color w:val="auto"/>
                <w:highlight w:val="none"/>
                <w:lang w:val="en-US" w:eastAsia="zh-CN"/>
              </w:rPr>
              <w:t>散射体至各关注点C2、C3、C4、C5的距离Rs分别为1.11m、1.51m、1.441m、2.555m。</w:t>
            </w:r>
          </w:p>
          <w:p w14:paraId="0D3D0119">
            <w:pPr>
              <w:pStyle w:val="109"/>
              <w:ind w:firstLine="480"/>
              <w:rPr>
                <w:color w:val="auto"/>
                <w:highlight w:val="none"/>
              </w:rPr>
            </w:pPr>
            <w:r>
              <w:rPr>
                <w:rFonts w:hint="eastAsia"/>
                <w:color w:val="auto"/>
                <w:highlight w:val="none"/>
              </w:rPr>
              <w:t>1）有用线束预测</w:t>
            </w:r>
          </w:p>
          <w:p w14:paraId="1AABA87A">
            <w:pPr>
              <w:pStyle w:val="109"/>
              <w:ind w:firstLine="480"/>
              <w:rPr>
                <w:color w:val="auto"/>
                <w:highlight w:val="none"/>
              </w:rPr>
            </w:pPr>
            <w:r>
              <w:rPr>
                <w:rFonts w:hint="eastAsia"/>
                <w:color w:val="auto"/>
                <w:highlight w:val="none"/>
              </w:rPr>
              <w:t>①C</w:t>
            </w:r>
            <w:r>
              <w:rPr>
                <w:rFonts w:hint="eastAsia"/>
                <w:color w:val="auto"/>
                <w:highlight w:val="none"/>
                <w:lang w:val="en-US" w:eastAsia="zh-CN"/>
              </w:rPr>
              <w:t>1</w:t>
            </w:r>
            <w:r>
              <w:rPr>
                <w:color w:val="auto"/>
                <w:highlight w:val="none"/>
              </w:rPr>
              <w:t>点（</w:t>
            </w:r>
            <w:r>
              <w:rPr>
                <w:rFonts w:hint="eastAsia"/>
                <w:color w:val="auto"/>
                <w:kern w:val="0"/>
                <w:szCs w:val="21"/>
                <w:highlight w:val="none"/>
                <w:lang w:val="en-US" w:eastAsia="zh-CN" w:bidi="ar"/>
              </w:rPr>
              <w:t>西</w:t>
            </w:r>
            <w:r>
              <w:rPr>
                <w:color w:val="auto"/>
                <w:kern w:val="0"/>
                <w:szCs w:val="21"/>
                <w:highlight w:val="none"/>
                <w:lang w:bidi="ar"/>
              </w:rPr>
              <w:t>侧</w:t>
            </w:r>
            <w:r>
              <w:rPr>
                <w:rFonts w:hint="eastAsia"/>
                <w:color w:val="auto"/>
                <w:kern w:val="0"/>
                <w:szCs w:val="21"/>
                <w:highlight w:val="none"/>
                <w:lang w:bidi="ar"/>
              </w:rPr>
              <w:t>屏蔽墙</w:t>
            </w:r>
            <w:r>
              <w:rPr>
                <w:color w:val="auto"/>
                <w:kern w:val="0"/>
                <w:szCs w:val="21"/>
                <w:highlight w:val="none"/>
                <w:lang w:bidi="ar"/>
              </w:rPr>
              <w:t>外30cm处</w:t>
            </w:r>
            <w:r>
              <w:rPr>
                <w:rFonts w:hint="eastAsia"/>
                <w:color w:val="auto"/>
                <w:kern w:val="0"/>
                <w:szCs w:val="21"/>
                <w:highlight w:val="none"/>
                <w:lang w:val="en-US" w:eastAsia="zh-CN" w:bidi="ar"/>
              </w:rPr>
              <w:t xml:space="preserve"> 2#车间加工区</w:t>
            </w:r>
            <w:r>
              <w:rPr>
                <w:color w:val="auto"/>
                <w:highlight w:val="none"/>
              </w:rPr>
              <w:t>）</w:t>
            </w:r>
          </w:p>
          <w:p w14:paraId="6D176981">
            <w:pPr>
              <w:pStyle w:val="109"/>
              <w:ind w:firstLine="480"/>
              <w:rPr>
                <w:color w:val="auto"/>
                <w:highlight w:val="none"/>
              </w:rPr>
            </w:pPr>
            <w:r>
              <w:rPr>
                <w:rFonts w:hint="eastAsia"/>
                <w:color w:val="auto"/>
                <w:highlight w:val="none"/>
              </w:rPr>
              <w:t>射线路径：</w:t>
            </w:r>
            <w:r>
              <w:rPr>
                <w:color w:val="auto"/>
                <w:highlight w:val="none"/>
              </w:rPr>
              <w:t>O</w:t>
            </w:r>
            <w:r>
              <w:rPr>
                <w:rFonts w:hint="eastAsia"/>
                <w:color w:val="auto"/>
                <w:highlight w:val="none"/>
              </w:rPr>
              <w:t>C1（定向机有用线束透射）</w:t>
            </w:r>
          </w:p>
          <w:p w14:paraId="74125872">
            <w:pPr>
              <w:pStyle w:val="109"/>
              <w:ind w:firstLine="480"/>
              <w:rPr>
                <w:rFonts w:hint="eastAsia" w:eastAsia="宋体" w:cs="Times New Roman"/>
                <w:b/>
                <w:color w:val="auto"/>
                <w:kern w:val="2"/>
                <w:sz w:val="21"/>
                <w:szCs w:val="21"/>
                <w:highlight w:val="none"/>
              </w:rPr>
            </w:pPr>
            <w:r>
              <w:rPr>
                <w:rFonts w:hint="eastAsia"/>
                <w:color w:val="auto"/>
                <w:highlight w:val="none"/>
              </w:rPr>
              <w:t>C1</w:t>
            </w:r>
            <w:r>
              <w:rPr>
                <w:color w:val="auto"/>
                <w:highlight w:val="none"/>
              </w:rPr>
              <w:t>点剂量率计算参数及结果详见下表。</w:t>
            </w:r>
          </w:p>
          <w:p w14:paraId="5C66E9C7">
            <w:pPr>
              <w:pStyle w:val="96"/>
              <w:spacing w:line="240" w:lineRule="auto"/>
              <w:ind w:firstLine="422"/>
              <w:rPr>
                <w:rFonts w:eastAsia="宋体" w:cs="Times New Roman"/>
                <w:b/>
                <w:color w:val="auto"/>
                <w:kern w:val="2"/>
                <w:sz w:val="21"/>
                <w:szCs w:val="21"/>
                <w:highlight w:val="none"/>
              </w:rPr>
            </w:pPr>
            <w:r>
              <w:rPr>
                <w:rFonts w:hint="eastAsia" w:eastAsia="宋体" w:cs="Times New Roman"/>
                <w:b/>
                <w:color w:val="auto"/>
                <w:kern w:val="2"/>
                <w:sz w:val="21"/>
                <w:szCs w:val="21"/>
                <w:highlight w:val="none"/>
              </w:rPr>
              <w:t>表11-</w:t>
            </w:r>
            <w:r>
              <w:rPr>
                <w:rFonts w:hint="eastAsia" w:eastAsia="宋体" w:cs="Times New Roman"/>
                <w:b/>
                <w:color w:val="auto"/>
                <w:kern w:val="2"/>
                <w:sz w:val="21"/>
                <w:szCs w:val="21"/>
                <w:highlight w:val="none"/>
                <w:lang w:val="en-US" w:eastAsia="zh-CN"/>
              </w:rPr>
              <w:t>10</w:t>
            </w:r>
            <w:r>
              <w:rPr>
                <w:rFonts w:hint="eastAsia" w:eastAsia="宋体" w:cs="Times New Roman"/>
                <w:b/>
                <w:color w:val="auto"/>
                <w:kern w:val="2"/>
                <w:sz w:val="21"/>
                <w:szCs w:val="21"/>
                <w:highlight w:val="none"/>
              </w:rPr>
              <w:t xml:space="preserve"> 定向机工作时C1点剂量率计算参数及结果一览表</w:t>
            </w:r>
          </w:p>
          <w:tbl>
            <w:tblPr>
              <w:tblStyle w:val="36"/>
              <w:tblW w:w="499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943"/>
              <w:gridCol w:w="2014"/>
              <w:gridCol w:w="971"/>
              <w:gridCol w:w="978"/>
              <w:gridCol w:w="1241"/>
              <w:gridCol w:w="1104"/>
              <w:gridCol w:w="1175"/>
            </w:tblGrid>
            <w:tr w14:paraId="5D5FC42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302" w:type="pct"/>
                  <w:gridSpan w:val="6"/>
                  <w:tcBorders>
                    <w:tl2br w:val="nil"/>
                    <w:tr2bl w:val="nil"/>
                  </w:tcBorders>
                  <w:vAlign w:val="center"/>
                </w:tcPr>
                <w:p w14:paraId="27A7E94A">
                  <w:pPr>
                    <w:pStyle w:val="97"/>
                    <w:spacing w:line="240" w:lineRule="auto"/>
                    <w:ind w:firstLine="0" w:firstLineChars="0"/>
                    <w:jc w:val="center"/>
                    <w:rPr>
                      <w:rFonts w:cs="Times New Roman"/>
                      <w:b/>
                      <w:bCs w:val="0"/>
                      <w:color w:val="auto"/>
                      <w:sz w:val="21"/>
                      <w:szCs w:val="21"/>
                      <w:highlight w:val="none"/>
                    </w:rPr>
                  </w:pPr>
                  <w:r>
                    <w:rPr>
                      <w:rFonts w:hint="eastAsia" w:cs="Times New Roman"/>
                      <w:b/>
                      <w:bCs w:val="0"/>
                      <w:color w:val="auto"/>
                      <w:sz w:val="21"/>
                      <w:szCs w:val="21"/>
                      <w:highlight w:val="none"/>
                    </w:rPr>
                    <w:t>参数</w:t>
                  </w:r>
                </w:p>
              </w:tc>
              <w:tc>
                <w:tcPr>
                  <w:tcW w:w="697" w:type="pct"/>
                  <w:tcBorders>
                    <w:tl2br w:val="nil"/>
                    <w:tr2bl w:val="nil"/>
                  </w:tcBorders>
                  <w:vAlign w:val="center"/>
                </w:tcPr>
                <w:p w14:paraId="16A407C3">
                  <w:pPr>
                    <w:pStyle w:val="97"/>
                    <w:spacing w:line="240" w:lineRule="auto"/>
                    <w:ind w:firstLine="0" w:firstLineChars="0"/>
                    <w:jc w:val="center"/>
                    <w:rPr>
                      <w:rFonts w:cs="Times New Roman"/>
                      <w:b/>
                      <w:bCs w:val="0"/>
                      <w:color w:val="auto"/>
                      <w:sz w:val="21"/>
                      <w:szCs w:val="21"/>
                      <w:highlight w:val="none"/>
                    </w:rPr>
                  </w:pPr>
                  <w:r>
                    <w:rPr>
                      <w:rFonts w:hint="eastAsia" w:cs="Times New Roman"/>
                      <w:b/>
                      <w:bCs w:val="0"/>
                      <w:color w:val="auto"/>
                      <w:sz w:val="21"/>
                      <w:szCs w:val="21"/>
                      <w:highlight w:val="none"/>
                    </w:rPr>
                    <w:t>结果</w:t>
                  </w:r>
                </w:p>
              </w:tc>
            </w:tr>
            <w:tr w14:paraId="303FD8F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9" w:hRule="atLeast"/>
                <w:jc w:val="center"/>
              </w:trPr>
              <w:tc>
                <w:tcPr>
                  <w:tcW w:w="560" w:type="pct"/>
                  <w:tcBorders>
                    <w:tl2br w:val="nil"/>
                    <w:tr2bl w:val="nil"/>
                  </w:tcBorders>
                  <w:vAlign w:val="center"/>
                </w:tcPr>
                <w:p w14:paraId="20EE960D">
                  <w:pPr>
                    <w:pStyle w:val="97"/>
                    <w:spacing w:line="240" w:lineRule="auto"/>
                    <w:ind w:firstLine="0" w:firstLineChars="0"/>
                    <w:jc w:val="center"/>
                    <w:rPr>
                      <w:rFonts w:cs="Times New Roman"/>
                      <w:b w:val="0"/>
                      <w:bCs/>
                      <w:color w:val="auto"/>
                      <w:sz w:val="21"/>
                      <w:szCs w:val="21"/>
                      <w:highlight w:val="none"/>
                    </w:rPr>
                  </w:pPr>
                  <w:r>
                    <w:rPr>
                      <w:rFonts w:cs="Times New Roman"/>
                      <w:b w:val="0"/>
                      <w:bCs/>
                      <w:color w:val="auto"/>
                      <w:sz w:val="21"/>
                      <w:szCs w:val="21"/>
                      <w:highlight w:val="none"/>
                    </w:rPr>
                    <w:t>I（mA）</w:t>
                  </w:r>
                </w:p>
              </w:tc>
              <w:tc>
                <w:tcPr>
                  <w:tcW w:w="1195" w:type="pct"/>
                  <w:tcBorders>
                    <w:tl2br w:val="nil"/>
                    <w:tr2bl w:val="nil"/>
                  </w:tcBorders>
                  <w:vAlign w:val="center"/>
                </w:tcPr>
                <w:p w14:paraId="6350C1CF">
                  <w:pPr>
                    <w:pStyle w:val="97"/>
                    <w:spacing w:line="240" w:lineRule="auto"/>
                    <w:ind w:firstLine="0" w:firstLineChars="0"/>
                    <w:jc w:val="center"/>
                    <w:rPr>
                      <w:rFonts w:cs="Times New Roman"/>
                      <w:b w:val="0"/>
                      <w:bCs/>
                      <w:color w:val="auto"/>
                      <w:sz w:val="21"/>
                      <w:szCs w:val="21"/>
                      <w:highlight w:val="none"/>
                    </w:rPr>
                  </w:pPr>
                  <w:r>
                    <w:rPr>
                      <w:rFonts w:cs="Times New Roman"/>
                      <w:b w:val="0"/>
                      <w:bCs/>
                      <w:color w:val="auto"/>
                      <w:sz w:val="21"/>
                      <w:szCs w:val="21"/>
                      <w:highlight w:val="none"/>
                    </w:rPr>
                    <w:t>H</w:t>
                  </w:r>
                  <w:r>
                    <w:rPr>
                      <w:rFonts w:cs="Times New Roman"/>
                      <w:b w:val="0"/>
                      <w:bCs/>
                      <w:color w:val="auto"/>
                      <w:sz w:val="21"/>
                      <w:szCs w:val="21"/>
                      <w:highlight w:val="none"/>
                      <w:vertAlign w:val="subscript"/>
                    </w:rPr>
                    <w:t>0</w:t>
                  </w:r>
                  <w:r>
                    <w:rPr>
                      <w:rFonts w:cs="Times New Roman"/>
                      <w:b w:val="0"/>
                      <w:bCs/>
                      <w:color w:val="auto"/>
                      <w:sz w:val="21"/>
                      <w:szCs w:val="21"/>
                      <w:highlight w:val="none"/>
                    </w:rPr>
                    <w:t>(</w:t>
                  </w:r>
                  <w:r>
                    <w:rPr>
                      <w:rFonts w:cs="Times New Roman"/>
                      <w:b w:val="0"/>
                      <w:bCs/>
                      <w:color w:val="auto"/>
                      <w:spacing w:val="-2"/>
                      <w:sz w:val="21"/>
                      <w:szCs w:val="21"/>
                      <w:highlight w:val="none"/>
                    </w:rPr>
                    <w:t>μSv·m</w:t>
                  </w:r>
                  <w:r>
                    <w:rPr>
                      <w:rFonts w:cs="Times New Roman"/>
                      <w:b w:val="0"/>
                      <w:bCs/>
                      <w:color w:val="auto"/>
                      <w:spacing w:val="-2"/>
                      <w:sz w:val="21"/>
                      <w:szCs w:val="21"/>
                      <w:highlight w:val="none"/>
                      <w:vertAlign w:val="superscript"/>
                    </w:rPr>
                    <w:t>2</w:t>
                  </w:r>
                  <w:r>
                    <w:rPr>
                      <w:rFonts w:cs="Times New Roman"/>
                      <w:b w:val="0"/>
                      <w:bCs/>
                      <w:color w:val="auto"/>
                      <w:spacing w:val="-2"/>
                      <w:sz w:val="21"/>
                      <w:szCs w:val="21"/>
                      <w:highlight w:val="none"/>
                    </w:rPr>
                    <w:t>/mA·h</w:t>
                  </w:r>
                  <w:r>
                    <w:rPr>
                      <w:rFonts w:cs="Times New Roman"/>
                      <w:b w:val="0"/>
                      <w:bCs/>
                      <w:color w:val="auto"/>
                      <w:sz w:val="21"/>
                      <w:szCs w:val="21"/>
                      <w:highlight w:val="none"/>
                    </w:rPr>
                    <w:t>)</w:t>
                  </w:r>
                </w:p>
              </w:tc>
              <w:tc>
                <w:tcPr>
                  <w:tcW w:w="576" w:type="pct"/>
                  <w:tcBorders>
                    <w:tl2br w:val="nil"/>
                    <w:tr2bl w:val="nil"/>
                  </w:tcBorders>
                  <w:vAlign w:val="center"/>
                </w:tcPr>
                <w:p w14:paraId="0F2B5B8D">
                  <w:pPr>
                    <w:pStyle w:val="97"/>
                    <w:spacing w:line="240" w:lineRule="auto"/>
                    <w:ind w:firstLine="0" w:firstLineChars="0"/>
                    <w:jc w:val="center"/>
                    <w:rPr>
                      <w:rFonts w:cs="Times New Roman"/>
                      <w:b w:val="0"/>
                      <w:bCs/>
                      <w:color w:val="auto"/>
                      <w:sz w:val="21"/>
                      <w:szCs w:val="21"/>
                      <w:highlight w:val="none"/>
                    </w:rPr>
                  </w:pPr>
                  <w:r>
                    <w:rPr>
                      <w:rFonts w:cs="Times New Roman"/>
                      <w:b w:val="0"/>
                      <w:bCs/>
                      <w:color w:val="auto"/>
                      <w:sz w:val="21"/>
                      <w:szCs w:val="21"/>
                      <w:highlight w:val="none"/>
                    </w:rPr>
                    <w:t>R（m）</w:t>
                  </w:r>
                </w:p>
              </w:tc>
              <w:tc>
                <w:tcPr>
                  <w:tcW w:w="580" w:type="pct"/>
                  <w:tcBorders>
                    <w:tl2br w:val="nil"/>
                    <w:tr2bl w:val="nil"/>
                  </w:tcBorders>
                  <w:vAlign w:val="center"/>
                </w:tcPr>
                <w:p w14:paraId="7BD92814">
                  <w:pPr>
                    <w:pStyle w:val="97"/>
                    <w:spacing w:line="240" w:lineRule="auto"/>
                    <w:ind w:firstLine="0" w:firstLineChars="0"/>
                    <w:jc w:val="center"/>
                    <w:rPr>
                      <w:rFonts w:cs="Times New Roman"/>
                      <w:b w:val="0"/>
                      <w:bCs/>
                      <w:color w:val="auto"/>
                      <w:sz w:val="21"/>
                      <w:szCs w:val="21"/>
                      <w:highlight w:val="none"/>
                    </w:rPr>
                  </w:pPr>
                  <w:r>
                    <w:rPr>
                      <w:rFonts w:cs="Times New Roman"/>
                      <w:b w:val="0"/>
                      <w:bCs/>
                      <w:color w:val="auto"/>
                      <w:sz w:val="21"/>
                      <w:szCs w:val="21"/>
                      <w:highlight w:val="none"/>
                    </w:rPr>
                    <w:t>X（mm）</w:t>
                  </w:r>
                </w:p>
              </w:tc>
              <w:tc>
                <w:tcPr>
                  <w:tcW w:w="736" w:type="pct"/>
                  <w:tcBorders>
                    <w:tl2br w:val="nil"/>
                    <w:tr2bl w:val="nil"/>
                  </w:tcBorders>
                  <w:vAlign w:val="center"/>
                </w:tcPr>
                <w:p w14:paraId="1EB7A1DA">
                  <w:pPr>
                    <w:pStyle w:val="97"/>
                    <w:spacing w:line="240" w:lineRule="auto"/>
                    <w:ind w:firstLine="0" w:firstLineChars="0"/>
                    <w:jc w:val="center"/>
                    <w:rPr>
                      <w:rFonts w:cs="Times New Roman"/>
                      <w:b w:val="0"/>
                      <w:bCs/>
                      <w:color w:val="auto"/>
                      <w:sz w:val="21"/>
                      <w:szCs w:val="21"/>
                      <w:highlight w:val="none"/>
                    </w:rPr>
                  </w:pPr>
                  <w:r>
                    <w:rPr>
                      <w:rFonts w:cs="Times New Roman"/>
                      <w:b w:val="0"/>
                      <w:bCs/>
                      <w:color w:val="auto"/>
                      <w:sz w:val="21"/>
                      <w:szCs w:val="21"/>
                      <w:highlight w:val="none"/>
                    </w:rPr>
                    <w:t>TVL（mm）</w:t>
                  </w:r>
                </w:p>
              </w:tc>
              <w:tc>
                <w:tcPr>
                  <w:tcW w:w="652" w:type="pct"/>
                  <w:tcBorders>
                    <w:tl2br w:val="nil"/>
                    <w:tr2bl w:val="nil"/>
                  </w:tcBorders>
                  <w:vAlign w:val="center"/>
                </w:tcPr>
                <w:p w14:paraId="23948D4E">
                  <w:pPr>
                    <w:pStyle w:val="97"/>
                    <w:spacing w:line="240" w:lineRule="auto"/>
                    <w:ind w:firstLine="0" w:firstLineChars="0"/>
                    <w:jc w:val="center"/>
                    <w:rPr>
                      <w:rFonts w:cs="Times New Roman"/>
                      <w:b w:val="0"/>
                      <w:bCs/>
                      <w:color w:val="auto"/>
                      <w:sz w:val="21"/>
                      <w:szCs w:val="21"/>
                      <w:highlight w:val="none"/>
                    </w:rPr>
                  </w:pPr>
                  <w:r>
                    <w:rPr>
                      <w:rFonts w:cs="Times New Roman"/>
                      <w:b w:val="0"/>
                      <w:bCs/>
                      <w:color w:val="auto"/>
                      <w:sz w:val="21"/>
                      <w:szCs w:val="21"/>
                      <w:highlight w:val="none"/>
                    </w:rPr>
                    <w:t>B</w:t>
                  </w:r>
                </w:p>
              </w:tc>
              <w:tc>
                <w:tcPr>
                  <w:tcW w:w="697" w:type="pct"/>
                  <w:tcBorders>
                    <w:tl2br w:val="nil"/>
                    <w:tr2bl w:val="nil"/>
                  </w:tcBorders>
                  <w:vAlign w:val="center"/>
                </w:tcPr>
                <w:p w14:paraId="626CA813">
                  <w:pPr>
                    <w:pStyle w:val="97"/>
                    <w:spacing w:line="240" w:lineRule="auto"/>
                    <w:ind w:firstLine="0" w:firstLineChars="0"/>
                    <w:jc w:val="center"/>
                    <w:rPr>
                      <w:rFonts w:cs="Times New Roman"/>
                      <w:b w:val="0"/>
                      <w:bCs/>
                      <w:color w:val="auto"/>
                      <w:sz w:val="21"/>
                      <w:szCs w:val="21"/>
                      <w:highlight w:val="none"/>
                    </w:rPr>
                  </w:pPr>
                  <w:r>
                    <w:rPr>
                      <w:rFonts w:cs="Times New Roman"/>
                      <w:b w:val="0"/>
                      <w:bCs/>
                      <w:color w:val="auto"/>
                      <w:sz w:val="21"/>
                      <w:szCs w:val="21"/>
                      <w:highlight w:val="none"/>
                    </w:rPr>
                    <w:t>H</w:t>
                  </w:r>
                  <w:r>
                    <w:rPr>
                      <w:rFonts w:hint="eastAsia" w:cs="Times New Roman"/>
                      <w:b w:val="0"/>
                      <w:bCs/>
                      <w:color w:val="auto"/>
                      <w:sz w:val="21"/>
                      <w:szCs w:val="21"/>
                      <w:highlight w:val="none"/>
                    </w:rPr>
                    <w:t>（</w:t>
                  </w:r>
                  <w:r>
                    <w:rPr>
                      <w:rFonts w:cs="Times New Roman"/>
                      <w:b w:val="0"/>
                      <w:bCs/>
                      <w:color w:val="auto"/>
                      <w:sz w:val="21"/>
                      <w:szCs w:val="21"/>
                      <w:highlight w:val="none"/>
                    </w:rPr>
                    <w:t>μSv/h</w:t>
                  </w:r>
                  <w:r>
                    <w:rPr>
                      <w:rFonts w:hint="eastAsia" w:cs="Times New Roman"/>
                      <w:b w:val="0"/>
                      <w:bCs/>
                      <w:color w:val="auto"/>
                      <w:sz w:val="21"/>
                      <w:szCs w:val="21"/>
                      <w:highlight w:val="none"/>
                    </w:rPr>
                    <w:t>）</w:t>
                  </w:r>
                </w:p>
              </w:tc>
            </w:tr>
            <w:tr w14:paraId="2367FDD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7" w:hRule="atLeast"/>
                <w:jc w:val="center"/>
              </w:trPr>
              <w:tc>
                <w:tcPr>
                  <w:tcW w:w="560" w:type="pct"/>
                  <w:tcBorders>
                    <w:tl2br w:val="nil"/>
                    <w:tr2bl w:val="nil"/>
                  </w:tcBorders>
                  <w:vAlign w:val="center"/>
                </w:tcPr>
                <w:p w14:paraId="005D69AA">
                  <w:pPr>
                    <w:pStyle w:val="97"/>
                    <w:spacing w:line="240" w:lineRule="auto"/>
                    <w:ind w:firstLine="0" w:firstLineChars="0"/>
                    <w:jc w:val="center"/>
                    <w:rPr>
                      <w:rFonts w:cs="Times New Roman"/>
                      <w:b w:val="0"/>
                      <w:bCs/>
                      <w:color w:val="auto"/>
                      <w:sz w:val="21"/>
                      <w:szCs w:val="21"/>
                      <w:highlight w:val="none"/>
                    </w:rPr>
                  </w:pPr>
                  <w:r>
                    <w:rPr>
                      <w:rFonts w:cs="Times New Roman"/>
                      <w:b w:val="0"/>
                      <w:bCs/>
                      <w:color w:val="auto"/>
                      <w:sz w:val="21"/>
                      <w:szCs w:val="21"/>
                      <w:highlight w:val="none"/>
                    </w:rPr>
                    <w:t>5</w:t>
                  </w:r>
                </w:p>
              </w:tc>
              <w:tc>
                <w:tcPr>
                  <w:tcW w:w="1195" w:type="pct"/>
                  <w:tcBorders>
                    <w:tl2br w:val="nil"/>
                    <w:tr2bl w:val="nil"/>
                  </w:tcBorders>
                  <w:vAlign w:val="center"/>
                </w:tcPr>
                <w:p w14:paraId="6DC65998">
                  <w:pPr>
                    <w:pStyle w:val="97"/>
                    <w:spacing w:line="240" w:lineRule="auto"/>
                    <w:ind w:firstLine="0" w:firstLineChars="0"/>
                    <w:jc w:val="center"/>
                    <w:rPr>
                      <w:rFonts w:cs="Times New Roman"/>
                      <w:b w:val="0"/>
                      <w:bCs/>
                      <w:color w:val="auto"/>
                      <w:sz w:val="21"/>
                      <w:szCs w:val="21"/>
                      <w:highlight w:val="none"/>
                    </w:rPr>
                  </w:pPr>
                  <w:r>
                    <w:rPr>
                      <w:rFonts w:hint="eastAsia" w:cs="Times New Roman"/>
                      <w:b w:val="0"/>
                      <w:bCs/>
                      <w:color w:val="auto"/>
                      <w:sz w:val="21"/>
                      <w:szCs w:val="21"/>
                      <w:highlight w:val="none"/>
                    </w:rPr>
                    <w:t>16.5</w:t>
                  </w:r>
                  <w:r>
                    <w:rPr>
                      <w:rFonts w:cs="Times New Roman"/>
                      <w:b w:val="0"/>
                      <w:bCs/>
                      <w:color w:val="auto"/>
                      <w:spacing w:val="-2"/>
                      <w:sz w:val="21"/>
                      <w:szCs w:val="21"/>
                      <w:highlight w:val="none"/>
                    </w:rPr>
                    <w:t>×6×10</w:t>
                  </w:r>
                  <w:r>
                    <w:rPr>
                      <w:rFonts w:cs="Times New Roman"/>
                      <w:b w:val="0"/>
                      <w:bCs/>
                      <w:color w:val="auto"/>
                      <w:spacing w:val="-2"/>
                      <w:sz w:val="21"/>
                      <w:szCs w:val="21"/>
                      <w:highlight w:val="none"/>
                      <w:vertAlign w:val="superscript"/>
                    </w:rPr>
                    <w:t>4</w:t>
                  </w:r>
                </w:p>
              </w:tc>
              <w:tc>
                <w:tcPr>
                  <w:tcW w:w="576" w:type="pct"/>
                  <w:tcBorders>
                    <w:tl2br w:val="nil"/>
                    <w:tr2bl w:val="nil"/>
                  </w:tcBorders>
                  <w:vAlign w:val="center"/>
                </w:tcPr>
                <w:p w14:paraId="5BE67722">
                  <w:pPr>
                    <w:pStyle w:val="97"/>
                    <w:spacing w:line="240" w:lineRule="auto"/>
                    <w:ind w:firstLine="0" w:firstLineChars="0"/>
                    <w:jc w:val="center"/>
                    <w:rPr>
                      <w:rFonts w:hint="default"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2.31</w:t>
                  </w:r>
                </w:p>
              </w:tc>
              <w:tc>
                <w:tcPr>
                  <w:tcW w:w="580" w:type="pct"/>
                  <w:tcBorders>
                    <w:tl2br w:val="nil"/>
                    <w:tr2bl w:val="nil"/>
                  </w:tcBorders>
                  <w:vAlign w:val="center"/>
                </w:tcPr>
                <w:p w14:paraId="5A01DDDF">
                  <w:pPr>
                    <w:pStyle w:val="97"/>
                    <w:spacing w:line="240" w:lineRule="auto"/>
                    <w:ind w:firstLine="0" w:firstLineChars="0"/>
                    <w:jc w:val="center"/>
                    <w:rPr>
                      <w:rFonts w:hint="default"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20.015</w:t>
                  </w:r>
                </w:p>
              </w:tc>
              <w:tc>
                <w:tcPr>
                  <w:tcW w:w="736" w:type="pct"/>
                  <w:tcBorders>
                    <w:tl2br w:val="nil"/>
                    <w:tr2bl w:val="nil"/>
                  </w:tcBorders>
                  <w:vAlign w:val="center"/>
                </w:tcPr>
                <w:p w14:paraId="0EFE2532">
                  <w:pPr>
                    <w:pStyle w:val="97"/>
                    <w:spacing w:line="240" w:lineRule="auto"/>
                    <w:ind w:firstLine="0" w:firstLineChars="0"/>
                    <w:jc w:val="center"/>
                    <w:rPr>
                      <w:rFonts w:hint="default"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2.9</w:t>
                  </w:r>
                </w:p>
              </w:tc>
              <w:tc>
                <w:tcPr>
                  <w:tcW w:w="652" w:type="pct"/>
                  <w:tcBorders>
                    <w:tl2br w:val="nil"/>
                    <w:tr2bl w:val="nil"/>
                  </w:tcBorders>
                  <w:vAlign w:val="center"/>
                </w:tcPr>
                <w:p w14:paraId="2A7FD668">
                  <w:pPr>
                    <w:pStyle w:val="97"/>
                    <w:spacing w:line="240" w:lineRule="auto"/>
                    <w:ind w:firstLine="0" w:firstLineChars="0"/>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1.25E-07</w:t>
                  </w:r>
                </w:p>
              </w:tc>
              <w:tc>
                <w:tcPr>
                  <w:tcW w:w="697" w:type="pct"/>
                  <w:tcBorders>
                    <w:tl2br w:val="nil"/>
                    <w:tr2bl w:val="nil"/>
                  </w:tcBorders>
                  <w:vAlign w:val="center"/>
                </w:tcPr>
                <w:p w14:paraId="65535E0F">
                  <w:pPr>
                    <w:pStyle w:val="97"/>
                    <w:spacing w:line="240" w:lineRule="auto"/>
                    <w:ind w:firstLine="0" w:firstLineChars="0"/>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0.1168</w:t>
                  </w:r>
                </w:p>
              </w:tc>
            </w:tr>
          </w:tbl>
          <w:p w14:paraId="68F8DC22">
            <w:pPr>
              <w:pStyle w:val="109"/>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2）泄漏、散射辐射预测</w:t>
            </w:r>
          </w:p>
          <w:p w14:paraId="0F9AEC74">
            <w:pPr>
              <w:pStyle w:val="109"/>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①C</w:t>
            </w:r>
            <w:r>
              <w:rPr>
                <w:rFonts w:hint="eastAsia" w:cs="Times New Roman"/>
                <w:color w:val="auto"/>
                <w:highlight w:val="none"/>
                <w:lang w:val="en-US" w:eastAsia="zh-CN"/>
              </w:rPr>
              <w:t>2</w:t>
            </w:r>
            <w:r>
              <w:rPr>
                <w:rFonts w:hint="default" w:ascii="Times New Roman" w:hAnsi="Times New Roman" w:cs="Times New Roman"/>
                <w:color w:val="auto"/>
                <w:highlight w:val="none"/>
              </w:rPr>
              <w:t>点（</w:t>
            </w:r>
            <w:r>
              <w:rPr>
                <w:rFonts w:hint="eastAsia" w:cs="Times New Roman"/>
                <w:color w:val="auto"/>
                <w:highlight w:val="none"/>
                <w:lang w:val="en-US" w:eastAsia="zh-CN"/>
              </w:rPr>
              <w:t>东</w:t>
            </w:r>
            <w:r>
              <w:rPr>
                <w:rFonts w:hint="default" w:ascii="Times New Roman" w:hAnsi="Times New Roman" w:cs="Times New Roman"/>
                <w:color w:val="auto"/>
                <w:highlight w:val="none"/>
              </w:rPr>
              <w:t>侧屏蔽墙外30cm</w:t>
            </w:r>
            <w:r>
              <w:rPr>
                <w:rFonts w:hint="eastAsia"/>
                <w:color w:val="auto"/>
                <w:kern w:val="0"/>
                <w:szCs w:val="21"/>
                <w:highlight w:val="none"/>
                <w:lang w:val="en-US" w:eastAsia="zh-CN" w:bidi="ar"/>
              </w:rPr>
              <w:t>操作室</w:t>
            </w:r>
            <w:r>
              <w:rPr>
                <w:rFonts w:hint="default" w:ascii="Times New Roman" w:hAnsi="Times New Roman" w:cs="Times New Roman"/>
                <w:color w:val="auto"/>
                <w:highlight w:val="none"/>
              </w:rPr>
              <w:t>）</w:t>
            </w:r>
          </w:p>
          <w:p w14:paraId="549D869D">
            <w:pPr>
              <w:pStyle w:val="109"/>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②C</w:t>
            </w:r>
            <w:r>
              <w:rPr>
                <w:rFonts w:hint="eastAsia" w:cs="Times New Roman"/>
                <w:color w:val="auto"/>
                <w:highlight w:val="none"/>
                <w:lang w:val="en-US" w:eastAsia="zh-CN"/>
              </w:rPr>
              <w:t>3</w:t>
            </w:r>
            <w:r>
              <w:rPr>
                <w:rFonts w:hint="default" w:ascii="Times New Roman" w:hAnsi="Times New Roman" w:cs="Times New Roman"/>
                <w:color w:val="auto"/>
                <w:highlight w:val="none"/>
              </w:rPr>
              <w:t>点（</w:t>
            </w:r>
            <w:r>
              <w:rPr>
                <w:rFonts w:hint="eastAsia" w:cs="Times New Roman"/>
                <w:color w:val="auto"/>
                <w:highlight w:val="none"/>
                <w:lang w:val="en-US" w:eastAsia="zh-CN"/>
              </w:rPr>
              <w:t>北</w:t>
            </w:r>
            <w:r>
              <w:rPr>
                <w:rFonts w:hint="default" w:ascii="Times New Roman" w:hAnsi="Times New Roman" w:cs="Times New Roman"/>
                <w:color w:val="auto"/>
                <w:highlight w:val="none"/>
              </w:rPr>
              <w:t>侧屏蔽墙外30cm</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处）</w:t>
            </w:r>
          </w:p>
          <w:p w14:paraId="6579DC30">
            <w:pPr>
              <w:pStyle w:val="109"/>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③C</w:t>
            </w:r>
            <w:r>
              <w:rPr>
                <w:rFonts w:hint="eastAsia" w:cs="Times New Roman"/>
                <w:color w:val="auto"/>
                <w:highlight w:val="none"/>
                <w:lang w:val="en-US" w:eastAsia="zh-CN"/>
              </w:rPr>
              <w:t>4</w:t>
            </w:r>
            <w:r>
              <w:rPr>
                <w:rFonts w:hint="default" w:ascii="Times New Roman" w:hAnsi="Times New Roman" w:cs="Times New Roman"/>
                <w:color w:val="auto"/>
                <w:highlight w:val="none"/>
              </w:rPr>
              <w:t>点（</w:t>
            </w:r>
            <w:r>
              <w:rPr>
                <w:rFonts w:hint="eastAsia" w:cs="Times New Roman"/>
                <w:color w:val="auto"/>
                <w:highlight w:val="none"/>
                <w:lang w:val="en-US" w:eastAsia="zh-CN"/>
              </w:rPr>
              <w:t>南</w:t>
            </w:r>
            <w:r>
              <w:rPr>
                <w:rFonts w:hint="default" w:ascii="Times New Roman" w:hAnsi="Times New Roman" w:cs="Times New Roman"/>
                <w:color w:val="auto"/>
                <w:highlight w:val="none"/>
              </w:rPr>
              <w:t>侧</w:t>
            </w:r>
            <w:r>
              <w:rPr>
                <w:rFonts w:hint="eastAsia" w:cs="Times New Roman"/>
                <w:color w:val="auto"/>
                <w:highlight w:val="none"/>
                <w:lang w:val="en-US" w:eastAsia="zh-CN"/>
              </w:rPr>
              <w:t>防护门</w:t>
            </w:r>
            <w:r>
              <w:rPr>
                <w:rFonts w:hint="default" w:ascii="Times New Roman" w:hAnsi="Times New Roman" w:cs="Times New Roman"/>
                <w:color w:val="auto"/>
                <w:highlight w:val="none"/>
              </w:rPr>
              <w:t>外30cm处）</w:t>
            </w:r>
          </w:p>
          <w:p w14:paraId="2D6FE89A">
            <w:pPr>
              <w:pStyle w:val="109"/>
              <w:ind w:firstLine="480"/>
              <w:rPr>
                <w:rFonts w:hint="default" w:ascii="Times New Roman" w:hAnsi="Times New Roman" w:cs="Times New Roman"/>
                <w:color w:val="auto"/>
                <w:highlight w:val="none"/>
              </w:rPr>
            </w:pPr>
            <w:r>
              <w:rPr>
                <w:rFonts w:hint="eastAsia" w:cs="Times New Roman"/>
                <w:color w:val="auto"/>
                <w:highlight w:val="none"/>
                <w:lang w:val="en-US" w:eastAsia="zh-CN"/>
              </w:rPr>
              <w:t>④</w:t>
            </w:r>
            <w:r>
              <w:rPr>
                <w:rFonts w:hint="default" w:ascii="Times New Roman" w:hAnsi="Times New Roman" w:cs="Times New Roman"/>
                <w:color w:val="auto"/>
                <w:highlight w:val="none"/>
              </w:rPr>
              <w:t>C</w:t>
            </w:r>
            <w:r>
              <w:rPr>
                <w:rFonts w:hint="eastAsia" w:cs="Times New Roman"/>
                <w:color w:val="auto"/>
                <w:highlight w:val="none"/>
                <w:lang w:val="en-US" w:eastAsia="zh-CN"/>
              </w:rPr>
              <w:t>5</w:t>
            </w:r>
            <w:r>
              <w:rPr>
                <w:rFonts w:hint="default" w:ascii="Times New Roman" w:hAnsi="Times New Roman" w:cs="Times New Roman"/>
                <w:color w:val="auto"/>
                <w:highlight w:val="none"/>
              </w:rPr>
              <w:t>点（探伤房顶棚上方30cm处）</w:t>
            </w:r>
          </w:p>
          <w:p w14:paraId="4FFD5B4E">
            <w:pPr>
              <w:pStyle w:val="109"/>
              <w:ind w:firstLine="472"/>
              <w:rPr>
                <w:snapToGrid/>
                <w:color w:val="auto"/>
                <w:spacing w:val="-2"/>
                <w:kern w:val="2"/>
                <w:szCs w:val="24"/>
                <w:highlight w:val="none"/>
              </w:rPr>
            </w:pPr>
            <w:r>
              <w:rPr>
                <w:rFonts w:hint="eastAsia"/>
                <w:snapToGrid/>
                <w:color w:val="auto"/>
                <w:spacing w:val="-2"/>
                <w:kern w:val="2"/>
                <w:szCs w:val="24"/>
                <w:highlight w:val="none"/>
              </w:rPr>
              <w:t>C2~C</w:t>
            </w:r>
            <w:r>
              <w:rPr>
                <w:rFonts w:hint="eastAsia"/>
                <w:snapToGrid/>
                <w:color w:val="auto"/>
                <w:spacing w:val="-2"/>
                <w:kern w:val="2"/>
                <w:szCs w:val="24"/>
                <w:highlight w:val="none"/>
                <w:lang w:val="en-US" w:eastAsia="zh-CN"/>
              </w:rPr>
              <w:t>5</w:t>
            </w:r>
            <w:r>
              <w:rPr>
                <w:rFonts w:hint="eastAsia"/>
                <w:snapToGrid/>
                <w:color w:val="auto"/>
                <w:spacing w:val="-2"/>
                <w:kern w:val="2"/>
                <w:szCs w:val="24"/>
                <w:highlight w:val="none"/>
              </w:rPr>
              <w:t>点剂量当量率计算参数及结果详见下表。</w:t>
            </w:r>
          </w:p>
          <w:p w14:paraId="6D1DD02B">
            <w:pPr>
              <w:pStyle w:val="96"/>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eastAsia="宋体" w:cs="Times New Roman"/>
                <w:b/>
                <w:color w:val="auto"/>
                <w:kern w:val="2"/>
                <w:sz w:val="21"/>
                <w:szCs w:val="21"/>
                <w:highlight w:val="none"/>
              </w:rPr>
            </w:pPr>
            <w:r>
              <w:rPr>
                <w:rFonts w:hint="eastAsia" w:eastAsia="宋体" w:cs="Times New Roman"/>
                <w:b/>
                <w:color w:val="auto"/>
                <w:kern w:val="2"/>
                <w:sz w:val="21"/>
                <w:szCs w:val="21"/>
                <w:highlight w:val="none"/>
              </w:rPr>
              <w:t>表11-1</w:t>
            </w:r>
            <w:r>
              <w:rPr>
                <w:rFonts w:hint="eastAsia" w:eastAsia="宋体" w:cs="Times New Roman"/>
                <w:b/>
                <w:color w:val="auto"/>
                <w:kern w:val="2"/>
                <w:sz w:val="21"/>
                <w:szCs w:val="21"/>
                <w:highlight w:val="none"/>
                <w:lang w:val="en-US" w:eastAsia="zh-CN"/>
              </w:rPr>
              <w:t>1</w:t>
            </w:r>
            <w:r>
              <w:rPr>
                <w:rFonts w:hint="eastAsia" w:eastAsia="宋体" w:cs="Times New Roman"/>
                <w:b/>
                <w:color w:val="auto"/>
                <w:kern w:val="2"/>
                <w:sz w:val="21"/>
                <w:szCs w:val="21"/>
                <w:highlight w:val="none"/>
              </w:rPr>
              <w:t xml:space="preserve"> 定向机工作时C2~C</w:t>
            </w:r>
            <w:r>
              <w:rPr>
                <w:rFonts w:hint="eastAsia" w:eastAsia="宋体" w:cs="Times New Roman"/>
                <w:b/>
                <w:color w:val="auto"/>
                <w:kern w:val="2"/>
                <w:sz w:val="21"/>
                <w:szCs w:val="21"/>
                <w:highlight w:val="none"/>
                <w:lang w:val="en-US" w:eastAsia="zh-CN"/>
              </w:rPr>
              <w:t>5</w:t>
            </w:r>
            <w:r>
              <w:rPr>
                <w:rFonts w:hint="eastAsia" w:eastAsia="宋体" w:cs="Times New Roman"/>
                <w:b/>
                <w:color w:val="auto"/>
                <w:kern w:val="2"/>
                <w:sz w:val="21"/>
                <w:szCs w:val="21"/>
                <w:highlight w:val="none"/>
              </w:rPr>
              <w:t>点剂量率计算参数及结果一览表（漏射）</w:t>
            </w:r>
          </w:p>
          <w:tbl>
            <w:tblPr>
              <w:tblStyle w:val="36"/>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002"/>
              <w:gridCol w:w="1508"/>
              <w:gridCol w:w="981"/>
              <w:gridCol w:w="1220"/>
              <w:gridCol w:w="1220"/>
              <w:gridCol w:w="1230"/>
              <w:gridCol w:w="1279"/>
            </w:tblGrid>
            <w:tr w14:paraId="6BC4011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75" w:hRule="atLeast"/>
                <w:jc w:val="center"/>
              </w:trPr>
              <w:tc>
                <w:tcPr>
                  <w:tcW w:w="7224" w:type="dxa"/>
                  <w:gridSpan w:val="6"/>
                  <w:tcBorders>
                    <w:tl2br w:val="nil"/>
                    <w:tr2bl w:val="nil"/>
                  </w:tcBorders>
                  <w:vAlign w:val="center"/>
                </w:tcPr>
                <w:p w14:paraId="09C631A2">
                  <w:pPr>
                    <w:pStyle w:val="95"/>
                    <w:ind w:firstLine="422"/>
                    <w:rPr>
                      <w:rFonts w:eastAsia="宋体" w:cs="Times New Roman"/>
                      <w:b/>
                      <w:color w:val="auto"/>
                      <w:sz w:val="21"/>
                      <w:highlight w:val="none"/>
                    </w:rPr>
                  </w:pPr>
                  <w:r>
                    <w:rPr>
                      <w:rFonts w:eastAsia="宋体" w:cs="Times New Roman"/>
                      <w:b/>
                      <w:color w:val="auto"/>
                      <w:sz w:val="21"/>
                      <w:highlight w:val="none"/>
                    </w:rPr>
                    <w:t>参数</w:t>
                  </w:r>
                </w:p>
              </w:tc>
              <w:tc>
                <w:tcPr>
                  <w:tcW w:w="1291" w:type="dxa"/>
                  <w:tcBorders>
                    <w:tl2br w:val="nil"/>
                    <w:tr2bl w:val="nil"/>
                  </w:tcBorders>
                  <w:vAlign w:val="center"/>
                </w:tcPr>
                <w:p w14:paraId="774C8F24">
                  <w:pPr>
                    <w:pStyle w:val="95"/>
                    <w:ind w:firstLine="0" w:firstLineChars="0"/>
                    <w:rPr>
                      <w:rFonts w:eastAsia="宋体" w:cs="Times New Roman"/>
                      <w:b/>
                      <w:color w:val="auto"/>
                      <w:sz w:val="21"/>
                      <w:highlight w:val="none"/>
                    </w:rPr>
                  </w:pPr>
                  <w:r>
                    <w:rPr>
                      <w:rFonts w:eastAsia="宋体" w:cs="Times New Roman"/>
                      <w:b/>
                      <w:color w:val="auto"/>
                      <w:sz w:val="21"/>
                      <w:highlight w:val="none"/>
                    </w:rPr>
                    <w:t>结果</w:t>
                  </w:r>
                </w:p>
              </w:tc>
            </w:tr>
            <w:tr w14:paraId="2D4FF4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010" w:type="dxa"/>
                  <w:tcBorders>
                    <w:tl2br w:val="nil"/>
                    <w:tr2bl w:val="nil"/>
                  </w:tcBorders>
                  <w:vAlign w:val="center"/>
                </w:tcPr>
                <w:p w14:paraId="5CE777FC">
                  <w:pPr>
                    <w:pStyle w:val="95"/>
                    <w:ind w:firstLine="0" w:firstLineChars="0"/>
                    <w:rPr>
                      <w:rFonts w:eastAsia="宋体" w:cs="Times New Roman"/>
                      <w:color w:val="auto"/>
                      <w:sz w:val="21"/>
                      <w:highlight w:val="none"/>
                    </w:rPr>
                  </w:pPr>
                  <w:r>
                    <w:rPr>
                      <w:rFonts w:eastAsia="宋体" w:cs="Times New Roman"/>
                      <w:color w:val="auto"/>
                      <w:sz w:val="21"/>
                      <w:highlight w:val="none"/>
                    </w:rPr>
                    <w:t>点位</w:t>
                  </w:r>
                </w:p>
              </w:tc>
              <w:tc>
                <w:tcPr>
                  <w:tcW w:w="1522" w:type="dxa"/>
                  <w:tcBorders>
                    <w:tl2br w:val="nil"/>
                    <w:tr2bl w:val="nil"/>
                  </w:tcBorders>
                  <w:vAlign w:val="center"/>
                </w:tcPr>
                <w:p w14:paraId="09A49AE4">
                  <w:pPr>
                    <w:pStyle w:val="95"/>
                    <w:ind w:firstLine="0" w:firstLineChars="0"/>
                    <w:rPr>
                      <w:rFonts w:eastAsia="宋体" w:cs="Times New Roman"/>
                      <w:color w:val="auto"/>
                      <w:sz w:val="21"/>
                      <w:highlight w:val="none"/>
                    </w:rPr>
                  </w:pPr>
                  <w:r>
                    <w:rPr>
                      <w:rFonts w:eastAsia="宋体" w:cs="Times New Roman"/>
                      <w:color w:val="auto"/>
                      <w:sz w:val="21"/>
                      <w:highlight w:val="none"/>
                    </w:rPr>
                    <w:t>ḢL</w:t>
                  </w:r>
                  <w:r>
                    <w:rPr>
                      <w:rFonts w:hint="eastAsia" w:eastAsia="宋体" w:cs="Times New Roman"/>
                      <w:color w:val="auto"/>
                      <w:sz w:val="21"/>
                      <w:highlight w:val="none"/>
                    </w:rPr>
                    <w:t>（</w:t>
                  </w:r>
                  <w:r>
                    <w:rPr>
                      <w:rFonts w:eastAsia="宋体" w:cs="Times New Roman"/>
                      <w:color w:val="auto"/>
                      <w:sz w:val="21"/>
                      <w:highlight w:val="none"/>
                    </w:rPr>
                    <w:t>μSv/h</w:t>
                  </w:r>
                  <w:r>
                    <w:rPr>
                      <w:rFonts w:hint="eastAsia" w:eastAsia="宋体" w:cs="Times New Roman"/>
                      <w:color w:val="auto"/>
                      <w:sz w:val="21"/>
                      <w:highlight w:val="none"/>
                    </w:rPr>
                    <w:t>）</w:t>
                  </w:r>
                </w:p>
              </w:tc>
              <w:tc>
                <w:tcPr>
                  <w:tcW w:w="989" w:type="dxa"/>
                  <w:tcBorders>
                    <w:tl2br w:val="nil"/>
                    <w:tr2bl w:val="nil"/>
                  </w:tcBorders>
                  <w:vAlign w:val="center"/>
                </w:tcPr>
                <w:p w14:paraId="22FDEFC0">
                  <w:pPr>
                    <w:pStyle w:val="95"/>
                    <w:ind w:firstLine="0" w:firstLineChars="0"/>
                    <w:rPr>
                      <w:rFonts w:eastAsia="宋体" w:cs="Times New Roman"/>
                      <w:color w:val="auto"/>
                      <w:sz w:val="21"/>
                      <w:highlight w:val="none"/>
                    </w:rPr>
                  </w:pPr>
                  <w:r>
                    <w:rPr>
                      <w:rFonts w:eastAsia="宋体" w:cs="Times New Roman"/>
                      <w:color w:val="auto"/>
                      <w:sz w:val="21"/>
                      <w:highlight w:val="none"/>
                    </w:rPr>
                    <w:t>R</w:t>
                  </w:r>
                  <w:r>
                    <w:rPr>
                      <w:rFonts w:hint="eastAsia" w:eastAsia="宋体" w:cs="Times New Roman"/>
                      <w:color w:val="auto"/>
                      <w:sz w:val="21"/>
                      <w:highlight w:val="none"/>
                    </w:rPr>
                    <w:t>（</w:t>
                  </w:r>
                  <w:r>
                    <w:rPr>
                      <w:rFonts w:eastAsia="宋体" w:cs="Times New Roman"/>
                      <w:color w:val="auto"/>
                      <w:sz w:val="21"/>
                      <w:highlight w:val="none"/>
                    </w:rPr>
                    <w:t>m</w:t>
                  </w:r>
                  <w:r>
                    <w:rPr>
                      <w:rFonts w:hint="eastAsia" w:eastAsia="宋体" w:cs="Times New Roman"/>
                      <w:color w:val="auto"/>
                      <w:sz w:val="21"/>
                      <w:highlight w:val="none"/>
                    </w:rPr>
                    <w:t>）</w:t>
                  </w:r>
                </w:p>
              </w:tc>
              <w:tc>
                <w:tcPr>
                  <w:tcW w:w="1231" w:type="dxa"/>
                  <w:tcBorders>
                    <w:tl2br w:val="nil"/>
                    <w:tr2bl w:val="nil"/>
                  </w:tcBorders>
                  <w:vAlign w:val="center"/>
                </w:tcPr>
                <w:p w14:paraId="7F5AC1DB">
                  <w:pPr>
                    <w:pStyle w:val="95"/>
                    <w:ind w:firstLine="0" w:firstLineChars="0"/>
                    <w:rPr>
                      <w:rFonts w:eastAsia="宋体" w:cs="Times New Roman"/>
                      <w:color w:val="auto"/>
                      <w:sz w:val="21"/>
                      <w:highlight w:val="none"/>
                    </w:rPr>
                  </w:pPr>
                  <w:r>
                    <w:rPr>
                      <w:rFonts w:eastAsia="宋体" w:cs="Times New Roman"/>
                      <w:color w:val="auto"/>
                      <w:sz w:val="21"/>
                      <w:highlight w:val="none"/>
                    </w:rPr>
                    <w:t>X</w:t>
                  </w:r>
                  <w:r>
                    <w:rPr>
                      <w:rFonts w:hint="eastAsia" w:eastAsia="宋体" w:cs="Times New Roman"/>
                      <w:color w:val="auto"/>
                      <w:sz w:val="21"/>
                      <w:highlight w:val="none"/>
                    </w:rPr>
                    <w:t>（</w:t>
                  </w:r>
                  <w:r>
                    <w:rPr>
                      <w:rFonts w:eastAsia="宋体" w:cs="Times New Roman"/>
                      <w:color w:val="auto"/>
                      <w:sz w:val="21"/>
                      <w:highlight w:val="none"/>
                    </w:rPr>
                    <w:t>mm</w:t>
                  </w:r>
                  <w:r>
                    <w:rPr>
                      <w:rFonts w:hint="eastAsia" w:eastAsia="宋体" w:cs="Times New Roman"/>
                      <w:color w:val="auto"/>
                      <w:sz w:val="21"/>
                      <w:highlight w:val="none"/>
                    </w:rPr>
                    <w:t>）</w:t>
                  </w:r>
                </w:p>
              </w:tc>
              <w:tc>
                <w:tcPr>
                  <w:tcW w:w="1231" w:type="dxa"/>
                  <w:tcBorders>
                    <w:tl2br w:val="nil"/>
                    <w:tr2bl w:val="nil"/>
                  </w:tcBorders>
                  <w:vAlign w:val="center"/>
                </w:tcPr>
                <w:p w14:paraId="417A24B5">
                  <w:pPr>
                    <w:pStyle w:val="95"/>
                    <w:ind w:firstLine="0" w:firstLineChars="0"/>
                    <w:rPr>
                      <w:rFonts w:eastAsia="宋体" w:cs="Times New Roman"/>
                      <w:color w:val="auto"/>
                      <w:sz w:val="21"/>
                      <w:highlight w:val="none"/>
                    </w:rPr>
                  </w:pPr>
                  <w:r>
                    <w:rPr>
                      <w:rFonts w:eastAsia="宋体" w:cs="Times New Roman"/>
                      <w:color w:val="auto"/>
                      <w:sz w:val="21"/>
                      <w:highlight w:val="none"/>
                    </w:rPr>
                    <w:t>TVL</w:t>
                  </w:r>
                  <w:r>
                    <w:rPr>
                      <w:rFonts w:hint="eastAsia" w:eastAsia="宋体" w:cs="Times New Roman"/>
                      <w:color w:val="auto"/>
                      <w:sz w:val="21"/>
                      <w:highlight w:val="none"/>
                    </w:rPr>
                    <w:t>（</w:t>
                  </w:r>
                  <w:r>
                    <w:rPr>
                      <w:rFonts w:eastAsia="宋体" w:cs="Times New Roman"/>
                      <w:color w:val="auto"/>
                      <w:sz w:val="21"/>
                      <w:highlight w:val="none"/>
                    </w:rPr>
                    <w:t>mm</w:t>
                  </w:r>
                  <w:r>
                    <w:rPr>
                      <w:rFonts w:hint="eastAsia" w:eastAsia="宋体" w:cs="Times New Roman"/>
                      <w:color w:val="auto"/>
                      <w:sz w:val="21"/>
                      <w:highlight w:val="none"/>
                    </w:rPr>
                    <w:t>）</w:t>
                  </w:r>
                </w:p>
              </w:tc>
              <w:tc>
                <w:tcPr>
                  <w:tcW w:w="1241" w:type="dxa"/>
                  <w:tcBorders>
                    <w:tl2br w:val="nil"/>
                    <w:tr2bl w:val="nil"/>
                  </w:tcBorders>
                  <w:vAlign w:val="center"/>
                </w:tcPr>
                <w:p w14:paraId="49FCF41E">
                  <w:pPr>
                    <w:pStyle w:val="95"/>
                    <w:ind w:firstLine="0" w:firstLineChars="0"/>
                    <w:rPr>
                      <w:rFonts w:eastAsia="宋体" w:cs="Times New Roman"/>
                      <w:color w:val="auto"/>
                      <w:sz w:val="21"/>
                      <w:highlight w:val="none"/>
                    </w:rPr>
                  </w:pPr>
                  <w:r>
                    <w:rPr>
                      <w:rFonts w:eastAsia="宋体" w:cs="Times New Roman"/>
                      <w:color w:val="auto"/>
                      <w:sz w:val="21"/>
                      <w:highlight w:val="none"/>
                    </w:rPr>
                    <w:t>B</w:t>
                  </w:r>
                </w:p>
              </w:tc>
              <w:tc>
                <w:tcPr>
                  <w:tcW w:w="1291" w:type="dxa"/>
                  <w:tcBorders>
                    <w:tl2br w:val="nil"/>
                    <w:tr2bl w:val="nil"/>
                  </w:tcBorders>
                  <w:vAlign w:val="center"/>
                </w:tcPr>
                <w:p w14:paraId="04FD6000">
                  <w:pPr>
                    <w:pStyle w:val="95"/>
                    <w:ind w:firstLine="0" w:firstLineChars="0"/>
                    <w:rPr>
                      <w:rFonts w:eastAsia="宋体" w:cs="Times New Roman"/>
                      <w:color w:val="auto"/>
                      <w:sz w:val="21"/>
                      <w:highlight w:val="none"/>
                    </w:rPr>
                  </w:pPr>
                  <w:r>
                    <w:rPr>
                      <w:rFonts w:eastAsia="宋体" w:cs="Times New Roman"/>
                      <w:color w:val="auto"/>
                      <w:sz w:val="21"/>
                      <w:highlight w:val="none"/>
                    </w:rPr>
                    <w:t>Ḣ</w:t>
                  </w:r>
                  <w:r>
                    <w:rPr>
                      <w:rFonts w:hint="eastAsia" w:eastAsia="宋体" w:cs="Times New Roman"/>
                      <w:color w:val="auto"/>
                      <w:sz w:val="21"/>
                      <w:highlight w:val="none"/>
                    </w:rPr>
                    <w:t>（</w:t>
                  </w:r>
                  <w:r>
                    <w:rPr>
                      <w:rFonts w:eastAsia="宋体" w:cs="Times New Roman"/>
                      <w:color w:val="auto"/>
                      <w:sz w:val="21"/>
                      <w:highlight w:val="none"/>
                    </w:rPr>
                    <w:t>μSv/h</w:t>
                  </w:r>
                  <w:r>
                    <w:rPr>
                      <w:rFonts w:hint="eastAsia" w:eastAsia="宋体" w:cs="Times New Roman"/>
                      <w:color w:val="auto"/>
                      <w:sz w:val="21"/>
                      <w:highlight w:val="none"/>
                    </w:rPr>
                    <w:t>）</w:t>
                  </w:r>
                </w:p>
              </w:tc>
            </w:tr>
            <w:tr w14:paraId="15453BF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21" w:hRule="atLeast"/>
                <w:jc w:val="center"/>
              </w:trPr>
              <w:tc>
                <w:tcPr>
                  <w:tcW w:w="1010" w:type="dxa"/>
                  <w:tcBorders>
                    <w:tl2br w:val="nil"/>
                    <w:tr2bl w:val="nil"/>
                  </w:tcBorders>
                  <w:vAlign w:val="center"/>
                </w:tcPr>
                <w:p w14:paraId="1A05C619">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C2</w:t>
                  </w:r>
                </w:p>
              </w:tc>
              <w:tc>
                <w:tcPr>
                  <w:tcW w:w="1522" w:type="dxa"/>
                  <w:tcBorders>
                    <w:tl2br w:val="nil"/>
                    <w:tr2bl w:val="nil"/>
                  </w:tcBorders>
                  <w:vAlign w:val="center"/>
                </w:tcPr>
                <w:p w14:paraId="64B778B9">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5000</w:t>
                  </w:r>
                </w:p>
              </w:tc>
              <w:tc>
                <w:tcPr>
                  <w:tcW w:w="989" w:type="dxa"/>
                  <w:tcBorders>
                    <w:tl2br w:val="nil"/>
                    <w:tr2bl w:val="nil"/>
                  </w:tcBorders>
                  <w:vAlign w:val="center"/>
                </w:tcPr>
                <w:p w14:paraId="14A52818">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1.31</w:t>
                  </w:r>
                </w:p>
              </w:tc>
              <w:tc>
                <w:tcPr>
                  <w:tcW w:w="1231" w:type="dxa"/>
                  <w:tcBorders>
                    <w:tl2br w:val="nil"/>
                    <w:tr2bl w:val="nil"/>
                  </w:tcBorders>
                  <w:vAlign w:val="center"/>
                </w:tcPr>
                <w:p w14:paraId="0320CA5A">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20.015</w:t>
                  </w:r>
                </w:p>
              </w:tc>
              <w:tc>
                <w:tcPr>
                  <w:tcW w:w="1231" w:type="dxa"/>
                  <w:tcBorders>
                    <w:tl2br w:val="nil"/>
                    <w:tr2bl w:val="nil"/>
                  </w:tcBorders>
                  <w:vAlign w:val="center"/>
                </w:tcPr>
                <w:p w14:paraId="75218199">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2.9</w:t>
                  </w:r>
                </w:p>
              </w:tc>
              <w:tc>
                <w:tcPr>
                  <w:tcW w:w="1241" w:type="dxa"/>
                  <w:tcBorders>
                    <w:tl2br w:val="nil"/>
                    <w:tr2bl w:val="nil"/>
                  </w:tcBorders>
                  <w:vAlign w:val="center"/>
                </w:tcPr>
                <w:p w14:paraId="27621152">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1.25E-07</w:t>
                  </w:r>
                </w:p>
              </w:tc>
              <w:tc>
                <w:tcPr>
                  <w:tcW w:w="1291" w:type="dxa"/>
                  <w:tcBorders>
                    <w:tl2br w:val="nil"/>
                    <w:tr2bl w:val="nil"/>
                  </w:tcBorders>
                  <w:vAlign w:val="center"/>
                </w:tcPr>
                <w:p w14:paraId="219A5E91">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0.000509</w:t>
                  </w:r>
                </w:p>
              </w:tc>
            </w:tr>
            <w:tr w14:paraId="07C047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010" w:type="dxa"/>
                  <w:tcBorders>
                    <w:tl2br w:val="nil"/>
                    <w:tr2bl w:val="nil"/>
                  </w:tcBorders>
                  <w:vAlign w:val="center"/>
                </w:tcPr>
                <w:p w14:paraId="4F2F3250">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C3</w:t>
                  </w:r>
                </w:p>
              </w:tc>
              <w:tc>
                <w:tcPr>
                  <w:tcW w:w="1522" w:type="dxa"/>
                  <w:tcBorders>
                    <w:tl2br w:val="nil"/>
                    <w:tr2bl w:val="nil"/>
                  </w:tcBorders>
                  <w:vAlign w:val="center"/>
                </w:tcPr>
                <w:p w14:paraId="2B8420EE">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5000</w:t>
                  </w:r>
                </w:p>
              </w:tc>
              <w:tc>
                <w:tcPr>
                  <w:tcW w:w="989" w:type="dxa"/>
                  <w:tcBorders>
                    <w:tl2br w:val="nil"/>
                    <w:tr2bl w:val="nil"/>
                  </w:tcBorders>
                  <w:vAlign w:val="center"/>
                </w:tcPr>
                <w:p w14:paraId="2609D6A1">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2.51</w:t>
                  </w:r>
                </w:p>
              </w:tc>
              <w:tc>
                <w:tcPr>
                  <w:tcW w:w="1231" w:type="dxa"/>
                  <w:tcBorders>
                    <w:tl2br w:val="nil"/>
                    <w:tr2bl w:val="nil"/>
                  </w:tcBorders>
                  <w:vAlign w:val="center"/>
                </w:tcPr>
                <w:p w14:paraId="79BF9F24">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20.015</w:t>
                  </w:r>
                </w:p>
              </w:tc>
              <w:tc>
                <w:tcPr>
                  <w:tcW w:w="1231" w:type="dxa"/>
                  <w:tcBorders>
                    <w:tl2br w:val="nil"/>
                    <w:tr2bl w:val="nil"/>
                  </w:tcBorders>
                  <w:vAlign w:val="center"/>
                </w:tcPr>
                <w:p w14:paraId="2223D290">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2.9</w:t>
                  </w:r>
                </w:p>
              </w:tc>
              <w:tc>
                <w:tcPr>
                  <w:tcW w:w="1241" w:type="dxa"/>
                  <w:tcBorders>
                    <w:tl2br w:val="nil"/>
                    <w:tr2bl w:val="nil"/>
                  </w:tcBorders>
                  <w:vAlign w:val="center"/>
                </w:tcPr>
                <w:p w14:paraId="1A75A483">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1.25E-07</w:t>
                  </w:r>
                </w:p>
              </w:tc>
              <w:tc>
                <w:tcPr>
                  <w:tcW w:w="1291" w:type="dxa"/>
                  <w:tcBorders>
                    <w:tl2br w:val="nil"/>
                    <w:tr2bl w:val="nil"/>
                  </w:tcBorders>
                  <w:vAlign w:val="center"/>
                </w:tcPr>
                <w:p w14:paraId="13EA5D57">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0.000275</w:t>
                  </w:r>
                </w:p>
              </w:tc>
            </w:tr>
            <w:tr w14:paraId="159A76E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010" w:type="dxa"/>
                  <w:tcBorders>
                    <w:tl2br w:val="nil"/>
                    <w:tr2bl w:val="nil"/>
                  </w:tcBorders>
                  <w:vAlign w:val="center"/>
                </w:tcPr>
                <w:p w14:paraId="43B00175">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C4</w:t>
                  </w:r>
                </w:p>
              </w:tc>
              <w:tc>
                <w:tcPr>
                  <w:tcW w:w="1522" w:type="dxa"/>
                  <w:tcBorders>
                    <w:tl2br w:val="nil"/>
                    <w:tr2bl w:val="nil"/>
                  </w:tcBorders>
                  <w:vAlign w:val="center"/>
                </w:tcPr>
                <w:p w14:paraId="042AEA8F">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5000</w:t>
                  </w:r>
                </w:p>
              </w:tc>
              <w:tc>
                <w:tcPr>
                  <w:tcW w:w="989" w:type="dxa"/>
                  <w:tcBorders>
                    <w:tl2br w:val="nil"/>
                    <w:tr2bl w:val="nil"/>
                  </w:tcBorders>
                  <w:vAlign w:val="center"/>
                </w:tcPr>
                <w:p w14:paraId="3C274F9E">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2.441</w:t>
                  </w:r>
                </w:p>
              </w:tc>
              <w:tc>
                <w:tcPr>
                  <w:tcW w:w="1231" w:type="dxa"/>
                  <w:tcBorders>
                    <w:tl2br w:val="nil"/>
                    <w:tr2bl w:val="nil"/>
                  </w:tcBorders>
                  <w:vAlign w:val="center"/>
                </w:tcPr>
                <w:p w14:paraId="2BFDDBFF">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14.24</w:t>
                  </w:r>
                </w:p>
              </w:tc>
              <w:tc>
                <w:tcPr>
                  <w:tcW w:w="1231" w:type="dxa"/>
                  <w:tcBorders>
                    <w:tl2br w:val="nil"/>
                    <w:tr2bl w:val="nil"/>
                  </w:tcBorders>
                  <w:vAlign w:val="center"/>
                </w:tcPr>
                <w:p w14:paraId="23A87B2E">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2.9</w:t>
                  </w:r>
                </w:p>
              </w:tc>
              <w:tc>
                <w:tcPr>
                  <w:tcW w:w="1241" w:type="dxa"/>
                  <w:tcBorders>
                    <w:tl2br w:val="nil"/>
                    <w:tr2bl w:val="nil"/>
                  </w:tcBorders>
                  <w:vAlign w:val="center"/>
                </w:tcPr>
                <w:p w14:paraId="669B38F0">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1.23E-05</w:t>
                  </w:r>
                </w:p>
              </w:tc>
              <w:tc>
                <w:tcPr>
                  <w:tcW w:w="1291" w:type="dxa"/>
                  <w:tcBorders>
                    <w:tl2br w:val="nil"/>
                    <w:tr2bl w:val="nil"/>
                  </w:tcBorders>
                  <w:vAlign w:val="center"/>
                </w:tcPr>
                <w:p w14:paraId="46C0B6B4">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0.0296</w:t>
                  </w:r>
                </w:p>
              </w:tc>
            </w:tr>
            <w:tr w14:paraId="796891C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010" w:type="dxa"/>
                  <w:tcBorders>
                    <w:tl2br w:val="nil"/>
                    <w:tr2bl w:val="nil"/>
                  </w:tcBorders>
                  <w:vAlign w:val="center"/>
                </w:tcPr>
                <w:p w14:paraId="0DEC7B28">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C5</w:t>
                  </w:r>
                </w:p>
              </w:tc>
              <w:tc>
                <w:tcPr>
                  <w:tcW w:w="1522" w:type="dxa"/>
                  <w:tcBorders>
                    <w:tl2br w:val="nil"/>
                    <w:tr2bl w:val="nil"/>
                  </w:tcBorders>
                  <w:vAlign w:val="center"/>
                </w:tcPr>
                <w:p w14:paraId="5DED120F">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5000</w:t>
                  </w:r>
                </w:p>
              </w:tc>
              <w:tc>
                <w:tcPr>
                  <w:tcW w:w="989" w:type="dxa"/>
                  <w:tcBorders>
                    <w:tl2br w:val="nil"/>
                    <w:tr2bl w:val="nil"/>
                  </w:tcBorders>
                  <w:vAlign w:val="center"/>
                </w:tcPr>
                <w:p w14:paraId="226182D3">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2.055</w:t>
                  </w:r>
                </w:p>
              </w:tc>
              <w:tc>
                <w:tcPr>
                  <w:tcW w:w="1231" w:type="dxa"/>
                  <w:tcBorders>
                    <w:tl2br w:val="nil"/>
                    <w:tr2bl w:val="nil"/>
                  </w:tcBorders>
                  <w:vAlign w:val="center"/>
                </w:tcPr>
                <w:p w14:paraId="718F8930">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19.25</w:t>
                  </w:r>
                </w:p>
              </w:tc>
              <w:tc>
                <w:tcPr>
                  <w:tcW w:w="1231" w:type="dxa"/>
                  <w:tcBorders>
                    <w:tl2br w:val="nil"/>
                    <w:tr2bl w:val="nil"/>
                  </w:tcBorders>
                  <w:vAlign w:val="center"/>
                </w:tcPr>
                <w:p w14:paraId="25C0DB96">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2.9</w:t>
                  </w:r>
                </w:p>
              </w:tc>
              <w:tc>
                <w:tcPr>
                  <w:tcW w:w="1241" w:type="dxa"/>
                  <w:tcBorders>
                    <w:tl2br w:val="nil"/>
                    <w:tr2bl w:val="nil"/>
                  </w:tcBorders>
                  <w:vAlign w:val="center"/>
                </w:tcPr>
                <w:p w14:paraId="4CAD6E9F">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2.30E-07</w:t>
                  </w:r>
                </w:p>
              </w:tc>
              <w:tc>
                <w:tcPr>
                  <w:tcW w:w="1291" w:type="dxa"/>
                  <w:tcBorders>
                    <w:tl2br w:val="nil"/>
                    <w:tr2bl w:val="nil"/>
                  </w:tcBorders>
                  <w:vAlign w:val="center"/>
                </w:tcPr>
                <w:p w14:paraId="081CD7FF">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0.000226</w:t>
                  </w:r>
                </w:p>
              </w:tc>
            </w:tr>
          </w:tbl>
          <w:p w14:paraId="165FC8C3">
            <w:pPr>
              <w:pStyle w:val="96"/>
              <w:ind w:firstLine="422"/>
              <w:rPr>
                <w:rFonts w:eastAsia="宋体" w:cs="Times New Roman"/>
                <w:b/>
                <w:color w:val="auto"/>
                <w:kern w:val="2"/>
                <w:sz w:val="21"/>
                <w:szCs w:val="21"/>
                <w:highlight w:val="none"/>
              </w:rPr>
            </w:pPr>
            <w:r>
              <w:rPr>
                <w:rFonts w:hint="eastAsia" w:eastAsia="宋体" w:cs="Times New Roman"/>
                <w:b/>
                <w:color w:val="auto"/>
                <w:kern w:val="2"/>
                <w:sz w:val="21"/>
                <w:szCs w:val="21"/>
                <w:highlight w:val="none"/>
              </w:rPr>
              <w:t>表11-1</w:t>
            </w:r>
            <w:r>
              <w:rPr>
                <w:rFonts w:hint="eastAsia" w:eastAsia="宋体" w:cs="Times New Roman"/>
                <w:b/>
                <w:color w:val="auto"/>
                <w:kern w:val="2"/>
                <w:sz w:val="21"/>
                <w:szCs w:val="21"/>
                <w:highlight w:val="none"/>
                <w:lang w:val="en-US" w:eastAsia="zh-CN"/>
              </w:rPr>
              <w:t>2</w:t>
            </w:r>
            <w:r>
              <w:rPr>
                <w:rFonts w:hint="eastAsia" w:eastAsia="宋体" w:cs="Times New Roman"/>
                <w:b/>
                <w:color w:val="auto"/>
                <w:kern w:val="2"/>
                <w:sz w:val="21"/>
                <w:szCs w:val="21"/>
                <w:highlight w:val="none"/>
              </w:rPr>
              <w:t xml:space="preserve"> 定向机工作时C2~C</w:t>
            </w:r>
            <w:r>
              <w:rPr>
                <w:rFonts w:hint="eastAsia" w:eastAsia="宋体" w:cs="Times New Roman"/>
                <w:b/>
                <w:color w:val="auto"/>
                <w:kern w:val="2"/>
                <w:sz w:val="21"/>
                <w:szCs w:val="21"/>
                <w:highlight w:val="none"/>
                <w:lang w:val="en-US" w:eastAsia="zh-CN"/>
              </w:rPr>
              <w:t>5</w:t>
            </w:r>
            <w:r>
              <w:rPr>
                <w:rFonts w:hint="eastAsia" w:eastAsia="宋体" w:cs="Times New Roman"/>
                <w:b/>
                <w:color w:val="auto"/>
                <w:kern w:val="2"/>
                <w:sz w:val="21"/>
                <w:szCs w:val="21"/>
                <w:highlight w:val="none"/>
              </w:rPr>
              <w:t>点剂量率计算参数及结果一览表（散射）</w:t>
            </w:r>
          </w:p>
          <w:tbl>
            <w:tblPr>
              <w:tblStyle w:val="36"/>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34"/>
              <w:gridCol w:w="956"/>
              <w:gridCol w:w="1665"/>
              <w:gridCol w:w="792"/>
              <w:gridCol w:w="1064"/>
              <w:gridCol w:w="675"/>
              <w:gridCol w:w="626"/>
              <w:gridCol w:w="1021"/>
              <w:gridCol w:w="1003"/>
            </w:tblGrid>
            <w:tr w14:paraId="0AB0609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05" w:type="pct"/>
                  <w:gridSpan w:val="8"/>
                  <w:tcBorders>
                    <w:tl2br w:val="nil"/>
                    <w:tr2bl w:val="nil"/>
                  </w:tcBorders>
                  <w:vAlign w:val="center"/>
                </w:tcPr>
                <w:p w14:paraId="3FC6F632">
                  <w:pPr>
                    <w:pStyle w:val="95"/>
                    <w:spacing w:line="240" w:lineRule="auto"/>
                    <w:ind w:firstLine="422"/>
                    <w:rPr>
                      <w:rFonts w:eastAsia="宋体" w:cs="Times New Roman"/>
                      <w:b/>
                      <w:color w:val="auto"/>
                      <w:sz w:val="21"/>
                      <w:highlight w:val="none"/>
                    </w:rPr>
                  </w:pPr>
                  <w:r>
                    <w:rPr>
                      <w:rFonts w:eastAsia="宋体" w:cs="Times New Roman"/>
                      <w:b/>
                      <w:color w:val="auto"/>
                      <w:sz w:val="21"/>
                      <w:highlight w:val="none"/>
                    </w:rPr>
                    <w:t>参数</w:t>
                  </w:r>
                </w:p>
              </w:tc>
              <w:tc>
                <w:tcPr>
                  <w:tcW w:w="594" w:type="pct"/>
                  <w:tcBorders>
                    <w:tl2br w:val="nil"/>
                    <w:tr2bl w:val="nil"/>
                  </w:tcBorders>
                  <w:vAlign w:val="center"/>
                </w:tcPr>
                <w:p w14:paraId="237EA875">
                  <w:pPr>
                    <w:pStyle w:val="95"/>
                    <w:spacing w:line="240" w:lineRule="auto"/>
                    <w:ind w:firstLine="0" w:firstLineChars="0"/>
                    <w:rPr>
                      <w:rFonts w:eastAsia="宋体" w:cs="Times New Roman"/>
                      <w:b/>
                      <w:color w:val="auto"/>
                      <w:sz w:val="21"/>
                      <w:highlight w:val="none"/>
                    </w:rPr>
                  </w:pPr>
                  <w:r>
                    <w:rPr>
                      <w:rFonts w:eastAsia="宋体" w:cs="Times New Roman"/>
                      <w:b/>
                      <w:color w:val="auto"/>
                      <w:sz w:val="21"/>
                      <w:highlight w:val="none"/>
                    </w:rPr>
                    <w:t>结果</w:t>
                  </w:r>
                </w:p>
              </w:tc>
            </w:tr>
            <w:tr w14:paraId="3C2B2C5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39" w:hRule="atLeast"/>
                <w:jc w:val="center"/>
              </w:trPr>
              <w:tc>
                <w:tcPr>
                  <w:tcW w:w="375" w:type="pct"/>
                  <w:tcBorders>
                    <w:tl2br w:val="nil"/>
                    <w:tr2bl w:val="nil"/>
                  </w:tcBorders>
                  <w:vAlign w:val="center"/>
                </w:tcPr>
                <w:p w14:paraId="522FF620">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点位</w:t>
                  </w:r>
                </w:p>
              </w:tc>
              <w:tc>
                <w:tcPr>
                  <w:tcW w:w="566" w:type="pct"/>
                  <w:tcBorders>
                    <w:tl2br w:val="nil"/>
                    <w:tr2bl w:val="nil"/>
                  </w:tcBorders>
                  <w:vAlign w:val="center"/>
                </w:tcPr>
                <w:p w14:paraId="3280E791">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I</w:t>
                  </w:r>
                </w:p>
                <w:p w14:paraId="0EB1F966">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（mA）</w:t>
                  </w:r>
                </w:p>
              </w:tc>
              <w:tc>
                <w:tcPr>
                  <w:tcW w:w="987" w:type="pct"/>
                  <w:tcBorders>
                    <w:tl2br w:val="nil"/>
                    <w:tr2bl w:val="nil"/>
                  </w:tcBorders>
                  <w:vAlign w:val="center"/>
                </w:tcPr>
                <w:p w14:paraId="25DD9160">
                  <w:pPr>
                    <w:pStyle w:val="97"/>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H</w:t>
                  </w:r>
                  <w:r>
                    <w:rPr>
                      <w:rFonts w:cs="Times New Roman"/>
                      <w:color w:val="auto"/>
                      <w:sz w:val="21"/>
                      <w:szCs w:val="21"/>
                      <w:highlight w:val="none"/>
                      <w:vertAlign w:val="subscript"/>
                    </w:rPr>
                    <w:t>0</w:t>
                  </w:r>
                </w:p>
                <w:p w14:paraId="10B3056B">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w:t>
                  </w:r>
                  <w:r>
                    <w:rPr>
                      <w:rFonts w:eastAsia="宋体" w:cs="Times New Roman"/>
                      <w:color w:val="auto"/>
                      <w:spacing w:val="-2"/>
                      <w:kern w:val="2"/>
                      <w:sz w:val="21"/>
                      <w:highlight w:val="none"/>
                    </w:rPr>
                    <w:t>μSv·m</w:t>
                  </w:r>
                  <w:r>
                    <w:rPr>
                      <w:rFonts w:eastAsia="宋体" w:cs="Times New Roman"/>
                      <w:color w:val="auto"/>
                      <w:spacing w:val="-2"/>
                      <w:kern w:val="2"/>
                      <w:sz w:val="21"/>
                      <w:highlight w:val="none"/>
                      <w:vertAlign w:val="superscript"/>
                    </w:rPr>
                    <w:t>2</w:t>
                  </w:r>
                  <w:r>
                    <w:rPr>
                      <w:rFonts w:eastAsia="宋体" w:cs="Times New Roman"/>
                      <w:color w:val="auto"/>
                      <w:spacing w:val="-2"/>
                      <w:kern w:val="2"/>
                      <w:sz w:val="21"/>
                      <w:highlight w:val="none"/>
                    </w:rPr>
                    <w:t>/mA·h</w:t>
                  </w:r>
                  <w:r>
                    <w:rPr>
                      <w:rFonts w:eastAsia="宋体" w:cs="Times New Roman"/>
                      <w:color w:val="auto"/>
                      <w:sz w:val="21"/>
                      <w:highlight w:val="none"/>
                    </w:rPr>
                    <w:t>)</w:t>
                  </w:r>
                </w:p>
              </w:tc>
              <w:tc>
                <w:tcPr>
                  <w:tcW w:w="469" w:type="pct"/>
                  <w:tcBorders>
                    <w:tl2br w:val="nil"/>
                    <w:tr2bl w:val="nil"/>
                  </w:tcBorders>
                  <w:vAlign w:val="center"/>
                </w:tcPr>
                <w:p w14:paraId="69B1B0BD">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Rs</w:t>
                  </w:r>
                </w:p>
                <w:p w14:paraId="28F234C4">
                  <w:pPr>
                    <w:pStyle w:val="95"/>
                    <w:spacing w:line="240" w:lineRule="auto"/>
                    <w:ind w:firstLine="0" w:firstLineChars="0"/>
                    <w:rPr>
                      <w:rFonts w:eastAsia="宋体" w:cs="Times New Roman"/>
                      <w:color w:val="auto"/>
                      <w:sz w:val="21"/>
                      <w:highlight w:val="none"/>
                    </w:rPr>
                  </w:pPr>
                  <w:r>
                    <w:rPr>
                      <w:rFonts w:hint="eastAsia" w:eastAsia="宋体" w:cs="Times New Roman"/>
                      <w:color w:val="auto"/>
                      <w:sz w:val="21"/>
                      <w:highlight w:val="none"/>
                    </w:rPr>
                    <w:t>（</w:t>
                  </w:r>
                  <w:r>
                    <w:rPr>
                      <w:rFonts w:eastAsia="宋体" w:cs="Times New Roman"/>
                      <w:color w:val="auto"/>
                      <w:sz w:val="21"/>
                      <w:highlight w:val="none"/>
                    </w:rPr>
                    <w:t>m</w:t>
                  </w:r>
                  <w:r>
                    <w:rPr>
                      <w:rFonts w:hint="eastAsia" w:eastAsia="宋体" w:cs="Times New Roman"/>
                      <w:color w:val="auto"/>
                      <w:sz w:val="21"/>
                      <w:highlight w:val="none"/>
                    </w:rPr>
                    <w:t>）</w:t>
                  </w:r>
                </w:p>
              </w:tc>
              <w:tc>
                <w:tcPr>
                  <w:tcW w:w="630" w:type="pct"/>
                  <w:tcBorders>
                    <w:tl2br w:val="nil"/>
                    <w:tr2bl w:val="nil"/>
                  </w:tcBorders>
                  <w:vAlign w:val="center"/>
                </w:tcPr>
                <w:p w14:paraId="3A31E33C">
                  <w:pPr>
                    <w:pStyle w:val="95"/>
                    <w:spacing w:line="240" w:lineRule="auto"/>
                    <w:ind w:firstLine="0" w:firstLineChars="0"/>
                    <w:rPr>
                      <w:rFonts w:eastAsia="宋体" w:cs="Times New Roman"/>
                      <w:color w:val="auto"/>
                      <w:sz w:val="21"/>
                      <w:highlight w:val="none"/>
                    </w:rPr>
                  </w:pPr>
                  <w:r>
                    <w:rPr>
                      <w:color w:val="auto"/>
                      <w:position w:val="-30"/>
                      <w:highlight w:val="none"/>
                    </w:rPr>
                    <w:object>
                      <v:shape id="_x0000_i1033" o:spt="75" type="#_x0000_t75" style="height:34.5pt;width:26.25pt;" o:ole="t" filled="f" o:preferrelative="t" stroked="f" coordsize="21600,21600">
                        <v:path/>
                        <v:fill on="f" focussize="0,0"/>
                        <v:stroke on="f" joinstyle="miter"/>
                        <v:imagedata r:id="rId68" o:title=""/>
                        <o:lock v:ext="edit" aspectratio="t"/>
                        <w10:wrap type="none"/>
                        <w10:anchorlock/>
                      </v:shape>
                      <o:OLEObject Type="Embed" ProgID="Equation.DSMT4" ShapeID="_x0000_i1033" DrawAspect="Content" ObjectID="_1468075733" r:id="rId70">
                        <o:LockedField>false</o:LockedField>
                      </o:OLEObject>
                    </w:object>
                  </w:r>
                </w:p>
              </w:tc>
              <w:tc>
                <w:tcPr>
                  <w:tcW w:w="400" w:type="pct"/>
                  <w:tcBorders>
                    <w:tl2br w:val="nil"/>
                    <w:tr2bl w:val="nil"/>
                  </w:tcBorders>
                  <w:vAlign w:val="center"/>
                </w:tcPr>
                <w:p w14:paraId="29888627">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X</w:t>
                  </w:r>
                </w:p>
                <w:p w14:paraId="17DDAE48">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mm</w:t>
                  </w:r>
                </w:p>
              </w:tc>
              <w:tc>
                <w:tcPr>
                  <w:tcW w:w="370" w:type="pct"/>
                  <w:tcBorders>
                    <w:tl2br w:val="nil"/>
                    <w:tr2bl w:val="nil"/>
                  </w:tcBorders>
                  <w:vAlign w:val="center"/>
                </w:tcPr>
                <w:p w14:paraId="3FDECB48">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TVL</w:t>
                  </w:r>
                </w:p>
                <w:p w14:paraId="3868D155">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mm</w:t>
                  </w:r>
                </w:p>
              </w:tc>
              <w:tc>
                <w:tcPr>
                  <w:tcW w:w="605" w:type="pct"/>
                  <w:tcBorders>
                    <w:tl2br w:val="nil"/>
                    <w:tr2bl w:val="nil"/>
                  </w:tcBorders>
                  <w:vAlign w:val="center"/>
                </w:tcPr>
                <w:p w14:paraId="22290798">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B</w:t>
                  </w:r>
                </w:p>
              </w:tc>
              <w:tc>
                <w:tcPr>
                  <w:tcW w:w="594" w:type="pct"/>
                  <w:tcBorders>
                    <w:tl2br w:val="nil"/>
                    <w:tr2bl w:val="nil"/>
                  </w:tcBorders>
                  <w:vAlign w:val="center"/>
                </w:tcPr>
                <w:p w14:paraId="776DBE40">
                  <w:pPr>
                    <w:pStyle w:val="95"/>
                    <w:spacing w:line="240" w:lineRule="auto"/>
                    <w:ind w:firstLine="0" w:firstLineChars="0"/>
                    <w:rPr>
                      <w:rFonts w:eastAsia="宋体" w:cs="Times New Roman"/>
                      <w:b/>
                      <w:iCs/>
                      <w:color w:val="auto"/>
                      <w:sz w:val="21"/>
                      <w:highlight w:val="none"/>
                    </w:rPr>
                  </w:pPr>
                  <w:r>
                    <w:rPr>
                      <w:rFonts w:eastAsia="宋体" w:cs="Times New Roman"/>
                      <w:b/>
                      <w:iCs/>
                      <w:color w:val="auto"/>
                      <w:sz w:val="21"/>
                      <w:highlight w:val="none"/>
                    </w:rPr>
                    <w:t>Ḣ</w:t>
                  </w:r>
                </w:p>
                <w:p w14:paraId="066B27CC">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μSv/h</w:t>
                  </w:r>
                </w:p>
              </w:tc>
            </w:tr>
            <w:tr w14:paraId="40C5DA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75" w:type="pct"/>
                  <w:tcBorders>
                    <w:tl2br w:val="nil"/>
                    <w:tr2bl w:val="nil"/>
                  </w:tcBorders>
                  <w:vAlign w:val="center"/>
                </w:tcPr>
                <w:p w14:paraId="457BA17C">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C2</w:t>
                  </w:r>
                </w:p>
              </w:tc>
              <w:tc>
                <w:tcPr>
                  <w:tcW w:w="566" w:type="pct"/>
                  <w:tcBorders>
                    <w:tl2br w:val="nil"/>
                    <w:tr2bl w:val="nil"/>
                  </w:tcBorders>
                  <w:vAlign w:val="center"/>
                </w:tcPr>
                <w:p w14:paraId="511A1276">
                  <w:pPr>
                    <w:widowControl/>
                    <w:jc w:val="center"/>
                    <w:textAlignment w:val="center"/>
                    <w:rPr>
                      <w:color w:val="auto"/>
                      <w:szCs w:val="21"/>
                      <w:highlight w:val="none"/>
                    </w:rPr>
                  </w:pPr>
                  <w:r>
                    <w:rPr>
                      <w:color w:val="auto"/>
                      <w:kern w:val="0"/>
                      <w:szCs w:val="21"/>
                      <w:highlight w:val="none"/>
                      <w:lang w:bidi="ar"/>
                    </w:rPr>
                    <w:t>5</w:t>
                  </w:r>
                </w:p>
              </w:tc>
              <w:tc>
                <w:tcPr>
                  <w:tcW w:w="987" w:type="pct"/>
                  <w:tcBorders>
                    <w:tl2br w:val="nil"/>
                    <w:tr2bl w:val="nil"/>
                  </w:tcBorders>
                  <w:vAlign w:val="center"/>
                </w:tcPr>
                <w:p w14:paraId="3073F5DD">
                  <w:pPr>
                    <w:widowControl/>
                    <w:jc w:val="center"/>
                    <w:textAlignment w:val="center"/>
                    <w:rPr>
                      <w:color w:val="auto"/>
                      <w:szCs w:val="21"/>
                      <w:highlight w:val="none"/>
                    </w:rPr>
                  </w:pPr>
                  <w:r>
                    <w:rPr>
                      <w:rFonts w:hint="eastAsia"/>
                      <w:color w:val="auto"/>
                      <w:szCs w:val="21"/>
                      <w:highlight w:val="none"/>
                    </w:rPr>
                    <w:t>16.5</w:t>
                  </w:r>
                  <w:r>
                    <w:rPr>
                      <w:color w:val="auto"/>
                      <w:spacing w:val="-2"/>
                      <w:szCs w:val="21"/>
                      <w:highlight w:val="none"/>
                    </w:rPr>
                    <w:t>×6×10</w:t>
                  </w:r>
                  <w:r>
                    <w:rPr>
                      <w:color w:val="auto"/>
                      <w:spacing w:val="-2"/>
                      <w:szCs w:val="21"/>
                      <w:highlight w:val="none"/>
                      <w:vertAlign w:val="superscript"/>
                    </w:rPr>
                    <w:t>4</w:t>
                  </w:r>
                </w:p>
              </w:tc>
              <w:tc>
                <w:tcPr>
                  <w:tcW w:w="469" w:type="pct"/>
                  <w:tcBorders>
                    <w:tl2br w:val="nil"/>
                    <w:tr2bl w:val="nil"/>
                  </w:tcBorders>
                  <w:vAlign w:val="center"/>
                </w:tcPr>
                <w:p w14:paraId="614E8FE2">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1.11</w:t>
                  </w:r>
                </w:p>
              </w:tc>
              <w:tc>
                <w:tcPr>
                  <w:tcW w:w="630" w:type="pct"/>
                  <w:tcBorders>
                    <w:tl2br w:val="nil"/>
                    <w:tr2bl w:val="nil"/>
                  </w:tcBorders>
                  <w:vAlign w:val="center"/>
                </w:tcPr>
                <w:p w14:paraId="6F469002">
                  <w:pPr>
                    <w:widowControl/>
                    <w:jc w:val="center"/>
                    <w:textAlignment w:val="center"/>
                    <w:rPr>
                      <w:color w:val="auto"/>
                      <w:szCs w:val="21"/>
                      <w:highlight w:val="none"/>
                    </w:rPr>
                  </w:pPr>
                  <w:r>
                    <w:rPr>
                      <w:rFonts w:hint="eastAsia"/>
                      <w:snapToGrid/>
                      <w:color w:val="auto"/>
                      <w:spacing w:val="-2"/>
                      <w:kern w:val="2"/>
                      <w:szCs w:val="24"/>
                      <w:highlight w:val="none"/>
                      <w:lang w:val="en-US" w:eastAsia="zh-CN"/>
                    </w:rPr>
                    <w:t>1</w:t>
                  </w:r>
                  <w:r>
                    <w:rPr>
                      <w:rFonts w:hint="eastAsia"/>
                      <w:snapToGrid/>
                      <w:color w:val="auto"/>
                      <w:spacing w:val="-2"/>
                      <w:kern w:val="2"/>
                      <w:szCs w:val="24"/>
                      <w:highlight w:val="none"/>
                    </w:rPr>
                    <w:t>/</w:t>
                  </w:r>
                  <w:r>
                    <w:rPr>
                      <w:rFonts w:hint="eastAsia"/>
                      <w:snapToGrid/>
                      <w:color w:val="auto"/>
                      <w:spacing w:val="-2"/>
                      <w:kern w:val="2"/>
                      <w:szCs w:val="24"/>
                      <w:highlight w:val="none"/>
                      <w:lang w:val="en-US" w:eastAsia="zh-CN"/>
                    </w:rPr>
                    <w:t>50</w:t>
                  </w:r>
                </w:p>
              </w:tc>
              <w:tc>
                <w:tcPr>
                  <w:tcW w:w="400" w:type="pct"/>
                  <w:tcBorders>
                    <w:tl2br w:val="nil"/>
                    <w:tr2bl w:val="nil"/>
                  </w:tcBorders>
                  <w:vAlign w:val="center"/>
                </w:tcPr>
                <w:p w14:paraId="24FB5822">
                  <w:pPr>
                    <w:keepNext w:val="0"/>
                    <w:keepLines w:val="0"/>
                    <w:pageBreakBefore w:val="0"/>
                    <w:widowControl/>
                    <w:kinsoku/>
                    <w:wordWrap/>
                    <w:overflowPunct/>
                    <w:topLinePunct w:val="0"/>
                    <w:bidi w:val="0"/>
                    <w:adjustRightInd/>
                    <w:snapToGrid/>
                    <w:ind w:left="-105" w:leftChars="-50" w:right="-105" w:rightChars="-50"/>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18.26</w:t>
                  </w:r>
                </w:p>
              </w:tc>
              <w:tc>
                <w:tcPr>
                  <w:tcW w:w="370" w:type="pct"/>
                  <w:tcBorders>
                    <w:tl2br w:val="nil"/>
                    <w:tr2bl w:val="nil"/>
                  </w:tcBorders>
                  <w:vAlign w:val="center"/>
                </w:tcPr>
                <w:p w14:paraId="624EE75A">
                  <w:pPr>
                    <w:widowControl/>
                    <w:jc w:val="center"/>
                    <w:textAlignment w:val="center"/>
                    <w:rPr>
                      <w:rFonts w:hint="default" w:eastAsia="宋体"/>
                      <w:color w:val="auto"/>
                      <w:szCs w:val="21"/>
                      <w:highlight w:val="none"/>
                      <w:lang w:val="en-US" w:eastAsia="zh-CN"/>
                    </w:rPr>
                  </w:pPr>
                  <w:r>
                    <w:rPr>
                      <w:rFonts w:hint="eastAsia"/>
                      <w:color w:val="auto"/>
                      <w:kern w:val="0"/>
                      <w:szCs w:val="21"/>
                      <w:highlight w:val="none"/>
                      <w:lang w:val="en-US" w:eastAsia="zh-CN" w:bidi="ar"/>
                    </w:rPr>
                    <w:t>1.4</w:t>
                  </w:r>
                </w:p>
              </w:tc>
              <w:tc>
                <w:tcPr>
                  <w:tcW w:w="605" w:type="pct"/>
                  <w:tcBorders>
                    <w:tl2br w:val="nil"/>
                    <w:tr2bl w:val="nil"/>
                  </w:tcBorders>
                  <w:vAlign w:val="center"/>
                </w:tcPr>
                <w:p w14:paraId="60C2894C">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9.06E-14</w:t>
                  </w:r>
                </w:p>
              </w:tc>
              <w:tc>
                <w:tcPr>
                  <w:tcW w:w="594" w:type="pct"/>
                  <w:tcBorders>
                    <w:tl2br w:val="nil"/>
                    <w:tr2bl w:val="nil"/>
                  </w:tcBorders>
                  <w:vAlign w:val="center"/>
                </w:tcPr>
                <w:p w14:paraId="36FCF47F">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7.28E-09</w:t>
                  </w:r>
                </w:p>
              </w:tc>
            </w:tr>
            <w:tr w14:paraId="33ED64D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75" w:type="pct"/>
                  <w:tcBorders>
                    <w:tl2br w:val="nil"/>
                    <w:tr2bl w:val="nil"/>
                  </w:tcBorders>
                  <w:vAlign w:val="center"/>
                </w:tcPr>
                <w:p w14:paraId="0E18D533">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C3</w:t>
                  </w:r>
                </w:p>
              </w:tc>
              <w:tc>
                <w:tcPr>
                  <w:tcW w:w="566" w:type="pct"/>
                  <w:tcBorders>
                    <w:tl2br w:val="nil"/>
                    <w:tr2bl w:val="nil"/>
                  </w:tcBorders>
                  <w:vAlign w:val="center"/>
                </w:tcPr>
                <w:p w14:paraId="192E4DBB">
                  <w:pPr>
                    <w:widowControl/>
                    <w:jc w:val="center"/>
                    <w:textAlignment w:val="center"/>
                    <w:rPr>
                      <w:color w:val="auto"/>
                      <w:szCs w:val="21"/>
                      <w:highlight w:val="none"/>
                    </w:rPr>
                  </w:pPr>
                  <w:r>
                    <w:rPr>
                      <w:color w:val="auto"/>
                      <w:kern w:val="0"/>
                      <w:szCs w:val="21"/>
                      <w:highlight w:val="none"/>
                      <w:lang w:bidi="ar"/>
                    </w:rPr>
                    <w:t>5</w:t>
                  </w:r>
                </w:p>
              </w:tc>
              <w:tc>
                <w:tcPr>
                  <w:tcW w:w="987" w:type="pct"/>
                  <w:tcBorders>
                    <w:tl2br w:val="nil"/>
                    <w:tr2bl w:val="nil"/>
                  </w:tcBorders>
                  <w:vAlign w:val="center"/>
                </w:tcPr>
                <w:p w14:paraId="3417147E">
                  <w:pPr>
                    <w:widowControl/>
                    <w:jc w:val="center"/>
                    <w:textAlignment w:val="center"/>
                    <w:rPr>
                      <w:color w:val="auto"/>
                      <w:szCs w:val="21"/>
                      <w:highlight w:val="none"/>
                    </w:rPr>
                  </w:pPr>
                  <w:r>
                    <w:rPr>
                      <w:rFonts w:hint="eastAsia"/>
                      <w:color w:val="auto"/>
                      <w:szCs w:val="21"/>
                      <w:highlight w:val="none"/>
                    </w:rPr>
                    <w:t>16.5</w:t>
                  </w:r>
                  <w:r>
                    <w:rPr>
                      <w:color w:val="auto"/>
                      <w:spacing w:val="-2"/>
                      <w:szCs w:val="21"/>
                      <w:highlight w:val="none"/>
                    </w:rPr>
                    <w:t>×6×10</w:t>
                  </w:r>
                  <w:r>
                    <w:rPr>
                      <w:color w:val="auto"/>
                      <w:spacing w:val="-2"/>
                      <w:szCs w:val="21"/>
                      <w:highlight w:val="none"/>
                      <w:vertAlign w:val="superscript"/>
                    </w:rPr>
                    <w:t>4</w:t>
                  </w:r>
                </w:p>
              </w:tc>
              <w:tc>
                <w:tcPr>
                  <w:tcW w:w="469" w:type="pct"/>
                  <w:tcBorders>
                    <w:tl2br w:val="nil"/>
                    <w:tr2bl w:val="nil"/>
                  </w:tcBorders>
                  <w:vAlign w:val="center"/>
                </w:tcPr>
                <w:p w14:paraId="07A3C8BB">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1.51</w:t>
                  </w:r>
                </w:p>
              </w:tc>
              <w:tc>
                <w:tcPr>
                  <w:tcW w:w="630" w:type="pct"/>
                  <w:tcBorders>
                    <w:tl2br w:val="nil"/>
                    <w:tr2bl w:val="nil"/>
                  </w:tcBorders>
                  <w:vAlign w:val="center"/>
                </w:tcPr>
                <w:p w14:paraId="424393CB">
                  <w:pPr>
                    <w:widowControl/>
                    <w:jc w:val="center"/>
                    <w:textAlignment w:val="center"/>
                    <w:rPr>
                      <w:color w:val="auto"/>
                      <w:szCs w:val="21"/>
                      <w:highlight w:val="none"/>
                    </w:rPr>
                  </w:pPr>
                  <w:r>
                    <w:rPr>
                      <w:rFonts w:hint="eastAsia"/>
                      <w:snapToGrid/>
                      <w:color w:val="auto"/>
                      <w:spacing w:val="-2"/>
                      <w:kern w:val="2"/>
                      <w:szCs w:val="24"/>
                      <w:highlight w:val="none"/>
                      <w:lang w:val="en-US" w:eastAsia="zh-CN"/>
                    </w:rPr>
                    <w:t>1</w:t>
                  </w:r>
                  <w:r>
                    <w:rPr>
                      <w:rFonts w:hint="eastAsia"/>
                      <w:snapToGrid/>
                      <w:color w:val="auto"/>
                      <w:spacing w:val="-2"/>
                      <w:kern w:val="2"/>
                      <w:szCs w:val="24"/>
                      <w:highlight w:val="none"/>
                    </w:rPr>
                    <w:t>/</w:t>
                  </w:r>
                  <w:r>
                    <w:rPr>
                      <w:rFonts w:hint="eastAsia"/>
                      <w:snapToGrid/>
                      <w:color w:val="auto"/>
                      <w:spacing w:val="-2"/>
                      <w:kern w:val="2"/>
                      <w:szCs w:val="24"/>
                      <w:highlight w:val="none"/>
                      <w:lang w:val="en-US" w:eastAsia="zh-CN"/>
                    </w:rPr>
                    <w:t>50</w:t>
                  </w:r>
                </w:p>
              </w:tc>
              <w:tc>
                <w:tcPr>
                  <w:tcW w:w="400" w:type="pct"/>
                  <w:tcBorders>
                    <w:tl2br w:val="nil"/>
                    <w:tr2bl w:val="nil"/>
                  </w:tcBorders>
                  <w:vAlign w:val="center"/>
                </w:tcPr>
                <w:p w14:paraId="75812D41">
                  <w:pPr>
                    <w:keepNext w:val="0"/>
                    <w:keepLines w:val="0"/>
                    <w:pageBreakBefore w:val="0"/>
                    <w:widowControl/>
                    <w:kinsoku/>
                    <w:wordWrap/>
                    <w:overflowPunct/>
                    <w:topLinePunct w:val="0"/>
                    <w:bidi w:val="0"/>
                    <w:adjustRightInd/>
                    <w:snapToGrid/>
                    <w:ind w:left="-105" w:leftChars="-50" w:right="-105" w:rightChars="-50"/>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18.26</w:t>
                  </w:r>
                </w:p>
              </w:tc>
              <w:tc>
                <w:tcPr>
                  <w:tcW w:w="370" w:type="pct"/>
                  <w:tcBorders>
                    <w:tl2br w:val="nil"/>
                    <w:tr2bl w:val="nil"/>
                  </w:tcBorders>
                  <w:vAlign w:val="center"/>
                </w:tcPr>
                <w:p w14:paraId="199F7300">
                  <w:pPr>
                    <w:widowControl/>
                    <w:jc w:val="center"/>
                    <w:textAlignment w:val="center"/>
                    <w:rPr>
                      <w:color w:val="auto"/>
                      <w:szCs w:val="21"/>
                      <w:highlight w:val="none"/>
                    </w:rPr>
                  </w:pPr>
                  <w:r>
                    <w:rPr>
                      <w:rFonts w:hint="eastAsia"/>
                      <w:color w:val="auto"/>
                      <w:kern w:val="0"/>
                      <w:szCs w:val="21"/>
                      <w:highlight w:val="none"/>
                      <w:lang w:val="en-US" w:eastAsia="zh-CN" w:bidi="ar"/>
                    </w:rPr>
                    <w:t>1.4</w:t>
                  </w:r>
                </w:p>
              </w:tc>
              <w:tc>
                <w:tcPr>
                  <w:tcW w:w="605" w:type="pct"/>
                  <w:tcBorders>
                    <w:tl2br w:val="nil"/>
                    <w:tr2bl w:val="nil"/>
                  </w:tcBorders>
                  <w:vAlign w:val="center"/>
                </w:tcPr>
                <w:p w14:paraId="20335831">
                  <w:pPr>
                    <w:keepNext w:val="0"/>
                    <w:keepLines w:val="0"/>
                    <w:widowControl/>
                    <w:suppressLineNumbers w:val="0"/>
                    <w:jc w:val="center"/>
                    <w:textAlignment w:val="center"/>
                    <w:rPr>
                      <w:color w:val="auto"/>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9.06E-14</w:t>
                  </w:r>
                </w:p>
              </w:tc>
              <w:tc>
                <w:tcPr>
                  <w:tcW w:w="594" w:type="pct"/>
                  <w:tcBorders>
                    <w:tl2br w:val="nil"/>
                    <w:tr2bl w:val="nil"/>
                  </w:tcBorders>
                  <w:vAlign w:val="center"/>
                </w:tcPr>
                <w:p w14:paraId="5FDFB66B">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3.93E-09</w:t>
                  </w:r>
                </w:p>
              </w:tc>
            </w:tr>
            <w:tr w14:paraId="66BD8D5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75" w:type="pct"/>
                  <w:tcBorders>
                    <w:tl2br w:val="nil"/>
                    <w:tr2bl w:val="nil"/>
                  </w:tcBorders>
                  <w:vAlign w:val="center"/>
                </w:tcPr>
                <w:p w14:paraId="01C1130E">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C4</w:t>
                  </w:r>
                </w:p>
              </w:tc>
              <w:tc>
                <w:tcPr>
                  <w:tcW w:w="566" w:type="pct"/>
                  <w:tcBorders>
                    <w:tl2br w:val="nil"/>
                    <w:tr2bl w:val="nil"/>
                  </w:tcBorders>
                  <w:vAlign w:val="center"/>
                </w:tcPr>
                <w:p w14:paraId="37542468">
                  <w:pPr>
                    <w:widowControl/>
                    <w:jc w:val="center"/>
                    <w:textAlignment w:val="center"/>
                    <w:rPr>
                      <w:color w:val="auto"/>
                      <w:szCs w:val="21"/>
                      <w:highlight w:val="none"/>
                    </w:rPr>
                  </w:pPr>
                  <w:r>
                    <w:rPr>
                      <w:color w:val="auto"/>
                      <w:kern w:val="0"/>
                      <w:szCs w:val="21"/>
                      <w:highlight w:val="none"/>
                      <w:lang w:bidi="ar"/>
                    </w:rPr>
                    <w:t>5</w:t>
                  </w:r>
                </w:p>
              </w:tc>
              <w:tc>
                <w:tcPr>
                  <w:tcW w:w="987" w:type="pct"/>
                  <w:tcBorders>
                    <w:tl2br w:val="nil"/>
                    <w:tr2bl w:val="nil"/>
                  </w:tcBorders>
                  <w:vAlign w:val="center"/>
                </w:tcPr>
                <w:p w14:paraId="31EF9777">
                  <w:pPr>
                    <w:widowControl/>
                    <w:jc w:val="center"/>
                    <w:textAlignment w:val="center"/>
                    <w:rPr>
                      <w:color w:val="auto"/>
                      <w:szCs w:val="21"/>
                      <w:highlight w:val="none"/>
                    </w:rPr>
                  </w:pPr>
                  <w:r>
                    <w:rPr>
                      <w:rFonts w:hint="eastAsia"/>
                      <w:color w:val="auto"/>
                      <w:szCs w:val="21"/>
                      <w:highlight w:val="none"/>
                    </w:rPr>
                    <w:t>16.5</w:t>
                  </w:r>
                  <w:r>
                    <w:rPr>
                      <w:color w:val="auto"/>
                      <w:spacing w:val="-2"/>
                      <w:szCs w:val="21"/>
                      <w:highlight w:val="none"/>
                    </w:rPr>
                    <w:t>×6×10</w:t>
                  </w:r>
                  <w:r>
                    <w:rPr>
                      <w:color w:val="auto"/>
                      <w:spacing w:val="-2"/>
                      <w:szCs w:val="21"/>
                      <w:highlight w:val="none"/>
                      <w:vertAlign w:val="superscript"/>
                    </w:rPr>
                    <w:t>4</w:t>
                  </w:r>
                </w:p>
              </w:tc>
              <w:tc>
                <w:tcPr>
                  <w:tcW w:w="469" w:type="pct"/>
                  <w:tcBorders>
                    <w:tl2br w:val="nil"/>
                    <w:tr2bl w:val="nil"/>
                  </w:tcBorders>
                  <w:vAlign w:val="center"/>
                </w:tcPr>
                <w:p w14:paraId="75865131">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1.441</w:t>
                  </w:r>
                </w:p>
              </w:tc>
              <w:tc>
                <w:tcPr>
                  <w:tcW w:w="630" w:type="pct"/>
                  <w:tcBorders>
                    <w:tl2br w:val="nil"/>
                    <w:tr2bl w:val="nil"/>
                  </w:tcBorders>
                  <w:vAlign w:val="center"/>
                </w:tcPr>
                <w:p w14:paraId="07ECECE0">
                  <w:pPr>
                    <w:widowControl/>
                    <w:jc w:val="center"/>
                    <w:textAlignment w:val="center"/>
                    <w:rPr>
                      <w:color w:val="auto"/>
                      <w:szCs w:val="21"/>
                      <w:highlight w:val="none"/>
                    </w:rPr>
                  </w:pPr>
                  <w:r>
                    <w:rPr>
                      <w:rFonts w:hint="eastAsia"/>
                      <w:snapToGrid/>
                      <w:color w:val="auto"/>
                      <w:spacing w:val="-2"/>
                      <w:kern w:val="2"/>
                      <w:szCs w:val="24"/>
                      <w:highlight w:val="none"/>
                      <w:lang w:val="en-US" w:eastAsia="zh-CN"/>
                    </w:rPr>
                    <w:t>1</w:t>
                  </w:r>
                  <w:r>
                    <w:rPr>
                      <w:rFonts w:hint="eastAsia"/>
                      <w:snapToGrid/>
                      <w:color w:val="auto"/>
                      <w:spacing w:val="-2"/>
                      <w:kern w:val="2"/>
                      <w:szCs w:val="24"/>
                      <w:highlight w:val="none"/>
                    </w:rPr>
                    <w:t>/</w:t>
                  </w:r>
                  <w:r>
                    <w:rPr>
                      <w:rFonts w:hint="eastAsia"/>
                      <w:snapToGrid/>
                      <w:color w:val="auto"/>
                      <w:spacing w:val="-2"/>
                      <w:kern w:val="2"/>
                      <w:szCs w:val="24"/>
                      <w:highlight w:val="none"/>
                      <w:lang w:val="en-US" w:eastAsia="zh-CN"/>
                    </w:rPr>
                    <w:t>50</w:t>
                  </w:r>
                </w:p>
              </w:tc>
              <w:tc>
                <w:tcPr>
                  <w:tcW w:w="400" w:type="pct"/>
                  <w:tcBorders>
                    <w:tl2br w:val="nil"/>
                    <w:tr2bl w:val="nil"/>
                  </w:tcBorders>
                  <w:vAlign w:val="center"/>
                </w:tcPr>
                <w:p w14:paraId="6177E160">
                  <w:pPr>
                    <w:keepNext w:val="0"/>
                    <w:keepLines w:val="0"/>
                    <w:pageBreakBefore w:val="0"/>
                    <w:widowControl/>
                    <w:kinsoku/>
                    <w:wordWrap/>
                    <w:overflowPunct/>
                    <w:topLinePunct w:val="0"/>
                    <w:bidi w:val="0"/>
                    <w:adjustRightInd/>
                    <w:snapToGrid/>
                    <w:ind w:left="-105" w:leftChars="-50" w:right="-105" w:rightChars="-50"/>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13.16</w:t>
                  </w:r>
                </w:p>
              </w:tc>
              <w:tc>
                <w:tcPr>
                  <w:tcW w:w="370" w:type="pct"/>
                  <w:tcBorders>
                    <w:tl2br w:val="nil"/>
                    <w:tr2bl w:val="nil"/>
                  </w:tcBorders>
                  <w:vAlign w:val="center"/>
                </w:tcPr>
                <w:p w14:paraId="0DF54FCC">
                  <w:pPr>
                    <w:widowControl/>
                    <w:jc w:val="center"/>
                    <w:textAlignment w:val="center"/>
                    <w:rPr>
                      <w:color w:val="auto"/>
                      <w:szCs w:val="21"/>
                      <w:highlight w:val="none"/>
                    </w:rPr>
                  </w:pPr>
                  <w:r>
                    <w:rPr>
                      <w:rFonts w:hint="eastAsia"/>
                      <w:color w:val="auto"/>
                      <w:kern w:val="0"/>
                      <w:szCs w:val="21"/>
                      <w:highlight w:val="none"/>
                      <w:lang w:val="en-US" w:eastAsia="zh-CN" w:bidi="ar"/>
                    </w:rPr>
                    <w:t>1.4</w:t>
                  </w:r>
                </w:p>
              </w:tc>
              <w:tc>
                <w:tcPr>
                  <w:tcW w:w="605" w:type="pct"/>
                  <w:tcBorders>
                    <w:tl2br w:val="nil"/>
                    <w:tr2bl w:val="nil"/>
                  </w:tcBorders>
                  <w:vAlign w:val="center"/>
                </w:tcPr>
                <w:p w14:paraId="5DEC86FD">
                  <w:pPr>
                    <w:keepNext w:val="0"/>
                    <w:keepLines w:val="0"/>
                    <w:widowControl/>
                    <w:suppressLineNumbers w:val="0"/>
                    <w:jc w:val="center"/>
                    <w:textAlignment w:val="center"/>
                    <w:rPr>
                      <w:rFonts w:hint="default"/>
                      <w:color w:val="auto"/>
                      <w:szCs w:val="21"/>
                      <w:highlight w:val="none"/>
                      <w:lang w:val="en-US"/>
                    </w:rPr>
                  </w:pPr>
                  <w:r>
                    <w:rPr>
                      <w:rFonts w:hint="default" w:ascii="Times New Roman" w:hAnsi="Times New Roman" w:eastAsia="宋体" w:cs="Times New Roman"/>
                      <w:i w:val="0"/>
                      <w:iCs w:val="0"/>
                      <w:color w:val="auto"/>
                      <w:kern w:val="0"/>
                      <w:sz w:val="21"/>
                      <w:szCs w:val="21"/>
                      <w:u w:val="none"/>
                      <w:lang w:val="en-US" w:eastAsia="zh-CN" w:bidi="ar"/>
                    </w:rPr>
                    <w:t>3.98E-10</w:t>
                  </w:r>
                </w:p>
              </w:tc>
              <w:tc>
                <w:tcPr>
                  <w:tcW w:w="594" w:type="pct"/>
                  <w:tcBorders>
                    <w:tl2br w:val="nil"/>
                    <w:tr2bl w:val="nil"/>
                  </w:tcBorders>
                  <w:vAlign w:val="center"/>
                </w:tcPr>
                <w:p w14:paraId="7FAACA3D">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1.90E-05</w:t>
                  </w:r>
                </w:p>
              </w:tc>
            </w:tr>
            <w:tr w14:paraId="373CE16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75" w:type="pct"/>
                  <w:tcBorders>
                    <w:tl2br w:val="nil"/>
                    <w:tr2bl w:val="nil"/>
                  </w:tcBorders>
                  <w:vAlign w:val="center"/>
                </w:tcPr>
                <w:p w14:paraId="5C8C664E">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C5</w:t>
                  </w:r>
                </w:p>
              </w:tc>
              <w:tc>
                <w:tcPr>
                  <w:tcW w:w="566" w:type="pct"/>
                  <w:tcBorders>
                    <w:tl2br w:val="nil"/>
                    <w:tr2bl w:val="nil"/>
                  </w:tcBorders>
                  <w:vAlign w:val="center"/>
                </w:tcPr>
                <w:p w14:paraId="4256EF8C">
                  <w:pPr>
                    <w:widowControl/>
                    <w:jc w:val="center"/>
                    <w:textAlignment w:val="center"/>
                    <w:rPr>
                      <w:color w:val="auto"/>
                      <w:szCs w:val="21"/>
                      <w:highlight w:val="none"/>
                    </w:rPr>
                  </w:pPr>
                  <w:r>
                    <w:rPr>
                      <w:color w:val="auto"/>
                      <w:kern w:val="0"/>
                      <w:szCs w:val="21"/>
                      <w:highlight w:val="none"/>
                      <w:lang w:bidi="ar"/>
                    </w:rPr>
                    <w:t>5</w:t>
                  </w:r>
                </w:p>
              </w:tc>
              <w:tc>
                <w:tcPr>
                  <w:tcW w:w="987" w:type="pct"/>
                  <w:tcBorders>
                    <w:tl2br w:val="nil"/>
                    <w:tr2bl w:val="nil"/>
                  </w:tcBorders>
                  <w:vAlign w:val="center"/>
                </w:tcPr>
                <w:p w14:paraId="19F639B2">
                  <w:pPr>
                    <w:widowControl/>
                    <w:jc w:val="center"/>
                    <w:textAlignment w:val="center"/>
                    <w:rPr>
                      <w:color w:val="auto"/>
                      <w:szCs w:val="21"/>
                      <w:highlight w:val="none"/>
                    </w:rPr>
                  </w:pPr>
                  <w:r>
                    <w:rPr>
                      <w:rFonts w:hint="eastAsia"/>
                      <w:color w:val="auto"/>
                      <w:szCs w:val="21"/>
                      <w:highlight w:val="none"/>
                    </w:rPr>
                    <w:t>16.5</w:t>
                  </w:r>
                  <w:r>
                    <w:rPr>
                      <w:color w:val="auto"/>
                      <w:spacing w:val="-2"/>
                      <w:szCs w:val="21"/>
                      <w:highlight w:val="none"/>
                    </w:rPr>
                    <w:t>×6×10</w:t>
                  </w:r>
                  <w:r>
                    <w:rPr>
                      <w:color w:val="auto"/>
                      <w:spacing w:val="-2"/>
                      <w:szCs w:val="21"/>
                      <w:highlight w:val="none"/>
                      <w:vertAlign w:val="superscript"/>
                    </w:rPr>
                    <w:t>4</w:t>
                  </w:r>
                </w:p>
              </w:tc>
              <w:tc>
                <w:tcPr>
                  <w:tcW w:w="469" w:type="pct"/>
                  <w:tcBorders>
                    <w:tl2br w:val="nil"/>
                    <w:tr2bl w:val="nil"/>
                  </w:tcBorders>
                  <w:vAlign w:val="center"/>
                </w:tcPr>
                <w:p w14:paraId="673DE071">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2.555</w:t>
                  </w:r>
                </w:p>
              </w:tc>
              <w:tc>
                <w:tcPr>
                  <w:tcW w:w="630" w:type="pct"/>
                  <w:tcBorders>
                    <w:tl2br w:val="nil"/>
                    <w:tr2bl w:val="nil"/>
                  </w:tcBorders>
                  <w:vAlign w:val="center"/>
                </w:tcPr>
                <w:p w14:paraId="12EC4F26">
                  <w:pPr>
                    <w:widowControl/>
                    <w:jc w:val="center"/>
                    <w:textAlignment w:val="center"/>
                    <w:rPr>
                      <w:color w:val="auto"/>
                      <w:szCs w:val="21"/>
                      <w:highlight w:val="none"/>
                    </w:rPr>
                  </w:pPr>
                  <w:r>
                    <w:rPr>
                      <w:rFonts w:hint="eastAsia"/>
                      <w:snapToGrid/>
                      <w:color w:val="auto"/>
                      <w:spacing w:val="-2"/>
                      <w:kern w:val="2"/>
                      <w:szCs w:val="24"/>
                      <w:highlight w:val="none"/>
                      <w:lang w:val="en-US" w:eastAsia="zh-CN"/>
                    </w:rPr>
                    <w:t>1</w:t>
                  </w:r>
                  <w:r>
                    <w:rPr>
                      <w:rFonts w:hint="eastAsia"/>
                      <w:snapToGrid/>
                      <w:color w:val="auto"/>
                      <w:spacing w:val="-2"/>
                      <w:kern w:val="2"/>
                      <w:szCs w:val="24"/>
                      <w:highlight w:val="none"/>
                    </w:rPr>
                    <w:t>/</w:t>
                  </w:r>
                  <w:r>
                    <w:rPr>
                      <w:rFonts w:hint="eastAsia"/>
                      <w:snapToGrid/>
                      <w:color w:val="auto"/>
                      <w:spacing w:val="-2"/>
                      <w:kern w:val="2"/>
                      <w:szCs w:val="24"/>
                      <w:highlight w:val="none"/>
                      <w:lang w:val="en-US" w:eastAsia="zh-CN"/>
                    </w:rPr>
                    <w:t>50</w:t>
                  </w:r>
                </w:p>
              </w:tc>
              <w:tc>
                <w:tcPr>
                  <w:tcW w:w="400" w:type="pct"/>
                  <w:tcBorders>
                    <w:tl2br w:val="nil"/>
                    <w:tr2bl w:val="nil"/>
                  </w:tcBorders>
                  <w:vAlign w:val="center"/>
                </w:tcPr>
                <w:p w14:paraId="7DDCBF1C">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17</w:t>
                  </w:r>
                </w:p>
              </w:tc>
              <w:tc>
                <w:tcPr>
                  <w:tcW w:w="370" w:type="pct"/>
                  <w:tcBorders>
                    <w:tl2br w:val="nil"/>
                    <w:tr2bl w:val="nil"/>
                  </w:tcBorders>
                  <w:vAlign w:val="center"/>
                </w:tcPr>
                <w:p w14:paraId="0DC24E74">
                  <w:pPr>
                    <w:widowControl/>
                    <w:jc w:val="center"/>
                    <w:textAlignment w:val="center"/>
                    <w:rPr>
                      <w:color w:val="auto"/>
                      <w:szCs w:val="21"/>
                      <w:highlight w:val="none"/>
                    </w:rPr>
                  </w:pPr>
                  <w:r>
                    <w:rPr>
                      <w:rFonts w:hint="eastAsia"/>
                      <w:color w:val="auto"/>
                      <w:kern w:val="0"/>
                      <w:szCs w:val="21"/>
                      <w:highlight w:val="none"/>
                      <w:lang w:val="en-US" w:eastAsia="zh-CN" w:bidi="ar"/>
                    </w:rPr>
                    <w:t>1.4</w:t>
                  </w:r>
                </w:p>
              </w:tc>
              <w:tc>
                <w:tcPr>
                  <w:tcW w:w="605" w:type="pct"/>
                  <w:tcBorders>
                    <w:tl2br w:val="nil"/>
                    <w:tr2bl w:val="nil"/>
                  </w:tcBorders>
                  <w:vAlign w:val="center"/>
                </w:tcPr>
                <w:p w14:paraId="2E38B16A">
                  <w:pPr>
                    <w:keepNext w:val="0"/>
                    <w:keepLines w:val="0"/>
                    <w:widowControl/>
                    <w:suppressLineNumbers w:val="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7.20E-13</w:t>
                  </w:r>
                </w:p>
              </w:tc>
              <w:tc>
                <w:tcPr>
                  <w:tcW w:w="594" w:type="pct"/>
                  <w:tcBorders>
                    <w:tl2br w:val="nil"/>
                    <w:tr2bl w:val="nil"/>
                  </w:tcBorders>
                  <w:vAlign w:val="center"/>
                </w:tcPr>
                <w:p w14:paraId="7CABB5F3">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1.09E-08</w:t>
                  </w:r>
                </w:p>
              </w:tc>
            </w:tr>
          </w:tbl>
          <w:p w14:paraId="64EDBA62">
            <w:pPr>
              <w:pStyle w:val="96"/>
              <w:ind w:firstLine="422"/>
              <w:rPr>
                <w:b/>
                <w:color w:val="auto"/>
                <w:highlight w:val="none"/>
              </w:rPr>
            </w:pPr>
            <w:r>
              <w:rPr>
                <w:rFonts w:hint="eastAsia" w:eastAsia="宋体" w:cs="Times New Roman"/>
                <w:b/>
                <w:color w:val="auto"/>
                <w:kern w:val="2"/>
                <w:sz w:val="21"/>
                <w:szCs w:val="21"/>
                <w:highlight w:val="none"/>
              </w:rPr>
              <w:t>表11-1</w:t>
            </w:r>
            <w:r>
              <w:rPr>
                <w:rFonts w:hint="eastAsia" w:eastAsia="宋体" w:cs="Times New Roman"/>
                <w:b/>
                <w:color w:val="auto"/>
                <w:kern w:val="2"/>
                <w:sz w:val="21"/>
                <w:szCs w:val="21"/>
                <w:highlight w:val="none"/>
                <w:lang w:val="en-US" w:eastAsia="zh-CN"/>
              </w:rPr>
              <w:t>3</w:t>
            </w:r>
            <w:r>
              <w:rPr>
                <w:rFonts w:hint="eastAsia" w:eastAsia="宋体" w:cs="Times New Roman"/>
                <w:b/>
                <w:color w:val="auto"/>
                <w:kern w:val="2"/>
                <w:sz w:val="21"/>
                <w:szCs w:val="21"/>
                <w:highlight w:val="none"/>
              </w:rPr>
              <w:t xml:space="preserve"> 定向机工作时叠加泄漏辐射和散射辐射C2~C</w:t>
            </w:r>
            <w:r>
              <w:rPr>
                <w:rFonts w:hint="eastAsia" w:eastAsia="宋体" w:cs="Times New Roman"/>
                <w:b/>
                <w:color w:val="auto"/>
                <w:kern w:val="2"/>
                <w:sz w:val="21"/>
                <w:szCs w:val="21"/>
                <w:highlight w:val="none"/>
                <w:lang w:val="en-US" w:eastAsia="zh-CN"/>
              </w:rPr>
              <w:t>5</w:t>
            </w:r>
            <w:r>
              <w:rPr>
                <w:rFonts w:hint="eastAsia" w:eastAsia="宋体" w:cs="Times New Roman"/>
                <w:b/>
                <w:color w:val="auto"/>
                <w:kern w:val="2"/>
                <w:sz w:val="21"/>
                <w:szCs w:val="21"/>
                <w:highlight w:val="none"/>
              </w:rPr>
              <w:t>点剂量率计算结果</w:t>
            </w:r>
          </w:p>
          <w:tbl>
            <w:tblPr>
              <w:tblStyle w:val="36"/>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569"/>
              <w:gridCol w:w="6867"/>
            </w:tblGrid>
            <w:tr w14:paraId="36FF98E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25" w:hRule="atLeast"/>
                <w:jc w:val="center"/>
              </w:trPr>
              <w:tc>
                <w:tcPr>
                  <w:tcW w:w="930" w:type="pct"/>
                  <w:vMerge w:val="restart"/>
                  <w:tcBorders>
                    <w:tl2br w:val="nil"/>
                    <w:tr2bl w:val="nil"/>
                  </w:tcBorders>
                  <w:vAlign w:val="center"/>
                </w:tcPr>
                <w:p w14:paraId="47DE378C">
                  <w:pPr>
                    <w:pStyle w:val="95"/>
                    <w:spacing w:line="240" w:lineRule="auto"/>
                    <w:ind w:firstLine="0" w:firstLineChars="0"/>
                    <w:rPr>
                      <w:rFonts w:eastAsia="宋体" w:cs="Times New Roman"/>
                      <w:b/>
                      <w:color w:val="auto"/>
                      <w:sz w:val="21"/>
                      <w:highlight w:val="none"/>
                    </w:rPr>
                  </w:pPr>
                  <w:r>
                    <w:rPr>
                      <w:rFonts w:eastAsia="宋体" w:cs="Times New Roman"/>
                      <w:b/>
                      <w:color w:val="auto"/>
                      <w:sz w:val="21"/>
                      <w:highlight w:val="none"/>
                    </w:rPr>
                    <w:t>点位</w:t>
                  </w:r>
                </w:p>
              </w:tc>
              <w:tc>
                <w:tcPr>
                  <w:tcW w:w="4069" w:type="pct"/>
                  <w:tcBorders>
                    <w:tl2br w:val="nil"/>
                    <w:tr2bl w:val="nil"/>
                  </w:tcBorders>
                  <w:vAlign w:val="center"/>
                </w:tcPr>
                <w:p w14:paraId="249437B0">
                  <w:pPr>
                    <w:pStyle w:val="95"/>
                    <w:spacing w:line="240" w:lineRule="auto"/>
                    <w:ind w:firstLine="0" w:firstLineChars="0"/>
                    <w:rPr>
                      <w:rFonts w:eastAsia="宋体" w:cs="Times New Roman"/>
                      <w:b/>
                      <w:color w:val="auto"/>
                      <w:sz w:val="21"/>
                      <w:highlight w:val="none"/>
                    </w:rPr>
                  </w:pPr>
                  <w:r>
                    <w:rPr>
                      <w:rFonts w:eastAsia="宋体" w:cs="Times New Roman"/>
                      <w:b/>
                      <w:color w:val="auto"/>
                      <w:sz w:val="21"/>
                      <w:highlight w:val="none"/>
                    </w:rPr>
                    <w:t>叠加结果</w:t>
                  </w:r>
                </w:p>
              </w:tc>
            </w:tr>
            <w:tr w14:paraId="46DD8C4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0" w:hRule="atLeast"/>
                <w:jc w:val="center"/>
              </w:trPr>
              <w:tc>
                <w:tcPr>
                  <w:tcW w:w="930" w:type="pct"/>
                  <w:vMerge w:val="continue"/>
                  <w:tcBorders>
                    <w:tl2br w:val="nil"/>
                    <w:tr2bl w:val="nil"/>
                  </w:tcBorders>
                  <w:vAlign w:val="center"/>
                </w:tcPr>
                <w:p w14:paraId="664552B1">
                  <w:pPr>
                    <w:pStyle w:val="95"/>
                    <w:spacing w:line="240" w:lineRule="auto"/>
                    <w:ind w:firstLine="422"/>
                    <w:rPr>
                      <w:rFonts w:eastAsia="宋体" w:cs="Times New Roman"/>
                      <w:b/>
                      <w:color w:val="auto"/>
                      <w:sz w:val="21"/>
                      <w:highlight w:val="none"/>
                    </w:rPr>
                  </w:pPr>
                </w:p>
              </w:tc>
              <w:tc>
                <w:tcPr>
                  <w:tcW w:w="4069" w:type="pct"/>
                  <w:tcBorders>
                    <w:tl2br w:val="nil"/>
                    <w:tr2bl w:val="nil"/>
                  </w:tcBorders>
                  <w:vAlign w:val="center"/>
                </w:tcPr>
                <w:p w14:paraId="22720641">
                  <w:pPr>
                    <w:pStyle w:val="95"/>
                    <w:spacing w:line="240" w:lineRule="auto"/>
                    <w:ind w:firstLine="0" w:firstLineChars="0"/>
                    <w:rPr>
                      <w:rFonts w:eastAsia="宋体" w:cs="Times New Roman"/>
                      <w:b/>
                      <w:color w:val="auto"/>
                      <w:sz w:val="21"/>
                      <w:highlight w:val="none"/>
                    </w:rPr>
                  </w:pPr>
                  <w:r>
                    <w:rPr>
                      <w:rFonts w:eastAsia="宋体" w:cs="Times New Roman"/>
                      <w:b/>
                      <w:iCs/>
                      <w:color w:val="auto"/>
                      <w:sz w:val="21"/>
                      <w:highlight w:val="none"/>
                    </w:rPr>
                    <w:t>Ḣ（</w:t>
                  </w:r>
                  <w:r>
                    <w:rPr>
                      <w:rFonts w:eastAsia="宋体" w:cs="Times New Roman"/>
                      <w:b/>
                      <w:color w:val="auto"/>
                      <w:sz w:val="21"/>
                      <w:highlight w:val="none"/>
                    </w:rPr>
                    <w:t>μSv/h</w:t>
                  </w:r>
                  <w:r>
                    <w:rPr>
                      <w:rFonts w:eastAsia="宋体" w:cs="Times New Roman"/>
                      <w:b/>
                      <w:iCs/>
                      <w:color w:val="auto"/>
                      <w:sz w:val="21"/>
                      <w:highlight w:val="none"/>
                    </w:rPr>
                    <w:t>）</w:t>
                  </w:r>
                </w:p>
              </w:tc>
            </w:tr>
            <w:tr w14:paraId="50F53EB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930" w:type="pct"/>
                  <w:tcBorders>
                    <w:tl2br w:val="nil"/>
                    <w:tr2bl w:val="nil"/>
                  </w:tcBorders>
                  <w:vAlign w:val="center"/>
                </w:tcPr>
                <w:p w14:paraId="12AF53DB">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C2</w:t>
                  </w:r>
                </w:p>
              </w:tc>
              <w:tc>
                <w:tcPr>
                  <w:tcW w:w="6929" w:type="dxa"/>
                  <w:tcBorders>
                    <w:tl2br w:val="nil"/>
                    <w:tr2bl w:val="nil"/>
                  </w:tcBorders>
                  <w:vAlign w:val="center"/>
                </w:tcPr>
                <w:p w14:paraId="390CC9DB">
                  <w:pPr>
                    <w:widowControl/>
                    <w:jc w:val="center"/>
                    <w:textAlignment w:val="center"/>
                    <w:rPr>
                      <w:rFonts w:hint="default"/>
                      <w:color w:val="auto"/>
                      <w:szCs w:val="21"/>
                      <w:highlight w:val="none"/>
                      <w:lang w:val="en-US"/>
                    </w:rPr>
                  </w:pPr>
                  <w:r>
                    <w:rPr>
                      <w:rFonts w:hint="eastAsia"/>
                      <w:color w:val="auto"/>
                      <w:szCs w:val="21"/>
                      <w:highlight w:val="none"/>
                      <w:lang w:val="en-US" w:eastAsia="zh-CN"/>
                    </w:rPr>
                    <w:t>0.000509</w:t>
                  </w:r>
                </w:p>
              </w:tc>
            </w:tr>
            <w:tr w14:paraId="02730A0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0" w:hRule="atLeast"/>
                <w:jc w:val="center"/>
              </w:trPr>
              <w:tc>
                <w:tcPr>
                  <w:tcW w:w="930" w:type="pct"/>
                  <w:tcBorders>
                    <w:tl2br w:val="nil"/>
                    <w:tr2bl w:val="nil"/>
                  </w:tcBorders>
                  <w:vAlign w:val="center"/>
                </w:tcPr>
                <w:p w14:paraId="44F9186A">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C3</w:t>
                  </w:r>
                </w:p>
              </w:tc>
              <w:tc>
                <w:tcPr>
                  <w:tcW w:w="6929" w:type="dxa"/>
                  <w:tcBorders>
                    <w:tl2br w:val="nil"/>
                    <w:tr2bl w:val="nil"/>
                  </w:tcBorders>
                  <w:vAlign w:val="center"/>
                </w:tcPr>
                <w:p w14:paraId="1785FD9C">
                  <w:pPr>
                    <w:widowControl/>
                    <w:jc w:val="center"/>
                    <w:textAlignment w:val="center"/>
                    <w:rPr>
                      <w:rFonts w:hint="default"/>
                      <w:color w:val="auto"/>
                      <w:szCs w:val="21"/>
                      <w:highlight w:val="none"/>
                      <w:lang w:val="en-US"/>
                    </w:rPr>
                  </w:pPr>
                  <w:r>
                    <w:rPr>
                      <w:rFonts w:hint="eastAsia"/>
                      <w:color w:val="auto"/>
                      <w:szCs w:val="21"/>
                      <w:highlight w:val="none"/>
                      <w:lang w:val="en-US" w:eastAsia="zh-CN"/>
                    </w:rPr>
                    <w:t>0.000275</w:t>
                  </w:r>
                </w:p>
              </w:tc>
            </w:tr>
            <w:tr w14:paraId="219D2B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0" w:hRule="atLeast"/>
                <w:jc w:val="center"/>
              </w:trPr>
              <w:tc>
                <w:tcPr>
                  <w:tcW w:w="930" w:type="pct"/>
                  <w:tcBorders>
                    <w:tl2br w:val="nil"/>
                    <w:tr2bl w:val="nil"/>
                  </w:tcBorders>
                  <w:vAlign w:val="center"/>
                </w:tcPr>
                <w:p w14:paraId="25750217">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C4</w:t>
                  </w:r>
                </w:p>
              </w:tc>
              <w:tc>
                <w:tcPr>
                  <w:tcW w:w="6929" w:type="dxa"/>
                  <w:tcBorders>
                    <w:tl2br w:val="nil"/>
                    <w:tr2bl w:val="nil"/>
                  </w:tcBorders>
                  <w:vAlign w:val="center"/>
                </w:tcPr>
                <w:p w14:paraId="30DA7AC4">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0.02964</w:t>
                  </w:r>
                </w:p>
              </w:tc>
            </w:tr>
            <w:tr w14:paraId="78C134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930" w:type="pct"/>
                  <w:tcBorders>
                    <w:tl2br w:val="nil"/>
                    <w:tr2bl w:val="nil"/>
                  </w:tcBorders>
                  <w:vAlign w:val="center"/>
                </w:tcPr>
                <w:p w14:paraId="69633373">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C5</w:t>
                  </w:r>
                </w:p>
              </w:tc>
              <w:tc>
                <w:tcPr>
                  <w:tcW w:w="6929" w:type="dxa"/>
                  <w:tcBorders>
                    <w:tl2br w:val="nil"/>
                    <w:tr2bl w:val="nil"/>
                  </w:tcBorders>
                  <w:vAlign w:val="center"/>
                </w:tcPr>
                <w:p w14:paraId="6682BD38">
                  <w:pPr>
                    <w:widowControl/>
                    <w:jc w:val="center"/>
                    <w:textAlignment w:val="center"/>
                    <w:rPr>
                      <w:color w:val="auto"/>
                      <w:szCs w:val="21"/>
                      <w:highlight w:val="none"/>
                    </w:rPr>
                  </w:pPr>
                  <w:r>
                    <w:rPr>
                      <w:rFonts w:hint="eastAsia"/>
                      <w:color w:val="auto"/>
                      <w:szCs w:val="21"/>
                      <w:highlight w:val="none"/>
                      <w:lang w:val="en-US" w:eastAsia="zh-CN"/>
                    </w:rPr>
                    <w:t>0.000226</w:t>
                  </w:r>
                </w:p>
              </w:tc>
            </w:tr>
          </w:tbl>
          <w:p w14:paraId="62D3B03D">
            <w:pPr>
              <w:pStyle w:val="109"/>
              <w:ind w:firstLine="480"/>
              <w:rPr>
                <w:rFonts w:hint="eastAsia" w:eastAsia="宋体" w:cs="Times New Roman"/>
                <w:b/>
                <w:color w:val="auto"/>
                <w:kern w:val="2"/>
                <w:sz w:val="21"/>
                <w:szCs w:val="21"/>
                <w:highlight w:val="none"/>
              </w:rPr>
            </w:pPr>
            <w:r>
              <w:rPr>
                <w:rFonts w:hint="eastAsia"/>
                <w:color w:val="auto"/>
                <w:highlight w:val="none"/>
              </w:rPr>
              <w:t>根据上述计算，本项目定向探伤机工作时周围各关注点的辐射剂量率计算结果如下表所示。</w:t>
            </w:r>
          </w:p>
          <w:p w14:paraId="11BA3341">
            <w:pPr>
              <w:pStyle w:val="96"/>
              <w:ind w:firstLine="422"/>
              <w:rPr>
                <w:rFonts w:eastAsia="宋体" w:cs="Times New Roman"/>
                <w:b/>
                <w:color w:val="auto"/>
                <w:kern w:val="2"/>
                <w:sz w:val="21"/>
                <w:szCs w:val="21"/>
                <w:highlight w:val="none"/>
              </w:rPr>
            </w:pPr>
            <w:r>
              <w:rPr>
                <w:rFonts w:hint="eastAsia" w:eastAsia="宋体" w:cs="Times New Roman"/>
                <w:b/>
                <w:color w:val="auto"/>
                <w:kern w:val="2"/>
                <w:sz w:val="21"/>
                <w:szCs w:val="21"/>
                <w:highlight w:val="none"/>
              </w:rPr>
              <w:t>表11-1</w:t>
            </w:r>
            <w:r>
              <w:rPr>
                <w:rFonts w:hint="eastAsia" w:eastAsia="宋体" w:cs="Times New Roman"/>
                <w:b/>
                <w:color w:val="auto"/>
                <w:kern w:val="2"/>
                <w:sz w:val="21"/>
                <w:szCs w:val="21"/>
                <w:highlight w:val="none"/>
                <w:lang w:val="en-US" w:eastAsia="zh-CN"/>
              </w:rPr>
              <w:t>4</w:t>
            </w:r>
            <w:r>
              <w:rPr>
                <w:rFonts w:hint="eastAsia" w:eastAsia="宋体" w:cs="Times New Roman"/>
                <w:b/>
                <w:color w:val="auto"/>
                <w:kern w:val="2"/>
                <w:sz w:val="21"/>
                <w:szCs w:val="21"/>
                <w:highlight w:val="none"/>
              </w:rPr>
              <w:t xml:space="preserve"> 定向探伤机工作时各关注点瞬时剂量率计算结果评价一览表</w:t>
            </w:r>
          </w:p>
          <w:tbl>
            <w:tblPr>
              <w:tblStyle w:val="36"/>
              <w:tblW w:w="499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919"/>
              <w:gridCol w:w="3745"/>
              <w:gridCol w:w="1117"/>
              <w:gridCol w:w="1441"/>
              <w:gridCol w:w="1201"/>
            </w:tblGrid>
            <w:tr w14:paraId="7B8F4B0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926" w:type="dxa"/>
                  <w:tcBorders>
                    <w:tl2br w:val="nil"/>
                    <w:tr2bl w:val="nil"/>
                  </w:tcBorders>
                  <w:vAlign w:val="center"/>
                </w:tcPr>
                <w:p w14:paraId="373EFF0B">
                  <w:pPr>
                    <w:pStyle w:val="95"/>
                    <w:spacing w:line="240" w:lineRule="auto"/>
                    <w:ind w:firstLine="0" w:firstLineChars="0"/>
                    <w:rPr>
                      <w:rFonts w:eastAsia="宋体" w:cs="Times New Roman"/>
                      <w:b/>
                      <w:color w:val="auto"/>
                      <w:sz w:val="21"/>
                      <w:highlight w:val="none"/>
                    </w:rPr>
                  </w:pPr>
                  <w:r>
                    <w:rPr>
                      <w:rFonts w:eastAsia="宋体" w:cs="Times New Roman"/>
                      <w:b/>
                      <w:color w:val="auto"/>
                      <w:sz w:val="21"/>
                      <w:highlight w:val="none"/>
                    </w:rPr>
                    <w:t>点位</w:t>
                  </w:r>
                </w:p>
              </w:tc>
              <w:tc>
                <w:tcPr>
                  <w:tcW w:w="3781" w:type="dxa"/>
                  <w:tcBorders>
                    <w:tl2br w:val="nil"/>
                    <w:tr2bl w:val="nil"/>
                  </w:tcBorders>
                  <w:vAlign w:val="center"/>
                </w:tcPr>
                <w:p w14:paraId="595902CC">
                  <w:pPr>
                    <w:pStyle w:val="95"/>
                    <w:spacing w:line="240" w:lineRule="auto"/>
                    <w:ind w:firstLine="0" w:firstLineChars="0"/>
                    <w:rPr>
                      <w:rFonts w:eastAsia="宋体" w:cs="Times New Roman"/>
                      <w:b/>
                      <w:color w:val="auto"/>
                      <w:sz w:val="21"/>
                      <w:highlight w:val="none"/>
                    </w:rPr>
                  </w:pPr>
                  <w:r>
                    <w:rPr>
                      <w:rFonts w:eastAsia="宋体" w:cs="Times New Roman"/>
                      <w:b/>
                      <w:color w:val="auto"/>
                      <w:sz w:val="21"/>
                      <w:highlight w:val="none"/>
                    </w:rPr>
                    <w:t>点位描述</w:t>
                  </w:r>
                </w:p>
              </w:tc>
              <w:tc>
                <w:tcPr>
                  <w:tcW w:w="1126" w:type="dxa"/>
                  <w:tcBorders>
                    <w:tl2br w:val="nil"/>
                    <w:tr2bl w:val="nil"/>
                  </w:tcBorders>
                  <w:vAlign w:val="center"/>
                </w:tcPr>
                <w:p w14:paraId="74865547">
                  <w:pPr>
                    <w:pStyle w:val="95"/>
                    <w:spacing w:line="240" w:lineRule="auto"/>
                    <w:ind w:firstLine="0" w:firstLineChars="0"/>
                    <w:rPr>
                      <w:rFonts w:eastAsia="宋体" w:cs="Times New Roman"/>
                      <w:b/>
                      <w:color w:val="auto"/>
                      <w:sz w:val="21"/>
                      <w:highlight w:val="none"/>
                    </w:rPr>
                  </w:pPr>
                  <w:r>
                    <w:rPr>
                      <w:rFonts w:eastAsia="宋体" w:cs="Times New Roman"/>
                      <w:b/>
                      <w:color w:val="auto"/>
                      <w:sz w:val="21"/>
                      <w:highlight w:val="none"/>
                    </w:rPr>
                    <w:t>剂量率</w:t>
                  </w:r>
                </w:p>
                <w:p w14:paraId="00EE3858">
                  <w:pPr>
                    <w:pStyle w:val="95"/>
                    <w:spacing w:line="240" w:lineRule="auto"/>
                    <w:ind w:firstLine="0" w:firstLineChars="0"/>
                    <w:rPr>
                      <w:rFonts w:eastAsia="宋体" w:cs="Times New Roman"/>
                      <w:b/>
                      <w:color w:val="auto"/>
                      <w:sz w:val="21"/>
                      <w:highlight w:val="none"/>
                    </w:rPr>
                  </w:pPr>
                  <w:r>
                    <w:rPr>
                      <w:rFonts w:eastAsia="宋体" w:cs="Times New Roman"/>
                      <w:b/>
                      <w:color w:val="auto"/>
                      <w:sz w:val="21"/>
                      <w:highlight w:val="none"/>
                    </w:rPr>
                    <w:t>μSv/h</w:t>
                  </w:r>
                </w:p>
              </w:tc>
              <w:tc>
                <w:tcPr>
                  <w:tcW w:w="1454" w:type="dxa"/>
                  <w:tcBorders>
                    <w:tl2br w:val="nil"/>
                    <w:tr2bl w:val="nil"/>
                  </w:tcBorders>
                  <w:vAlign w:val="center"/>
                </w:tcPr>
                <w:p w14:paraId="393A714F">
                  <w:pPr>
                    <w:pStyle w:val="95"/>
                    <w:spacing w:line="240" w:lineRule="auto"/>
                    <w:ind w:firstLine="0" w:firstLineChars="0"/>
                    <w:rPr>
                      <w:rFonts w:eastAsia="宋体" w:cs="Times New Roman"/>
                      <w:b/>
                      <w:color w:val="auto"/>
                      <w:sz w:val="21"/>
                      <w:highlight w:val="none"/>
                    </w:rPr>
                  </w:pPr>
                  <w:r>
                    <w:rPr>
                      <w:rFonts w:eastAsia="宋体" w:cs="Times New Roman"/>
                      <w:b/>
                      <w:color w:val="auto"/>
                      <w:sz w:val="21"/>
                      <w:highlight w:val="none"/>
                    </w:rPr>
                    <w:t>标准值μSv/h</w:t>
                  </w:r>
                </w:p>
              </w:tc>
              <w:tc>
                <w:tcPr>
                  <w:tcW w:w="1211" w:type="dxa"/>
                  <w:tcBorders>
                    <w:tl2br w:val="nil"/>
                    <w:tr2bl w:val="nil"/>
                  </w:tcBorders>
                  <w:vAlign w:val="center"/>
                </w:tcPr>
                <w:p w14:paraId="29E655AE">
                  <w:pPr>
                    <w:pStyle w:val="95"/>
                    <w:spacing w:line="240" w:lineRule="auto"/>
                    <w:ind w:firstLine="0" w:firstLineChars="0"/>
                    <w:rPr>
                      <w:rFonts w:eastAsia="宋体" w:cs="Times New Roman"/>
                      <w:b/>
                      <w:color w:val="auto"/>
                      <w:sz w:val="21"/>
                      <w:highlight w:val="none"/>
                    </w:rPr>
                  </w:pPr>
                  <w:r>
                    <w:rPr>
                      <w:rFonts w:eastAsia="宋体" w:cs="Times New Roman"/>
                      <w:b/>
                      <w:color w:val="auto"/>
                      <w:sz w:val="21"/>
                      <w:highlight w:val="none"/>
                    </w:rPr>
                    <w:t>达标判断</w:t>
                  </w:r>
                </w:p>
              </w:tc>
            </w:tr>
            <w:tr w14:paraId="6F3E5AF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926" w:type="dxa"/>
                  <w:tcBorders>
                    <w:tl2br w:val="nil"/>
                    <w:tr2bl w:val="nil"/>
                  </w:tcBorders>
                  <w:vAlign w:val="center"/>
                </w:tcPr>
                <w:p w14:paraId="48571312">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C1</w:t>
                  </w:r>
                </w:p>
              </w:tc>
              <w:tc>
                <w:tcPr>
                  <w:tcW w:w="3781" w:type="dxa"/>
                  <w:tcBorders>
                    <w:tl2br w:val="nil"/>
                    <w:tr2bl w:val="nil"/>
                  </w:tcBorders>
                  <w:vAlign w:val="center"/>
                </w:tcPr>
                <w:p w14:paraId="436A4850">
                  <w:pPr>
                    <w:widowControl/>
                    <w:jc w:val="center"/>
                    <w:textAlignment w:val="center"/>
                    <w:rPr>
                      <w:color w:val="auto"/>
                      <w:szCs w:val="21"/>
                      <w:highlight w:val="none"/>
                    </w:rPr>
                  </w:pPr>
                  <w:r>
                    <w:rPr>
                      <w:rFonts w:hint="eastAsia"/>
                      <w:color w:val="auto"/>
                      <w:kern w:val="0"/>
                      <w:szCs w:val="21"/>
                      <w:highlight w:val="none"/>
                      <w:lang w:val="en-US" w:eastAsia="zh-CN" w:bidi="ar"/>
                    </w:rPr>
                    <w:t>西</w:t>
                  </w:r>
                  <w:r>
                    <w:rPr>
                      <w:color w:val="auto"/>
                      <w:kern w:val="0"/>
                      <w:szCs w:val="21"/>
                      <w:highlight w:val="none"/>
                      <w:lang w:bidi="ar"/>
                    </w:rPr>
                    <w:t>侧</w:t>
                  </w:r>
                  <w:r>
                    <w:rPr>
                      <w:rFonts w:hint="eastAsia"/>
                      <w:color w:val="auto"/>
                      <w:kern w:val="0"/>
                      <w:szCs w:val="21"/>
                      <w:highlight w:val="none"/>
                      <w:lang w:bidi="ar"/>
                    </w:rPr>
                    <w:t>屏蔽墙</w:t>
                  </w:r>
                  <w:r>
                    <w:rPr>
                      <w:color w:val="auto"/>
                      <w:kern w:val="0"/>
                      <w:szCs w:val="21"/>
                      <w:highlight w:val="none"/>
                      <w:lang w:bidi="ar"/>
                    </w:rPr>
                    <w:t>外30cm处</w:t>
                  </w:r>
                </w:p>
              </w:tc>
              <w:tc>
                <w:tcPr>
                  <w:tcW w:w="1126" w:type="dxa"/>
                  <w:tcBorders>
                    <w:tl2br w:val="nil"/>
                    <w:tr2bl w:val="nil"/>
                  </w:tcBorders>
                  <w:vAlign w:val="center"/>
                </w:tcPr>
                <w:p w14:paraId="086A1C95">
                  <w:pPr>
                    <w:widowControl/>
                    <w:jc w:val="center"/>
                    <w:textAlignment w:val="center"/>
                    <w:rPr>
                      <w:rFonts w:hint="default" w:eastAsia="宋体"/>
                      <w:color w:val="auto"/>
                      <w:szCs w:val="21"/>
                      <w:highlight w:val="none"/>
                      <w:lang w:val="en-US" w:eastAsia="zh-CN"/>
                    </w:rPr>
                  </w:pPr>
                  <w:r>
                    <w:rPr>
                      <w:rFonts w:hint="eastAsia" w:cs="Times New Roman"/>
                      <w:b w:val="0"/>
                      <w:bCs/>
                      <w:color w:val="auto"/>
                      <w:sz w:val="21"/>
                      <w:szCs w:val="21"/>
                      <w:highlight w:val="none"/>
                      <w:lang w:val="en-US" w:eastAsia="zh-CN"/>
                    </w:rPr>
                    <w:t>0.1168</w:t>
                  </w:r>
                </w:p>
              </w:tc>
              <w:tc>
                <w:tcPr>
                  <w:tcW w:w="1454" w:type="dxa"/>
                  <w:tcBorders>
                    <w:tl2br w:val="nil"/>
                    <w:tr2bl w:val="nil"/>
                  </w:tcBorders>
                  <w:vAlign w:val="center"/>
                </w:tcPr>
                <w:p w14:paraId="62FBBB19">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2.5</w:t>
                  </w:r>
                </w:p>
              </w:tc>
              <w:tc>
                <w:tcPr>
                  <w:tcW w:w="1211" w:type="dxa"/>
                  <w:tcBorders>
                    <w:tl2br w:val="nil"/>
                    <w:tr2bl w:val="nil"/>
                  </w:tcBorders>
                  <w:vAlign w:val="center"/>
                </w:tcPr>
                <w:p w14:paraId="25899EB9">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达标</w:t>
                  </w:r>
                </w:p>
              </w:tc>
            </w:tr>
            <w:tr w14:paraId="240CF89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926" w:type="dxa"/>
                  <w:tcBorders>
                    <w:tl2br w:val="nil"/>
                    <w:tr2bl w:val="nil"/>
                  </w:tcBorders>
                  <w:vAlign w:val="center"/>
                </w:tcPr>
                <w:p w14:paraId="1ABA904A">
                  <w:pPr>
                    <w:jc w:val="center"/>
                    <w:rPr>
                      <w:color w:val="auto"/>
                      <w:szCs w:val="21"/>
                      <w:highlight w:val="none"/>
                    </w:rPr>
                  </w:pPr>
                  <w:r>
                    <w:rPr>
                      <w:color w:val="auto"/>
                      <w:szCs w:val="21"/>
                      <w:highlight w:val="none"/>
                    </w:rPr>
                    <w:t>C2</w:t>
                  </w:r>
                </w:p>
              </w:tc>
              <w:tc>
                <w:tcPr>
                  <w:tcW w:w="3781" w:type="dxa"/>
                  <w:tcBorders>
                    <w:tl2br w:val="nil"/>
                    <w:tr2bl w:val="nil"/>
                  </w:tcBorders>
                  <w:vAlign w:val="center"/>
                </w:tcPr>
                <w:p w14:paraId="2F99B9D9">
                  <w:pPr>
                    <w:widowControl/>
                    <w:jc w:val="center"/>
                    <w:textAlignment w:val="center"/>
                    <w:rPr>
                      <w:color w:val="auto"/>
                      <w:szCs w:val="21"/>
                      <w:highlight w:val="none"/>
                    </w:rPr>
                  </w:pPr>
                  <w:r>
                    <w:rPr>
                      <w:rFonts w:hint="eastAsia" w:cs="Times New Roman"/>
                      <w:color w:val="auto"/>
                      <w:highlight w:val="none"/>
                      <w:lang w:val="en-US" w:eastAsia="zh-CN"/>
                    </w:rPr>
                    <w:t>东</w:t>
                  </w:r>
                  <w:r>
                    <w:rPr>
                      <w:rFonts w:hint="default" w:ascii="Times New Roman" w:hAnsi="Times New Roman" w:cs="Times New Roman"/>
                      <w:color w:val="auto"/>
                      <w:highlight w:val="none"/>
                    </w:rPr>
                    <w:t>侧屏蔽墙外30cm</w:t>
                  </w:r>
                  <w:r>
                    <w:rPr>
                      <w:rFonts w:hint="eastAsia"/>
                      <w:color w:val="auto"/>
                      <w:kern w:val="0"/>
                      <w:szCs w:val="21"/>
                      <w:highlight w:val="none"/>
                      <w:lang w:val="en-US" w:eastAsia="zh-CN" w:bidi="ar"/>
                    </w:rPr>
                    <w:t>操作室</w:t>
                  </w:r>
                </w:p>
              </w:tc>
              <w:tc>
                <w:tcPr>
                  <w:tcW w:w="1126" w:type="dxa"/>
                  <w:tcBorders>
                    <w:tl2br w:val="nil"/>
                    <w:tr2bl w:val="nil"/>
                  </w:tcBorders>
                  <w:vAlign w:val="center"/>
                </w:tcPr>
                <w:p w14:paraId="3258F40B">
                  <w:pPr>
                    <w:widowControl/>
                    <w:jc w:val="center"/>
                    <w:textAlignment w:val="center"/>
                    <w:rPr>
                      <w:rFonts w:hint="default"/>
                      <w:color w:val="auto"/>
                      <w:szCs w:val="21"/>
                      <w:highlight w:val="none"/>
                      <w:lang w:val="en-US"/>
                    </w:rPr>
                  </w:pPr>
                  <w:r>
                    <w:rPr>
                      <w:rFonts w:hint="eastAsia"/>
                      <w:color w:val="auto"/>
                      <w:szCs w:val="21"/>
                      <w:highlight w:val="none"/>
                      <w:lang w:val="en-US" w:eastAsia="zh-CN"/>
                    </w:rPr>
                    <w:t>0.000509</w:t>
                  </w:r>
                </w:p>
              </w:tc>
              <w:tc>
                <w:tcPr>
                  <w:tcW w:w="1454" w:type="dxa"/>
                  <w:tcBorders>
                    <w:tl2br w:val="nil"/>
                    <w:tr2bl w:val="nil"/>
                  </w:tcBorders>
                  <w:vAlign w:val="center"/>
                </w:tcPr>
                <w:p w14:paraId="6E4A7237">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2.5</w:t>
                  </w:r>
                </w:p>
              </w:tc>
              <w:tc>
                <w:tcPr>
                  <w:tcW w:w="1211" w:type="dxa"/>
                  <w:tcBorders>
                    <w:tl2br w:val="nil"/>
                    <w:tr2bl w:val="nil"/>
                  </w:tcBorders>
                  <w:vAlign w:val="center"/>
                </w:tcPr>
                <w:p w14:paraId="3A0A3BF1">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达标</w:t>
                  </w:r>
                </w:p>
              </w:tc>
            </w:tr>
            <w:tr w14:paraId="122AC8E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926" w:type="dxa"/>
                  <w:tcBorders>
                    <w:tl2br w:val="nil"/>
                    <w:tr2bl w:val="nil"/>
                  </w:tcBorders>
                  <w:vAlign w:val="center"/>
                </w:tcPr>
                <w:p w14:paraId="1FA518EA">
                  <w:pPr>
                    <w:jc w:val="center"/>
                    <w:rPr>
                      <w:color w:val="auto"/>
                      <w:szCs w:val="21"/>
                      <w:highlight w:val="none"/>
                    </w:rPr>
                  </w:pPr>
                  <w:r>
                    <w:rPr>
                      <w:color w:val="auto"/>
                      <w:szCs w:val="21"/>
                      <w:highlight w:val="none"/>
                    </w:rPr>
                    <w:t>C3</w:t>
                  </w:r>
                </w:p>
              </w:tc>
              <w:tc>
                <w:tcPr>
                  <w:tcW w:w="3781" w:type="dxa"/>
                  <w:tcBorders>
                    <w:tl2br w:val="nil"/>
                    <w:tr2bl w:val="nil"/>
                  </w:tcBorders>
                  <w:vAlign w:val="center"/>
                </w:tcPr>
                <w:p w14:paraId="549CAC34">
                  <w:pPr>
                    <w:widowControl/>
                    <w:jc w:val="center"/>
                    <w:textAlignment w:val="center"/>
                    <w:rPr>
                      <w:color w:val="auto"/>
                      <w:szCs w:val="21"/>
                      <w:highlight w:val="none"/>
                    </w:rPr>
                  </w:pPr>
                  <w:r>
                    <w:rPr>
                      <w:rFonts w:hint="eastAsia" w:cs="Times New Roman"/>
                      <w:color w:val="auto"/>
                      <w:highlight w:val="none"/>
                      <w:lang w:val="en-US" w:eastAsia="zh-CN"/>
                    </w:rPr>
                    <w:t>北</w:t>
                  </w:r>
                  <w:r>
                    <w:rPr>
                      <w:rFonts w:hint="default" w:ascii="Times New Roman" w:hAnsi="Times New Roman" w:cs="Times New Roman"/>
                      <w:color w:val="auto"/>
                      <w:highlight w:val="none"/>
                    </w:rPr>
                    <w:t>侧屏蔽墙外30cm</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处</w:t>
                  </w:r>
                </w:p>
              </w:tc>
              <w:tc>
                <w:tcPr>
                  <w:tcW w:w="1126" w:type="dxa"/>
                  <w:tcBorders>
                    <w:tl2br w:val="nil"/>
                    <w:tr2bl w:val="nil"/>
                  </w:tcBorders>
                  <w:vAlign w:val="center"/>
                </w:tcPr>
                <w:p w14:paraId="01EAD0E4">
                  <w:pPr>
                    <w:widowControl/>
                    <w:jc w:val="center"/>
                    <w:textAlignment w:val="center"/>
                    <w:rPr>
                      <w:color w:val="auto"/>
                      <w:szCs w:val="21"/>
                      <w:highlight w:val="none"/>
                    </w:rPr>
                  </w:pPr>
                  <w:r>
                    <w:rPr>
                      <w:rFonts w:hint="eastAsia"/>
                      <w:color w:val="auto"/>
                      <w:szCs w:val="21"/>
                      <w:highlight w:val="none"/>
                      <w:lang w:val="en-US" w:eastAsia="zh-CN"/>
                    </w:rPr>
                    <w:t>0.000275</w:t>
                  </w:r>
                </w:p>
              </w:tc>
              <w:tc>
                <w:tcPr>
                  <w:tcW w:w="1454" w:type="dxa"/>
                  <w:tcBorders>
                    <w:tl2br w:val="nil"/>
                    <w:tr2bl w:val="nil"/>
                  </w:tcBorders>
                  <w:vAlign w:val="center"/>
                </w:tcPr>
                <w:p w14:paraId="01E7CC58">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2.5</w:t>
                  </w:r>
                </w:p>
              </w:tc>
              <w:tc>
                <w:tcPr>
                  <w:tcW w:w="1211" w:type="dxa"/>
                  <w:tcBorders>
                    <w:tl2br w:val="nil"/>
                    <w:tr2bl w:val="nil"/>
                  </w:tcBorders>
                  <w:vAlign w:val="center"/>
                </w:tcPr>
                <w:p w14:paraId="00523D9A">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达标</w:t>
                  </w:r>
                </w:p>
              </w:tc>
            </w:tr>
            <w:tr w14:paraId="5F72B1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926" w:type="dxa"/>
                  <w:tcBorders>
                    <w:tl2br w:val="nil"/>
                    <w:tr2bl w:val="nil"/>
                  </w:tcBorders>
                  <w:vAlign w:val="center"/>
                </w:tcPr>
                <w:p w14:paraId="188807E7">
                  <w:pPr>
                    <w:jc w:val="center"/>
                    <w:rPr>
                      <w:color w:val="auto"/>
                      <w:szCs w:val="21"/>
                      <w:highlight w:val="none"/>
                    </w:rPr>
                  </w:pPr>
                  <w:r>
                    <w:rPr>
                      <w:color w:val="auto"/>
                      <w:szCs w:val="21"/>
                      <w:highlight w:val="none"/>
                    </w:rPr>
                    <w:t>C4</w:t>
                  </w:r>
                </w:p>
              </w:tc>
              <w:tc>
                <w:tcPr>
                  <w:tcW w:w="3781" w:type="dxa"/>
                  <w:tcBorders>
                    <w:tl2br w:val="nil"/>
                    <w:tr2bl w:val="nil"/>
                  </w:tcBorders>
                  <w:vAlign w:val="center"/>
                </w:tcPr>
                <w:p w14:paraId="0A330A32">
                  <w:pPr>
                    <w:widowControl/>
                    <w:jc w:val="center"/>
                    <w:textAlignment w:val="center"/>
                    <w:rPr>
                      <w:color w:val="auto"/>
                      <w:szCs w:val="21"/>
                      <w:highlight w:val="none"/>
                    </w:rPr>
                  </w:pPr>
                  <w:r>
                    <w:rPr>
                      <w:rFonts w:hint="eastAsia" w:cs="Times New Roman"/>
                      <w:color w:val="auto"/>
                      <w:highlight w:val="none"/>
                      <w:lang w:val="en-US" w:eastAsia="zh-CN"/>
                    </w:rPr>
                    <w:t>南</w:t>
                  </w:r>
                  <w:r>
                    <w:rPr>
                      <w:rFonts w:hint="default" w:ascii="Times New Roman" w:hAnsi="Times New Roman" w:cs="Times New Roman"/>
                      <w:color w:val="auto"/>
                      <w:highlight w:val="none"/>
                    </w:rPr>
                    <w:t>侧</w:t>
                  </w:r>
                  <w:r>
                    <w:rPr>
                      <w:rFonts w:hint="eastAsia" w:cs="Times New Roman"/>
                      <w:color w:val="auto"/>
                      <w:highlight w:val="none"/>
                      <w:lang w:val="en-US" w:eastAsia="zh-CN"/>
                    </w:rPr>
                    <w:t>防护门</w:t>
                  </w:r>
                  <w:r>
                    <w:rPr>
                      <w:rFonts w:hint="default" w:ascii="Times New Roman" w:hAnsi="Times New Roman" w:cs="Times New Roman"/>
                      <w:color w:val="auto"/>
                      <w:highlight w:val="none"/>
                    </w:rPr>
                    <w:t>外30cm处</w:t>
                  </w:r>
                </w:p>
              </w:tc>
              <w:tc>
                <w:tcPr>
                  <w:tcW w:w="1126" w:type="dxa"/>
                  <w:tcBorders>
                    <w:tl2br w:val="nil"/>
                    <w:tr2bl w:val="nil"/>
                  </w:tcBorders>
                  <w:vAlign w:val="center"/>
                </w:tcPr>
                <w:p w14:paraId="137CB244">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0.02964</w:t>
                  </w:r>
                </w:p>
              </w:tc>
              <w:tc>
                <w:tcPr>
                  <w:tcW w:w="1454" w:type="dxa"/>
                  <w:tcBorders>
                    <w:tl2br w:val="nil"/>
                    <w:tr2bl w:val="nil"/>
                  </w:tcBorders>
                  <w:vAlign w:val="center"/>
                </w:tcPr>
                <w:p w14:paraId="00FFF14B">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2.5</w:t>
                  </w:r>
                </w:p>
              </w:tc>
              <w:tc>
                <w:tcPr>
                  <w:tcW w:w="1211" w:type="dxa"/>
                  <w:tcBorders>
                    <w:tl2br w:val="nil"/>
                    <w:tr2bl w:val="nil"/>
                  </w:tcBorders>
                  <w:vAlign w:val="center"/>
                </w:tcPr>
                <w:p w14:paraId="0BE514F9">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达标</w:t>
                  </w:r>
                </w:p>
              </w:tc>
            </w:tr>
            <w:tr w14:paraId="080221F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926" w:type="dxa"/>
                  <w:tcBorders>
                    <w:tl2br w:val="nil"/>
                    <w:tr2bl w:val="nil"/>
                  </w:tcBorders>
                  <w:vAlign w:val="center"/>
                </w:tcPr>
                <w:p w14:paraId="36F901ED">
                  <w:pPr>
                    <w:jc w:val="center"/>
                    <w:rPr>
                      <w:color w:val="auto"/>
                      <w:szCs w:val="21"/>
                      <w:highlight w:val="none"/>
                    </w:rPr>
                  </w:pPr>
                  <w:r>
                    <w:rPr>
                      <w:color w:val="auto"/>
                      <w:szCs w:val="21"/>
                      <w:highlight w:val="none"/>
                    </w:rPr>
                    <w:t>C5</w:t>
                  </w:r>
                </w:p>
              </w:tc>
              <w:tc>
                <w:tcPr>
                  <w:tcW w:w="3781" w:type="dxa"/>
                  <w:tcBorders>
                    <w:tl2br w:val="nil"/>
                    <w:tr2bl w:val="nil"/>
                  </w:tcBorders>
                  <w:vAlign w:val="center"/>
                </w:tcPr>
                <w:p w14:paraId="67B54333">
                  <w:pPr>
                    <w:widowControl/>
                    <w:jc w:val="center"/>
                    <w:textAlignment w:val="center"/>
                    <w:rPr>
                      <w:color w:val="auto"/>
                      <w:szCs w:val="21"/>
                      <w:highlight w:val="none"/>
                    </w:rPr>
                  </w:pPr>
                  <w:r>
                    <w:rPr>
                      <w:rFonts w:hint="default" w:ascii="Times New Roman" w:hAnsi="Times New Roman" w:cs="Times New Roman"/>
                      <w:color w:val="auto"/>
                      <w:highlight w:val="none"/>
                    </w:rPr>
                    <w:t>探伤房顶棚上方30cm处</w:t>
                  </w:r>
                </w:p>
              </w:tc>
              <w:tc>
                <w:tcPr>
                  <w:tcW w:w="1126" w:type="dxa"/>
                  <w:tcBorders>
                    <w:tl2br w:val="nil"/>
                    <w:tr2bl w:val="nil"/>
                  </w:tcBorders>
                  <w:vAlign w:val="center"/>
                </w:tcPr>
                <w:p w14:paraId="35AB099B">
                  <w:pPr>
                    <w:widowControl/>
                    <w:jc w:val="center"/>
                    <w:textAlignment w:val="center"/>
                    <w:rPr>
                      <w:color w:val="auto"/>
                      <w:szCs w:val="21"/>
                      <w:highlight w:val="none"/>
                    </w:rPr>
                  </w:pPr>
                  <w:r>
                    <w:rPr>
                      <w:rFonts w:hint="eastAsia"/>
                      <w:color w:val="auto"/>
                      <w:szCs w:val="21"/>
                      <w:highlight w:val="none"/>
                      <w:lang w:val="en-US" w:eastAsia="zh-CN"/>
                    </w:rPr>
                    <w:t>0.000226</w:t>
                  </w:r>
                </w:p>
              </w:tc>
              <w:tc>
                <w:tcPr>
                  <w:tcW w:w="1454" w:type="dxa"/>
                  <w:tcBorders>
                    <w:tl2br w:val="nil"/>
                    <w:tr2bl w:val="nil"/>
                  </w:tcBorders>
                  <w:vAlign w:val="center"/>
                </w:tcPr>
                <w:p w14:paraId="44CB52D8">
                  <w:pPr>
                    <w:pStyle w:val="95"/>
                    <w:spacing w:line="240" w:lineRule="auto"/>
                    <w:ind w:firstLine="0" w:firstLineChars="0"/>
                    <w:rPr>
                      <w:rFonts w:hint="default" w:eastAsia="宋体" w:cs="Times New Roman"/>
                      <w:color w:val="auto"/>
                      <w:sz w:val="21"/>
                      <w:highlight w:val="none"/>
                      <w:lang w:val="en-US" w:eastAsia="zh-CN"/>
                    </w:rPr>
                  </w:pPr>
                  <w:r>
                    <w:rPr>
                      <w:rFonts w:hint="eastAsia" w:eastAsia="宋体" w:cs="Times New Roman"/>
                      <w:color w:val="auto"/>
                      <w:sz w:val="21"/>
                      <w:highlight w:val="none"/>
                      <w:lang w:val="en-US" w:eastAsia="zh-CN"/>
                    </w:rPr>
                    <w:t>100</w:t>
                  </w:r>
                </w:p>
              </w:tc>
              <w:tc>
                <w:tcPr>
                  <w:tcW w:w="1211" w:type="dxa"/>
                  <w:tcBorders>
                    <w:tl2br w:val="nil"/>
                    <w:tr2bl w:val="nil"/>
                  </w:tcBorders>
                  <w:vAlign w:val="center"/>
                </w:tcPr>
                <w:p w14:paraId="670410F0">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达标</w:t>
                  </w:r>
                </w:p>
              </w:tc>
            </w:tr>
          </w:tbl>
          <w:p w14:paraId="302E9CF7">
            <w:pPr>
              <w:pStyle w:val="109"/>
              <w:ind w:firstLine="480"/>
              <w:rPr>
                <w:color w:val="auto"/>
                <w:highlight w:val="none"/>
              </w:rPr>
            </w:pPr>
            <w:r>
              <w:rPr>
                <w:color w:val="auto"/>
                <w:highlight w:val="none"/>
              </w:rPr>
              <w:t>由上表估算结果可知，定向探伤机正常运行时，贯穿辐射对探伤房周围关注点辐射剂量率最大值为</w:t>
            </w:r>
            <w:r>
              <w:rPr>
                <w:rFonts w:hint="eastAsia"/>
                <w:color w:val="auto"/>
                <w:highlight w:val="none"/>
                <w:lang w:val="en-US" w:eastAsia="zh-CN"/>
              </w:rPr>
              <w:t>0.1168</w:t>
            </w:r>
            <w:r>
              <w:rPr>
                <w:color w:val="auto"/>
                <w:highlight w:val="none"/>
              </w:rPr>
              <w:t>μSv/h，满足《工业探伤放射防护要求》（GBZ117-</w:t>
            </w:r>
            <w:r>
              <w:rPr>
                <w:rFonts w:hint="eastAsia"/>
                <w:color w:val="auto"/>
                <w:highlight w:val="none"/>
              </w:rPr>
              <w:t>2022</w:t>
            </w:r>
            <w:r>
              <w:rPr>
                <w:color w:val="auto"/>
                <w:highlight w:val="none"/>
              </w:rPr>
              <w:t>）中关注点剂量率不超过2.5μSv/h的防护要求。探伤</w:t>
            </w:r>
            <w:r>
              <w:rPr>
                <w:rFonts w:hint="eastAsia"/>
                <w:color w:val="auto"/>
                <w:highlight w:val="none"/>
              </w:rPr>
              <w:t>房</w:t>
            </w:r>
            <w:r>
              <w:rPr>
                <w:color w:val="auto"/>
                <w:highlight w:val="none"/>
              </w:rPr>
              <w:t>屋顶是无人到达区，辐射剂量率为</w:t>
            </w:r>
            <w:r>
              <w:rPr>
                <w:rFonts w:hint="eastAsia"/>
                <w:color w:val="auto"/>
                <w:szCs w:val="21"/>
                <w:highlight w:val="none"/>
                <w:lang w:val="en-US" w:eastAsia="zh-CN"/>
              </w:rPr>
              <w:t>0.00027</w:t>
            </w:r>
            <w:r>
              <w:rPr>
                <w:color w:val="auto"/>
                <w:highlight w:val="none"/>
              </w:rPr>
              <w:t>μSv/h，满足《工业探伤放射防护要求》（GBZ117-</w:t>
            </w:r>
            <w:r>
              <w:rPr>
                <w:rFonts w:hint="eastAsia"/>
                <w:color w:val="auto"/>
                <w:highlight w:val="none"/>
              </w:rPr>
              <w:t>2022</w:t>
            </w:r>
            <w:r>
              <w:rPr>
                <w:color w:val="auto"/>
                <w:highlight w:val="none"/>
              </w:rPr>
              <w:t>）中“对不需要人员到达的探伤室顶，探伤室顶外表面30cm处的剂量率参考控制水平通常可取为100μSv/h”的要求。</w:t>
            </w:r>
          </w:p>
          <w:p w14:paraId="1C22283D">
            <w:pPr>
              <w:spacing w:line="360" w:lineRule="auto"/>
              <w:ind w:firstLine="472" w:firstLineChars="200"/>
              <w:rPr>
                <w:color w:val="auto"/>
                <w:spacing w:val="-2"/>
                <w:sz w:val="24"/>
                <w:szCs w:val="24"/>
                <w:highlight w:val="none"/>
              </w:rPr>
            </w:pPr>
            <w:r>
              <w:rPr>
                <w:rFonts w:hint="eastAsia"/>
                <w:color w:val="auto"/>
                <w:spacing w:val="-2"/>
                <w:sz w:val="24"/>
                <w:szCs w:val="24"/>
                <w:highlight w:val="none"/>
              </w:rPr>
              <w:t>（</w:t>
            </w:r>
            <w:r>
              <w:rPr>
                <w:rFonts w:hint="eastAsia"/>
                <w:color w:val="auto"/>
                <w:spacing w:val="-2"/>
                <w:sz w:val="24"/>
                <w:szCs w:val="24"/>
                <w:highlight w:val="none"/>
                <w:lang w:val="en-US" w:eastAsia="zh-CN"/>
              </w:rPr>
              <w:t>2</w:t>
            </w:r>
            <w:r>
              <w:rPr>
                <w:rFonts w:hint="eastAsia"/>
                <w:color w:val="auto"/>
                <w:spacing w:val="-2"/>
                <w:sz w:val="24"/>
                <w:szCs w:val="24"/>
                <w:highlight w:val="none"/>
              </w:rPr>
              <w:t>）辐射工作人员和公众剂量水平估算</w:t>
            </w:r>
          </w:p>
          <w:p w14:paraId="53C51D03">
            <w:pPr>
              <w:keepNext w:val="0"/>
              <w:keepLines w:val="0"/>
              <w:pageBreakBefore w:val="0"/>
              <w:widowControl w:val="0"/>
              <w:kinsoku/>
              <w:wordWrap/>
              <w:overflowPunct/>
              <w:topLinePunct w:val="0"/>
              <w:autoSpaceDE/>
              <w:autoSpaceDN/>
              <w:bidi w:val="0"/>
              <w:adjustRightInd/>
              <w:snapToGrid/>
              <w:spacing w:line="360" w:lineRule="auto"/>
              <w:ind w:firstLine="472" w:firstLineChars="200"/>
              <w:jc w:val="both"/>
              <w:textAlignment w:val="auto"/>
              <w:rPr>
                <w:color w:val="auto"/>
                <w:spacing w:val="-2"/>
                <w:sz w:val="24"/>
                <w:szCs w:val="24"/>
                <w:highlight w:val="none"/>
              </w:rPr>
            </w:pPr>
            <w:r>
              <w:rPr>
                <w:rFonts w:hint="eastAsia"/>
                <w:color w:val="auto"/>
                <w:spacing w:val="-2"/>
                <w:sz w:val="24"/>
                <w:szCs w:val="24"/>
                <w:highlight w:val="none"/>
              </w:rPr>
              <w:t>1）计算公式</w:t>
            </w:r>
          </w:p>
          <w:p w14:paraId="0C972DDB">
            <w:pPr>
              <w:keepNext w:val="0"/>
              <w:keepLines w:val="0"/>
              <w:pageBreakBefore w:val="0"/>
              <w:widowControl w:val="0"/>
              <w:kinsoku/>
              <w:wordWrap/>
              <w:overflowPunct/>
              <w:topLinePunct w:val="0"/>
              <w:autoSpaceDE/>
              <w:autoSpaceDN/>
              <w:bidi w:val="0"/>
              <w:adjustRightInd/>
              <w:snapToGrid/>
              <w:spacing w:line="360" w:lineRule="auto"/>
              <w:ind w:firstLine="472" w:firstLineChars="200"/>
              <w:jc w:val="both"/>
              <w:textAlignment w:val="auto"/>
              <w:rPr>
                <w:color w:val="auto"/>
                <w:spacing w:val="-2"/>
                <w:sz w:val="24"/>
                <w:szCs w:val="24"/>
                <w:highlight w:val="none"/>
              </w:rPr>
            </w:pPr>
            <w:r>
              <w:rPr>
                <w:rFonts w:hint="eastAsia"/>
                <w:color w:val="auto"/>
                <w:spacing w:val="-2"/>
                <w:sz w:val="24"/>
                <w:szCs w:val="24"/>
                <w:highlight w:val="none"/>
              </w:rPr>
              <w:t>对辐射工作人员和公众的受照辐射年剂量按下式计算：</w:t>
            </w:r>
          </w:p>
          <w:p w14:paraId="51BA1B56">
            <w:pPr>
              <w:keepNext w:val="0"/>
              <w:keepLines w:val="0"/>
              <w:pageBreakBefore w:val="0"/>
              <w:widowControl w:val="0"/>
              <w:kinsoku/>
              <w:wordWrap/>
              <w:overflowPunct/>
              <w:topLinePunct w:val="0"/>
              <w:autoSpaceDE/>
              <w:autoSpaceDN/>
              <w:bidi w:val="0"/>
              <w:adjustRightInd/>
              <w:snapToGrid/>
              <w:spacing w:line="360" w:lineRule="auto"/>
              <w:jc w:val="both"/>
              <w:textAlignment w:val="auto"/>
              <w:rPr>
                <w:color w:val="auto"/>
                <w:spacing w:val="-2"/>
                <w:sz w:val="24"/>
                <w:szCs w:val="24"/>
                <w:highlight w:val="none"/>
              </w:rPr>
            </w:pPr>
            <w:r>
              <w:rPr>
                <w:rFonts w:hint="eastAsia"/>
                <w:color w:val="auto"/>
                <w:spacing w:val="-2"/>
                <w:sz w:val="24"/>
                <w:szCs w:val="24"/>
                <w:highlight w:val="none"/>
                <w:lang w:val="en-US" w:eastAsia="zh-CN"/>
              </w:rPr>
              <w:t xml:space="preserve">    </w:t>
            </w:r>
            <w:r>
              <w:rPr>
                <w:rFonts w:hint="eastAsia"/>
                <w:color w:val="auto"/>
                <w:spacing w:val="-2"/>
                <w:sz w:val="24"/>
                <w:szCs w:val="24"/>
                <w:highlight w:val="none"/>
              </w:rPr>
              <w:object>
                <v:shape id="_x0000_i1034" o:spt="75" type="#_x0000_t75" style="height:24.75pt;width:93pt;" o:ole="t" filled="f" o:preferrelative="t" stroked="f" coordsize="21600,21600">
                  <v:path/>
                  <v:fill on="f" focussize="0,0"/>
                  <v:stroke on="f" joinstyle="miter"/>
                  <v:imagedata r:id="rId72" o:title=""/>
                  <o:lock v:ext="edit" aspectratio="t"/>
                  <w10:wrap type="none"/>
                  <w10:anchorlock/>
                </v:shape>
                <o:OLEObject Type="Embed" ProgID="Equation.KSEE3" ShapeID="_x0000_i1034" DrawAspect="Content" ObjectID="_1468075734" r:id="rId71">
                  <o:LockedField>false</o:LockedField>
                </o:OLEObject>
              </w:object>
            </w:r>
          </w:p>
          <w:p w14:paraId="286EAE38">
            <w:pPr>
              <w:keepNext w:val="0"/>
              <w:keepLines w:val="0"/>
              <w:pageBreakBefore w:val="0"/>
              <w:widowControl w:val="0"/>
              <w:kinsoku/>
              <w:wordWrap/>
              <w:overflowPunct/>
              <w:topLinePunct w:val="0"/>
              <w:autoSpaceDE/>
              <w:autoSpaceDN/>
              <w:bidi w:val="0"/>
              <w:adjustRightInd/>
              <w:snapToGrid/>
              <w:spacing w:line="360" w:lineRule="auto"/>
              <w:ind w:firstLine="472" w:firstLineChars="200"/>
              <w:jc w:val="both"/>
              <w:textAlignment w:val="auto"/>
              <w:rPr>
                <w:color w:val="auto"/>
                <w:spacing w:val="-2"/>
                <w:sz w:val="24"/>
                <w:szCs w:val="24"/>
                <w:highlight w:val="none"/>
              </w:rPr>
            </w:pPr>
            <w:r>
              <w:rPr>
                <w:rFonts w:hint="eastAsia"/>
                <w:color w:val="auto"/>
                <w:spacing w:val="-2"/>
                <w:sz w:val="24"/>
                <w:szCs w:val="24"/>
                <w:highlight w:val="none"/>
              </w:rPr>
              <w:t>式中：H</w:t>
            </w:r>
            <w:r>
              <w:rPr>
                <w:rFonts w:hint="eastAsia"/>
                <w:color w:val="auto"/>
                <w:spacing w:val="-2"/>
                <w:sz w:val="24"/>
                <w:szCs w:val="24"/>
                <w:highlight w:val="none"/>
                <w:vertAlign w:val="subscript"/>
              </w:rPr>
              <w:t>c</w:t>
            </w:r>
            <w:r>
              <w:rPr>
                <w:rFonts w:hint="eastAsia"/>
                <w:color w:val="auto"/>
                <w:spacing w:val="-2"/>
                <w:sz w:val="24"/>
                <w:szCs w:val="24"/>
                <w:highlight w:val="none"/>
              </w:rPr>
              <w:t>：关注的年剂量水平，mSv/a；</w:t>
            </w:r>
          </w:p>
          <w:p w14:paraId="51AD74BA">
            <w:pPr>
              <w:keepNext w:val="0"/>
              <w:keepLines w:val="0"/>
              <w:pageBreakBefore w:val="0"/>
              <w:widowControl w:val="0"/>
              <w:kinsoku/>
              <w:wordWrap/>
              <w:overflowPunct/>
              <w:topLinePunct w:val="0"/>
              <w:autoSpaceDE/>
              <w:autoSpaceDN/>
              <w:bidi w:val="0"/>
              <w:adjustRightInd/>
              <w:snapToGrid/>
              <w:spacing w:line="360" w:lineRule="auto"/>
              <w:ind w:firstLine="472" w:firstLineChars="200"/>
              <w:jc w:val="both"/>
              <w:textAlignment w:val="auto"/>
              <w:rPr>
                <w:color w:val="auto"/>
                <w:spacing w:val="-2"/>
                <w:sz w:val="24"/>
                <w:szCs w:val="24"/>
                <w:highlight w:val="none"/>
              </w:rPr>
            </w:pPr>
            <w:r>
              <w:rPr>
                <w:rFonts w:hint="eastAsia"/>
                <w:color w:val="auto"/>
                <w:spacing w:val="-2"/>
                <w:sz w:val="24"/>
                <w:szCs w:val="24"/>
                <w:highlight w:val="none"/>
              </w:rPr>
              <w:t>H</w:t>
            </w:r>
            <w:r>
              <w:rPr>
                <w:rFonts w:hint="eastAsia"/>
                <w:color w:val="auto"/>
                <w:spacing w:val="-2"/>
                <w:sz w:val="24"/>
                <w:szCs w:val="24"/>
                <w:highlight w:val="none"/>
                <w:vertAlign w:val="subscript"/>
              </w:rPr>
              <w:t>c,d</w:t>
            </w:r>
            <w:r>
              <w:rPr>
                <w:rFonts w:hint="eastAsia"/>
                <w:color w:val="auto"/>
                <w:spacing w:val="-2"/>
                <w:sz w:val="24"/>
                <w:szCs w:val="24"/>
                <w:highlight w:val="none"/>
              </w:rPr>
              <w:t>：关注点处剂量率，µSv/h；</w:t>
            </w:r>
          </w:p>
          <w:p w14:paraId="3461E452">
            <w:pPr>
              <w:keepNext w:val="0"/>
              <w:keepLines w:val="0"/>
              <w:pageBreakBefore w:val="0"/>
              <w:widowControl w:val="0"/>
              <w:kinsoku/>
              <w:wordWrap/>
              <w:overflowPunct/>
              <w:topLinePunct w:val="0"/>
              <w:autoSpaceDE/>
              <w:autoSpaceDN/>
              <w:bidi w:val="0"/>
              <w:adjustRightInd/>
              <w:snapToGrid/>
              <w:spacing w:line="360" w:lineRule="auto"/>
              <w:ind w:firstLine="472" w:firstLineChars="200"/>
              <w:jc w:val="both"/>
              <w:textAlignment w:val="auto"/>
              <w:rPr>
                <w:color w:val="auto"/>
                <w:spacing w:val="-2"/>
                <w:sz w:val="24"/>
                <w:szCs w:val="24"/>
                <w:highlight w:val="none"/>
              </w:rPr>
            </w:pPr>
            <w:r>
              <w:rPr>
                <w:rFonts w:hint="eastAsia"/>
                <w:color w:val="auto"/>
                <w:spacing w:val="-2"/>
                <w:sz w:val="24"/>
                <w:szCs w:val="24"/>
                <w:highlight w:val="none"/>
                <w:lang w:val="en-US" w:eastAsia="zh-CN"/>
              </w:rPr>
              <w:t>t</w:t>
            </w:r>
            <w:r>
              <w:rPr>
                <w:rFonts w:hint="eastAsia"/>
                <w:color w:val="auto"/>
                <w:spacing w:val="-2"/>
                <w:sz w:val="24"/>
                <w:szCs w:val="24"/>
                <w:highlight w:val="none"/>
              </w:rPr>
              <w:t>：X射线管年曝光出束时间，h/a；本项目探伤机总工作时间为</w:t>
            </w:r>
            <w:r>
              <w:rPr>
                <w:rFonts w:hint="eastAsia"/>
                <w:color w:val="auto"/>
                <w:spacing w:val="-2"/>
                <w:sz w:val="24"/>
                <w:szCs w:val="24"/>
                <w:highlight w:val="none"/>
                <w:lang w:val="en-US" w:eastAsia="zh-CN"/>
              </w:rPr>
              <w:t>17.5</w:t>
            </w:r>
            <w:r>
              <w:rPr>
                <w:rFonts w:hint="eastAsia"/>
                <w:color w:val="auto"/>
                <w:spacing w:val="-2"/>
                <w:sz w:val="24"/>
                <w:szCs w:val="24"/>
                <w:highlight w:val="none"/>
              </w:rPr>
              <w:t>小时；</w:t>
            </w:r>
          </w:p>
          <w:p w14:paraId="14A73A1B">
            <w:pPr>
              <w:keepNext w:val="0"/>
              <w:keepLines w:val="0"/>
              <w:pageBreakBefore w:val="0"/>
              <w:widowControl w:val="0"/>
              <w:kinsoku/>
              <w:wordWrap/>
              <w:overflowPunct/>
              <w:topLinePunct w:val="0"/>
              <w:autoSpaceDE/>
              <w:autoSpaceDN/>
              <w:bidi w:val="0"/>
              <w:adjustRightInd/>
              <w:snapToGrid/>
              <w:spacing w:line="360" w:lineRule="auto"/>
              <w:ind w:firstLine="472" w:firstLineChars="200"/>
              <w:jc w:val="both"/>
              <w:textAlignment w:val="auto"/>
              <w:rPr>
                <w:color w:val="auto"/>
                <w:spacing w:val="-2"/>
                <w:sz w:val="24"/>
                <w:szCs w:val="24"/>
                <w:highlight w:val="none"/>
              </w:rPr>
            </w:pPr>
            <w:r>
              <w:rPr>
                <w:rFonts w:hint="eastAsia"/>
                <w:color w:val="auto"/>
                <w:spacing w:val="-2"/>
                <w:sz w:val="24"/>
                <w:szCs w:val="24"/>
                <w:highlight w:val="none"/>
              </w:rPr>
              <w:t>U：X 射线管向关注点方向照射的使用因子</w:t>
            </w:r>
            <w:r>
              <w:rPr>
                <w:rFonts w:hint="eastAsia"/>
                <w:color w:val="auto"/>
                <w:spacing w:val="-2"/>
                <w:sz w:val="24"/>
                <w:szCs w:val="24"/>
                <w:highlight w:val="none"/>
                <w:lang w:eastAsia="zh-CN"/>
              </w:rPr>
              <w:t>，</w:t>
            </w:r>
            <w:r>
              <w:rPr>
                <w:rFonts w:hint="eastAsia"/>
                <w:color w:val="auto"/>
                <w:spacing w:val="-2"/>
                <w:sz w:val="24"/>
                <w:szCs w:val="24"/>
                <w:highlight w:val="none"/>
                <w:lang w:val="en-US" w:eastAsia="zh-CN"/>
              </w:rPr>
              <w:t>本项目定向机保守都取1</w:t>
            </w:r>
            <w:r>
              <w:rPr>
                <w:rFonts w:hint="eastAsia"/>
                <w:color w:val="auto"/>
                <w:spacing w:val="-2"/>
                <w:sz w:val="24"/>
                <w:szCs w:val="24"/>
                <w:highlight w:val="none"/>
              </w:rPr>
              <w:t xml:space="preserve">； </w:t>
            </w:r>
          </w:p>
          <w:p w14:paraId="2CE9B175">
            <w:pPr>
              <w:keepNext w:val="0"/>
              <w:keepLines w:val="0"/>
              <w:pageBreakBefore w:val="0"/>
              <w:widowControl w:val="0"/>
              <w:kinsoku/>
              <w:wordWrap/>
              <w:overflowPunct/>
              <w:topLinePunct w:val="0"/>
              <w:autoSpaceDE/>
              <w:autoSpaceDN/>
              <w:bidi w:val="0"/>
              <w:adjustRightInd/>
              <w:snapToGrid/>
              <w:spacing w:line="360" w:lineRule="auto"/>
              <w:ind w:firstLine="472" w:firstLineChars="200"/>
              <w:jc w:val="both"/>
              <w:textAlignment w:val="auto"/>
              <w:rPr>
                <w:color w:val="auto"/>
                <w:spacing w:val="-2"/>
                <w:sz w:val="24"/>
                <w:szCs w:val="24"/>
                <w:highlight w:val="none"/>
              </w:rPr>
            </w:pPr>
            <w:r>
              <w:rPr>
                <w:rFonts w:hint="eastAsia"/>
                <w:color w:val="auto"/>
                <w:spacing w:val="-2"/>
                <w:sz w:val="24"/>
                <w:szCs w:val="24"/>
                <w:highlight w:val="none"/>
              </w:rPr>
              <w:t>T：人员在相应关注点驻留的居留因子。</w:t>
            </w:r>
          </w:p>
          <w:p w14:paraId="4749BE20">
            <w:pPr>
              <w:keepNext w:val="0"/>
              <w:keepLines w:val="0"/>
              <w:pageBreakBefore w:val="0"/>
              <w:widowControl w:val="0"/>
              <w:kinsoku/>
              <w:wordWrap/>
              <w:overflowPunct/>
              <w:topLinePunct w:val="0"/>
              <w:autoSpaceDE/>
              <w:autoSpaceDN/>
              <w:bidi w:val="0"/>
              <w:adjustRightInd/>
              <w:snapToGrid/>
              <w:spacing w:line="360" w:lineRule="auto"/>
              <w:ind w:firstLine="472" w:firstLineChars="200"/>
              <w:jc w:val="both"/>
              <w:textAlignment w:val="auto"/>
              <w:rPr>
                <w:color w:val="auto"/>
                <w:spacing w:val="-2"/>
                <w:sz w:val="24"/>
                <w:szCs w:val="24"/>
                <w:highlight w:val="none"/>
              </w:rPr>
            </w:pPr>
            <w:r>
              <w:rPr>
                <w:rFonts w:hint="eastAsia"/>
                <w:color w:val="auto"/>
                <w:spacing w:val="-2"/>
                <w:sz w:val="24"/>
                <w:szCs w:val="24"/>
                <w:highlight w:val="none"/>
              </w:rPr>
              <w:t>2）辐射工作人员和公众剂量估算</w:t>
            </w:r>
          </w:p>
          <w:p w14:paraId="465049D1">
            <w:pPr>
              <w:keepNext w:val="0"/>
              <w:keepLines w:val="0"/>
              <w:pageBreakBefore w:val="0"/>
              <w:widowControl w:val="0"/>
              <w:kinsoku/>
              <w:wordWrap/>
              <w:overflowPunct/>
              <w:topLinePunct w:val="0"/>
              <w:autoSpaceDE/>
              <w:autoSpaceDN/>
              <w:bidi w:val="0"/>
              <w:adjustRightInd/>
              <w:snapToGrid/>
              <w:spacing w:line="360" w:lineRule="auto"/>
              <w:ind w:firstLine="472" w:firstLineChars="200"/>
              <w:jc w:val="both"/>
              <w:textAlignment w:val="auto"/>
              <w:rPr>
                <w:color w:val="auto"/>
                <w:spacing w:val="-2"/>
                <w:sz w:val="24"/>
                <w:szCs w:val="24"/>
                <w:highlight w:val="none"/>
              </w:rPr>
            </w:pPr>
            <w:r>
              <w:rPr>
                <w:rFonts w:hint="eastAsia"/>
                <w:color w:val="auto"/>
                <w:spacing w:val="-2"/>
                <w:sz w:val="24"/>
                <w:szCs w:val="24"/>
                <w:highlight w:val="none"/>
              </w:rPr>
              <w:t>本项目辐射工作人员工作时位于操作间的操作</w:t>
            </w:r>
            <w:r>
              <w:rPr>
                <w:rFonts w:hint="eastAsia"/>
                <w:color w:val="auto"/>
                <w:spacing w:val="-2"/>
                <w:sz w:val="24"/>
                <w:szCs w:val="24"/>
                <w:highlight w:val="none"/>
                <w:lang w:val="en-US" w:eastAsia="zh-CN"/>
              </w:rPr>
              <w:t>台</w:t>
            </w:r>
            <w:r>
              <w:rPr>
                <w:rFonts w:hint="eastAsia"/>
                <w:color w:val="auto"/>
                <w:spacing w:val="-2"/>
                <w:sz w:val="24"/>
                <w:szCs w:val="24"/>
                <w:highlight w:val="none"/>
              </w:rPr>
              <w:t xml:space="preserve">处操作；在防护门外，有搬运人员操纵行车，将需要检测的产品搬上或搬下行车，将行车沿行车轨道送入探伤房内或拉出。根据定向机工作时周围辐射剂量估算结果，分别选取各关注点处最大辐射剂量率值进行年有效剂量估算。 </w:t>
            </w:r>
          </w:p>
          <w:p w14:paraId="08598D0F">
            <w:pPr>
              <w:keepNext w:val="0"/>
              <w:keepLines w:val="0"/>
              <w:pageBreakBefore w:val="0"/>
              <w:widowControl w:val="0"/>
              <w:kinsoku/>
              <w:wordWrap/>
              <w:overflowPunct/>
              <w:topLinePunct w:val="0"/>
              <w:autoSpaceDE/>
              <w:autoSpaceDN/>
              <w:bidi w:val="0"/>
              <w:adjustRightInd/>
              <w:snapToGrid/>
              <w:spacing w:line="360" w:lineRule="auto"/>
              <w:ind w:firstLine="472" w:firstLineChars="200"/>
              <w:jc w:val="both"/>
              <w:textAlignment w:val="auto"/>
              <w:rPr>
                <w:color w:val="auto"/>
                <w:highlight w:val="none"/>
              </w:rPr>
            </w:pPr>
            <w:r>
              <w:rPr>
                <w:rFonts w:hint="eastAsia"/>
                <w:color w:val="auto"/>
                <w:spacing w:val="-2"/>
                <w:sz w:val="24"/>
                <w:szCs w:val="24"/>
                <w:highlight w:val="none"/>
              </w:rPr>
              <w:t>根据《工业X射线探伤室辐射屏蔽规范》（GBZ/T 250-2014）表A.1的要求，本次环评将洗片室和操作</w:t>
            </w:r>
            <w:r>
              <w:rPr>
                <w:rFonts w:hint="eastAsia"/>
                <w:color w:val="auto"/>
                <w:spacing w:val="-2"/>
                <w:sz w:val="24"/>
                <w:szCs w:val="24"/>
                <w:highlight w:val="none"/>
                <w:lang w:val="en-US" w:eastAsia="zh-CN"/>
              </w:rPr>
              <w:t>间</w:t>
            </w:r>
            <w:r>
              <w:rPr>
                <w:rFonts w:hint="eastAsia"/>
                <w:color w:val="auto"/>
                <w:spacing w:val="-2"/>
                <w:sz w:val="24"/>
                <w:szCs w:val="24"/>
                <w:highlight w:val="none"/>
              </w:rPr>
              <w:t>的居留因子T值取值为1，</w:t>
            </w:r>
            <w:r>
              <w:rPr>
                <w:rFonts w:hint="eastAsia"/>
                <w:color w:val="auto"/>
                <w:spacing w:val="-2"/>
                <w:sz w:val="24"/>
                <w:szCs w:val="24"/>
                <w:highlight w:val="none"/>
                <w:lang w:val="en-US" w:eastAsia="zh-CN"/>
              </w:rPr>
              <w:t>2#车间加工区和过道</w:t>
            </w:r>
            <w:r>
              <w:rPr>
                <w:rFonts w:hint="eastAsia"/>
                <w:color w:val="auto"/>
                <w:spacing w:val="-2"/>
                <w:sz w:val="24"/>
                <w:szCs w:val="24"/>
                <w:highlight w:val="none"/>
              </w:rPr>
              <w:t>按照表A.1的要求部分居留取值，取1/4</w:t>
            </w:r>
            <w:r>
              <w:rPr>
                <w:rFonts w:hint="eastAsia"/>
                <w:color w:val="auto"/>
                <w:spacing w:val="-2"/>
                <w:sz w:val="24"/>
                <w:szCs w:val="24"/>
                <w:highlight w:val="none"/>
                <w:lang w:eastAsia="zh-CN"/>
              </w:rPr>
              <w:t>；</w:t>
            </w:r>
            <w:r>
              <w:rPr>
                <w:rFonts w:hint="eastAsia"/>
                <w:color w:val="auto"/>
                <w:spacing w:val="-2"/>
                <w:sz w:val="24"/>
                <w:szCs w:val="24"/>
                <w:highlight w:val="none"/>
                <w:lang w:val="en-US" w:eastAsia="zh-CN"/>
              </w:rPr>
              <w:t>厂区走道</w:t>
            </w:r>
            <w:r>
              <w:rPr>
                <w:rFonts w:hint="eastAsia"/>
                <w:color w:val="auto"/>
                <w:spacing w:val="-2"/>
                <w:sz w:val="24"/>
                <w:szCs w:val="24"/>
                <w:highlight w:val="none"/>
              </w:rPr>
              <w:t>处按照表A.1的要求部分居留取值，取1/</w:t>
            </w:r>
            <w:r>
              <w:rPr>
                <w:rFonts w:hint="eastAsia"/>
                <w:color w:val="auto"/>
                <w:spacing w:val="-2"/>
                <w:sz w:val="24"/>
                <w:szCs w:val="24"/>
                <w:highlight w:val="none"/>
                <w:lang w:val="en-US" w:eastAsia="zh-CN"/>
              </w:rPr>
              <w:t>4</w:t>
            </w:r>
            <w:r>
              <w:rPr>
                <w:rFonts w:hint="eastAsia"/>
                <w:color w:val="auto"/>
                <w:spacing w:val="-2"/>
                <w:sz w:val="24"/>
                <w:szCs w:val="24"/>
                <w:highlight w:val="none"/>
                <w:lang w:eastAsia="zh-CN"/>
              </w:rPr>
              <w:t>；</w:t>
            </w:r>
            <w:r>
              <w:rPr>
                <w:rFonts w:hint="eastAsia"/>
                <w:color w:val="auto"/>
                <w:spacing w:val="-2"/>
                <w:sz w:val="24"/>
                <w:szCs w:val="24"/>
                <w:highlight w:val="none"/>
              </w:rPr>
              <w:t>探伤房顶棚上方无人员居留</w:t>
            </w:r>
            <w:r>
              <w:rPr>
                <w:rFonts w:hint="eastAsia"/>
                <w:color w:val="auto"/>
                <w:spacing w:val="-2"/>
                <w:sz w:val="24"/>
                <w:szCs w:val="24"/>
                <w:highlight w:val="none"/>
                <w:lang w:eastAsia="zh-CN"/>
              </w:rPr>
              <w:t>，</w:t>
            </w:r>
            <w:r>
              <w:rPr>
                <w:rFonts w:hint="eastAsia"/>
                <w:color w:val="auto"/>
                <w:spacing w:val="-2"/>
                <w:sz w:val="24"/>
                <w:szCs w:val="24"/>
                <w:highlight w:val="none"/>
              </w:rPr>
              <w:t>本次环评使用因子取1来。</w:t>
            </w:r>
          </w:p>
          <w:p w14:paraId="418F7C2A">
            <w:pPr>
              <w:pStyle w:val="96"/>
              <w:spacing w:line="240" w:lineRule="auto"/>
              <w:ind w:firstLine="422"/>
              <w:rPr>
                <w:rFonts w:eastAsia="宋体" w:cs="Times New Roman"/>
                <w:b/>
                <w:color w:val="auto"/>
                <w:kern w:val="2"/>
                <w:sz w:val="21"/>
                <w:szCs w:val="21"/>
                <w:highlight w:val="none"/>
              </w:rPr>
            </w:pPr>
            <w:r>
              <w:rPr>
                <w:rFonts w:hint="eastAsia" w:eastAsia="宋体" w:cs="Times New Roman"/>
                <w:b/>
                <w:color w:val="auto"/>
                <w:kern w:val="2"/>
                <w:sz w:val="21"/>
                <w:szCs w:val="21"/>
                <w:highlight w:val="none"/>
              </w:rPr>
              <w:t>表11-</w:t>
            </w:r>
            <w:r>
              <w:rPr>
                <w:rFonts w:hint="eastAsia" w:eastAsia="宋体" w:cs="Times New Roman"/>
                <w:b/>
                <w:color w:val="auto"/>
                <w:kern w:val="2"/>
                <w:sz w:val="21"/>
                <w:szCs w:val="21"/>
                <w:highlight w:val="none"/>
                <w:lang w:val="en-US" w:eastAsia="zh-CN"/>
              </w:rPr>
              <w:t>15</w:t>
            </w:r>
            <w:r>
              <w:rPr>
                <w:rFonts w:hint="eastAsia" w:eastAsia="宋体" w:cs="Times New Roman"/>
                <w:b/>
                <w:color w:val="auto"/>
                <w:kern w:val="2"/>
                <w:sz w:val="21"/>
                <w:szCs w:val="21"/>
                <w:highlight w:val="none"/>
              </w:rPr>
              <w:t xml:space="preserve"> 本项目探伤房定向机工作时辐射影响理论估算结果</w:t>
            </w:r>
          </w:p>
          <w:tbl>
            <w:tblPr>
              <w:tblStyle w:val="36"/>
              <w:tblW w:w="498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69"/>
              <w:gridCol w:w="2096"/>
              <w:gridCol w:w="938"/>
              <w:gridCol w:w="1118"/>
              <w:gridCol w:w="1080"/>
              <w:gridCol w:w="1132"/>
              <w:gridCol w:w="1288"/>
            </w:tblGrid>
            <w:tr w14:paraId="7BD5529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40" w:hRule="atLeast"/>
                <w:jc w:val="center"/>
              </w:trPr>
              <w:tc>
                <w:tcPr>
                  <w:tcW w:w="775" w:type="dxa"/>
                  <w:tcBorders>
                    <w:tl2br w:val="nil"/>
                    <w:tr2bl w:val="nil"/>
                  </w:tcBorders>
                  <w:vAlign w:val="center"/>
                </w:tcPr>
                <w:p w14:paraId="27728A31">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序号</w:t>
                  </w:r>
                </w:p>
              </w:tc>
              <w:tc>
                <w:tcPr>
                  <w:tcW w:w="2117" w:type="dxa"/>
                  <w:tcBorders>
                    <w:tl2br w:val="nil"/>
                    <w:tr2bl w:val="nil"/>
                  </w:tcBorders>
                  <w:vAlign w:val="center"/>
                </w:tcPr>
                <w:p w14:paraId="1F425866">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关注点</w:t>
                  </w:r>
                </w:p>
              </w:tc>
              <w:tc>
                <w:tcPr>
                  <w:tcW w:w="946" w:type="dxa"/>
                  <w:tcBorders>
                    <w:tl2br w:val="nil"/>
                    <w:tr2bl w:val="nil"/>
                  </w:tcBorders>
                  <w:vAlign w:val="center"/>
                </w:tcPr>
                <w:p w14:paraId="19A25DA2">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剂量率</w:t>
                  </w:r>
                </w:p>
                <w:p w14:paraId="4791AB10">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μSv/h</w:t>
                  </w:r>
                </w:p>
              </w:tc>
              <w:tc>
                <w:tcPr>
                  <w:tcW w:w="1128" w:type="dxa"/>
                  <w:tcBorders>
                    <w:tl2br w:val="nil"/>
                    <w:tr2bl w:val="nil"/>
                  </w:tcBorders>
                  <w:vAlign w:val="center"/>
                </w:tcPr>
                <w:p w14:paraId="129D6EB0">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照射时间</w:t>
                  </w:r>
                </w:p>
                <w:p w14:paraId="6D7DA5BA">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h/a</w:t>
                  </w:r>
                </w:p>
              </w:tc>
              <w:tc>
                <w:tcPr>
                  <w:tcW w:w="1090" w:type="dxa"/>
                  <w:tcBorders>
                    <w:tl2br w:val="nil"/>
                    <w:tr2bl w:val="nil"/>
                  </w:tcBorders>
                  <w:vAlign w:val="center"/>
                </w:tcPr>
                <w:p w14:paraId="06420E65">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居留因子</w:t>
                  </w:r>
                </w:p>
              </w:tc>
              <w:tc>
                <w:tcPr>
                  <w:tcW w:w="1142" w:type="dxa"/>
                  <w:tcBorders>
                    <w:tl2br w:val="nil"/>
                    <w:tr2bl w:val="nil"/>
                  </w:tcBorders>
                  <w:vAlign w:val="center"/>
                </w:tcPr>
                <w:p w14:paraId="47FC3AD2">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受照人员</w:t>
                  </w:r>
                </w:p>
              </w:tc>
              <w:tc>
                <w:tcPr>
                  <w:tcW w:w="1300" w:type="dxa"/>
                  <w:tcBorders>
                    <w:tl2br w:val="nil"/>
                    <w:tr2bl w:val="nil"/>
                  </w:tcBorders>
                  <w:vAlign w:val="center"/>
                </w:tcPr>
                <w:p w14:paraId="294E6090">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年附加有效剂量mSv/a</w:t>
                  </w:r>
                </w:p>
              </w:tc>
            </w:tr>
            <w:tr w14:paraId="51E683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5" w:type="dxa"/>
                  <w:tcBorders>
                    <w:tl2br w:val="nil"/>
                    <w:tr2bl w:val="nil"/>
                  </w:tcBorders>
                  <w:vAlign w:val="center"/>
                </w:tcPr>
                <w:p w14:paraId="0F6B686F">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C1</w:t>
                  </w:r>
                </w:p>
              </w:tc>
              <w:tc>
                <w:tcPr>
                  <w:tcW w:w="2117" w:type="dxa"/>
                  <w:tcBorders>
                    <w:tl2br w:val="nil"/>
                    <w:tr2bl w:val="nil"/>
                  </w:tcBorders>
                  <w:vAlign w:val="center"/>
                </w:tcPr>
                <w:p w14:paraId="34E4C7AE">
                  <w:pPr>
                    <w:widowControl/>
                    <w:jc w:val="center"/>
                    <w:textAlignment w:val="center"/>
                    <w:rPr>
                      <w:color w:val="auto"/>
                      <w:szCs w:val="21"/>
                      <w:highlight w:val="none"/>
                    </w:rPr>
                  </w:pPr>
                  <w:r>
                    <w:rPr>
                      <w:rFonts w:hint="eastAsia"/>
                      <w:color w:val="auto"/>
                      <w:kern w:val="0"/>
                      <w:szCs w:val="21"/>
                      <w:highlight w:val="none"/>
                      <w:lang w:val="en-US" w:eastAsia="zh-CN" w:bidi="ar"/>
                    </w:rPr>
                    <w:t>西</w:t>
                  </w:r>
                  <w:r>
                    <w:rPr>
                      <w:color w:val="auto"/>
                      <w:kern w:val="0"/>
                      <w:szCs w:val="21"/>
                      <w:highlight w:val="none"/>
                      <w:lang w:bidi="ar"/>
                    </w:rPr>
                    <w:t>侧</w:t>
                  </w:r>
                  <w:r>
                    <w:rPr>
                      <w:rFonts w:hint="eastAsia"/>
                      <w:color w:val="auto"/>
                      <w:kern w:val="0"/>
                      <w:szCs w:val="21"/>
                      <w:highlight w:val="none"/>
                      <w:lang w:bidi="ar"/>
                    </w:rPr>
                    <w:t>屏蔽墙</w:t>
                  </w:r>
                  <w:r>
                    <w:rPr>
                      <w:color w:val="auto"/>
                      <w:kern w:val="0"/>
                      <w:szCs w:val="21"/>
                      <w:highlight w:val="none"/>
                      <w:lang w:bidi="ar"/>
                    </w:rPr>
                    <w:t>外30cm处</w:t>
                  </w:r>
                  <w:r>
                    <w:rPr>
                      <w:rFonts w:hint="eastAsia"/>
                      <w:color w:val="auto"/>
                      <w:kern w:val="0"/>
                      <w:szCs w:val="21"/>
                      <w:highlight w:val="none"/>
                      <w:lang w:bidi="ar"/>
                    </w:rPr>
                    <w:t>（</w:t>
                  </w:r>
                  <w:r>
                    <w:rPr>
                      <w:rFonts w:hint="eastAsia"/>
                      <w:color w:val="auto"/>
                      <w:kern w:val="0"/>
                      <w:szCs w:val="21"/>
                      <w:highlight w:val="none"/>
                      <w:lang w:val="en-US" w:eastAsia="zh-CN" w:bidi="ar"/>
                    </w:rPr>
                    <w:t>2#车间加工区</w:t>
                  </w:r>
                  <w:r>
                    <w:rPr>
                      <w:rFonts w:hint="eastAsia"/>
                      <w:color w:val="auto"/>
                      <w:kern w:val="0"/>
                      <w:szCs w:val="21"/>
                      <w:highlight w:val="none"/>
                      <w:lang w:bidi="ar"/>
                    </w:rPr>
                    <w:t>）</w:t>
                  </w:r>
                </w:p>
              </w:tc>
              <w:tc>
                <w:tcPr>
                  <w:tcW w:w="946" w:type="dxa"/>
                  <w:tcBorders>
                    <w:tl2br w:val="nil"/>
                    <w:tr2bl w:val="nil"/>
                  </w:tcBorders>
                  <w:vAlign w:val="center"/>
                </w:tcPr>
                <w:p w14:paraId="55F5BDE8">
                  <w:pPr>
                    <w:widowControl/>
                    <w:jc w:val="center"/>
                    <w:textAlignment w:val="center"/>
                    <w:rPr>
                      <w:rFonts w:hint="default"/>
                      <w:color w:val="auto"/>
                      <w:szCs w:val="21"/>
                      <w:highlight w:val="none"/>
                      <w:lang w:val="en-US"/>
                    </w:rPr>
                  </w:pPr>
                  <w:r>
                    <w:rPr>
                      <w:rFonts w:hint="eastAsia" w:cs="Times New Roman"/>
                      <w:b w:val="0"/>
                      <w:bCs/>
                      <w:color w:val="auto"/>
                      <w:sz w:val="21"/>
                      <w:szCs w:val="21"/>
                      <w:highlight w:val="none"/>
                      <w:lang w:val="en-US" w:eastAsia="zh-CN"/>
                    </w:rPr>
                    <w:t>0.1168</w:t>
                  </w:r>
                </w:p>
              </w:tc>
              <w:tc>
                <w:tcPr>
                  <w:tcW w:w="1128" w:type="dxa"/>
                  <w:vMerge w:val="restart"/>
                  <w:tcBorders>
                    <w:tl2br w:val="nil"/>
                    <w:tr2bl w:val="nil"/>
                  </w:tcBorders>
                  <w:vAlign w:val="center"/>
                </w:tcPr>
                <w:p w14:paraId="68883958">
                  <w:pPr>
                    <w:pStyle w:val="95"/>
                    <w:spacing w:line="240" w:lineRule="auto"/>
                    <w:ind w:firstLine="0" w:firstLineChars="0"/>
                    <w:rPr>
                      <w:rFonts w:hint="default" w:eastAsia="宋体" w:cs="Times New Roman"/>
                      <w:color w:val="auto"/>
                      <w:sz w:val="21"/>
                      <w:highlight w:val="none"/>
                      <w:lang w:val="en-US" w:eastAsia="zh-CN"/>
                    </w:rPr>
                  </w:pPr>
                  <w:r>
                    <w:rPr>
                      <w:rFonts w:hint="eastAsia" w:eastAsia="宋体" w:cs="Times New Roman"/>
                      <w:color w:val="auto"/>
                      <w:sz w:val="21"/>
                      <w:highlight w:val="none"/>
                      <w:lang w:val="en-US" w:eastAsia="zh-CN"/>
                    </w:rPr>
                    <w:t>17.5</w:t>
                  </w:r>
                </w:p>
              </w:tc>
              <w:tc>
                <w:tcPr>
                  <w:tcW w:w="1090" w:type="dxa"/>
                  <w:tcBorders>
                    <w:tl2br w:val="nil"/>
                    <w:tr2bl w:val="nil"/>
                  </w:tcBorders>
                  <w:vAlign w:val="center"/>
                </w:tcPr>
                <w:p w14:paraId="729A2CD5">
                  <w:pPr>
                    <w:widowControl/>
                    <w:jc w:val="center"/>
                    <w:textAlignment w:val="center"/>
                    <w:rPr>
                      <w:color w:val="auto"/>
                      <w:szCs w:val="21"/>
                      <w:highlight w:val="none"/>
                    </w:rPr>
                  </w:pPr>
                  <w:r>
                    <w:rPr>
                      <w:color w:val="auto"/>
                      <w:kern w:val="0"/>
                      <w:szCs w:val="21"/>
                      <w:highlight w:val="none"/>
                      <w:lang w:bidi="ar"/>
                    </w:rPr>
                    <w:t>1/4</w:t>
                  </w:r>
                </w:p>
              </w:tc>
              <w:tc>
                <w:tcPr>
                  <w:tcW w:w="1142" w:type="dxa"/>
                  <w:tcBorders>
                    <w:tl2br w:val="nil"/>
                    <w:tr2bl w:val="nil"/>
                  </w:tcBorders>
                  <w:vAlign w:val="center"/>
                </w:tcPr>
                <w:p w14:paraId="76D60101">
                  <w:pPr>
                    <w:widowControl/>
                    <w:jc w:val="center"/>
                    <w:textAlignment w:val="center"/>
                    <w:rPr>
                      <w:color w:val="auto"/>
                      <w:szCs w:val="21"/>
                      <w:highlight w:val="none"/>
                    </w:rPr>
                  </w:pPr>
                  <w:r>
                    <w:rPr>
                      <w:color w:val="auto"/>
                      <w:kern w:val="0"/>
                      <w:szCs w:val="21"/>
                      <w:highlight w:val="none"/>
                      <w:lang w:bidi="ar"/>
                    </w:rPr>
                    <w:t>公众人员</w:t>
                  </w:r>
                </w:p>
              </w:tc>
              <w:tc>
                <w:tcPr>
                  <w:tcW w:w="1300" w:type="dxa"/>
                  <w:tcBorders>
                    <w:tl2br w:val="nil"/>
                    <w:tr2bl w:val="nil"/>
                  </w:tcBorders>
                  <w:vAlign w:val="center"/>
                </w:tcPr>
                <w:p w14:paraId="7FB1C1C6">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5.11</w:t>
                  </w:r>
                  <w:r>
                    <w:rPr>
                      <w:rFonts w:hint="eastAsia" w:cs="Times New Roman"/>
                      <w:b w:val="0"/>
                      <w:bCs/>
                      <w:color w:val="auto"/>
                      <w:sz w:val="21"/>
                      <w:szCs w:val="21"/>
                      <w:highlight w:val="none"/>
                      <w:lang w:val="en-US" w:eastAsia="zh-CN"/>
                    </w:rPr>
                    <w:t>E-04</w:t>
                  </w:r>
                </w:p>
              </w:tc>
            </w:tr>
            <w:tr w14:paraId="6D819ED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5" w:type="dxa"/>
                  <w:tcBorders>
                    <w:tl2br w:val="nil"/>
                    <w:tr2bl w:val="nil"/>
                  </w:tcBorders>
                  <w:vAlign w:val="center"/>
                </w:tcPr>
                <w:p w14:paraId="33B10619">
                  <w:pPr>
                    <w:jc w:val="center"/>
                    <w:rPr>
                      <w:color w:val="auto"/>
                      <w:szCs w:val="21"/>
                      <w:highlight w:val="none"/>
                    </w:rPr>
                  </w:pPr>
                  <w:r>
                    <w:rPr>
                      <w:color w:val="auto"/>
                      <w:szCs w:val="21"/>
                      <w:highlight w:val="none"/>
                    </w:rPr>
                    <w:t>C2</w:t>
                  </w:r>
                </w:p>
              </w:tc>
              <w:tc>
                <w:tcPr>
                  <w:tcW w:w="2117" w:type="dxa"/>
                  <w:tcBorders>
                    <w:tl2br w:val="nil"/>
                    <w:tr2bl w:val="nil"/>
                  </w:tcBorders>
                  <w:vAlign w:val="center"/>
                </w:tcPr>
                <w:p w14:paraId="625E6971">
                  <w:pPr>
                    <w:widowControl/>
                    <w:jc w:val="center"/>
                    <w:textAlignment w:val="center"/>
                    <w:rPr>
                      <w:color w:val="auto"/>
                      <w:szCs w:val="21"/>
                      <w:highlight w:val="none"/>
                    </w:rPr>
                  </w:pPr>
                  <w:r>
                    <w:rPr>
                      <w:rFonts w:hint="eastAsia" w:cs="Times New Roman"/>
                      <w:color w:val="auto"/>
                      <w:highlight w:val="none"/>
                      <w:lang w:val="en-US" w:eastAsia="zh-CN"/>
                    </w:rPr>
                    <w:t>东</w:t>
                  </w:r>
                  <w:r>
                    <w:rPr>
                      <w:rFonts w:hint="default" w:ascii="Times New Roman" w:hAnsi="Times New Roman" w:cs="Times New Roman"/>
                      <w:color w:val="auto"/>
                      <w:highlight w:val="none"/>
                    </w:rPr>
                    <w:t>侧屏蔽墙外30cm</w:t>
                  </w:r>
                  <w:r>
                    <w:rPr>
                      <w:rFonts w:hint="eastAsia"/>
                      <w:color w:val="auto"/>
                      <w:kern w:val="0"/>
                      <w:szCs w:val="21"/>
                      <w:highlight w:val="none"/>
                      <w:lang w:val="en-US" w:eastAsia="zh-CN" w:bidi="ar"/>
                    </w:rPr>
                    <w:t>操作室</w:t>
                  </w:r>
                </w:p>
              </w:tc>
              <w:tc>
                <w:tcPr>
                  <w:tcW w:w="946" w:type="dxa"/>
                  <w:tcBorders>
                    <w:tl2br w:val="nil"/>
                    <w:tr2bl w:val="nil"/>
                  </w:tcBorders>
                  <w:vAlign w:val="center"/>
                </w:tcPr>
                <w:p w14:paraId="64FAD24F">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0.000509</w:t>
                  </w:r>
                </w:p>
              </w:tc>
              <w:tc>
                <w:tcPr>
                  <w:tcW w:w="1128" w:type="dxa"/>
                  <w:vMerge w:val="continue"/>
                  <w:tcBorders>
                    <w:tl2br w:val="nil"/>
                    <w:tr2bl w:val="nil"/>
                  </w:tcBorders>
                  <w:vAlign w:val="center"/>
                </w:tcPr>
                <w:p w14:paraId="0552FB1F">
                  <w:pPr>
                    <w:pStyle w:val="95"/>
                    <w:spacing w:line="240" w:lineRule="auto"/>
                    <w:ind w:firstLine="420"/>
                    <w:rPr>
                      <w:rFonts w:eastAsia="宋体" w:cs="Times New Roman"/>
                      <w:color w:val="auto"/>
                      <w:sz w:val="21"/>
                      <w:highlight w:val="none"/>
                    </w:rPr>
                  </w:pPr>
                </w:p>
              </w:tc>
              <w:tc>
                <w:tcPr>
                  <w:tcW w:w="1090" w:type="dxa"/>
                  <w:tcBorders>
                    <w:tl2br w:val="nil"/>
                    <w:tr2bl w:val="nil"/>
                  </w:tcBorders>
                  <w:vAlign w:val="center"/>
                </w:tcPr>
                <w:p w14:paraId="334FCF11">
                  <w:pPr>
                    <w:widowControl/>
                    <w:jc w:val="center"/>
                    <w:textAlignment w:val="center"/>
                    <w:rPr>
                      <w:color w:val="auto"/>
                      <w:szCs w:val="21"/>
                      <w:highlight w:val="none"/>
                    </w:rPr>
                  </w:pPr>
                  <w:r>
                    <w:rPr>
                      <w:rFonts w:hint="eastAsia"/>
                      <w:color w:val="auto"/>
                      <w:kern w:val="0"/>
                      <w:szCs w:val="21"/>
                      <w:highlight w:val="none"/>
                      <w:lang w:bidi="ar"/>
                    </w:rPr>
                    <w:t>1</w:t>
                  </w:r>
                </w:p>
              </w:tc>
              <w:tc>
                <w:tcPr>
                  <w:tcW w:w="1142" w:type="dxa"/>
                  <w:tcBorders>
                    <w:tl2br w:val="nil"/>
                    <w:tr2bl w:val="nil"/>
                  </w:tcBorders>
                  <w:vAlign w:val="center"/>
                </w:tcPr>
                <w:p w14:paraId="2B29677A">
                  <w:pPr>
                    <w:widowControl/>
                    <w:jc w:val="center"/>
                    <w:textAlignment w:val="center"/>
                    <w:rPr>
                      <w:color w:val="auto"/>
                      <w:szCs w:val="21"/>
                      <w:highlight w:val="none"/>
                    </w:rPr>
                  </w:pPr>
                  <w:r>
                    <w:rPr>
                      <w:color w:val="auto"/>
                      <w:kern w:val="0"/>
                      <w:szCs w:val="21"/>
                      <w:highlight w:val="none"/>
                      <w:lang w:bidi="ar"/>
                    </w:rPr>
                    <w:t>职业人员</w:t>
                  </w:r>
                </w:p>
              </w:tc>
              <w:tc>
                <w:tcPr>
                  <w:tcW w:w="1300" w:type="dxa"/>
                  <w:tcBorders>
                    <w:tl2br w:val="nil"/>
                    <w:tr2bl w:val="nil"/>
                  </w:tcBorders>
                  <w:vAlign w:val="center"/>
                </w:tcPr>
                <w:p w14:paraId="616F1AD6">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8.91</w:t>
                  </w:r>
                  <w:r>
                    <w:rPr>
                      <w:rFonts w:hint="eastAsia" w:cs="Times New Roman"/>
                      <w:b w:val="0"/>
                      <w:bCs/>
                      <w:color w:val="auto"/>
                      <w:sz w:val="21"/>
                      <w:szCs w:val="21"/>
                      <w:highlight w:val="none"/>
                      <w:lang w:val="en-US" w:eastAsia="zh-CN"/>
                    </w:rPr>
                    <w:t>E-06</w:t>
                  </w:r>
                </w:p>
              </w:tc>
            </w:tr>
            <w:tr w14:paraId="0EDC294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5" w:type="dxa"/>
                  <w:tcBorders>
                    <w:tl2br w:val="nil"/>
                    <w:tr2bl w:val="nil"/>
                  </w:tcBorders>
                  <w:vAlign w:val="center"/>
                </w:tcPr>
                <w:p w14:paraId="05C556C8">
                  <w:pPr>
                    <w:jc w:val="center"/>
                    <w:rPr>
                      <w:color w:val="auto"/>
                      <w:szCs w:val="21"/>
                      <w:highlight w:val="none"/>
                    </w:rPr>
                  </w:pPr>
                  <w:r>
                    <w:rPr>
                      <w:color w:val="auto"/>
                      <w:szCs w:val="21"/>
                      <w:highlight w:val="none"/>
                    </w:rPr>
                    <w:t>C3</w:t>
                  </w:r>
                </w:p>
              </w:tc>
              <w:tc>
                <w:tcPr>
                  <w:tcW w:w="2117" w:type="dxa"/>
                  <w:tcBorders>
                    <w:tl2br w:val="nil"/>
                    <w:tr2bl w:val="nil"/>
                  </w:tcBorders>
                  <w:vAlign w:val="center"/>
                </w:tcPr>
                <w:p w14:paraId="505BD631">
                  <w:pPr>
                    <w:widowControl/>
                    <w:jc w:val="center"/>
                    <w:textAlignment w:val="center"/>
                    <w:rPr>
                      <w:color w:val="auto"/>
                      <w:szCs w:val="21"/>
                      <w:highlight w:val="none"/>
                    </w:rPr>
                  </w:pPr>
                  <w:r>
                    <w:rPr>
                      <w:rFonts w:hint="eastAsia" w:cs="Times New Roman"/>
                      <w:color w:val="auto"/>
                      <w:highlight w:val="none"/>
                      <w:lang w:val="en-US" w:eastAsia="zh-CN"/>
                    </w:rPr>
                    <w:t>北</w:t>
                  </w:r>
                  <w:r>
                    <w:rPr>
                      <w:rFonts w:hint="default" w:ascii="Times New Roman" w:hAnsi="Times New Roman" w:cs="Times New Roman"/>
                      <w:color w:val="auto"/>
                      <w:highlight w:val="none"/>
                    </w:rPr>
                    <w:t>侧屏蔽墙外30cm</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处</w:t>
                  </w:r>
                </w:p>
              </w:tc>
              <w:tc>
                <w:tcPr>
                  <w:tcW w:w="946" w:type="dxa"/>
                  <w:tcBorders>
                    <w:tl2br w:val="nil"/>
                    <w:tr2bl w:val="nil"/>
                  </w:tcBorders>
                  <w:vAlign w:val="center"/>
                </w:tcPr>
                <w:p w14:paraId="32530310">
                  <w:pPr>
                    <w:widowControl/>
                    <w:jc w:val="center"/>
                    <w:textAlignment w:val="center"/>
                    <w:rPr>
                      <w:color w:val="auto"/>
                      <w:szCs w:val="21"/>
                      <w:highlight w:val="none"/>
                    </w:rPr>
                  </w:pPr>
                  <w:r>
                    <w:rPr>
                      <w:rFonts w:hint="eastAsia"/>
                      <w:color w:val="auto"/>
                      <w:szCs w:val="21"/>
                      <w:highlight w:val="none"/>
                      <w:lang w:val="en-US" w:eastAsia="zh-CN"/>
                    </w:rPr>
                    <w:t>0.000275</w:t>
                  </w:r>
                </w:p>
              </w:tc>
              <w:tc>
                <w:tcPr>
                  <w:tcW w:w="1128" w:type="dxa"/>
                  <w:vMerge w:val="continue"/>
                  <w:tcBorders>
                    <w:tl2br w:val="nil"/>
                    <w:tr2bl w:val="nil"/>
                  </w:tcBorders>
                  <w:vAlign w:val="center"/>
                </w:tcPr>
                <w:p w14:paraId="330808A0">
                  <w:pPr>
                    <w:pStyle w:val="95"/>
                    <w:spacing w:line="240" w:lineRule="auto"/>
                    <w:ind w:firstLine="420"/>
                    <w:rPr>
                      <w:rFonts w:eastAsia="宋体" w:cs="Times New Roman"/>
                      <w:color w:val="auto"/>
                      <w:sz w:val="21"/>
                      <w:highlight w:val="none"/>
                    </w:rPr>
                  </w:pPr>
                </w:p>
              </w:tc>
              <w:tc>
                <w:tcPr>
                  <w:tcW w:w="1090" w:type="dxa"/>
                  <w:tcBorders>
                    <w:tl2br w:val="nil"/>
                    <w:tr2bl w:val="nil"/>
                  </w:tcBorders>
                  <w:vAlign w:val="center"/>
                </w:tcPr>
                <w:p w14:paraId="38D097F1">
                  <w:pPr>
                    <w:widowControl/>
                    <w:jc w:val="center"/>
                    <w:textAlignment w:val="center"/>
                    <w:rPr>
                      <w:color w:val="auto"/>
                      <w:szCs w:val="21"/>
                      <w:highlight w:val="none"/>
                    </w:rPr>
                  </w:pPr>
                  <w:r>
                    <w:rPr>
                      <w:color w:val="auto"/>
                      <w:kern w:val="0"/>
                      <w:szCs w:val="21"/>
                      <w:highlight w:val="none"/>
                      <w:lang w:bidi="ar"/>
                    </w:rPr>
                    <w:t>1/4</w:t>
                  </w:r>
                </w:p>
              </w:tc>
              <w:tc>
                <w:tcPr>
                  <w:tcW w:w="1142" w:type="dxa"/>
                  <w:tcBorders>
                    <w:tl2br w:val="nil"/>
                    <w:tr2bl w:val="nil"/>
                  </w:tcBorders>
                  <w:vAlign w:val="center"/>
                </w:tcPr>
                <w:p w14:paraId="6D1E40AD">
                  <w:pPr>
                    <w:widowControl/>
                    <w:jc w:val="center"/>
                    <w:textAlignment w:val="center"/>
                    <w:rPr>
                      <w:color w:val="auto"/>
                      <w:szCs w:val="21"/>
                      <w:highlight w:val="none"/>
                    </w:rPr>
                  </w:pPr>
                  <w:r>
                    <w:rPr>
                      <w:color w:val="auto"/>
                      <w:kern w:val="0"/>
                      <w:szCs w:val="21"/>
                      <w:highlight w:val="none"/>
                      <w:lang w:bidi="ar"/>
                    </w:rPr>
                    <w:t>公众人员</w:t>
                  </w:r>
                </w:p>
              </w:tc>
              <w:tc>
                <w:tcPr>
                  <w:tcW w:w="1300" w:type="dxa"/>
                  <w:tcBorders>
                    <w:tl2br w:val="nil"/>
                    <w:tr2bl w:val="nil"/>
                  </w:tcBorders>
                  <w:vAlign w:val="center"/>
                </w:tcPr>
                <w:p w14:paraId="5806D4BD">
                  <w:pPr>
                    <w:widowControl/>
                    <w:jc w:val="center"/>
                    <w:textAlignment w:val="center"/>
                    <w:rPr>
                      <w:color w:val="auto"/>
                      <w:szCs w:val="21"/>
                      <w:highlight w:val="none"/>
                    </w:rPr>
                  </w:pPr>
                  <w:r>
                    <w:rPr>
                      <w:rFonts w:hint="eastAsia"/>
                      <w:color w:val="auto"/>
                      <w:szCs w:val="21"/>
                      <w:highlight w:val="none"/>
                      <w:lang w:val="en-US" w:eastAsia="zh-CN"/>
                    </w:rPr>
                    <w:t>1.20</w:t>
                  </w:r>
                  <w:r>
                    <w:rPr>
                      <w:rFonts w:hint="eastAsia" w:cs="Times New Roman"/>
                      <w:b w:val="0"/>
                      <w:bCs/>
                      <w:color w:val="auto"/>
                      <w:sz w:val="21"/>
                      <w:szCs w:val="21"/>
                      <w:highlight w:val="none"/>
                      <w:lang w:val="en-US" w:eastAsia="zh-CN"/>
                    </w:rPr>
                    <w:t>E-06</w:t>
                  </w:r>
                </w:p>
              </w:tc>
            </w:tr>
            <w:tr w14:paraId="3F2D7F7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5" w:type="dxa"/>
                  <w:tcBorders>
                    <w:tl2br w:val="nil"/>
                    <w:tr2bl w:val="nil"/>
                  </w:tcBorders>
                  <w:vAlign w:val="center"/>
                </w:tcPr>
                <w:p w14:paraId="5CC5C1A1">
                  <w:pPr>
                    <w:jc w:val="center"/>
                    <w:rPr>
                      <w:color w:val="auto"/>
                      <w:szCs w:val="21"/>
                      <w:highlight w:val="none"/>
                    </w:rPr>
                  </w:pPr>
                  <w:r>
                    <w:rPr>
                      <w:color w:val="auto"/>
                      <w:szCs w:val="21"/>
                      <w:highlight w:val="none"/>
                    </w:rPr>
                    <w:t>C4</w:t>
                  </w:r>
                </w:p>
              </w:tc>
              <w:tc>
                <w:tcPr>
                  <w:tcW w:w="2117" w:type="dxa"/>
                  <w:tcBorders>
                    <w:tl2br w:val="nil"/>
                    <w:tr2bl w:val="nil"/>
                  </w:tcBorders>
                  <w:vAlign w:val="center"/>
                </w:tcPr>
                <w:p w14:paraId="6C4BE2FA">
                  <w:pPr>
                    <w:widowControl/>
                    <w:jc w:val="center"/>
                    <w:textAlignment w:val="center"/>
                    <w:rPr>
                      <w:color w:val="auto"/>
                      <w:szCs w:val="21"/>
                      <w:highlight w:val="none"/>
                    </w:rPr>
                  </w:pPr>
                  <w:r>
                    <w:rPr>
                      <w:rFonts w:hint="eastAsia" w:cs="Times New Roman"/>
                      <w:color w:val="auto"/>
                      <w:highlight w:val="none"/>
                      <w:lang w:val="en-US" w:eastAsia="zh-CN"/>
                    </w:rPr>
                    <w:t>南</w:t>
                  </w:r>
                  <w:r>
                    <w:rPr>
                      <w:rFonts w:hint="default" w:ascii="Times New Roman" w:hAnsi="Times New Roman" w:cs="Times New Roman"/>
                      <w:color w:val="auto"/>
                      <w:highlight w:val="none"/>
                    </w:rPr>
                    <w:t>侧</w:t>
                  </w:r>
                  <w:r>
                    <w:rPr>
                      <w:rFonts w:hint="eastAsia" w:cs="Times New Roman"/>
                      <w:color w:val="auto"/>
                      <w:highlight w:val="none"/>
                      <w:lang w:val="en-US" w:eastAsia="zh-CN"/>
                    </w:rPr>
                    <w:t>防护门</w:t>
                  </w:r>
                  <w:r>
                    <w:rPr>
                      <w:rFonts w:hint="default" w:ascii="Times New Roman" w:hAnsi="Times New Roman" w:cs="Times New Roman"/>
                      <w:color w:val="auto"/>
                      <w:highlight w:val="none"/>
                    </w:rPr>
                    <w:t>外30cm处</w:t>
                  </w:r>
                </w:p>
              </w:tc>
              <w:tc>
                <w:tcPr>
                  <w:tcW w:w="946" w:type="dxa"/>
                  <w:tcBorders>
                    <w:tl2br w:val="nil"/>
                    <w:tr2bl w:val="nil"/>
                  </w:tcBorders>
                  <w:vAlign w:val="center"/>
                </w:tcPr>
                <w:p w14:paraId="0DEF6670">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0.02964</w:t>
                  </w:r>
                </w:p>
              </w:tc>
              <w:tc>
                <w:tcPr>
                  <w:tcW w:w="1128" w:type="dxa"/>
                  <w:vMerge w:val="continue"/>
                  <w:tcBorders>
                    <w:tl2br w:val="nil"/>
                    <w:tr2bl w:val="nil"/>
                  </w:tcBorders>
                  <w:vAlign w:val="center"/>
                </w:tcPr>
                <w:p w14:paraId="30CF2F14">
                  <w:pPr>
                    <w:pStyle w:val="95"/>
                    <w:spacing w:line="240" w:lineRule="auto"/>
                    <w:ind w:firstLine="420"/>
                    <w:rPr>
                      <w:rFonts w:eastAsia="宋体" w:cs="Times New Roman"/>
                      <w:color w:val="auto"/>
                      <w:sz w:val="21"/>
                      <w:highlight w:val="none"/>
                    </w:rPr>
                  </w:pPr>
                </w:p>
              </w:tc>
              <w:tc>
                <w:tcPr>
                  <w:tcW w:w="1090" w:type="dxa"/>
                  <w:tcBorders>
                    <w:tl2br w:val="nil"/>
                    <w:tr2bl w:val="nil"/>
                  </w:tcBorders>
                  <w:vAlign w:val="center"/>
                </w:tcPr>
                <w:p w14:paraId="059D110F">
                  <w:pPr>
                    <w:widowControl/>
                    <w:jc w:val="center"/>
                    <w:textAlignment w:val="center"/>
                    <w:rPr>
                      <w:color w:val="auto"/>
                      <w:szCs w:val="21"/>
                      <w:highlight w:val="none"/>
                    </w:rPr>
                  </w:pPr>
                  <w:r>
                    <w:rPr>
                      <w:color w:val="auto"/>
                      <w:kern w:val="0"/>
                      <w:szCs w:val="21"/>
                      <w:highlight w:val="none"/>
                      <w:lang w:bidi="ar"/>
                    </w:rPr>
                    <w:t>1/4</w:t>
                  </w:r>
                </w:p>
              </w:tc>
              <w:tc>
                <w:tcPr>
                  <w:tcW w:w="1142" w:type="dxa"/>
                  <w:tcBorders>
                    <w:tl2br w:val="nil"/>
                    <w:tr2bl w:val="nil"/>
                  </w:tcBorders>
                  <w:vAlign w:val="center"/>
                </w:tcPr>
                <w:p w14:paraId="5602B065">
                  <w:pPr>
                    <w:widowControl/>
                    <w:jc w:val="center"/>
                    <w:textAlignment w:val="center"/>
                    <w:rPr>
                      <w:color w:val="auto"/>
                      <w:szCs w:val="21"/>
                      <w:highlight w:val="none"/>
                    </w:rPr>
                  </w:pPr>
                  <w:r>
                    <w:rPr>
                      <w:color w:val="auto"/>
                      <w:kern w:val="0"/>
                      <w:szCs w:val="21"/>
                      <w:highlight w:val="none"/>
                      <w:lang w:bidi="ar"/>
                    </w:rPr>
                    <w:t>公众人员</w:t>
                  </w:r>
                </w:p>
              </w:tc>
              <w:tc>
                <w:tcPr>
                  <w:tcW w:w="1300" w:type="dxa"/>
                  <w:tcBorders>
                    <w:tl2br w:val="nil"/>
                    <w:tr2bl w:val="nil"/>
                  </w:tcBorders>
                  <w:vAlign w:val="center"/>
                </w:tcPr>
                <w:p w14:paraId="038F51D6">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1.30</w:t>
                  </w:r>
                  <w:r>
                    <w:rPr>
                      <w:rFonts w:hint="eastAsia" w:cs="Times New Roman"/>
                      <w:b w:val="0"/>
                      <w:bCs/>
                      <w:color w:val="auto"/>
                      <w:sz w:val="21"/>
                      <w:szCs w:val="21"/>
                      <w:highlight w:val="none"/>
                      <w:lang w:val="en-US" w:eastAsia="zh-CN"/>
                    </w:rPr>
                    <w:t>E-04</w:t>
                  </w:r>
                </w:p>
              </w:tc>
            </w:tr>
            <w:tr w14:paraId="337280E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5" w:type="dxa"/>
                  <w:tcBorders>
                    <w:tl2br w:val="nil"/>
                    <w:tr2bl w:val="nil"/>
                  </w:tcBorders>
                  <w:vAlign w:val="center"/>
                </w:tcPr>
                <w:p w14:paraId="1E61F4B0">
                  <w:pPr>
                    <w:jc w:val="center"/>
                    <w:rPr>
                      <w:rFonts w:hint="eastAsia" w:eastAsia="宋体"/>
                      <w:color w:val="auto"/>
                      <w:szCs w:val="21"/>
                      <w:highlight w:val="none"/>
                      <w:lang w:eastAsia="zh-CN"/>
                    </w:rPr>
                  </w:pPr>
                  <w:r>
                    <w:rPr>
                      <w:color w:val="auto"/>
                      <w:szCs w:val="21"/>
                      <w:highlight w:val="none"/>
                    </w:rPr>
                    <w:t>C</w:t>
                  </w:r>
                  <w:r>
                    <w:rPr>
                      <w:rFonts w:hint="eastAsia"/>
                      <w:color w:val="auto"/>
                      <w:szCs w:val="21"/>
                      <w:highlight w:val="none"/>
                      <w:lang w:val="en-US" w:eastAsia="zh-CN"/>
                    </w:rPr>
                    <w:t>5</w:t>
                  </w:r>
                </w:p>
              </w:tc>
              <w:tc>
                <w:tcPr>
                  <w:tcW w:w="2117" w:type="dxa"/>
                  <w:tcBorders>
                    <w:tl2br w:val="nil"/>
                    <w:tr2bl w:val="nil"/>
                  </w:tcBorders>
                  <w:vAlign w:val="center"/>
                </w:tcPr>
                <w:p w14:paraId="01107F72">
                  <w:pPr>
                    <w:widowControl/>
                    <w:jc w:val="center"/>
                    <w:textAlignment w:val="center"/>
                    <w:rPr>
                      <w:color w:val="auto"/>
                      <w:szCs w:val="21"/>
                      <w:highlight w:val="none"/>
                    </w:rPr>
                  </w:pPr>
                  <w:r>
                    <w:rPr>
                      <w:rFonts w:hint="default" w:ascii="Times New Roman" w:hAnsi="Times New Roman" w:cs="Times New Roman"/>
                      <w:color w:val="auto"/>
                      <w:highlight w:val="none"/>
                    </w:rPr>
                    <w:t>探伤房顶棚上方30cm处</w:t>
                  </w:r>
                </w:p>
              </w:tc>
              <w:tc>
                <w:tcPr>
                  <w:tcW w:w="946" w:type="dxa"/>
                  <w:tcBorders>
                    <w:tl2br w:val="nil"/>
                    <w:tr2bl w:val="nil"/>
                  </w:tcBorders>
                  <w:vAlign w:val="center"/>
                </w:tcPr>
                <w:p w14:paraId="73B99E12">
                  <w:pPr>
                    <w:widowControl/>
                    <w:jc w:val="center"/>
                    <w:textAlignment w:val="center"/>
                    <w:rPr>
                      <w:color w:val="auto"/>
                      <w:szCs w:val="21"/>
                      <w:highlight w:val="none"/>
                    </w:rPr>
                  </w:pPr>
                  <w:r>
                    <w:rPr>
                      <w:rFonts w:hint="eastAsia"/>
                      <w:color w:val="auto"/>
                      <w:szCs w:val="21"/>
                      <w:highlight w:val="none"/>
                      <w:lang w:val="en-US" w:eastAsia="zh-CN"/>
                    </w:rPr>
                    <w:t>0.000226</w:t>
                  </w:r>
                </w:p>
              </w:tc>
              <w:tc>
                <w:tcPr>
                  <w:tcW w:w="1128" w:type="dxa"/>
                  <w:vMerge w:val="continue"/>
                  <w:tcBorders>
                    <w:tl2br w:val="nil"/>
                    <w:tr2bl w:val="nil"/>
                  </w:tcBorders>
                  <w:vAlign w:val="center"/>
                </w:tcPr>
                <w:p w14:paraId="0DD9C856">
                  <w:pPr>
                    <w:pStyle w:val="95"/>
                    <w:spacing w:line="240" w:lineRule="auto"/>
                    <w:ind w:firstLine="420"/>
                    <w:rPr>
                      <w:rFonts w:eastAsia="宋体" w:cs="Times New Roman"/>
                      <w:color w:val="auto"/>
                      <w:sz w:val="21"/>
                      <w:highlight w:val="none"/>
                    </w:rPr>
                  </w:pPr>
                </w:p>
              </w:tc>
              <w:tc>
                <w:tcPr>
                  <w:tcW w:w="3532" w:type="dxa"/>
                  <w:gridSpan w:val="3"/>
                  <w:tcBorders>
                    <w:tl2br w:val="nil"/>
                    <w:tr2bl w:val="nil"/>
                  </w:tcBorders>
                  <w:vAlign w:val="center"/>
                </w:tcPr>
                <w:p w14:paraId="1F0211E3">
                  <w:pPr>
                    <w:widowControl/>
                    <w:jc w:val="center"/>
                    <w:textAlignment w:val="center"/>
                    <w:rPr>
                      <w:color w:val="auto"/>
                      <w:kern w:val="0"/>
                      <w:szCs w:val="21"/>
                      <w:highlight w:val="none"/>
                      <w:lang w:bidi="ar"/>
                    </w:rPr>
                  </w:pPr>
                  <w:r>
                    <w:rPr>
                      <w:rFonts w:hint="eastAsia"/>
                      <w:color w:val="auto"/>
                      <w:kern w:val="0"/>
                      <w:szCs w:val="21"/>
                      <w:highlight w:val="none"/>
                      <w:lang w:bidi="ar"/>
                    </w:rPr>
                    <w:t>无人员居留</w:t>
                  </w:r>
                </w:p>
              </w:tc>
            </w:tr>
          </w:tbl>
          <w:p w14:paraId="1C32FC8A">
            <w:pPr>
              <w:pStyle w:val="96"/>
              <w:spacing w:line="240" w:lineRule="auto"/>
              <w:ind w:firstLine="422"/>
              <w:rPr>
                <w:rFonts w:eastAsia="宋体" w:cs="Times New Roman"/>
                <w:b/>
                <w:color w:val="auto"/>
                <w:kern w:val="2"/>
                <w:sz w:val="21"/>
                <w:szCs w:val="21"/>
                <w:highlight w:val="none"/>
              </w:rPr>
            </w:pPr>
            <w:r>
              <w:rPr>
                <w:rFonts w:hint="eastAsia" w:eastAsia="宋体" w:cs="Times New Roman"/>
                <w:b/>
                <w:color w:val="auto"/>
                <w:kern w:val="2"/>
                <w:sz w:val="21"/>
                <w:szCs w:val="21"/>
                <w:highlight w:val="none"/>
              </w:rPr>
              <w:t>表11-</w:t>
            </w:r>
            <w:r>
              <w:rPr>
                <w:rFonts w:hint="eastAsia" w:eastAsia="宋体" w:cs="Times New Roman"/>
                <w:b/>
                <w:color w:val="auto"/>
                <w:kern w:val="2"/>
                <w:sz w:val="21"/>
                <w:szCs w:val="21"/>
                <w:highlight w:val="none"/>
                <w:lang w:val="en-US" w:eastAsia="zh-CN"/>
              </w:rPr>
              <w:t>16</w:t>
            </w:r>
            <w:r>
              <w:rPr>
                <w:rFonts w:hint="eastAsia" w:eastAsia="宋体" w:cs="Times New Roman"/>
                <w:b/>
                <w:color w:val="auto"/>
                <w:kern w:val="2"/>
                <w:sz w:val="21"/>
                <w:szCs w:val="21"/>
                <w:highlight w:val="none"/>
              </w:rPr>
              <w:t xml:space="preserve"> 本项目探伤房定向机工作时辐射影响理论估算结果及评价</w:t>
            </w:r>
          </w:p>
          <w:tbl>
            <w:tblPr>
              <w:tblStyle w:val="36"/>
              <w:tblW w:w="499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51"/>
              <w:gridCol w:w="2621"/>
              <w:gridCol w:w="1954"/>
              <w:gridCol w:w="1756"/>
              <w:gridCol w:w="1241"/>
            </w:tblGrid>
            <w:tr w14:paraId="52DBF9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5" w:type="pct"/>
                  <w:tcBorders>
                    <w:tl2br w:val="nil"/>
                    <w:tr2bl w:val="nil"/>
                  </w:tcBorders>
                  <w:vAlign w:val="center"/>
                </w:tcPr>
                <w:p w14:paraId="72B42DE9">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序号</w:t>
                  </w:r>
                </w:p>
              </w:tc>
              <w:tc>
                <w:tcPr>
                  <w:tcW w:w="1555" w:type="pct"/>
                  <w:tcBorders>
                    <w:tl2br w:val="nil"/>
                    <w:tr2bl w:val="nil"/>
                  </w:tcBorders>
                  <w:vAlign w:val="center"/>
                </w:tcPr>
                <w:p w14:paraId="2E744B3B">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关注点</w:t>
                  </w:r>
                </w:p>
              </w:tc>
              <w:tc>
                <w:tcPr>
                  <w:tcW w:w="1159" w:type="pct"/>
                  <w:tcBorders>
                    <w:tl2br w:val="nil"/>
                    <w:tr2bl w:val="nil"/>
                  </w:tcBorders>
                  <w:vAlign w:val="center"/>
                </w:tcPr>
                <w:p w14:paraId="17FDB317">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定向机年附加剂量值（mSv/a）</w:t>
                  </w:r>
                </w:p>
              </w:tc>
              <w:tc>
                <w:tcPr>
                  <w:tcW w:w="1042" w:type="pct"/>
                  <w:tcBorders>
                    <w:tl2br w:val="nil"/>
                    <w:tr2bl w:val="nil"/>
                  </w:tcBorders>
                  <w:vAlign w:val="center"/>
                </w:tcPr>
                <w:p w14:paraId="7FDA799F">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目标管理值</w:t>
                  </w:r>
                </w:p>
                <w:p w14:paraId="74A237AA">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（mSv/a）</w:t>
                  </w:r>
                </w:p>
              </w:tc>
              <w:tc>
                <w:tcPr>
                  <w:tcW w:w="736" w:type="pct"/>
                  <w:tcBorders>
                    <w:tl2br w:val="nil"/>
                    <w:tr2bl w:val="nil"/>
                  </w:tcBorders>
                  <w:vAlign w:val="center"/>
                </w:tcPr>
                <w:p w14:paraId="23498DC6">
                  <w:pPr>
                    <w:pStyle w:val="95"/>
                    <w:spacing w:line="240" w:lineRule="auto"/>
                    <w:ind w:firstLine="0" w:firstLineChars="0"/>
                    <w:rPr>
                      <w:rFonts w:eastAsia="宋体" w:cs="Times New Roman"/>
                      <w:b/>
                      <w:bCs w:val="0"/>
                      <w:color w:val="auto"/>
                      <w:sz w:val="21"/>
                      <w:highlight w:val="none"/>
                    </w:rPr>
                  </w:pPr>
                  <w:r>
                    <w:rPr>
                      <w:rFonts w:eastAsia="宋体" w:cs="Times New Roman"/>
                      <w:b/>
                      <w:bCs w:val="0"/>
                      <w:color w:val="auto"/>
                      <w:sz w:val="21"/>
                      <w:highlight w:val="none"/>
                    </w:rPr>
                    <w:t>评价</w:t>
                  </w:r>
                </w:p>
              </w:tc>
            </w:tr>
            <w:tr w14:paraId="560E1D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5" w:type="pct"/>
                  <w:tcBorders>
                    <w:tl2br w:val="nil"/>
                    <w:tr2bl w:val="nil"/>
                  </w:tcBorders>
                  <w:vAlign w:val="center"/>
                </w:tcPr>
                <w:p w14:paraId="14ADCD06">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C1</w:t>
                  </w:r>
                </w:p>
              </w:tc>
              <w:tc>
                <w:tcPr>
                  <w:tcW w:w="1555" w:type="pct"/>
                  <w:tcBorders>
                    <w:tl2br w:val="nil"/>
                    <w:tr2bl w:val="nil"/>
                  </w:tcBorders>
                  <w:vAlign w:val="center"/>
                </w:tcPr>
                <w:p w14:paraId="51F7CD02">
                  <w:pPr>
                    <w:widowControl/>
                    <w:jc w:val="center"/>
                    <w:textAlignment w:val="center"/>
                    <w:rPr>
                      <w:color w:val="auto"/>
                      <w:szCs w:val="21"/>
                      <w:highlight w:val="none"/>
                    </w:rPr>
                  </w:pPr>
                  <w:r>
                    <w:rPr>
                      <w:rFonts w:hint="eastAsia"/>
                      <w:color w:val="auto"/>
                      <w:kern w:val="0"/>
                      <w:szCs w:val="21"/>
                      <w:highlight w:val="none"/>
                      <w:lang w:val="en-US" w:eastAsia="zh-CN" w:bidi="ar"/>
                    </w:rPr>
                    <w:t>西</w:t>
                  </w:r>
                  <w:r>
                    <w:rPr>
                      <w:color w:val="auto"/>
                      <w:kern w:val="0"/>
                      <w:szCs w:val="21"/>
                      <w:highlight w:val="none"/>
                      <w:lang w:bidi="ar"/>
                    </w:rPr>
                    <w:t>侧</w:t>
                  </w:r>
                  <w:r>
                    <w:rPr>
                      <w:rFonts w:hint="eastAsia"/>
                      <w:color w:val="auto"/>
                      <w:kern w:val="0"/>
                      <w:szCs w:val="21"/>
                      <w:highlight w:val="none"/>
                      <w:lang w:bidi="ar"/>
                    </w:rPr>
                    <w:t>屏蔽墙</w:t>
                  </w:r>
                  <w:r>
                    <w:rPr>
                      <w:color w:val="auto"/>
                      <w:kern w:val="0"/>
                      <w:szCs w:val="21"/>
                      <w:highlight w:val="none"/>
                      <w:lang w:bidi="ar"/>
                    </w:rPr>
                    <w:t>外30cm处</w:t>
                  </w:r>
                </w:p>
              </w:tc>
              <w:tc>
                <w:tcPr>
                  <w:tcW w:w="1971" w:type="dxa"/>
                  <w:tcBorders>
                    <w:tl2br w:val="nil"/>
                    <w:tr2bl w:val="nil"/>
                  </w:tcBorders>
                  <w:vAlign w:val="center"/>
                </w:tcPr>
                <w:p w14:paraId="3F838A58">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5.11</w:t>
                  </w:r>
                  <w:r>
                    <w:rPr>
                      <w:rFonts w:hint="eastAsia" w:cs="Times New Roman"/>
                      <w:b w:val="0"/>
                      <w:bCs/>
                      <w:color w:val="auto"/>
                      <w:sz w:val="21"/>
                      <w:szCs w:val="21"/>
                      <w:highlight w:val="none"/>
                      <w:lang w:val="en-US" w:eastAsia="zh-CN"/>
                    </w:rPr>
                    <w:t>E-04</w:t>
                  </w:r>
                </w:p>
              </w:tc>
              <w:tc>
                <w:tcPr>
                  <w:tcW w:w="1042" w:type="pct"/>
                  <w:tcBorders>
                    <w:tl2br w:val="nil"/>
                    <w:tr2bl w:val="nil"/>
                  </w:tcBorders>
                  <w:vAlign w:val="center"/>
                </w:tcPr>
                <w:p w14:paraId="52ADF406">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0.25（公众）</w:t>
                  </w:r>
                </w:p>
              </w:tc>
              <w:tc>
                <w:tcPr>
                  <w:tcW w:w="736" w:type="pct"/>
                  <w:tcBorders>
                    <w:tl2br w:val="nil"/>
                    <w:tr2bl w:val="nil"/>
                  </w:tcBorders>
                  <w:vAlign w:val="center"/>
                </w:tcPr>
                <w:p w14:paraId="1E9E6169">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满足</w:t>
                  </w:r>
                </w:p>
              </w:tc>
            </w:tr>
            <w:tr w14:paraId="0C6F440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5" w:type="pct"/>
                  <w:tcBorders>
                    <w:tl2br w:val="nil"/>
                    <w:tr2bl w:val="nil"/>
                  </w:tcBorders>
                  <w:vAlign w:val="center"/>
                </w:tcPr>
                <w:p w14:paraId="4D494E09">
                  <w:pPr>
                    <w:jc w:val="center"/>
                    <w:rPr>
                      <w:color w:val="auto"/>
                      <w:szCs w:val="21"/>
                      <w:highlight w:val="none"/>
                    </w:rPr>
                  </w:pPr>
                  <w:r>
                    <w:rPr>
                      <w:color w:val="auto"/>
                      <w:szCs w:val="21"/>
                      <w:highlight w:val="none"/>
                    </w:rPr>
                    <w:t>C2</w:t>
                  </w:r>
                </w:p>
              </w:tc>
              <w:tc>
                <w:tcPr>
                  <w:tcW w:w="1555" w:type="pct"/>
                  <w:tcBorders>
                    <w:tl2br w:val="nil"/>
                    <w:tr2bl w:val="nil"/>
                  </w:tcBorders>
                  <w:vAlign w:val="center"/>
                </w:tcPr>
                <w:p w14:paraId="5AF5D1D3">
                  <w:pPr>
                    <w:widowControl/>
                    <w:jc w:val="center"/>
                    <w:textAlignment w:val="center"/>
                    <w:rPr>
                      <w:color w:val="auto"/>
                      <w:szCs w:val="21"/>
                      <w:highlight w:val="none"/>
                    </w:rPr>
                  </w:pPr>
                  <w:r>
                    <w:rPr>
                      <w:rFonts w:hint="eastAsia" w:cs="Times New Roman"/>
                      <w:color w:val="auto"/>
                      <w:highlight w:val="none"/>
                      <w:lang w:val="en-US" w:eastAsia="zh-CN"/>
                    </w:rPr>
                    <w:t>东</w:t>
                  </w:r>
                  <w:r>
                    <w:rPr>
                      <w:rFonts w:hint="default" w:ascii="Times New Roman" w:hAnsi="Times New Roman" w:cs="Times New Roman"/>
                      <w:color w:val="auto"/>
                      <w:highlight w:val="none"/>
                    </w:rPr>
                    <w:t>侧屏蔽墙外30cm</w:t>
                  </w:r>
                  <w:r>
                    <w:rPr>
                      <w:rFonts w:hint="eastAsia"/>
                      <w:color w:val="auto"/>
                      <w:kern w:val="0"/>
                      <w:szCs w:val="21"/>
                      <w:highlight w:val="none"/>
                      <w:lang w:val="en-US" w:eastAsia="zh-CN" w:bidi="ar"/>
                    </w:rPr>
                    <w:t>操作室</w:t>
                  </w:r>
                </w:p>
              </w:tc>
              <w:tc>
                <w:tcPr>
                  <w:tcW w:w="1971" w:type="dxa"/>
                  <w:tcBorders>
                    <w:tl2br w:val="nil"/>
                    <w:tr2bl w:val="nil"/>
                  </w:tcBorders>
                  <w:vAlign w:val="center"/>
                </w:tcPr>
                <w:p w14:paraId="416DF73A">
                  <w:pPr>
                    <w:widowControl/>
                    <w:jc w:val="center"/>
                    <w:textAlignment w:val="center"/>
                    <w:rPr>
                      <w:color w:val="auto"/>
                      <w:szCs w:val="21"/>
                      <w:highlight w:val="none"/>
                    </w:rPr>
                  </w:pPr>
                  <w:r>
                    <w:rPr>
                      <w:rFonts w:hint="eastAsia"/>
                      <w:color w:val="auto"/>
                      <w:szCs w:val="21"/>
                      <w:highlight w:val="none"/>
                      <w:lang w:val="en-US" w:eastAsia="zh-CN"/>
                    </w:rPr>
                    <w:t>8.91</w:t>
                  </w:r>
                  <w:r>
                    <w:rPr>
                      <w:rFonts w:hint="eastAsia" w:cs="Times New Roman"/>
                      <w:b w:val="0"/>
                      <w:bCs/>
                      <w:color w:val="auto"/>
                      <w:sz w:val="21"/>
                      <w:szCs w:val="21"/>
                      <w:highlight w:val="none"/>
                      <w:lang w:val="en-US" w:eastAsia="zh-CN"/>
                    </w:rPr>
                    <w:t>E-06</w:t>
                  </w:r>
                </w:p>
              </w:tc>
              <w:tc>
                <w:tcPr>
                  <w:tcW w:w="1042" w:type="pct"/>
                  <w:tcBorders>
                    <w:tl2br w:val="nil"/>
                    <w:tr2bl w:val="nil"/>
                  </w:tcBorders>
                  <w:vAlign w:val="center"/>
                </w:tcPr>
                <w:p w14:paraId="427F314E">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5（职业人员）</w:t>
                  </w:r>
                </w:p>
              </w:tc>
              <w:tc>
                <w:tcPr>
                  <w:tcW w:w="736" w:type="pct"/>
                  <w:tcBorders>
                    <w:tl2br w:val="nil"/>
                    <w:tr2bl w:val="nil"/>
                  </w:tcBorders>
                  <w:vAlign w:val="center"/>
                </w:tcPr>
                <w:p w14:paraId="512661DB">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满足</w:t>
                  </w:r>
                </w:p>
              </w:tc>
            </w:tr>
            <w:tr w14:paraId="55B0D9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5" w:type="pct"/>
                  <w:tcBorders>
                    <w:tl2br w:val="nil"/>
                    <w:tr2bl w:val="nil"/>
                  </w:tcBorders>
                  <w:vAlign w:val="center"/>
                </w:tcPr>
                <w:p w14:paraId="2465A382">
                  <w:pPr>
                    <w:jc w:val="center"/>
                    <w:rPr>
                      <w:color w:val="auto"/>
                      <w:szCs w:val="21"/>
                      <w:highlight w:val="none"/>
                    </w:rPr>
                  </w:pPr>
                  <w:r>
                    <w:rPr>
                      <w:color w:val="auto"/>
                      <w:szCs w:val="21"/>
                      <w:highlight w:val="none"/>
                    </w:rPr>
                    <w:t>C3</w:t>
                  </w:r>
                </w:p>
              </w:tc>
              <w:tc>
                <w:tcPr>
                  <w:tcW w:w="1555" w:type="pct"/>
                  <w:tcBorders>
                    <w:tl2br w:val="nil"/>
                    <w:tr2bl w:val="nil"/>
                  </w:tcBorders>
                  <w:vAlign w:val="center"/>
                </w:tcPr>
                <w:p w14:paraId="11D81198">
                  <w:pPr>
                    <w:widowControl/>
                    <w:jc w:val="center"/>
                    <w:textAlignment w:val="center"/>
                    <w:rPr>
                      <w:color w:val="auto"/>
                      <w:szCs w:val="21"/>
                      <w:highlight w:val="none"/>
                    </w:rPr>
                  </w:pPr>
                  <w:r>
                    <w:rPr>
                      <w:rFonts w:hint="eastAsia" w:cs="Times New Roman"/>
                      <w:color w:val="auto"/>
                      <w:highlight w:val="none"/>
                      <w:lang w:val="en-US" w:eastAsia="zh-CN"/>
                    </w:rPr>
                    <w:t>北</w:t>
                  </w:r>
                  <w:r>
                    <w:rPr>
                      <w:rFonts w:hint="default" w:ascii="Times New Roman" w:hAnsi="Times New Roman" w:cs="Times New Roman"/>
                      <w:color w:val="auto"/>
                      <w:highlight w:val="none"/>
                    </w:rPr>
                    <w:t>侧屏蔽墙外30cm</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处</w:t>
                  </w:r>
                </w:p>
              </w:tc>
              <w:tc>
                <w:tcPr>
                  <w:tcW w:w="1971" w:type="dxa"/>
                  <w:tcBorders>
                    <w:tl2br w:val="nil"/>
                    <w:tr2bl w:val="nil"/>
                  </w:tcBorders>
                  <w:vAlign w:val="center"/>
                </w:tcPr>
                <w:p w14:paraId="54DA4EC6">
                  <w:pPr>
                    <w:widowControl/>
                    <w:jc w:val="center"/>
                    <w:textAlignment w:val="center"/>
                    <w:rPr>
                      <w:color w:val="auto"/>
                      <w:szCs w:val="21"/>
                      <w:highlight w:val="none"/>
                    </w:rPr>
                  </w:pPr>
                  <w:r>
                    <w:rPr>
                      <w:rFonts w:hint="eastAsia"/>
                      <w:color w:val="auto"/>
                      <w:szCs w:val="21"/>
                      <w:highlight w:val="none"/>
                      <w:lang w:val="en-US" w:eastAsia="zh-CN"/>
                    </w:rPr>
                    <w:t>1.20</w:t>
                  </w:r>
                  <w:r>
                    <w:rPr>
                      <w:rFonts w:hint="eastAsia" w:cs="Times New Roman"/>
                      <w:b w:val="0"/>
                      <w:bCs/>
                      <w:color w:val="auto"/>
                      <w:sz w:val="21"/>
                      <w:szCs w:val="21"/>
                      <w:highlight w:val="none"/>
                      <w:lang w:val="en-US" w:eastAsia="zh-CN"/>
                    </w:rPr>
                    <w:t>E-06</w:t>
                  </w:r>
                </w:p>
              </w:tc>
              <w:tc>
                <w:tcPr>
                  <w:tcW w:w="1042" w:type="pct"/>
                  <w:tcBorders>
                    <w:tl2br w:val="nil"/>
                    <w:tr2bl w:val="nil"/>
                  </w:tcBorders>
                  <w:vAlign w:val="center"/>
                </w:tcPr>
                <w:p w14:paraId="18FDBD4D">
                  <w:pPr>
                    <w:jc w:val="center"/>
                    <w:rPr>
                      <w:rFonts w:ascii="Times New Roman" w:hAnsi="Times New Roman" w:eastAsia="宋体" w:cs="Times New Roman"/>
                      <w:bCs/>
                      <w:color w:val="auto"/>
                      <w:kern w:val="0"/>
                      <w:sz w:val="21"/>
                      <w:szCs w:val="21"/>
                      <w:highlight w:val="none"/>
                      <w:lang w:val="en-US" w:eastAsia="zh-CN" w:bidi="ar-SA"/>
                    </w:rPr>
                  </w:pPr>
                  <w:r>
                    <w:rPr>
                      <w:rFonts w:ascii="Times New Roman" w:hAnsi="Times New Roman" w:eastAsia="宋体" w:cs="Times New Roman"/>
                      <w:bCs/>
                      <w:color w:val="auto"/>
                      <w:kern w:val="0"/>
                      <w:sz w:val="21"/>
                      <w:szCs w:val="21"/>
                      <w:highlight w:val="none"/>
                      <w:lang w:val="en-US" w:eastAsia="zh-CN" w:bidi="ar-SA"/>
                    </w:rPr>
                    <w:t>0.25（公众）</w:t>
                  </w:r>
                </w:p>
              </w:tc>
              <w:tc>
                <w:tcPr>
                  <w:tcW w:w="736" w:type="pct"/>
                  <w:tcBorders>
                    <w:tl2br w:val="nil"/>
                    <w:tr2bl w:val="nil"/>
                  </w:tcBorders>
                  <w:vAlign w:val="center"/>
                </w:tcPr>
                <w:p w14:paraId="69C102AC">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满足</w:t>
                  </w:r>
                </w:p>
              </w:tc>
            </w:tr>
            <w:tr w14:paraId="572D6C0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5" w:type="pct"/>
                  <w:tcBorders>
                    <w:tl2br w:val="nil"/>
                    <w:tr2bl w:val="nil"/>
                  </w:tcBorders>
                  <w:vAlign w:val="center"/>
                </w:tcPr>
                <w:p w14:paraId="6C9C74AD">
                  <w:pPr>
                    <w:jc w:val="center"/>
                    <w:rPr>
                      <w:color w:val="auto"/>
                      <w:szCs w:val="21"/>
                      <w:highlight w:val="none"/>
                    </w:rPr>
                  </w:pPr>
                  <w:r>
                    <w:rPr>
                      <w:color w:val="auto"/>
                      <w:szCs w:val="21"/>
                      <w:highlight w:val="none"/>
                    </w:rPr>
                    <w:t>C4</w:t>
                  </w:r>
                </w:p>
              </w:tc>
              <w:tc>
                <w:tcPr>
                  <w:tcW w:w="1555" w:type="pct"/>
                  <w:tcBorders>
                    <w:tl2br w:val="nil"/>
                    <w:tr2bl w:val="nil"/>
                  </w:tcBorders>
                  <w:vAlign w:val="center"/>
                </w:tcPr>
                <w:p w14:paraId="327724A0">
                  <w:pPr>
                    <w:widowControl/>
                    <w:jc w:val="center"/>
                    <w:textAlignment w:val="center"/>
                    <w:rPr>
                      <w:color w:val="auto"/>
                      <w:szCs w:val="21"/>
                      <w:highlight w:val="none"/>
                    </w:rPr>
                  </w:pPr>
                  <w:r>
                    <w:rPr>
                      <w:rFonts w:hint="eastAsia" w:cs="Times New Roman"/>
                      <w:color w:val="auto"/>
                      <w:highlight w:val="none"/>
                      <w:lang w:val="en-US" w:eastAsia="zh-CN"/>
                    </w:rPr>
                    <w:t>南</w:t>
                  </w:r>
                  <w:r>
                    <w:rPr>
                      <w:rFonts w:hint="default" w:ascii="Times New Roman" w:hAnsi="Times New Roman" w:cs="Times New Roman"/>
                      <w:color w:val="auto"/>
                      <w:highlight w:val="none"/>
                    </w:rPr>
                    <w:t>侧</w:t>
                  </w:r>
                  <w:r>
                    <w:rPr>
                      <w:rFonts w:hint="eastAsia" w:cs="Times New Roman"/>
                      <w:color w:val="auto"/>
                      <w:highlight w:val="none"/>
                      <w:lang w:val="en-US" w:eastAsia="zh-CN"/>
                    </w:rPr>
                    <w:t>防护门</w:t>
                  </w:r>
                  <w:r>
                    <w:rPr>
                      <w:rFonts w:hint="default" w:ascii="Times New Roman" w:hAnsi="Times New Roman" w:cs="Times New Roman"/>
                      <w:color w:val="auto"/>
                      <w:highlight w:val="none"/>
                    </w:rPr>
                    <w:t>外30cm处</w:t>
                  </w:r>
                </w:p>
              </w:tc>
              <w:tc>
                <w:tcPr>
                  <w:tcW w:w="1971" w:type="dxa"/>
                  <w:tcBorders>
                    <w:tl2br w:val="nil"/>
                    <w:tr2bl w:val="nil"/>
                  </w:tcBorders>
                  <w:vAlign w:val="center"/>
                </w:tcPr>
                <w:p w14:paraId="0C77A904">
                  <w:pPr>
                    <w:widowControl/>
                    <w:jc w:val="center"/>
                    <w:textAlignment w:val="center"/>
                    <w:rPr>
                      <w:color w:val="auto"/>
                      <w:kern w:val="0"/>
                      <w:szCs w:val="21"/>
                      <w:highlight w:val="none"/>
                      <w:lang w:bidi="ar"/>
                    </w:rPr>
                  </w:pPr>
                  <w:r>
                    <w:rPr>
                      <w:rFonts w:hint="eastAsia"/>
                      <w:color w:val="auto"/>
                      <w:szCs w:val="21"/>
                      <w:highlight w:val="none"/>
                      <w:lang w:val="en-US" w:eastAsia="zh-CN"/>
                    </w:rPr>
                    <w:t>1.30</w:t>
                  </w:r>
                  <w:r>
                    <w:rPr>
                      <w:rFonts w:hint="eastAsia" w:cs="Times New Roman"/>
                      <w:b w:val="0"/>
                      <w:bCs/>
                      <w:color w:val="auto"/>
                      <w:sz w:val="21"/>
                      <w:szCs w:val="21"/>
                      <w:highlight w:val="none"/>
                      <w:lang w:val="en-US" w:eastAsia="zh-CN"/>
                    </w:rPr>
                    <w:t>E-04</w:t>
                  </w:r>
                </w:p>
              </w:tc>
              <w:tc>
                <w:tcPr>
                  <w:tcW w:w="1042" w:type="pct"/>
                  <w:tcBorders>
                    <w:tl2br w:val="nil"/>
                    <w:tr2bl w:val="nil"/>
                  </w:tcBorders>
                  <w:vAlign w:val="center"/>
                </w:tcPr>
                <w:p w14:paraId="5030797B">
                  <w:pPr>
                    <w:jc w:val="center"/>
                    <w:rPr>
                      <w:rFonts w:ascii="Times New Roman" w:hAnsi="Times New Roman" w:eastAsia="宋体" w:cs="Times New Roman"/>
                      <w:bCs/>
                      <w:color w:val="auto"/>
                      <w:kern w:val="0"/>
                      <w:sz w:val="21"/>
                      <w:szCs w:val="21"/>
                      <w:highlight w:val="none"/>
                      <w:lang w:val="en-US" w:eastAsia="zh-CN" w:bidi="ar-SA"/>
                    </w:rPr>
                  </w:pPr>
                  <w:r>
                    <w:rPr>
                      <w:rFonts w:eastAsia="宋体" w:cs="Times New Roman"/>
                      <w:color w:val="auto"/>
                      <w:sz w:val="21"/>
                      <w:highlight w:val="none"/>
                    </w:rPr>
                    <w:t>0.25（公众）</w:t>
                  </w:r>
                </w:p>
              </w:tc>
              <w:tc>
                <w:tcPr>
                  <w:tcW w:w="736" w:type="pct"/>
                  <w:tcBorders>
                    <w:tl2br w:val="nil"/>
                    <w:tr2bl w:val="nil"/>
                  </w:tcBorders>
                  <w:vAlign w:val="center"/>
                </w:tcPr>
                <w:p w14:paraId="08D96E91">
                  <w:pPr>
                    <w:pStyle w:val="95"/>
                    <w:spacing w:line="240" w:lineRule="auto"/>
                    <w:ind w:firstLine="0" w:firstLineChars="0"/>
                    <w:rPr>
                      <w:rFonts w:eastAsia="宋体" w:cs="Times New Roman"/>
                      <w:color w:val="auto"/>
                      <w:sz w:val="21"/>
                      <w:highlight w:val="none"/>
                    </w:rPr>
                  </w:pPr>
                  <w:r>
                    <w:rPr>
                      <w:rFonts w:eastAsia="宋体" w:cs="Times New Roman"/>
                      <w:color w:val="auto"/>
                      <w:sz w:val="21"/>
                      <w:highlight w:val="none"/>
                    </w:rPr>
                    <w:t>满足</w:t>
                  </w:r>
                </w:p>
              </w:tc>
            </w:tr>
          </w:tbl>
          <w:p w14:paraId="650BDAA1">
            <w:pPr>
              <w:spacing w:line="360" w:lineRule="auto"/>
              <w:ind w:firstLine="472" w:firstLineChars="200"/>
              <w:rPr>
                <w:rFonts w:hint="eastAsia" w:eastAsia="宋体"/>
                <w:color w:val="auto"/>
                <w:spacing w:val="-2"/>
                <w:sz w:val="24"/>
                <w:szCs w:val="24"/>
                <w:highlight w:val="none"/>
                <w:lang w:val="en-US" w:eastAsia="zh-CN"/>
              </w:rPr>
            </w:pPr>
            <w:r>
              <w:rPr>
                <w:rFonts w:hint="eastAsia"/>
                <w:color w:val="auto"/>
                <w:spacing w:val="-2"/>
                <w:sz w:val="24"/>
                <w:szCs w:val="24"/>
                <w:highlight w:val="none"/>
              </w:rPr>
              <w:t>由以上计算结果可知，本项目探伤房运行后，职业人员所受个人最大年有效剂量为</w:t>
            </w:r>
            <w:r>
              <w:rPr>
                <w:rFonts w:hint="eastAsia"/>
                <w:color w:val="auto"/>
                <w:spacing w:val="-2"/>
                <w:sz w:val="24"/>
                <w:szCs w:val="24"/>
                <w:highlight w:val="none"/>
                <w:lang w:val="en-US" w:eastAsia="zh-CN"/>
              </w:rPr>
              <w:t>8.91E-06</w:t>
            </w:r>
            <w:r>
              <w:rPr>
                <w:rFonts w:hint="eastAsia"/>
                <w:color w:val="auto"/>
                <w:spacing w:val="-2"/>
                <w:sz w:val="24"/>
                <w:szCs w:val="24"/>
                <w:highlight w:val="none"/>
              </w:rPr>
              <w:t>mSv</w:t>
            </w:r>
            <w:r>
              <w:rPr>
                <w:rFonts w:hint="eastAsia"/>
                <w:color w:val="auto"/>
                <w:spacing w:val="-2"/>
                <w:sz w:val="24"/>
                <w:szCs w:val="24"/>
                <w:highlight w:val="none"/>
                <w:lang w:eastAsia="zh-CN"/>
              </w:rPr>
              <w:t>（</w:t>
            </w:r>
            <w:r>
              <w:rPr>
                <w:rFonts w:hint="eastAsia"/>
                <w:color w:val="auto"/>
                <w:spacing w:val="-2"/>
                <w:sz w:val="24"/>
                <w:szCs w:val="24"/>
                <w:highlight w:val="none"/>
                <w:lang w:val="en-US" w:eastAsia="zh-CN"/>
              </w:rPr>
              <w:t>本项目采取两人轮班，实际单人最大有效剂量为4.46E-06</w:t>
            </w:r>
            <w:r>
              <w:rPr>
                <w:rFonts w:hint="eastAsia"/>
                <w:color w:val="auto"/>
                <w:spacing w:val="-2"/>
                <w:sz w:val="24"/>
                <w:szCs w:val="24"/>
                <w:highlight w:val="none"/>
              </w:rPr>
              <w:t>mSv</w:t>
            </w:r>
            <w:r>
              <w:rPr>
                <w:rFonts w:hint="eastAsia"/>
                <w:color w:val="auto"/>
                <w:spacing w:val="-2"/>
                <w:sz w:val="24"/>
                <w:szCs w:val="24"/>
                <w:highlight w:val="none"/>
                <w:lang w:eastAsia="zh-CN"/>
              </w:rPr>
              <w:t>）</w:t>
            </w:r>
            <w:r>
              <w:rPr>
                <w:rFonts w:hint="eastAsia"/>
                <w:color w:val="auto"/>
                <w:spacing w:val="-2"/>
                <w:sz w:val="24"/>
                <w:szCs w:val="24"/>
                <w:highlight w:val="none"/>
              </w:rPr>
              <w:t>，公众所受个人最大年有效</w:t>
            </w:r>
            <w:r>
              <w:rPr>
                <w:rFonts w:hint="eastAsia"/>
                <w:color w:val="auto"/>
                <w:spacing w:val="-2"/>
                <w:sz w:val="24"/>
                <w:szCs w:val="24"/>
                <w:highlight w:val="none"/>
                <w:lang w:val="en-US" w:eastAsia="zh-CN"/>
              </w:rPr>
              <w:t>剂量为5.11E-04mSv。因此</w:t>
            </w:r>
            <w:r>
              <w:rPr>
                <w:rFonts w:hint="eastAsia"/>
                <w:color w:val="auto"/>
                <w:spacing w:val="-2"/>
                <w:sz w:val="24"/>
                <w:szCs w:val="24"/>
                <w:highlight w:val="none"/>
              </w:rPr>
              <w:t>，可预测本项目运营后，辐射工作人员及公众所受剂量率可以满足辐射工作人员及公众成员的剂量管理目标值5mSv/a和0.25mSv/a的管理限值要求。</w:t>
            </w:r>
            <w:r>
              <w:rPr>
                <w:rFonts w:hint="eastAsia"/>
                <w:color w:val="auto"/>
                <w:spacing w:val="-2"/>
                <w:sz w:val="24"/>
                <w:szCs w:val="24"/>
                <w:highlight w:val="none"/>
                <w:lang w:val="en-US" w:eastAsia="zh-CN"/>
              </w:rPr>
              <w:t>探伤房周边的敏感目标均距离探伤房较远，根据计算的探伤房周边公众各关注点的</w:t>
            </w:r>
            <w:r>
              <w:rPr>
                <w:rFonts w:hint="eastAsia"/>
                <w:color w:val="auto"/>
                <w:spacing w:val="-2"/>
                <w:sz w:val="24"/>
                <w:szCs w:val="24"/>
                <w:highlight w:val="none"/>
              </w:rPr>
              <w:t>最大年有效</w:t>
            </w:r>
            <w:r>
              <w:rPr>
                <w:rFonts w:hint="eastAsia"/>
                <w:color w:val="auto"/>
                <w:spacing w:val="-2"/>
                <w:sz w:val="24"/>
                <w:szCs w:val="24"/>
                <w:highlight w:val="none"/>
                <w:lang w:val="en-US" w:eastAsia="zh-CN"/>
              </w:rPr>
              <w:t>剂量为5.11E-04mSv，远小于0.25mSv，因此，其他周边环境敏感目标的</w:t>
            </w:r>
            <w:r>
              <w:rPr>
                <w:rFonts w:hint="eastAsia"/>
                <w:color w:val="auto"/>
                <w:spacing w:val="-2"/>
                <w:sz w:val="24"/>
                <w:szCs w:val="24"/>
                <w:highlight w:val="none"/>
              </w:rPr>
              <w:t>最大年有效</w:t>
            </w:r>
            <w:r>
              <w:rPr>
                <w:rFonts w:hint="eastAsia"/>
                <w:color w:val="auto"/>
                <w:spacing w:val="-2"/>
                <w:sz w:val="24"/>
                <w:szCs w:val="24"/>
                <w:highlight w:val="none"/>
                <w:lang w:val="en-US" w:eastAsia="zh-CN"/>
              </w:rPr>
              <w:t>剂量均小于5.11E-04mSv，周边环境敏感目标满足</w:t>
            </w:r>
            <w:r>
              <w:rPr>
                <w:rFonts w:hint="eastAsia"/>
                <w:color w:val="auto"/>
                <w:spacing w:val="-2"/>
                <w:sz w:val="24"/>
                <w:szCs w:val="24"/>
                <w:highlight w:val="none"/>
              </w:rPr>
              <w:t>公众成员的剂量管理目标值</w:t>
            </w:r>
            <w:r>
              <w:rPr>
                <w:rFonts w:hint="eastAsia"/>
                <w:color w:val="auto"/>
                <w:spacing w:val="-2"/>
                <w:sz w:val="24"/>
                <w:szCs w:val="24"/>
                <w:highlight w:val="none"/>
                <w:lang w:eastAsia="zh-CN"/>
              </w:rPr>
              <w:t>。</w:t>
            </w:r>
          </w:p>
          <w:p w14:paraId="1D73A8E9">
            <w:pPr>
              <w:spacing w:line="360" w:lineRule="auto"/>
              <w:ind w:firstLine="472" w:firstLineChars="200"/>
              <w:rPr>
                <w:color w:val="auto"/>
                <w:sz w:val="24"/>
                <w:szCs w:val="24"/>
                <w:highlight w:val="none"/>
              </w:rPr>
            </w:pPr>
            <w:r>
              <w:rPr>
                <w:rFonts w:hint="eastAsia"/>
                <w:color w:val="auto"/>
                <w:spacing w:val="-2"/>
                <w:sz w:val="24"/>
                <w:szCs w:val="24"/>
                <w:highlight w:val="none"/>
              </w:rPr>
              <w:t>综上分析，本次环境影响评价认为，在采取相应的辐射屏蔽等防护措施情况下，本项目正常运行对人员及环境造成的辐射剂量满足管理限值要求。本项目运行过程中不产生</w:t>
            </w:r>
            <w:r>
              <w:rPr>
                <w:rFonts w:hint="eastAsia"/>
                <w:color w:val="auto"/>
                <w:spacing w:val="-2"/>
                <w:sz w:val="24"/>
                <w:szCs w:val="24"/>
                <w:highlight w:val="none"/>
                <w:lang w:eastAsia="zh-CN"/>
              </w:rPr>
              <w:t>其他</w:t>
            </w:r>
            <w:r>
              <w:rPr>
                <w:rFonts w:hint="eastAsia"/>
                <w:color w:val="auto"/>
                <w:spacing w:val="-2"/>
                <w:sz w:val="24"/>
                <w:szCs w:val="24"/>
                <w:highlight w:val="none"/>
              </w:rPr>
              <w:t>放射性污染物。</w:t>
            </w:r>
          </w:p>
          <w:p w14:paraId="765A21D2">
            <w:pPr>
              <w:keepNext w:val="0"/>
              <w:keepLines w:val="0"/>
              <w:pageBreakBefore w:val="0"/>
              <w:widowControl w:val="0"/>
              <w:kinsoku/>
              <w:wordWrap/>
              <w:overflowPunct/>
              <w:topLinePunct w:val="0"/>
              <w:autoSpaceDE/>
              <w:autoSpaceDN/>
              <w:bidi w:val="0"/>
              <w:adjustRightInd w:val="0"/>
              <w:snapToGrid/>
              <w:spacing w:before="157" w:beforeLines="50" w:after="157" w:afterLines="50" w:line="360" w:lineRule="auto"/>
              <w:ind w:firstLine="482" w:firstLineChars="200"/>
              <w:textAlignment w:val="auto"/>
              <w:rPr>
                <w:rFonts w:hAnsi="宋体"/>
                <w:b/>
                <w:color w:val="auto"/>
                <w:szCs w:val="21"/>
                <w:highlight w:val="none"/>
              </w:rPr>
            </w:pPr>
            <w:r>
              <w:rPr>
                <w:rFonts w:hint="eastAsia" w:hAnsi="宋体"/>
                <w:b/>
                <w:color w:val="auto"/>
                <w:sz w:val="24"/>
                <w:szCs w:val="24"/>
                <w:highlight w:val="none"/>
              </w:rPr>
              <w:t>3.4</w:t>
            </w:r>
            <w:r>
              <w:rPr>
                <w:rFonts w:hint="eastAsia" w:hAnsi="宋体"/>
                <w:b/>
                <w:color w:val="auto"/>
                <w:sz w:val="24"/>
                <w:szCs w:val="24"/>
                <w:highlight w:val="none"/>
                <w:lang w:eastAsia="zh-CN"/>
              </w:rPr>
              <w:t>、</w:t>
            </w:r>
            <w:r>
              <w:rPr>
                <w:rFonts w:hint="eastAsia"/>
                <w:b/>
                <w:bCs/>
                <w:color w:val="auto"/>
                <w:sz w:val="24"/>
                <w:highlight w:val="none"/>
              </w:rPr>
              <w:t>防护门缝隙处辐射防护评价</w:t>
            </w:r>
          </w:p>
          <w:p w14:paraId="626CA2A1">
            <w:pPr>
              <w:spacing w:line="440" w:lineRule="exact"/>
              <w:ind w:firstLine="480" w:firstLineChars="200"/>
              <w:rPr>
                <w:color w:val="auto"/>
                <w:sz w:val="24"/>
                <w:highlight w:val="none"/>
              </w:rPr>
            </w:pPr>
            <w:r>
              <w:rPr>
                <w:rFonts w:hint="eastAsia"/>
                <w:color w:val="auto"/>
                <w:sz w:val="24"/>
                <w:highlight w:val="none"/>
              </w:rPr>
              <w:t>本项目</w:t>
            </w:r>
            <w:r>
              <w:rPr>
                <w:color w:val="auto"/>
                <w:sz w:val="24"/>
                <w:highlight w:val="none"/>
              </w:rPr>
              <w:t>探伤</w:t>
            </w:r>
            <w:r>
              <w:rPr>
                <w:rFonts w:hint="eastAsia"/>
                <w:color w:val="auto"/>
                <w:sz w:val="24"/>
                <w:highlight w:val="none"/>
              </w:rPr>
              <w:t>房防护</w:t>
            </w:r>
            <w:r>
              <w:rPr>
                <w:color w:val="auto"/>
                <w:sz w:val="24"/>
                <w:highlight w:val="none"/>
              </w:rPr>
              <w:t>门门洞</w:t>
            </w:r>
            <w:r>
              <w:rPr>
                <w:rFonts w:hint="eastAsia"/>
                <w:color w:val="auto"/>
                <w:sz w:val="24"/>
                <w:highlight w:val="none"/>
              </w:rPr>
              <w:t>尺寸为3</w:t>
            </w:r>
            <w:r>
              <w:rPr>
                <w:color w:val="auto"/>
                <w:sz w:val="24"/>
                <w:highlight w:val="none"/>
              </w:rPr>
              <w:t>m</w:t>
            </w:r>
            <w:r>
              <w:rPr>
                <w:rFonts w:hint="eastAsia"/>
                <w:color w:val="auto"/>
                <w:sz w:val="24"/>
                <w:highlight w:val="none"/>
              </w:rPr>
              <w:t>长</w:t>
            </w:r>
            <w:r>
              <w:rPr>
                <w:color w:val="auto"/>
                <w:sz w:val="24"/>
                <w:highlight w:val="none"/>
              </w:rPr>
              <w:t>×</w:t>
            </w:r>
            <w:r>
              <w:rPr>
                <w:rFonts w:hint="eastAsia"/>
                <w:color w:val="auto"/>
                <w:sz w:val="24"/>
                <w:highlight w:val="none"/>
                <w:lang w:val="en-US" w:eastAsia="zh-CN"/>
              </w:rPr>
              <w:t>2.5</w:t>
            </w:r>
            <w:r>
              <w:rPr>
                <w:color w:val="auto"/>
                <w:sz w:val="24"/>
                <w:highlight w:val="none"/>
              </w:rPr>
              <w:t>m高，门左右各搭接</w:t>
            </w:r>
            <w:r>
              <w:rPr>
                <w:rFonts w:hint="eastAsia"/>
                <w:color w:val="auto"/>
                <w:sz w:val="24"/>
                <w:highlight w:val="none"/>
                <w:lang w:val="en-US" w:eastAsia="zh-CN"/>
              </w:rPr>
              <w:t>2</w:t>
            </w:r>
            <w:r>
              <w:rPr>
                <w:rFonts w:hint="eastAsia"/>
                <w:color w:val="auto"/>
                <w:sz w:val="24"/>
                <w:highlight w:val="none"/>
              </w:rPr>
              <w:t>00</w:t>
            </w:r>
            <w:r>
              <w:rPr>
                <w:color w:val="auto"/>
                <w:sz w:val="24"/>
                <w:highlight w:val="none"/>
              </w:rPr>
              <w:t>mm，上下各搭接</w:t>
            </w:r>
            <w:r>
              <w:rPr>
                <w:rFonts w:hint="eastAsia"/>
                <w:color w:val="auto"/>
                <w:sz w:val="24"/>
                <w:highlight w:val="none"/>
              </w:rPr>
              <w:t>1</w:t>
            </w:r>
            <w:r>
              <w:rPr>
                <w:rFonts w:hint="eastAsia"/>
                <w:color w:val="auto"/>
                <w:sz w:val="24"/>
                <w:highlight w:val="none"/>
                <w:lang w:val="en-US" w:eastAsia="zh-CN"/>
              </w:rPr>
              <w:t>50</w:t>
            </w:r>
            <w:r>
              <w:rPr>
                <w:color w:val="auto"/>
                <w:sz w:val="24"/>
                <w:highlight w:val="none"/>
              </w:rPr>
              <w:t>mm</w:t>
            </w:r>
            <w:r>
              <w:rPr>
                <w:rFonts w:hint="eastAsia"/>
                <w:color w:val="auto"/>
                <w:sz w:val="24"/>
                <w:highlight w:val="none"/>
                <w:lang w:eastAsia="zh-CN"/>
              </w:rPr>
              <w:t>；</w:t>
            </w:r>
            <w:r>
              <w:rPr>
                <w:rFonts w:hint="eastAsia"/>
                <w:color w:val="auto"/>
                <w:sz w:val="24"/>
                <w:highlight w:val="none"/>
                <w:lang w:val="en-US" w:eastAsia="zh-CN"/>
              </w:rPr>
              <w:t>防护门</w:t>
            </w:r>
            <w:r>
              <w:rPr>
                <w:rFonts w:hint="eastAsia"/>
                <w:color w:val="auto"/>
                <w:sz w:val="24"/>
                <w:highlight w:val="none"/>
              </w:rPr>
              <w:t>3</w:t>
            </w:r>
            <w:r>
              <w:rPr>
                <w:rFonts w:hint="eastAsia"/>
                <w:color w:val="auto"/>
                <w:sz w:val="24"/>
                <w:highlight w:val="none"/>
                <w:lang w:val="en-US" w:eastAsia="zh-CN"/>
              </w:rPr>
              <w:t>.4</w:t>
            </w:r>
            <w:r>
              <w:rPr>
                <w:color w:val="auto"/>
                <w:sz w:val="24"/>
                <w:highlight w:val="none"/>
              </w:rPr>
              <w:t>m</w:t>
            </w:r>
            <w:r>
              <w:rPr>
                <w:rFonts w:hint="eastAsia"/>
                <w:color w:val="auto"/>
                <w:sz w:val="24"/>
                <w:highlight w:val="none"/>
              </w:rPr>
              <w:t>长</w:t>
            </w:r>
            <w:r>
              <w:rPr>
                <w:color w:val="auto"/>
                <w:sz w:val="24"/>
                <w:highlight w:val="none"/>
              </w:rPr>
              <w:t>×</w:t>
            </w:r>
            <w:r>
              <w:rPr>
                <w:rFonts w:hint="eastAsia"/>
                <w:color w:val="auto"/>
                <w:sz w:val="24"/>
                <w:highlight w:val="none"/>
                <w:lang w:val="en-US" w:eastAsia="zh-CN"/>
              </w:rPr>
              <w:t>2.8</w:t>
            </w:r>
            <w:r>
              <w:rPr>
                <w:color w:val="auto"/>
                <w:sz w:val="24"/>
                <w:highlight w:val="none"/>
              </w:rPr>
              <w:t>m高</w:t>
            </w:r>
            <w:r>
              <w:rPr>
                <w:rFonts w:hint="eastAsia"/>
                <w:color w:val="auto"/>
                <w:sz w:val="24"/>
                <w:highlight w:val="none"/>
                <w:lang w:eastAsia="zh-CN"/>
              </w:rPr>
              <w:t>，</w:t>
            </w:r>
            <w:r>
              <w:rPr>
                <w:rFonts w:hint="eastAsia"/>
                <w:color w:val="auto"/>
                <w:sz w:val="24"/>
                <w:highlight w:val="none"/>
              </w:rPr>
              <w:t>防护门</w:t>
            </w:r>
            <w:r>
              <w:rPr>
                <w:color w:val="auto"/>
                <w:sz w:val="24"/>
                <w:highlight w:val="none"/>
              </w:rPr>
              <w:t>与墙体之间的缝隙宽度</w:t>
            </w:r>
            <w:r>
              <w:rPr>
                <w:rFonts w:hint="eastAsia"/>
                <w:color w:val="auto"/>
                <w:sz w:val="24"/>
                <w:highlight w:val="none"/>
              </w:rPr>
              <w:t>小于</w:t>
            </w:r>
            <w:r>
              <w:rPr>
                <w:color w:val="auto"/>
                <w:sz w:val="24"/>
                <w:highlight w:val="none"/>
              </w:rPr>
              <w:t>10mm</w:t>
            </w:r>
            <w:r>
              <w:rPr>
                <w:rFonts w:hint="eastAsia"/>
                <w:color w:val="auto"/>
                <w:sz w:val="24"/>
                <w:highlight w:val="none"/>
              </w:rPr>
              <w:t>。</w:t>
            </w:r>
          </w:p>
          <w:p w14:paraId="1C284F27">
            <w:pPr>
              <w:spacing w:line="360" w:lineRule="auto"/>
              <w:ind w:left="-31" w:leftChars="-15" w:firstLine="480" w:firstLineChars="200"/>
              <w:rPr>
                <w:color w:val="auto"/>
                <w:sz w:val="24"/>
                <w:highlight w:val="none"/>
              </w:rPr>
            </w:pPr>
            <w:r>
              <w:rPr>
                <w:rFonts w:hint="eastAsia"/>
                <w:color w:val="auto"/>
                <w:sz w:val="24"/>
                <w:szCs w:val="24"/>
                <w:highlight w:val="none"/>
              </w:rPr>
              <w:t>本项目探伤房的防护门与墙体重叠部分均大于防护门与墙体缝隙宽度的10倍，射线经过多次散射后才能出门缝隙，可推断本项目探伤房防护门缝隙处的辐射剂量率均能够满足标准要求。</w:t>
            </w:r>
          </w:p>
          <w:p w14:paraId="3A79D5D4">
            <w:pPr>
              <w:keepNext w:val="0"/>
              <w:keepLines w:val="0"/>
              <w:pageBreakBefore w:val="0"/>
              <w:widowControl w:val="0"/>
              <w:kinsoku/>
              <w:wordWrap/>
              <w:overflowPunct/>
              <w:topLinePunct w:val="0"/>
              <w:autoSpaceDE/>
              <w:autoSpaceDN/>
              <w:bidi w:val="0"/>
              <w:adjustRightInd w:val="0"/>
              <w:snapToGrid/>
              <w:spacing w:before="157" w:beforeLines="50" w:after="157" w:afterLines="50" w:line="360" w:lineRule="auto"/>
              <w:ind w:firstLine="482" w:firstLineChars="200"/>
              <w:textAlignment w:val="auto"/>
              <w:rPr>
                <w:b/>
                <w:bCs/>
                <w:color w:val="auto"/>
                <w:sz w:val="24"/>
                <w:highlight w:val="none"/>
              </w:rPr>
            </w:pPr>
            <w:bookmarkStart w:id="180" w:name="_Toc66001608"/>
            <w:bookmarkStart w:id="181" w:name="_Toc19229"/>
            <w:bookmarkStart w:id="182" w:name="_Toc4540"/>
            <w:bookmarkStart w:id="183" w:name="_Toc24213"/>
            <w:bookmarkStart w:id="184" w:name="_Toc66010042"/>
            <w:bookmarkStart w:id="185" w:name="_Toc36829735"/>
            <w:r>
              <w:rPr>
                <w:rFonts w:hint="eastAsia"/>
                <w:b/>
                <w:bCs/>
                <w:color w:val="auto"/>
                <w:sz w:val="24"/>
                <w:highlight w:val="none"/>
              </w:rPr>
              <w:t>3.5</w:t>
            </w:r>
            <w:r>
              <w:rPr>
                <w:rFonts w:hint="eastAsia"/>
                <w:b/>
                <w:bCs/>
                <w:color w:val="auto"/>
                <w:sz w:val="24"/>
                <w:highlight w:val="none"/>
                <w:lang w:eastAsia="zh-CN"/>
              </w:rPr>
              <w:t>、</w:t>
            </w:r>
            <w:r>
              <w:rPr>
                <w:rFonts w:hint="eastAsia"/>
                <w:b/>
                <w:bCs/>
                <w:color w:val="auto"/>
                <w:sz w:val="24"/>
                <w:highlight w:val="none"/>
              </w:rPr>
              <w:t>事故</w:t>
            </w:r>
            <w:r>
              <w:rPr>
                <w:rFonts w:hint="eastAsia" w:hAnsi="宋体"/>
                <w:b/>
                <w:color w:val="auto"/>
                <w:sz w:val="24"/>
                <w:szCs w:val="24"/>
                <w:highlight w:val="none"/>
                <w:lang w:eastAsia="zh-CN"/>
              </w:rPr>
              <w:t>影响</w:t>
            </w:r>
            <w:r>
              <w:rPr>
                <w:rFonts w:hint="eastAsia"/>
                <w:b/>
                <w:bCs/>
                <w:color w:val="auto"/>
                <w:sz w:val="24"/>
                <w:highlight w:val="none"/>
              </w:rPr>
              <w:t>分析</w:t>
            </w:r>
            <w:bookmarkEnd w:id="180"/>
            <w:bookmarkEnd w:id="181"/>
            <w:bookmarkEnd w:id="182"/>
            <w:bookmarkEnd w:id="183"/>
            <w:bookmarkEnd w:id="184"/>
            <w:bookmarkEnd w:id="185"/>
          </w:p>
          <w:p w14:paraId="77111E75">
            <w:pPr>
              <w:spacing w:line="360" w:lineRule="auto"/>
              <w:ind w:firstLine="480" w:firstLineChars="200"/>
              <w:rPr>
                <w:color w:val="auto"/>
                <w:sz w:val="24"/>
                <w:highlight w:val="none"/>
                <w:lang w:val="zh-CN"/>
              </w:rPr>
            </w:pPr>
            <w:r>
              <w:rPr>
                <w:color w:val="auto"/>
                <w:sz w:val="24"/>
                <w:highlight w:val="none"/>
                <w:lang w:val="zh-CN"/>
              </w:rPr>
              <w:t>本项目拟使用的</w:t>
            </w:r>
            <w:r>
              <w:rPr>
                <w:rFonts w:hint="eastAsia"/>
                <w:color w:val="auto"/>
                <w:sz w:val="24"/>
                <w:highlight w:val="none"/>
                <w:lang w:val="en-US" w:eastAsia="zh-CN"/>
              </w:rPr>
              <w:t>1</w:t>
            </w:r>
            <w:r>
              <w:rPr>
                <w:color w:val="auto"/>
                <w:sz w:val="24"/>
                <w:highlight w:val="none"/>
                <w:lang w:val="zh-CN"/>
              </w:rPr>
              <w:t>台</w:t>
            </w:r>
            <w:r>
              <w:rPr>
                <w:rFonts w:hint="eastAsia"/>
                <w:color w:val="auto"/>
                <w:sz w:val="24"/>
                <w:highlight w:val="none"/>
                <w:lang w:val="zh-CN"/>
              </w:rPr>
              <w:t>X射线探伤</w:t>
            </w:r>
            <w:r>
              <w:rPr>
                <w:rFonts w:hint="eastAsia"/>
                <w:color w:val="auto"/>
                <w:sz w:val="24"/>
                <w:highlight w:val="none"/>
              </w:rPr>
              <w:t>机</w:t>
            </w:r>
            <w:r>
              <w:rPr>
                <w:color w:val="auto"/>
                <w:sz w:val="24"/>
                <w:highlight w:val="none"/>
                <w:lang w:val="zh-CN"/>
              </w:rPr>
              <w:t>属于Ⅱ类射线装置，根据《关于建立放射性同位素与射线装置辐射事故分级处理和报告制度的通知》的规定，该类射线装置可能发生的事故是指射线装置失控导致人员受到超过年剂量限值的照射。</w:t>
            </w:r>
          </w:p>
          <w:p w14:paraId="7A8785B8">
            <w:pPr>
              <w:spacing w:line="360" w:lineRule="auto"/>
              <w:ind w:firstLine="482" w:firstLineChars="200"/>
              <w:rPr>
                <w:b/>
                <w:bCs/>
                <w:color w:val="auto"/>
                <w:sz w:val="24"/>
                <w:highlight w:val="none"/>
              </w:rPr>
            </w:pPr>
            <w:r>
              <w:rPr>
                <w:rFonts w:hint="eastAsia"/>
                <w:b/>
                <w:bCs/>
                <w:color w:val="auto"/>
                <w:sz w:val="24"/>
                <w:highlight w:val="none"/>
                <w:lang w:val="zh-CN"/>
              </w:rPr>
              <w:t>（</w:t>
            </w:r>
            <w:r>
              <w:rPr>
                <w:rFonts w:hint="eastAsia"/>
                <w:b/>
                <w:bCs/>
                <w:color w:val="auto"/>
                <w:sz w:val="24"/>
                <w:highlight w:val="none"/>
              </w:rPr>
              <w:t>1</w:t>
            </w:r>
            <w:r>
              <w:rPr>
                <w:rFonts w:hint="eastAsia"/>
                <w:b/>
                <w:bCs/>
                <w:color w:val="auto"/>
                <w:sz w:val="24"/>
                <w:highlight w:val="none"/>
                <w:lang w:val="zh-CN"/>
              </w:rPr>
              <w:t>）</w:t>
            </w:r>
            <w:r>
              <w:rPr>
                <w:rFonts w:hint="eastAsia"/>
                <w:b/>
                <w:bCs/>
                <w:color w:val="auto"/>
                <w:sz w:val="24"/>
                <w:highlight w:val="none"/>
              </w:rPr>
              <w:t>潜在事故类型</w:t>
            </w:r>
          </w:p>
          <w:p w14:paraId="30DA8B41">
            <w:pPr>
              <w:spacing w:line="360" w:lineRule="auto"/>
              <w:ind w:firstLine="480" w:firstLineChars="200"/>
              <w:rPr>
                <w:color w:val="auto"/>
                <w:sz w:val="24"/>
                <w:highlight w:val="none"/>
              </w:rPr>
            </w:pPr>
            <w:r>
              <w:rPr>
                <w:rFonts w:hint="eastAsia"/>
                <w:color w:val="auto"/>
                <w:sz w:val="24"/>
                <w:highlight w:val="none"/>
              </w:rPr>
              <w:t>X射线探伤机工作</w:t>
            </w:r>
            <w:r>
              <w:rPr>
                <w:color w:val="auto"/>
                <w:sz w:val="24"/>
                <w:highlight w:val="none"/>
              </w:rPr>
              <w:t>过程产生X射线，若不采取适当的屏蔽措施，可能对操作X射线装置的辐射工作人员及周围公众造成放射性损伤，X射线装置在开机曝光期间，会产生X射线，可能会造成意外照射。</w:t>
            </w:r>
          </w:p>
          <w:p w14:paraId="49381EDC">
            <w:pPr>
              <w:spacing w:line="360" w:lineRule="auto"/>
              <w:ind w:firstLine="480" w:firstLineChars="200"/>
              <w:rPr>
                <w:color w:val="auto"/>
                <w:sz w:val="24"/>
                <w:highlight w:val="none"/>
              </w:rPr>
            </w:pPr>
            <w:r>
              <w:rPr>
                <w:rFonts w:hint="eastAsia"/>
                <w:color w:val="auto"/>
                <w:sz w:val="24"/>
                <w:highlight w:val="none"/>
              </w:rPr>
              <w:t>1）</w:t>
            </w:r>
            <w:r>
              <w:rPr>
                <w:color w:val="auto"/>
                <w:sz w:val="24"/>
                <w:highlight w:val="none"/>
              </w:rPr>
              <w:t>X射线装置在工作状态下，门-机联锁失效或者铅防护门未完全关闭，致使X射线泄漏到</w:t>
            </w:r>
            <w:r>
              <w:rPr>
                <w:rFonts w:hint="eastAsia"/>
                <w:color w:val="auto"/>
                <w:sz w:val="24"/>
                <w:highlight w:val="none"/>
              </w:rPr>
              <w:t>探伤房</w:t>
            </w:r>
            <w:r>
              <w:rPr>
                <w:color w:val="auto"/>
                <w:sz w:val="24"/>
                <w:highlight w:val="none"/>
              </w:rPr>
              <w:t>外面，给周围活动的人员造成不必要的照射。</w:t>
            </w:r>
          </w:p>
          <w:p w14:paraId="451A48FB">
            <w:pPr>
              <w:spacing w:line="360" w:lineRule="auto"/>
              <w:ind w:firstLine="480" w:firstLineChars="200"/>
              <w:rPr>
                <w:color w:val="auto"/>
                <w:sz w:val="24"/>
                <w:highlight w:val="none"/>
              </w:rPr>
            </w:pPr>
            <w:r>
              <w:rPr>
                <w:rFonts w:hint="eastAsia"/>
                <w:color w:val="auto"/>
                <w:sz w:val="24"/>
                <w:highlight w:val="none"/>
              </w:rPr>
              <w:t>2）</w:t>
            </w:r>
            <w:r>
              <w:rPr>
                <w:color w:val="auto"/>
                <w:sz w:val="24"/>
                <w:highlight w:val="none"/>
              </w:rPr>
              <w:t>工作人员在防护门关闭前尚未撤离</w:t>
            </w:r>
            <w:r>
              <w:rPr>
                <w:rFonts w:hint="eastAsia"/>
                <w:color w:val="auto"/>
                <w:sz w:val="24"/>
                <w:highlight w:val="none"/>
              </w:rPr>
              <w:t>探伤房</w:t>
            </w:r>
            <w:r>
              <w:rPr>
                <w:color w:val="auto"/>
                <w:sz w:val="24"/>
                <w:highlight w:val="none"/>
              </w:rPr>
              <w:t>，X射线装置即对工件进行检测，造成工作人员受到额外照射。</w:t>
            </w:r>
          </w:p>
          <w:p w14:paraId="31EA3E24">
            <w:pPr>
              <w:spacing w:line="360" w:lineRule="auto"/>
              <w:ind w:firstLine="480" w:firstLineChars="200"/>
              <w:rPr>
                <w:color w:val="auto"/>
                <w:sz w:val="24"/>
                <w:highlight w:val="none"/>
              </w:rPr>
            </w:pPr>
            <w:r>
              <w:rPr>
                <w:rFonts w:hint="eastAsia"/>
                <w:color w:val="auto"/>
                <w:sz w:val="24"/>
                <w:highlight w:val="none"/>
              </w:rPr>
              <w:t>3）</w:t>
            </w:r>
            <w:r>
              <w:rPr>
                <w:color w:val="auto"/>
                <w:sz w:val="24"/>
                <w:highlight w:val="none"/>
              </w:rPr>
              <w:t>X射线装置发生故障，导致X射线无法停束，造成工作人员受到额外照射。</w:t>
            </w:r>
          </w:p>
          <w:p w14:paraId="32188433">
            <w:pPr>
              <w:pStyle w:val="12"/>
              <w:spacing w:line="360" w:lineRule="auto"/>
              <w:ind w:firstLine="482" w:firstLineChars="200"/>
              <w:rPr>
                <w:b/>
                <w:bCs/>
                <w:color w:val="auto"/>
                <w:highlight w:val="none"/>
                <w:lang w:val="zh-CN"/>
              </w:rPr>
            </w:pPr>
            <w:r>
              <w:rPr>
                <w:rFonts w:hint="eastAsia"/>
                <w:b/>
                <w:bCs/>
                <w:color w:val="auto"/>
                <w:highlight w:val="none"/>
                <w:lang w:val="zh-CN"/>
              </w:rPr>
              <w:t>（</w:t>
            </w:r>
            <w:r>
              <w:rPr>
                <w:rFonts w:hint="eastAsia"/>
                <w:b/>
                <w:bCs/>
                <w:color w:val="auto"/>
                <w:highlight w:val="none"/>
              </w:rPr>
              <w:t>2</w:t>
            </w:r>
            <w:r>
              <w:rPr>
                <w:rFonts w:hint="eastAsia"/>
                <w:b/>
                <w:bCs/>
                <w:color w:val="auto"/>
                <w:highlight w:val="none"/>
                <w:lang w:val="zh-CN"/>
              </w:rPr>
              <w:t>）</w:t>
            </w:r>
            <w:r>
              <w:rPr>
                <w:b/>
                <w:bCs/>
                <w:color w:val="auto"/>
                <w:highlight w:val="none"/>
                <w:lang w:val="zh-CN"/>
              </w:rPr>
              <w:t>事故预防措施</w:t>
            </w:r>
          </w:p>
          <w:p w14:paraId="79B88FD2">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highlight w:val="none"/>
                <w:lang w:val="zh-CN"/>
              </w:rPr>
            </w:pPr>
            <w:r>
              <w:rPr>
                <w:rFonts w:hint="eastAsia"/>
                <w:color w:val="auto"/>
                <w:highlight w:val="none"/>
              </w:rPr>
              <w:t>1）</w:t>
            </w:r>
            <w:r>
              <w:rPr>
                <w:color w:val="auto"/>
                <w:highlight w:val="none"/>
                <w:lang w:val="zh-CN"/>
              </w:rPr>
              <w:t>操作人员按照要求取得辐射安全与防护知识合格证书，做到持证上岗。</w:t>
            </w:r>
          </w:p>
          <w:p w14:paraId="3D750900">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highlight w:val="none"/>
                <w:lang w:val="zh-CN"/>
              </w:rPr>
            </w:pPr>
            <w:r>
              <w:rPr>
                <w:rFonts w:hint="eastAsia"/>
                <w:color w:val="auto"/>
                <w:highlight w:val="none"/>
              </w:rPr>
              <w:t>2）</w:t>
            </w:r>
            <w:r>
              <w:rPr>
                <w:color w:val="auto"/>
                <w:highlight w:val="none"/>
                <w:lang w:val="zh-CN"/>
              </w:rPr>
              <w:t>操作人员须严格按操作规程进行操作，不得擅自改变操作程序。</w:t>
            </w:r>
          </w:p>
          <w:p w14:paraId="124D40AB">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highlight w:val="none"/>
                <w:lang w:val="zh-CN"/>
              </w:rPr>
            </w:pPr>
            <w:r>
              <w:rPr>
                <w:rFonts w:hint="eastAsia"/>
                <w:color w:val="auto"/>
                <w:highlight w:val="none"/>
              </w:rPr>
              <w:t>3）</w:t>
            </w:r>
            <w:r>
              <w:rPr>
                <w:color w:val="auto"/>
                <w:highlight w:val="none"/>
                <w:lang w:val="zh-CN"/>
              </w:rPr>
              <w:t>工作时除佩戴常规个人剂量计外，还应配备个人剂量报警仪。</w:t>
            </w:r>
          </w:p>
          <w:p w14:paraId="20EEBFD6">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highlight w:val="none"/>
                <w:lang w:val="zh-CN"/>
              </w:rPr>
            </w:pPr>
            <w:r>
              <w:rPr>
                <w:rFonts w:hint="eastAsia"/>
                <w:color w:val="auto"/>
                <w:highlight w:val="none"/>
              </w:rPr>
              <w:t>4）</w:t>
            </w:r>
            <w:r>
              <w:rPr>
                <w:color w:val="auto"/>
                <w:highlight w:val="none"/>
                <w:lang w:val="zh-CN"/>
              </w:rPr>
              <w:t>定期对工作场所周围进行剂量监测，对工作人员进行定期的体检，建立</w:t>
            </w:r>
            <w:r>
              <w:rPr>
                <w:rFonts w:hint="eastAsia"/>
                <w:color w:val="auto"/>
                <w:highlight w:val="none"/>
              </w:rPr>
              <w:t>职业</w:t>
            </w:r>
            <w:r>
              <w:rPr>
                <w:color w:val="auto"/>
                <w:highlight w:val="none"/>
                <w:lang w:val="zh-CN"/>
              </w:rPr>
              <w:t>健康档案。</w:t>
            </w:r>
          </w:p>
          <w:p w14:paraId="4578E358">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highlight w:val="none"/>
                <w:lang w:val="zh-CN"/>
              </w:rPr>
            </w:pPr>
            <w:r>
              <w:rPr>
                <w:rFonts w:hint="eastAsia"/>
                <w:color w:val="auto"/>
                <w:highlight w:val="none"/>
              </w:rPr>
              <w:t>5）</w:t>
            </w:r>
            <w:r>
              <w:rPr>
                <w:color w:val="auto"/>
                <w:highlight w:val="none"/>
                <w:lang w:val="zh-CN"/>
              </w:rPr>
              <w:t>如发生违反操作或其他原因造成事故，须立刻启动事故应急救援预案。</w:t>
            </w:r>
          </w:p>
          <w:p w14:paraId="79AF4B42">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highlight w:val="none"/>
                <w:lang w:val="zh-CN"/>
              </w:rPr>
            </w:pPr>
            <w:r>
              <w:rPr>
                <w:rFonts w:hint="eastAsia"/>
                <w:color w:val="auto"/>
                <w:highlight w:val="none"/>
              </w:rPr>
              <w:t>6）</w:t>
            </w:r>
            <w:r>
              <w:rPr>
                <w:color w:val="auto"/>
                <w:highlight w:val="none"/>
                <w:lang w:val="zh-CN"/>
              </w:rPr>
              <w:t>操作人员每次运行机器前，要检查安全联锁系统运行是否正常。如发现异常，须查明原因，予以排除，确定安全联锁系统运转正常后，才能开机运行。</w:t>
            </w:r>
          </w:p>
          <w:p w14:paraId="0542D635">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highlight w:val="none"/>
                <w:lang w:val="zh-CN"/>
              </w:rPr>
            </w:pPr>
            <w:r>
              <w:rPr>
                <w:rFonts w:hint="eastAsia"/>
                <w:color w:val="auto"/>
                <w:highlight w:val="none"/>
              </w:rPr>
              <w:t>7）</w:t>
            </w:r>
            <w:r>
              <w:rPr>
                <w:color w:val="auto"/>
                <w:highlight w:val="none"/>
                <w:lang w:val="zh-CN"/>
              </w:rPr>
              <w:t>应加强辐射安全管理，在实际工作中不断完善X射线探伤相关的操作规程和辐射安全管理制度，加强对辐射工作人员的安全防护意识教育，在工作中将其落到实处，确保辐射工作的安全。</w:t>
            </w:r>
          </w:p>
          <w:p w14:paraId="1CBA37B8">
            <w:pPr>
              <w:pStyle w:val="12"/>
              <w:spacing w:line="360" w:lineRule="auto"/>
              <w:ind w:firstLine="482" w:firstLineChars="200"/>
              <w:rPr>
                <w:b/>
                <w:bCs/>
                <w:color w:val="auto"/>
                <w:highlight w:val="none"/>
                <w:lang w:val="zh-CN"/>
              </w:rPr>
            </w:pPr>
            <w:r>
              <w:rPr>
                <w:rFonts w:hint="eastAsia"/>
                <w:b/>
                <w:bCs/>
                <w:color w:val="auto"/>
                <w:highlight w:val="none"/>
                <w:lang w:val="zh-CN"/>
              </w:rPr>
              <w:t>（</w:t>
            </w:r>
            <w:r>
              <w:rPr>
                <w:rFonts w:hint="eastAsia"/>
                <w:b/>
                <w:bCs/>
                <w:color w:val="auto"/>
                <w:highlight w:val="none"/>
              </w:rPr>
              <w:t>3</w:t>
            </w:r>
            <w:r>
              <w:rPr>
                <w:rFonts w:hint="eastAsia"/>
                <w:b/>
                <w:bCs/>
                <w:color w:val="auto"/>
                <w:highlight w:val="none"/>
                <w:lang w:val="zh-CN"/>
              </w:rPr>
              <w:t>）</w:t>
            </w:r>
            <w:r>
              <w:rPr>
                <w:b/>
                <w:bCs/>
                <w:color w:val="auto"/>
                <w:highlight w:val="none"/>
                <w:lang w:val="zh-CN"/>
              </w:rPr>
              <w:t>事故处理措施</w:t>
            </w:r>
          </w:p>
          <w:p w14:paraId="21E553C2">
            <w:pPr>
              <w:pStyle w:val="12"/>
              <w:spacing w:line="360" w:lineRule="auto"/>
              <w:ind w:firstLine="480" w:firstLineChars="200"/>
              <w:rPr>
                <w:color w:val="auto"/>
                <w:highlight w:val="none"/>
                <w:lang w:val="zh-CN"/>
              </w:rPr>
            </w:pPr>
            <w:r>
              <w:rPr>
                <w:color w:val="auto"/>
                <w:highlight w:val="none"/>
                <w:lang w:val="zh-CN"/>
              </w:rPr>
              <w:t>发生辐射应急事故时，应采取以下措施：</w:t>
            </w:r>
          </w:p>
          <w:p w14:paraId="525FA497">
            <w:pPr>
              <w:pStyle w:val="12"/>
              <w:spacing w:line="360" w:lineRule="auto"/>
              <w:ind w:firstLine="480" w:firstLineChars="200"/>
              <w:rPr>
                <w:color w:val="auto"/>
                <w:highlight w:val="none"/>
                <w:lang w:val="zh-CN"/>
              </w:rPr>
            </w:pPr>
            <w:r>
              <w:rPr>
                <w:rFonts w:hint="eastAsia"/>
                <w:color w:val="auto"/>
                <w:highlight w:val="none"/>
              </w:rPr>
              <w:t>1）</w:t>
            </w:r>
            <w:r>
              <w:rPr>
                <w:color w:val="auto"/>
                <w:highlight w:val="none"/>
                <w:lang w:val="zh-CN"/>
              </w:rPr>
              <w:t>辐射工作人员或操作人员应第一时间启动急停按钮，关停射线装置的电源，停止射线装置的出束，然后启动应急预案</w:t>
            </w:r>
            <w:r>
              <w:rPr>
                <w:rFonts w:hint="eastAsia"/>
                <w:color w:val="auto"/>
                <w:highlight w:val="none"/>
                <w:lang w:val="zh-CN"/>
              </w:rPr>
              <w:t>。</w:t>
            </w:r>
          </w:p>
          <w:p w14:paraId="20550CF3">
            <w:pPr>
              <w:pStyle w:val="12"/>
              <w:spacing w:line="360" w:lineRule="auto"/>
              <w:ind w:firstLine="480" w:firstLineChars="200"/>
              <w:rPr>
                <w:color w:val="auto"/>
                <w:highlight w:val="none"/>
                <w:lang w:val="zh-CN"/>
              </w:rPr>
            </w:pPr>
            <w:r>
              <w:rPr>
                <w:rFonts w:hint="eastAsia"/>
                <w:color w:val="auto"/>
                <w:highlight w:val="none"/>
              </w:rPr>
              <w:t>2）</w:t>
            </w:r>
            <w:r>
              <w:rPr>
                <w:color w:val="auto"/>
                <w:highlight w:val="none"/>
                <w:lang w:val="zh-CN"/>
              </w:rPr>
              <w:t>立即向单位领导汇报，并控制现场区域，防止无关人员进入</w:t>
            </w:r>
            <w:r>
              <w:rPr>
                <w:rFonts w:hint="eastAsia"/>
                <w:color w:val="auto"/>
                <w:highlight w:val="none"/>
                <w:lang w:val="zh-CN"/>
              </w:rPr>
              <w:t>。</w:t>
            </w:r>
          </w:p>
          <w:p w14:paraId="6D56A662">
            <w:pPr>
              <w:pStyle w:val="12"/>
              <w:spacing w:line="360" w:lineRule="auto"/>
              <w:ind w:firstLine="480" w:firstLineChars="200"/>
              <w:rPr>
                <w:color w:val="auto"/>
                <w:highlight w:val="none"/>
                <w:lang w:val="zh-CN"/>
              </w:rPr>
            </w:pPr>
            <w:r>
              <w:rPr>
                <w:rFonts w:hint="eastAsia"/>
                <w:color w:val="auto"/>
                <w:highlight w:val="none"/>
              </w:rPr>
              <w:t>3）</w:t>
            </w:r>
            <w:r>
              <w:rPr>
                <w:color w:val="auto"/>
                <w:highlight w:val="none"/>
                <w:lang w:val="zh-CN"/>
              </w:rPr>
              <w:t>对可能受到大剂量照射的人员，及时送医院检查和治疗。</w:t>
            </w:r>
          </w:p>
          <w:p w14:paraId="2141025E">
            <w:pPr>
              <w:pStyle w:val="12"/>
              <w:spacing w:line="360" w:lineRule="auto"/>
              <w:ind w:firstLine="482" w:firstLineChars="200"/>
              <w:rPr>
                <w:b/>
                <w:bCs/>
                <w:color w:val="auto"/>
                <w:highlight w:val="none"/>
                <w:lang w:val="zh-CN"/>
              </w:rPr>
            </w:pPr>
            <w:r>
              <w:rPr>
                <w:rFonts w:hint="eastAsia"/>
                <w:b/>
                <w:bCs/>
                <w:color w:val="auto"/>
                <w:highlight w:val="none"/>
                <w:lang w:val="zh-CN"/>
              </w:rPr>
              <w:t>（</w:t>
            </w:r>
            <w:r>
              <w:rPr>
                <w:rFonts w:hint="eastAsia"/>
                <w:b/>
                <w:bCs/>
                <w:color w:val="auto"/>
                <w:highlight w:val="none"/>
              </w:rPr>
              <w:t>4</w:t>
            </w:r>
            <w:r>
              <w:rPr>
                <w:rFonts w:hint="eastAsia"/>
                <w:b/>
                <w:bCs/>
                <w:color w:val="auto"/>
                <w:highlight w:val="none"/>
                <w:lang w:val="zh-CN"/>
              </w:rPr>
              <w:t>）</w:t>
            </w:r>
            <w:r>
              <w:rPr>
                <w:b/>
                <w:bCs/>
                <w:color w:val="auto"/>
                <w:highlight w:val="none"/>
                <w:lang w:val="zh-CN"/>
              </w:rPr>
              <w:t>事故调查与上报</w:t>
            </w:r>
          </w:p>
          <w:p w14:paraId="186B4FE0">
            <w:pPr>
              <w:pStyle w:val="12"/>
              <w:spacing w:line="360" w:lineRule="auto"/>
              <w:ind w:firstLine="480" w:firstLineChars="200"/>
              <w:rPr>
                <w:color w:val="auto"/>
                <w:highlight w:val="none"/>
                <w:lang w:val="zh-CN"/>
              </w:rPr>
            </w:pPr>
            <w:r>
              <w:rPr>
                <w:rFonts w:hint="eastAsia"/>
                <w:color w:val="auto"/>
                <w:highlight w:val="none"/>
              </w:rPr>
              <w:t>1）</w:t>
            </w:r>
            <w:r>
              <w:rPr>
                <w:color w:val="auto"/>
                <w:highlight w:val="none"/>
                <w:lang w:val="zh-CN"/>
              </w:rPr>
              <w:t>辐射事故得到控制并消除后，应采取一切必要的防护操作保护公众免受污染，使事故后果降到最低。</w:t>
            </w:r>
          </w:p>
          <w:p w14:paraId="13C8D7FA">
            <w:pPr>
              <w:pStyle w:val="12"/>
              <w:spacing w:line="360" w:lineRule="auto"/>
              <w:ind w:firstLine="480" w:firstLineChars="200"/>
              <w:rPr>
                <w:color w:val="auto"/>
                <w:highlight w:val="none"/>
                <w:lang w:val="zh-CN"/>
              </w:rPr>
            </w:pPr>
            <w:r>
              <w:rPr>
                <w:rFonts w:hint="eastAsia"/>
                <w:color w:val="auto"/>
                <w:highlight w:val="none"/>
              </w:rPr>
              <w:t>2）</w:t>
            </w:r>
            <w:r>
              <w:rPr>
                <w:color w:val="auto"/>
                <w:highlight w:val="none"/>
                <w:lang w:val="zh-CN"/>
              </w:rPr>
              <w:t>根据辐射事故的情况及时向上级生态环境部门请示的回复意见，在公司网站上发布辐射事故情况。</w:t>
            </w:r>
          </w:p>
          <w:p w14:paraId="5A4B6E3B">
            <w:pPr>
              <w:pStyle w:val="12"/>
              <w:spacing w:line="360" w:lineRule="auto"/>
              <w:ind w:firstLine="480" w:firstLineChars="200"/>
              <w:rPr>
                <w:color w:val="auto"/>
                <w:highlight w:val="none"/>
                <w:lang w:val="zh-CN"/>
              </w:rPr>
            </w:pPr>
            <w:r>
              <w:rPr>
                <w:rFonts w:hint="eastAsia"/>
                <w:color w:val="auto"/>
                <w:highlight w:val="none"/>
              </w:rPr>
              <w:t>3）</w:t>
            </w:r>
            <w:r>
              <w:rPr>
                <w:color w:val="auto"/>
                <w:highlight w:val="none"/>
                <w:lang w:val="zh-CN"/>
              </w:rPr>
              <w:t>辐射事故应急救援终止后，应评价所有应急日志、记录、过程</w:t>
            </w:r>
            <w:r>
              <w:rPr>
                <w:rFonts w:hint="eastAsia"/>
                <w:color w:val="auto"/>
                <w:highlight w:val="none"/>
                <w:lang w:val="zh-CN"/>
              </w:rPr>
              <w:t>、</w:t>
            </w:r>
            <w:r>
              <w:rPr>
                <w:color w:val="auto"/>
                <w:highlight w:val="none"/>
                <w:lang w:val="zh-CN"/>
              </w:rPr>
              <w:t>书面信息等， 回顾应急期间采取的一切行动，根据实践经验修改现有的应急预案，并及时提交总结报告。</w:t>
            </w:r>
          </w:p>
          <w:p w14:paraId="7192CCF8">
            <w:pPr>
              <w:pStyle w:val="12"/>
              <w:spacing w:line="360" w:lineRule="auto"/>
              <w:ind w:firstLine="480" w:firstLineChars="200"/>
              <w:rPr>
                <w:color w:val="auto"/>
                <w:highlight w:val="none"/>
                <w:lang w:val="zh-CN"/>
              </w:rPr>
            </w:pPr>
            <w:r>
              <w:rPr>
                <w:rFonts w:hint="eastAsia"/>
                <w:color w:val="auto"/>
                <w:highlight w:val="none"/>
              </w:rPr>
              <w:t>4）</w:t>
            </w:r>
            <w:r>
              <w:rPr>
                <w:color w:val="auto"/>
                <w:highlight w:val="none"/>
                <w:lang w:val="zh-CN"/>
              </w:rPr>
              <w:t>公司领导对事故告</w:t>
            </w:r>
            <w:r>
              <w:rPr>
                <w:rFonts w:hint="eastAsia"/>
                <w:color w:val="auto"/>
                <w:highlight w:val="none"/>
              </w:rPr>
              <w:t>知</w:t>
            </w:r>
            <w:r>
              <w:rPr>
                <w:color w:val="auto"/>
                <w:highlight w:val="none"/>
                <w:lang w:val="zh-CN"/>
              </w:rPr>
              <w:t>的及时性、全面性</w:t>
            </w:r>
            <w:r>
              <w:rPr>
                <w:rFonts w:hint="eastAsia"/>
                <w:color w:val="auto"/>
                <w:highlight w:val="none"/>
                <w:lang w:val="zh-CN"/>
              </w:rPr>
              <w:t>和</w:t>
            </w:r>
            <w:r>
              <w:rPr>
                <w:color w:val="auto"/>
                <w:highlight w:val="none"/>
                <w:lang w:val="zh-CN"/>
              </w:rPr>
              <w:t>真实性进行分析了解，对于隐瞒不报、虚报、漏报或无故拖延报告的，要追究责任。</w:t>
            </w:r>
          </w:p>
          <w:p w14:paraId="6272DD6C">
            <w:pPr>
              <w:pStyle w:val="12"/>
              <w:spacing w:line="360" w:lineRule="auto"/>
              <w:ind w:firstLine="480" w:firstLineChars="200"/>
              <w:rPr>
                <w:color w:val="auto"/>
                <w:highlight w:val="none"/>
                <w:lang w:val="zh-CN"/>
              </w:rPr>
            </w:pPr>
          </w:p>
          <w:p w14:paraId="1C3BF819">
            <w:pPr>
              <w:pStyle w:val="12"/>
              <w:spacing w:line="360" w:lineRule="auto"/>
              <w:ind w:firstLine="480" w:firstLineChars="200"/>
              <w:rPr>
                <w:color w:val="auto"/>
                <w:highlight w:val="none"/>
                <w:lang w:val="zh-CN"/>
              </w:rPr>
            </w:pPr>
          </w:p>
          <w:p w14:paraId="447F9591">
            <w:pPr>
              <w:pStyle w:val="12"/>
              <w:spacing w:line="360" w:lineRule="auto"/>
              <w:ind w:firstLine="480" w:firstLineChars="200"/>
              <w:rPr>
                <w:color w:val="auto"/>
                <w:highlight w:val="none"/>
                <w:lang w:val="zh-CN"/>
              </w:rPr>
            </w:pPr>
          </w:p>
          <w:p w14:paraId="68E4B69E">
            <w:pPr>
              <w:pStyle w:val="12"/>
              <w:spacing w:line="360" w:lineRule="auto"/>
              <w:ind w:firstLine="480" w:firstLineChars="200"/>
              <w:rPr>
                <w:rFonts w:hint="eastAsia" w:eastAsia="宋体"/>
                <w:color w:val="auto"/>
                <w:highlight w:val="none"/>
                <w:lang w:val="en-US" w:eastAsia="zh-CN"/>
              </w:rPr>
            </w:pPr>
          </w:p>
          <w:p w14:paraId="428BC48E">
            <w:pPr>
              <w:pStyle w:val="12"/>
              <w:spacing w:line="360" w:lineRule="auto"/>
              <w:rPr>
                <w:rFonts w:hint="eastAsia" w:eastAsia="宋体"/>
                <w:color w:val="auto"/>
                <w:highlight w:val="none"/>
                <w:lang w:eastAsia="zh-CN"/>
              </w:rPr>
            </w:pPr>
          </w:p>
        </w:tc>
      </w:tr>
    </w:tbl>
    <w:p w14:paraId="13F8635A">
      <w:pPr>
        <w:rPr>
          <w:color w:val="auto"/>
          <w:sz w:val="28"/>
          <w:szCs w:val="28"/>
          <w:highlight w:val="none"/>
        </w:rPr>
      </w:pPr>
      <w:bookmarkStart w:id="186" w:name="_Toc15389559"/>
      <w:r>
        <w:rPr>
          <w:color w:val="auto"/>
          <w:sz w:val="28"/>
          <w:szCs w:val="28"/>
          <w:highlight w:val="none"/>
        </w:rPr>
        <w:br w:type="page"/>
      </w:r>
    </w:p>
    <w:p w14:paraId="22054F79">
      <w:pPr>
        <w:pStyle w:val="3"/>
        <w:spacing w:before="0" w:after="0" w:line="360" w:lineRule="auto"/>
        <w:rPr>
          <w:color w:val="auto"/>
          <w:sz w:val="28"/>
          <w:szCs w:val="28"/>
          <w:highlight w:val="none"/>
        </w:rPr>
      </w:pPr>
      <w:bookmarkStart w:id="187" w:name="_Toc3528"/>
      <w:r>
        <w:rPr>
          <w:color w:val="auto"/>
          <w:sz w:val="28"/>
          <w:szCs w:val="28"/>
          <w:highlight w:val="none"/>
        </w:rPr>
        <w:t>表12 辐射安全管理</w:t>
      </w:r>
      <w:bookmarkEnd w:id="187"/>
    </w:p>
    <w:tbl>
      <w:tblPr>
        <w:tblStyle w:val="35"/>
        <w:tblW w:w="89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59"/>
      </w:tblGrid>
      <w:tr w14:paraId="1387D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1" w:hRule="atLeast"/>
          <w:jc w:val="center"/>
        </w:trPr>
        <w:tc>
          <w:tcPr>
            <w:tcW w:w="8959" w:type="dxa"/>
          </w:tcPr>
          <w:p w14:paraId="072842F2">
            <w:pPr>
              <w:pStyle w:val="5"/>
              <w:keepNext w:val="0"/>
              <w:keepLines w:val="0"/>
              <w:pageBreakBefore w:val="0"/>
              <w:widowControl w:val="0"/>
              <w:kinsoku/>
              <w:wordWrap/>
              <w:overflowPunct/>
              <w:topLinePunct w:val="0"/>
              <w:autoSpaceDE/>
              <w:autoSpaceDN/>
              <w:bidi w:val="0"/>
              <w:adjustRightInd w:val="0"/>
              <w:snapToGrid w:val="0"/>
              <w:spacing w:before="157" w:beforeLines="50" w:after="157" w:afterLines="50" w:line="360" w:lineRule="auto"/>
              <w:ind w:firstLine="482" w:firstLineChars="200"/>
              <w:textAlignment w:val="auto"/>
              <w:rPr>
                <w:b/>
                <w:bCs/>
                <w:color w:val="auto"/>
                <w:kern w:val="0"/>
                <w:sz w:val="24"/>
                <w:szCs w:val="24"/>
                <w:highlight w:val="none"/>
              </w:rPr>
            </w:pPr>
            <w:bookmarkStart w:id="188" w:name="_Toc30080"/>
            <w:bookmarkStart w:id="189" w:name="_Toc66001612"/>
            <w:bookmarkStart w:id="190" w:name="_Toc5949"/>
            <w:bookmarkStart w:id="191" w:name="_Toc66010046"/>
            <w:bookmarkStart w:id="192" w:name="_Toc24992"/>
            <w:bookmarkStart w:id="193" w:name="_Toc36829739"/>
            <w:r>
              <w:rPr>
                <w:rFonts w:hint="eastAsia"/>
                <w:b/>
                <w:bCs/>
                <w:color w:val="auto"/>
                <w:kern w:val="0"/>
                <w:sz w:val="24"/>
                <w:szCs w:val="24"/>
                <w:highlight w:val="none"/>
              </w:rPr>
              <w:t>1、辐射安全与环境保护管理机构的设置</w:t>
            </w:r>
            <w:bookmarkEnd w:id="188"/>
            <w:bookmarkEnd w:id="189"/>
            <w:bookmarkEnd w:id="190"/>
            <w:bookmarkEnd w:id="191"/>
            <w:bookmarkEnd w:id="192"/>
            <w:bookmarkEnd w:id="193"/>
          </w:p>
          <w:p w14:paraId="2B449496">
            <w:pPr>
              <w:pStyle w:val="5"/>
              <w:adjustRightInd w:val="0"/>
              <w:snapToGrid w:val="0"/>
              <w:spacing w:line="360" w:lineRule="auto"/>
              <w:ind w:firstLine="480"/>
              <w:rPr>
                <w:color w:val="auto"/>
                <w:kern w:val="0"/>
                <w:sz w:val="24"/>
                <w:szCs w:val="24"/>
                <w:highlight w:val="none"/>
                <w:lang w:val="zh-CN"/>
              </w:rPr>
            </w:pPr>
            <w:r>
              <w:rPr>
                <w:rFonts w:hint="default" w:ascii="Times New Roman" w:hAnsi="Times New Roman" w:cs="Times New Roman"/>
                <w:color w:val="auto"/>
                <w:sz w:val="24"/>
                <w:szCs w:val="24"/>
                <w:highlight w:val="none"/>
                <w:lang w:eastAsia="zh-CN"/>
              </w:rPr>
              <w:t>安徽泓济环境科技有限公司</w:t>
            </w:r>
            <w:r>
              <w:rPr>
                <w:rFonts w:hint="eastAsia"/>
                <w:color w:val="auto"/>
                <w:kern w:val="0"/>
                <w:sz w:val="24"/>
                <w:szCs w:val="24"/>
                <w:highlight w:val="none"/>
              </w:rPr>
              <w:t>拟设置</w:t>
            </w:r>
            <w:r>
              <w:rPr>
                <w:rFonts w:hint="eastAsia"/>
                <w:color w:val="auto"/>
                <w:kern w:val="0"/>
                <w:sz w:val="24"/>
                <w:szCs w:val="24"/>
                <w:highlight w:val="none"/>
                <w:lang w:val="zh-CN"/>
              </w:rPr>
              <w:t>专门的安全和防护管理机构</w:t>
            </w:r>
            <w:r>
              <w:rPr>
                <w:rFonts w:hint="eastAsia"/>
                <w:color w:val="auto"/>
                <w:kern w:val="0"/>
                <w:sz w:val="24"/>
                <w:szCs w:val="24"/>
                <w:highlight w:val="none"/>
                <w:lang w:val="en-US" w:eastAsia="zh-CN"/>
              </w:rPr>
              <w:t>：</w:t>
            </w:r>
            <w:r>
              <w:rPr>
                <w:rFonts w:hint="default" w:ascii="Times New Roman" w:hAnsi="Times New Roman" w:cs="Times New Roman"/>
                <w:color w:val="auto"/>
                <w:sz w:val="24"/>
                <w:szCs w:val="24"/>
                <w:highlight w:val="none"/>
                <w:lang w:eastAsia="zh-CN"/>
              </w:rPr>
              <w:t>安徽泓济环境科技有限公司</w:t>
            </w:r>
            <w:r>
              <w:rPr>
                <w:rFonts w:hint="eastAsia"/>
                <w:color w:val="auto"/>
                <w:kern w:val="0"/>
                <w:sz w:val="24"/>
                <w:szCs w:val="24"/>
                <w:highlight w:val="none"/>
                <w:lang w:val="zh-CN"/>
              </w:rPr>
              <w:t>辐射防护安全管理小组，负责辐射安全与环境保护管理工作以及应急救援指挥工作。</w:t>
            </w:r>
            <w:r>
              <w:rPr>
                <w:rFonts w:hint="eastAsia"/>
                <w:color w:val="auto"/>
                <w:kern w:val="0"/>
                <w:sz w:val="24"/>
                <w:szCs w:val="24"/>
                <w:highlight w:val="none"/>
              </w:rPr>
              <w:t>要求</w:t>
            </w:r>
            <w:r>
              <w:rPr>
                <w:rFonts w:hint="eastAsia"/>
                <w:color w:val="auto"/>
                <w:kern w:val="0"/>
                <w:sz w:val="24"/>
                <w:szCs w:val="24"/>
                <w:highlight w:val="none"/>
                <w:lang w:val="zh-CN"/>
              </w:rPr>
              <w:t>该领导小组的组成</w:t>
            </w:r>
            <w:r>
              <w:rPr>
                <w:rFonts w:hint="eastAsia"/>
                <w:color w:val="auto"/>
                <w:kern w:val="0"/>
                <w:sz w:val="24"/>
                <w:szCs w:val="24"/>
                <w:highlight w:val="none"/>
              </w:rPr>
              <w:t>成员需</w:t>
            </w:r>
            <w:r>
              <w:rPr>
                <w:rFonts w:hint="eastAsia"/>
                <w:color w:val="auto"/>
                <w:kern w:val="0"/>
                <w:sz w:val="24"/>
                <w:szCs w:val="24"/>
                <w:highlight w:val="none"/>
                <w:lang w:val="zh-CN"/>
              </w:rPr>
              <w:t>涵盖现有核技术应用所涉及的相关部门，部门框架</w:t>
            </w:r>
            <w:r>
              <w:rPr>
                <w:rFonts w:hint="eastAsia"/>
                <w:color w:val="auto"/>
                <w:kern w:val="0"/>
                <w:sz w:val="24"/>
                <w:szCs w:val="24"/>
                <w:highlight w:val="none"/>
              </w:rPr>
              <w:t>需满足</w:t>
            </w:r>
            <w:r>
              <w:rPr>
                <w:rFonts w:hint="eastAsia"/>
                <w:color w:val="auto"/>
                <w:kern w:val="0"/>
                <w:sz w:val="24"/>
                <w:szCs w:val="24"/>
                <w:highlight w:val="none"/>
                <w:lang w:val="zh-CN"/>
              </w:rPr>
              <w:t>辐射管理要求。</w:t>
            </w:r>
          </w:p>
          <w:p w14:paraId="1492DA8F">
            <w:pPr>
              <w:pStyle w:val="5"/>
              <w:keepNext w:val="0"/>
              <w:keepLines w:val="0"/>
              <w:pageBreakBefore w:val="0"/>
              <w:widowControl w:val="0"/>
              <w:kinsoku/>
              <w:wordWrap/>
              <w:overflowPunct/>
              <w:topLinePunct w:val="0"/>
              <w:autoSpaceDE/>
              <w:autoSpaceDN/>
              <w:bidi w:val="0"/>
              <w:adjustRightInd w:val="0"/>
              <w:snapToGrid w:val="0"/>
              <w:spacing w:before="157" w:beforeLines="50" w:after="157" w:afterLines="50" w:line="360" w:lineRule="auto"/>
              <w:ind w:firstLine="482" w:firstLineChars="200"/>
              <w:textAlignment w:val="auto"/>
              <w:rPr>
                <w:b/>
                <w:bCs/>
                <w:color w:val="auto"/>
                <w:kern w:val="0"/>
                <w:sz w:val="24"/>
                <w:szCs w:val="24"/>
                <w:highlight w:val="none"/>
              </w:rPr>
            </w:pPr>
            <w:bookmarkStart w:id="194" w:name="_Toc15555"/>
            <w:bookmarkStart w:id="195" w:name="_Toc5801"/>
            <w:bookmarkStart w:id="196" w:name="_Toc4137"/>
            <w:bookmarkStart w:id="197" w:name="_Toc66001613"/>
            <w:bookmarkStart w:id="198" w:name="_Toc66010047"/>
            <w:bookmarkStart w:id="199" w:name="_Toc36829740"/>
            <w:r>
              <w:rPr>
                <w:rFonts w:hint="eastAsia"/>
                <w:b/>
                <w:bCs/>
                <w:color w:val="auto"/>
                <w:kern w:val="0"/>
                <w:sz w:val="24"/>
                <w:szCs w:val="24"/>
                <w:highlight w:val="none"/>
              </w:rPr>
              <w:t>2、辐射安全管理规章制度</w:t>
            </w:r>
            <w:bookmarkEnd w:id="194"/>
            <w:bookmarkEnd w:id="195"/>
            <w:bookmarkEnd w:id="196"/>
            <w:bookmarkEnd w:id="197"/>
            <w:bookmarkEnd w:id="198"/>
            <w:bookmarkEnd w:id="199"/>
          </w:p>
          <w:p w14:paraId="4AC34C39">
            <w:pPr>
              <w:pStyle w:val="5"/>
              <w:adjustRightInd w:val="0"/>
              <w:snapToGrid w:val="0"/>
              <w:spacing w:line="360" w:lineRule="auto"/>
              <w:ind w:firstLine="480"/>
              <w:rPr>
                <w:color w:val="auto"/>
                <w:kern w:val="0"/>
                <w:sz w:val="24"/>
                <w:szCs w:val="24"/>
                <w:highlight w:val="none"/>
                <w:lang w:val="zh-CN"/>
              </w:rPr>
            </w:pPr>
            <w:r>
              <w:rPr>
                <w:rFonts w:hint="default" w:ascii="Times New Roman" w:hAnsi="Times New Roman" w:cs="Times New Roman"/>
                <w:color w:val="auto"/>
                <w:sz w:val="24"/>
                <w:szCs w:val="24"/>
                <w:highlight w:val="none"/>
                <w:lang w:eastAsia="zh-CN"/>
              </w:rPr>
              <w:t>安徽泓济环境科技有限公司</w:t>
            </w:r>
            <w:r>
              <w:rPr>
                <w:rFonts w:hint="eastAsia"/>
                <w:color w:val="auto"/>
                <w:kern w:val="0"/>
                <w:sz w:val="24"/>
                <w:szCs w:val="24"/>
                <w:highlight w:val="none"/>
              </w:rPr>
              <w:t>拟</w:t>
            </w:r>
            <w:r>
              <w:rPr>
                <w:rFonts w:hint="eastAsia"/>
                <w:color w:val="auto"/>
                <w:kern w:val="0"/>
                <w:sz w:val="24"/>
                <w:szCs w:val="24"/>
                <w:highlight w:val="none"/>
                <w:lang w:val="zh-CN"/>
              </w:rPr>
              <w:t>制定一系列辐射防护管理制度，所定制度包括：</w:t>
            </w:r>
            <w:r>
              <w:rPr>
                <w:color w:val="auto"/>
                <w:kern w:val="0"/>
                <w:sz w:val="24"/>
                <w:szCs w:val="24"/>
                <w:highlight w:val="none"/>
                <w:lang w:val="zh-CN"/>
              </w:rPr>
              <w:t>《</w:t>
            </w:r>
            <w:r>
              <w:rPr>
                <w:rFonts w:hint="eastAsia"/>
                <w:color w:val="auto"/>
                <w:kern w:val="0"/>
                <w:sz w:val="24"/>
                <w:szCs w:val="24"/>
                <w:highlight w:val="none"/>
                <w:lang w:val="zh-CN"/>
              </w:rPr>
              <w:t>辐射防护和安全保卫制度</w:t>
            </w:r>
            <w:r>
              <w:rPr>
                <w:color w:val="auto"/>
                <w:kern w:val="0"/>
                <w:sz w:val="24"/>
                <w:szCs w:val="24"/>
                <w:highlight w:val="none"/>
                <w:lang w:val="zh-CN"/>
              </w:rPr>
              <w:t>》《</w:t>
            </w:r>
            <w:r>
              <w:rPr>
                <w:rFonts w:hint="eastAsia"/>
                <w:color w:val="auto"/>
                <w:kern w:val="0"/>
                <w:sz w:val="24"/>
                <w:szCs w:val="24"/>
                <w:highlight w:val="none"/>
                <w:lang w:val="zh-CN"/>
              </w:rPr>
              <w:t>辐射工作人员管理制度</w:t>
            </w:r>
            <w:r>
              <w:rPr>
                <w:color w:val="auto"/>
                <w:kern w:val="0"/>
                <w:sz w:val="24"/>
                <w:szCs w:val="24"/>
                <w:highlight w:val="none"/>
                <w:lang w:val="zh-CN"/>
              </w:rPr>
              <w:t>》《</w:t>
            </w:r>
            <w:r>
              <w:rPr>
                <w:rFonts w:hint="eastAsia"/>
                <w:color w:val="auto"/>
                <w:kern w:val="0"/>
                <w:sz w:val="24"/>
                <w:szCs w:val="24"/>
                <w:highlight w:val="none"/>
                <w:lang w:val="zh-CN"/>
              </w:rPr>
              <w:t>辐射工作人员岗位职责</w:t>
            </w:r>
            <w:r>
              <w:rPr>
                <w:color w:val="auto"/>
                <w:kern w:val="0"/>
                <w:sz w:val="24"/>
                <w:szCs w:val="24"/>
                <w:highlight w:val="none"/>
                <w:lang w:val="zh-CN"/>
              </w:rPr>
              <w:t>》《</w:t>
            </w:r>
            <w:r>
              <w:rPr>
                <w:rFonts w:hint="eastAsia"/>
                <w:color w:val="auto"/>
                <w:kern w:val="0"/>
                <w:sz w:val="24"/>
                <w:szCs w:val="24"/>
                <w:highlight w:val="none"/>
                <w:lang w:val="zh-CN"/>
              </w:rPr>
              <w:t>设备检修、维护制度</w:t>
            </w:r>
            <w:r>
              <w:rPr>
                <w:color w:val="auto"/>
                <w:kern w:val="0"/>
                <w:sz w:val="24"/>
                <w:szCs w:val="24"/>
                <w:highlight w:val="none"/>
                <w:lang w:val="zh-CN"/>
              </w:rPr>
              <w:t>》</w:t>
            </w:r>
            <w:r>
              <w:rPr>
                <w:rFonts w:hint="eastAsia"/>
                <w:color w:val="auto"/>
                <w:kern w:val="0"/>
                <w:sz w:val="24"/>
                <w:szCs w:val="24"/>
                <w:highlight w:val="none"/>
                <w:lang w:val="zh-CN"/>
              </w:rPr>
              <w:t>《X射线探伤安全操作规程》《辐射安全防护自行检查和评估制度》《射线装置使用登记、台帐管理制度》《辐射环境监测方案》</w:t>
            </w:r>
            <w:r>
              <w:rPr>
                <w:color w:val="auto"/>
                <w:kern w:val="0"/>
                <w:sz w:val="24"/>
                <w:szCs w:val="24"/>
                <w:highlight w:val="none"/>
                <w:lang w:val="zh-CN"/>
              </w:rPr>
              <w:t>《</w:t>
            </w:r>
            <w:r>
              <w:rPr>
                <w:rFonts w:hint="default" w:ascii="Times New Roman" w:hAnsi="Times New Roman" w:cs="Times New Roman"/>
                <w:color w:val="auto"/>
                <w:sz w:val="24"/>
                <w:szCs w:val="24"/>
                <w:highlight w:val="none"/>
                <w:lang w:eastAsia="zh-CN"/>
              </w:rPr>
              <w:t>安徽泓济环境科技有限公司</w:t>
            </w:r>
            <w:r>
              <w:rPr>
                <w:rFonts w:hint="eastAsia"/>
                <w:color w:val="auto"/>
                <w:kern w:val="0"/>
                <w:sz w:val="24"/>
                <w:szCs w:val="24"/>
                <w:highlight w:val="none"/>
                <w:lang w:val="zh-CN"/>
              </w:rPr>
              <w:t>辐射事故应急预案</w:t>
            </w:r>
            <w:r>
              <w:rPr>
                <w:color w:val="auto"/>
                <w:kern w:val="0"/>
                <w:sz w:val="24"/>
                <w:szCs w:val="24"/>
                <w:highlight w:val="none"/>
                <w:lang w:val="zh-CN"/>
              </w:rPr>
              <w:t>》</w:t>
            </w:r>
            <w:r>
              <w:rPr>
                <w:rFonts w:hint="eastAsia"/>
                <w:color w:val="auto"/>
                <w:kern w:val="0"/>
                <w:sz w:val="24"/>
                <w:szCs w:val="24"/>
                <w:highlight w:val="none"/>
                <w:lang w:val="zh-CN"/>
              </w:rPr>
              <w:t>等规章制度。</w:t>
            </w:r>
          </w:p>
          <w:p w14:paraId="4A5AA129">
            <w:pPr>
              <w:pStyle w:val="5"/>
              <w:adjustRightInd w:val="0"/>
              <w:snapToGrid w:val="0"/>
              <w:spacing w:line="360" w:lineRule="auto"/>
              <w:ind w:firstLine="480"/>
              <w:rPr>
                <w:color w:val="auto"/>
                <w:kern w:val="0"/>
                <w:sz w:val="24"/>
                <w:szCs w:val="24"/>
                <w:highlight w:val="none"/>
                <w:lang w:val="zh-CN"/>
              </w:rPr>
            </w:pPr>
            <w:r>
              <w:rPr>
                <w:rFonts w:hint="default" w:ascii="Times New Roman" w:hAnsi="Times New Roman" w:cs="Times New Roman"/>
                <w:color w:val="auto"/>
                <w:sz w:val="24"/>
                <w:szCs w:val="24"/>
                <w:highlight w:val="none"/>
                <w:lang w:eastAsia="zh-CN"/>
              </w:rPr>
              <w:t>安徽泓济环境科技有限公司</w:t>
            </w:r>
            <w:r>
              <w:rPr>
                <w:rFonts w:hint="eastAsia"/>
                <w:color w:val="auto"/>
                <w:kern w:val="0"/>
                <w:sz w:val="24"/>
                <w:szCs w:val="24"/>
                <w:highlight w:val="none"/>
                <w:lang w:val="zh-CN"/>
              </w:rPr>
              <w:t>在日后的工作实践中，应综合考虑本项目及工作中遇到的问题，根据《放射性同位素与射线装置安全许可管理办法》的要求及时进行更新、完善，提高制度的可操作性，并严格按照制度进行。进一步完善并加强对辐射工作人员的安全防护意识教育，在工作中将其落到实处，确保辐射工作的安全。公司制定的辐射安全管理规章制度上墙时尺寸大小要合适，字迹清晰可见，并张贴于工作场所墙面醒目处。</w:t>
            </w:r>
          </w:p>
          <w:p w14:paraId="4D17072A">
            <w:pPr>
              <w:pStyle w:val="5"/>
              <w:keepNext w:val="0"/>
              <w:keepLines w:val="0"/>
              <w:pageBreakBefore w:val="0"/>
              <w:widowControl w:val="0"/>
              <w:kinsoku/>
              <w:wordWrap/>
              <w:overflowPunct/>
              <w:topLinePunct w:val="0"/>
              <w:autoSpaceDE/>
              <w:autoSpaceDN/>
              <w:bidi w:val="0"/>
              <w:adjustRightInd w:val="0"/>
              <w:snapToGrid w:val="0"/>
              <w:spacing w:before="157" w:beforeLines="50" w:after="157" w:afterLines="50" w:line="360" w:lineRule="auto"/>
              <w:ind w:firstLine="482" w:firstLineChars="200"/>
              <w:textAlignment w:val="auto"/>
              <w:rPr>
                <w:b/>
                <w:bCs/>
                <w:color w:val="auto"/>
                <w:kern w:val="0"/>
                <w:sz w:val="24"/>
                <w:szCs w:val="24"/>
                <w:highlight w:val="none"/>
              </w:rPr>
            </w:pPr>
            <w:bookmarkStart w:id="200" w:name="_Toc1684"/>
            <w:bookmarkStart w:id="201" w:name="_Toc6100"/>
            <w:r>
              <w:rPr>
                <w:rFonts w:hint="eastAsia"/>
                <w:b/>
                <w:bCs/>
                <w:color w:val="auto"/>
                <w:kern w:val="0"/>
                <w:sz w:val="24"/>
                <w:szCs w:val="24"/>
                <w:highlight w:val="none"/>
              </w:rPr>
              <w:t>3、年度安全评估状况</w:t>
            </w:r>
            <w:bookmarkEnd w:id="200"/>
            <w:bookmarkEnd w:id="201"/>
          </w:p>
          <w:p w14:paraId="5B789A57">
            <w:pPr>
              <w:pStyle w:val="5"/>
              <w:adjustRightInd w:val="0"/>
              <w:snapToGrid w:val="0"/>
              <w:spacing w:line="360" w:lineRule="auto"/>
              <w:ind w:firstLine="480"/>
              <w:rPr>
                <w:color w:val="auto"/>
                <w:kern w:val="0"/>
                <w:sz w:val="24"/>
                <w:highlight w:val="none"/>
                <w:lang w:val="zh-CN"/>
              </w:rPr>
            </w:pPr>
            <w:r>
              <w:rPr>
                <w:rFonts w:hint="eastAsia"/>
                <w:color w:val="auto"/>
                <w:kern w:val="0"/>
                <w:sz w:val="24"/>
                <w:highlight w:val="none"/>
                <w:lang w:val="zh-CN"/>
              </w:rPr>
              <w:t>根据《放射性同位素与射线装置安全和防护管理办法》中的有关要求和主管部门要求，</w:t>
            </w:r>
            <w:r>
              <w:rPr>
                <w:rFonts w:hint="eastAsia"/>
                <w:color w:val="auto"/>
                <w:kern w:val="0"/>
                <w:sz w:val="24"/>
                <w:highlight w:val="none"/>
              </w:rPr>
              <w:t>建设单位</w:t>
            </w:r>
            <w:r>
              <w:rPr>
                <w:rFonts w:hint="eastAsia"/>
                <w:color w:val="auto"/>
                <w:kern w:val="0"/>
                <w:sz w:val="24"/>
                <w:highlight w:val="none"/>
                <w:lang w:val="zh-CN"/>
              </w:rPr>
              <w:t>应在每年的1月31日之前</w:t>
            </w:r>
            <w:r>
              <w:rPr>
                <w:rFonts w:hint="eastAsia"/>
                <w:color w:val="auto"/>
                <w:kern w:val="0"/>
                <w:sz w:val="24"/>
                <w:highlight w:val="none"/>
              </w:rPr>
              <w:t>将</w:t>
            </w:r>
            <w:r>
              <w:rPr>
                <w:rFonts w:hint="eastAsia"/>
                <w:color w:val="auto"/>
                <w:kern w:val="0"/>
                <w:sz w:val="24"/>
                <w:highlight w:val="none"/>
                <w:lang w:val="zh-CN"/>
              </w:rPr>
              <w:t>上一年度评估报告上传至全国核技术利用辐射安全申报系统。</w:t>
            </w:r>
            <w:r>
              <w:rPr>
                <w:rFonts w:hint="eastAsia"/>
                <w:color w:val="auto"/>
                <w:kern w:val="0"/>
                <w:sz w:val="24"/>
                <w:highlight w:val="none"/>
              </w:rPr>
              <w:t>建设单位</w:t>
            </w:r>
            <w:r>
              <w:rPr>
                <w:rFonts w:hint="eastAsia"/>
                <w:color w:val="auto"/>
                <w:kern w:val="0"/>
                <w:sz w:val="24"/>
                <w:highlight w:val="none"/>
                <w:lang w:val="zh-CN"/>
              </w:rPr>
              <w:t>上报的年度评估报告应包括辐射安全和防护设施的运行与维护情况；辐射安全和防护制度及措施的制定与落实情况；辐射工作人员变动及接受辐射安全和防护知识教育培训情况；射线装置台账；场所辐射环境监测和个人剂量监测情况及监测数据；辐射事故及应急响应情况；核技术利用项目新建、改扩建和退役情况；存在的安全隐患及其整改情况。</w:t>
            </w:r>
          </w:p>
          <w:p w14:paraId="21337D3F">
            <w:pPr>
              <w:pStyle w:val="5"/>
              <w:keepNext w:val="0"/>
              <w:keepLines w:val="0"/>
              <w:pageBreakBefore w:val="0"/>
              <w:widowControl w:val="0"/>
              <w:kinsoku/>
              <w:wordWrap/>
              <w:overflowPunct/>
              <w:topLinePunct w:val="0"/>
              <w:autoSpaceDE/>
              <w:autoSpaceDN/>
              <w:bidi w:val="0"/>
              <w:adjustRightInd w:val="0"/>
              <w:snapToGrid w:val="0"/>
              <w:spacing w:before="157" w:beforeLines="50" w:after="157" w:afterLines="50" w:line="360" w:lineRule="auto"/>
              <w:ind w:firstLine="482" w:firstLineChars="200"/>
              <w:textAlignment w:val="auto"/>
              <w:rPr>
                <w:b/>
                <w:bCs/>
                <w:color w:val="auto"/>
                <w:kern w:val="0"/>
                <w:sz w:val="24"/>
                <w:highlight w:val="none"/>
              </w:rPr>
            </w:pPr>
            <w:r>
              <w:rPr>
                <w:rFonts w:hint="eastAsia"/>
                <w:b/>
                <w:bCs/>
                <w:color w:val="auto"/>
                <w:kern w:val="0"/>
                <w:sz w:val="24"/>
                <w:highlight w:val="none"/>
              </w:rPr>
              <w:t>4、辐射环境监测</w:t>
            </w:r>
          </w:p>
          <w:p w14:paraId="70A727AB">
            <w:pPr>
              <w:pStyle w:val="5"/>
              <w:adjustRightInd w:val="0"/>
              <w:snapToGrid w:val="0"/>
              <w:spacing w:line="360" w:lineRule="auto"/>
              <w:ind w:firstLine="480"/>
              <w:rPr>
                <w:color w:val="auto"/>
                <w:kern w:val="0"/>
                <w:sz w:val="24"/>
                <w:highlight w:val="none"/>
              </w:rPr>
            </w:pPr>
            <w:r>
              <w:rPr>
                <w:rFonts w:hint="eastAsia"/>
                <w:color w:val="auto"/>
                <w:kern w:val="0"/>
                <w:sz w:val="24"/>
                <w:highlight w:val="none"/>
              </w:rPr>
              <w:t>（1）辐射环境监测方案</w:t>
            </w:r>
          </w:p>
          <w:p w14:paraId="3DB36BAD">
            <w:pPr>
              <w:pStyle w:val="5"/>
              <w:adjustRightInd w:val="0"/>
              <w:snapToGrid w:val="0"/>
              <w:spacing w:line="360" w:lineRule="auto"/>
              <w:ind w:firstLine="480"/>
              <w:rPr>
                <w:color w:val="auto"/>
                <w:kern w:val="0"/>
                <w:sz w:val="24"/>
                <w:highlight w:val="none"/>
              </w:rPr>
            </w:pPr>
            <w:r>
              <w:rPr>
                <w:rFonts w:hint="default" w:ascii="Times New Roman" w:hAnsi="Times New Roman" w:cs="Times New Roman"/>
                <w:color w:val="auto"/>
                <w:sz w:val="24"/>
                <w:szCs w:val="24"/>
                <w:highlight w:val="none"/>
                <w:lang w:eastAsia="zh-CN"/>
              </w:rPr>
              <w:t>安徽泓济环境科技有限公司</w:t>
            </w:r>
            <w:r>
              <w:rPr>
                <w:rFonts w:hint="eastAsia"/>
                <w:color w:val="auto"/>
                <w:kern w:val="0"/>
                <w:sz w:val="24"/>
                <w:highlight w:val="none"/>
              </w:rPr>
              <w:t>已根据</w:t>
            </w:r>
            <w:r>
              <w:rPr>
                <w:rFonts w:hint="eastAsia" w:ascii="Times New Roman" w:hAnsi="Times New Roman" w:eastAsia="宋体" w:cs="Times New Roman"/>
                <w:bCs w:val="0"/>
                <w:color w:val="auto"/>
                <w:kern w:val="2"/>
                <w:sz w:val="24"/>
                <w:szCs w:val="24"/>
                <w:lang w:val="en-US" w:eastAsia="zh-CN" w:bidi="ar-SA"/>
              </w:rPr>
              <w:t>《核技术利用单位自行监测技术规范》（DB34/T 4571--2023）</w:t>
            </w:r>
            <w:r>
              <w:rPr>
                <w:rFonts w:hint="eastAsia"/>
                <w:color w:val="auto"/>
                <w:kern w:val="0"/>
                <w:sz w:val="24"/>
                <w:highlight w:val="none"/>
              </w:rPr>
              <w:t>的要求，制定了环境辐射监测方案及辐射工作场所防护监测制度，日常定期对各辐射工作场所进行监督检查和委托第三方进行监测，并每年委托有资质的单位对企业现有各辐射工作场所的设备性能和防护进行年度检测。本项目实施后，企业应将本项目纳入企业环境辐射监测方案及辐射工作场所防护监测制度之中，明确相应监测点位、监测项目和频次，按监测方案对核技术应用场所及周围辐射水平进行监测，同时做好记录分析工作。</w:t>
            </w:r>
          </w:p>
          <w:p w14:paraId="2A305F04">
            <w:pPr>
              <w:pStyle w:val="5"/>
              <w:adjustRightInd w:val="0"/>
              <w:snapToGrid w:val="0"/>
              <w:spacing w:line="360" w:lineRule="auto"/>
              <w:ind w:firstLine="480"/>
              <w:rPr>
                <w:color w:val="auto"/>
                <w:kern w:val="0"/>
                <w:sz w:val="24"/>
                <w:highlight w:val="none"/>
              </w:rPr>
            </w:pPr>
            <w:r>
              <w:rPr>
                <w:rFonts w:hint="default" w:ascii="Times New Roman" w:hAnsi="Times New Roman" w:cs="Times New Roman"/>
                <w:color w:val="auto"/>
                <w:sz w:val="24"/>
                <w:szCs w:val="24"/>
                <w:highlight w:val="none"/>
                <w:lang w:eastAsia="zh-CN"/>
              </w:rPr>
              <w:t>安徽泓济环境科技有限公司</w:t>
            </w:r>
            <w:r>
              <w:rPr>
                <w:rFonts w:hint="eastAsia"/>
                <w:color w:val="auto"/>
                <w:kern w:val="0"/>
                <w:sz w:val="24"/>
                <w:highlight w:val="none"/>
              </w:rPr>
              <w:t>还应委托具有相应资质能力的单位对辐射工作人员的个人剂量进行监测（送检周期一般为1个月，最长不应超过3个月），并做好个人剂量档案管理工作。对于个人剂量异常情况应做到自查自纠，及时采取补救措施，自查自纠结果当事人、相关管理人员应签字、建设单位盖章后存档，对于个人剂量超标的情况建设还应立即向生态环境主管部门报告。</w:t>
            </w:r>
          </w:p>
          <w:p w14:paraId="75CC6487">
            <w:pPr>
              <w:snapToGrid w:val="0"/>
              <w:ind w:firstLine="422" w:firstLineChars="200"/>
              <w:jc w:val="center"/>
              <w:rPr>
                <w:b/>
                <w:color w:val="auto"/>
                <w:szCs w:val="21"/>
                <w:highlight w:val="none"/>
              </w:rPr>
            </w:pPr>
            <w:r>
              <w:rPr>
                <w:rFonts w:hint="eastAsia"/>
                <w:b/>
                <w:color w:val="auto"/>
                <w:szCs w:val="21"/>
                <w:highlight w:val="none"/>
              </w:rPr>
              <w:t>表12-1 监测场所及监测项目</w:t>
            </w:r>
          </w:p>
          <w:tbl>
            <w:tblPr>
              <w:tblStyle w:val="92"/>
              <w:tblW w:w="5000" w:type="pct"/>
              <w:tblInd w:w="0" w:type="dxa"/>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autofit"/>
              <w:tblCellMar>
                <w:top w:w="0" w:type="dxa"/>
                <w:left w:w="0" w:type="dxa"/>
                <w:bottom w:w="0" w:type="dxa"/>
                <w:right w:w="0" w:type="dxa"/>
              </w:tblCellMar>
            </w:tblPr>
            <w:tblGrid>
              <w:gridCol w:w="1674"/>
              <w:gridCol w:w="3406"/>
              <w:gridCol w:w="1842"/>
              <w:gridCol w:w="1816"/>
            </w:tblGrid>
            <w:tr w14:paraId="1B6806A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1674" w:type="dxa"/>
                  <w:tcBorders>
                    <w:tl2br w:val="nil"/>
                    <w:tr2bl w:val="nil"/>
                  </w:tcBorders>
                  <w:vAlign w:val="center"/>
                </w:tcPr>
                <w:p w14:paraId="3F3B8F17">
                  <w:pPr>
                    <w:jc w:val="center"/>
                    <w:rPr>
                      <w:rFonts w:hint="default" w:ascii="Times New Roman" w:hAnsi="Times New Roman" w:cs="Times New Roman" w:eastAsiaTheme="minorEastAsia"/>
                      <w:b/>
                      <w:bCs/>
                      <w:color w:val="auto"/>
                      <w:szCs w:val="21"/>
                      <w:highlight w:val="none"/>
                      <w:lang w:eastAsia="en-US"/>
                    </w:rPr>
                  </w:pPr>
                  <w:r>
                    <w:rPr>
                      <w:rFonts w:hint="default" w:ascii="Times New Roman" w:hAnsi="Times New Roman" w:cs="Times New Roman" w:eastAsiaTheme="minorEastAsia"/>
                      <w:b/>
                      <w:bCs/>
                      <w:color w:val="auto"/>
                      <w:spacing w:val="-1"/>
                      <w:szCs w:val="21"/>
                      <w:highlight w:val="none"/>
                      <w:lang w:eastAsia="en-US"/>
                    </w:rPr>
                    <w:t>监测对象</w:t>
                  </w:r>
                </w:p>
              </w:tc>
              <w:tc>
                <w:tcPr>
                  <w:tcW w:w="3406" w:type="dxa"/>
                  <w:tcBorders>
                    <w:tl2br w:val="nil"/>
                    <w:tr2bl w:val="nil"/>
                  </w:tcBorders>
                  <w:vAlign w:val="center"/>
                </w:tcPr>
                <w:p w14:paraId="51A634DB">
                  <w:pPr>
                    <w:jc w:val="center"/>
                    <w:rPr>
                      <w:rFonts w:hint="default" w:ascii="Times New Roman" w:hAnsi="Times New Roman" w:cs="Times New Roman" w:eastAsiaTheme="minorEastAsia"/>
                      <w:b/>
                      <w:bCs/>
                      <w:color w:val="auto"/>
                      <w:szCs w:val="21"/>
                      <w:highlight w:val="none"/>
                      <w:lang w:eastAsia="en-US"/>
                    </w:rPr>
                  </w:pPr>
                  <w:r>
                    <w:rPr>
                      <w:rFonts w:hint="default" w:ascii="Times New Roman" w:hAnsi="Times New Roman" w:cs="Times New Roman" w:eastAsiaTheme="minorEastAsia"/>
                      <w:b/>
                      <w:bCs/>
                      <w:color w:val="auto"/>
                      <w:spacing w:val="-1"/>
                      <w:szCs w:val="21"/>
                      <w:highlight w:val="none"/>
                      <w:lang w:eastAsia="en-US"/>
                    </w:rPr>
                    <w:t>监测方案</w:t>
                  </w:r>
                </w:p>
              </w:tc>
              <w:tc>
                <w:tcPr>
                  <w:tcW w:w="1842" w:type="dxa"/>
                  <w:tcBorders>
                    <w:tl2br w:val="nil"/>
                    <w:tr2bl w:val="nil"/>
                  </w:tcBorders>
                  <w:vAlign w:val="center"/>
                </w:tcPr>
                <w:p w14:paraId="6F25B157">
                  <w:pPr>
                    <w:jc w:val="center"/>
                    <w:rPr>
                      <w:rFonts w:hint="default" w:ascii="Times New Roman" w:hAnsi="Times New Roman" w:cs="Times New Roman" w:eastAsiaTheme="minorEastAsia"/>
                      <w:b/>
                      <w:bCs/>
                      <w:color w:val="auto"/>
                      <w:szCs w:val="21"/>
                      <w:highlight w:val="none"/>
                      <w:lang w:eastAsia="en-US"/>
                    </w:rPr>
                  </w:pPr>
                  <w:r>
                    <w:rPr>
                      <w:rFonts w:hint="default" w:ascii="Times New Roman" w:hAnsi="Times New Roman" w:cs="Times New Roman" w:eastAsiaTheme="minorEastAsia"/>
                      <w:b/>
                      <w:bCs/>
                      <w:color w:val="auto"/>
                      <w:spacing w:val="-1"/>
                      <w:szCs w:val="21"/>
                      <w:highlight w:val="none"/>
                      <w:lang w:eastAsia="en-US"/>
                    </w:rPr>
                    <w:t>监测项目</w:t>
                  </w:r>
                </w:p>
              </w:tc>
              <w:tc>
                <w:tcPr>
                  <w:tcW w:w="1816" w:type="dxa"/>
                  <w:tcBorders>
                    <w:tl2br w:val="nil"/>
                    <w:tr2bl w:val="nil"/>
                  </w:tcBorders>
                  <w:vAlign w:val="center"/>
                </w:tcPr>
                <w:p w14:paraId="7CEC5531">
                  <w:pPr>
                    <w:jc w:val="center"/>
                    <w:rPr>
                      <w:rFonts w:hint="default" w:ascii="Times New Roman" w:hAnsi="Times New Roman" w:cs="Times New Roman" w:eastAsiaTheme="minorEastAsia"/>
                      <w:b/>
                      <w:bCs/>
                      <w:color w:val="auto"/>
                      <w:szCs w:val="21"/>
                      <w:highlight w:val="none"/>
                      <w:lang w:eastAsia="en-US"/>
                    </w:rPr>
                  </w:pPr>
                  <w:r>
                    <w:rPr>
                      <w:rFonts w:hint="default" w:ascii="Times New Roman" w:hAnsi="Times New Roman" w:cs="Times New Roman" w:eastAsiaTheme="minorEastAsia"/>
                      <w:b/>
                      <w:bCs/>
                      <w:color w:val="auto"/>
                      <w:spacing w:val="-1"/>
                      <w:szCs w:val="21"/>
                      <w:highlight w:val="none"/>
                      <w:lang w:eastAsia="en-US"/>
                    </w:rPr>
                    <w:t>监测频次</w:t>
                  </w:r>
                </w:p>
              </w:tc>
            </w:tr>
            <w:tr w14:paraId="5C38E19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1674" w:type="dxa"/>
                  <w:tcBorders>
                    <w:tl2br w:val="nil"/>
                    <w:tr2bl w:val="nil"/>
                  </w:tcBorders>
                  <w:vAlign w:val="center"/>
                </w:tcPr>
                <w:p w14:paraId="19E384C8">
                  <w:pPr>
                    <w:jc w:val="center"/>
                    <w:rPr>
                      <w:rFonts w:hint="eastAsia" w:ascii="Times New Roman" w:hAnsi="Times New Roman" w:cs="Times New Roman" w:eastAsiaTheme="minorEastAsia"/>
                      <w:color w:val="auto"/>
                      <w:szCs w:val="21"/>
                      <w:highlight w:val="none"/>
                      <w:lang w:val="en-US" w:eastAsia="zh-CN"/>
                    </w:rPr>
                  </w:pPr>
                  <w:r>
                    <w:rPr>
                      <w:rFonts w:hint="default" w:ascii="Times New Roman" w:hAnsi="Times New Roman" w:cs="Times New Roman" w:eastAsiaTheme="minorEastAsia"/>
                      <w:color w:val="auto"/>
                      <w:szCs w:val="21"/>
                      <w:highlight w:val="none"/>
                      <w:lang w:eastAsia="en-US"/>
                    </w:rPr>
                    <w:t>X射线</w:t>
                  </w:r>
                  <w:r>
                    <w:rPr>
                      <w:rFonts w:hint="eastAsia" w:ascii="Times New Roman" w:hAnsi="Times New Roman" w:cs="Times New Roman" w:eastAsiaTheme="minorEastAsia"/>
                      <w:color w:val="auto"/>
                      <w:szCs w:val="21"/>
                      <w:highlight w:val="none"/>
                      <w:lang w:val="en-US" w:eastAsia="zh-CN"/>
                    </w:rPr>
                    <w:t>固定式</w:t>
                  </w:r>
                </w:p>
                <w:p w14:paraId="74388809">
                  <w:pPr>
                    <w:jc w:val="center"/>
                    <w:rPr>
                      <w:rFonts w:hint="default" w:ascii="Times New Roman" w:hAnsi="Times New Roman" w:cs="Times New Roman" w:eastAsiaTheme="minorEastAsia"/>
                      <w:color w:val="auto"/>
                      <w:szCs w:val="21"/>
                      <w:highlight w:val="none"/>
                      <w:lang w:eastAsia="en-US"/>
                    </w:rPr>
                  </w:pPr>
                  <w:r>
                    <w:rPr>
                      <w:rFonts w:hint="default" w:ascii="Times New Roman" w:hAnsi="Times New Roman" w:cs="Times New Roman" w:eastAsiaTheme="minorEastAsia"/>
                      <w:color w:val="auto"/>
                      <w:szCs w:val="21"/>
                      <w:highlight w:val="none"/>
                      <w:lang w:eastAsia="en-US"/>
                    </w:rPr>
                    <w:t>探伤</w:t>
                  </w:r>
                </w:p>
              </w:tc>
              <w:tc>
                <w:tcPr>
                  <w:tcW w:w="3406" w:type="dxa"/>
                  <w:tcBorders>
                    <w:tl2br w:val="nil"/>
                    <w:tr2bl w:val="nil"/>
                  </w:tcBorders>
                  <w:vAlign w:val="center"/>
                </w:tcPr>
                <w:p w14:paraId="6299EDE5">
                  <w:pPr>
                    <w:jc w:val="center"/>
                    <w:rPr>
                      <w:rFonts w:hint="default" w:ascii="Times New Roman" w:hAnsi="Times New Roman" w:cs="Times New Roman" w:eastAsiaTheme="minorEastAsia"/>
                      <w:color w:val="auto"/>
                      <w:szCs w:val="21"/>
                      <w:highlight w:val="none"/>
                      <w:lang w:eastAsia="zh-CN"/>
                    </w:rPr>
                  </w:pPr>
                  <w:r>
                    <w:rPr>
                      <w:rFonts w:hint="default" w:ascii="Times New Roman" w:hAnsi="Times New Roman" w:cs="Times New Roman" w:eastAsiaTheme="minorEastAsia"/>
                      <w:color w:val="auto"/>
                      <w:szCs w:val="21"/>
                      <w:highlight w:val="none"/>
                      <w:lang w:eastAsia="zh-CN"/>
                    </w:rPr>
                    <w:t>机房主体建筑墙外30cm人员可达处</w:t>
                  </w:r>
                  <w:r>
                    <w:rPr>
                      <w:rFonts w:hint="eastAsia" w:ascii="Times New Roman" w:hAnsi="Times New Roman" w:cs="Times New Roman" w:eastAsiaTheme="minorEastAsia"/>
                      <w:color w:val="auto"/>
                      <w:szCs w:val="21"/>
                      <w:highlight w:val="none"/>
                      <w:lang w:eastAsia="zh-CN"/>
                    </w:rPr>
                    <w:t>，</w:t>
                  </w:r>
                  <w:r>
                    <w:rPr>
                      <w:rFonts w:hint="default" w:ascii="Times New Roman" w:hAnsi="Times New Roman" w:cs="Times New Roman" w:eastAsiaTheme="minorEastAsia"/>
                      <w:color w:val="auto"/>
                      <w:szCs w:val="21"/>
                      <w:highlight w:val="none"/>
                      <w:lang w:eastAsia="zh-CN"/>
                    </w:rPr>
                    <w:t>重点关注探伤室人员进出防护门、工件进出防护门、操作室和人员可能到达的探伤室屋顶或探伤室上层</w:t>
                  </w:r>
                  <w:r>
                    <w:rPr>
                      <w:rFonts w:hint="eastAsia" w:ascii="Times New Roman" w:hAnsi="Times New Roman" w:cs="Times New Roman" w:eastAsiaTheme="minorEastAsia"/>
                      <w:color w:val="auto"/>
                      <w:szCs w:val="21"/>
                      <w:highlight w:val="none"/>
                      <w:lang w:eastAsia="zh-CN"/>
                    </w:rPr>
                    <w:t>。</w:t>
                  </w:r>
                </w:p>
              </w:tc>
              <w:tc>
                <w:tcPr>
                  <w:tcW w:w="1842" w:type="dxa"/>
                  <w:tcBorders>
                    <w:tl2br w:val="nil"/>
                    <w:tr2bl w:val="nil"/>
                  </w:tcBorders>
                  <w:vAlign w:val="center"/>
                </w:tcPr>
                <w:p w14:paraId="2B6E8B50">
                  <w:pPr>
                    <w:jc w:val="center"/>
                    <w:rPr>
                      <w:rFonts w:hint="default" w:ascii="Times New Roman" w:hAnsi="Times New Roman" w:cs="Times New Roman" w:eastAsiaTheme="minorEastAsia"/>
                      <w:color w:val="auto"/>
                      <w:szCs w:val="21"/>
                      <w:highlight w:val="none"/>
                      <w:lang w:eastAsia="en-US"/>
                    </w:rPr>
                  </w:pPr>
                  <w:r>
                    <w:rPr>
                      <w:rFonts w:hint="default" w:ascii="Times New Roman" w:hAnsi="Times New Roman" w:cs="Times New Roman" w:eastAsiaTheme="minorEastAsia"/>
                      <w:color w:val="auto"/>
                      <w:spacing w:val="-1"/>
                      <w:szCs w:val="21"/>
                      <w:highlight w:val="none"/>
                      <w:lang w:eastAsia="en-US"/>
                    </w:rPr>
                    <w:t>X-γ辐射剂量率</w:t>
                  </w:r>
                </w:p>
              </w:tc>
              <w:tc>
                <w:tcPr>
                  <w:tcW w:w="1816" w:type="dxa"/>
                  <w:tcBorders>
                    <w:tl2br w:val="nil"/>
                    <w:tr2bl w:val="nil"/>
                  </w:tcBorders>
                  <w:vAlign w:val="center"/>
                </w:tcPr>
                <w:p w14:paraId="53A2B4EC">
                  <w:pPr>
                    <w:jc w:val="center"/>
                    <w:rPr>
                      <w:rFonts w:hint="default" w:ascii="Times New Roman" w:hAnsi="Times New Roman" w:cs="Times New Roman" w:eastAsiaTheme="minorEastAsia"/>
                      <w:color w:val="auto"/>
                      <w:szCs w:val="21"/>
                      <w:highlight w:val="none"/>
                      <w:lang w:eastAsia="en-US"/>
                    </w:rPr>
                  </w:pPr>
                  <w:r>
                    <w:rPr>
                      <w:rFonts w:hint="default" w:ascii="Times New Roman" w:hAnsi="Times New Roman" w:cs="Times New Roman" w:eastAsiaTheme="minorEastAsia"/>
                      <w:color w:val="auto"/>
                      <w:spacing w:val="-8"/>
                      <w:szCs w:val="21"/>
                      <w:highlight w:val="none"/>
                      <w:lang w:eastAsia="en-US"/>
                    </w:rPr>
                    <w:t>每</w:t>
                  </w:r>
                  <w:r>
                    <w:rPr>
                      <w:rFonts w:hint="eastAsia" w:cs="Times New Roman" w:eastAsiaTheme="minorEastAsia"/>
                      <w:color w:val="auto"/>
                      <w:spacing w:val="-8"/>
                      <w:szCs w:val="21"/>
                      <w:highlight w:val="none"/>
                      <w:lang w:val="en-US" w:eastAsia="zh-CN"/>
                    </w:rPr>
                    <w:t>月</w:t>
                  </w:r>
                  <w:r>
                    <w:rPr>
                      <w:rFonts w:hint="default" w:ascii="Times New Roman" w:hAnsi="Times New Roman" w:cs="Times New Roman" w:eastAsiaTheme="minorEastAsia"/>
                      <w:color w:val="auto"/>
                      <w:spacing w:val="-26"/>
                      <w:szCs w:val="21"/>
                      <w:highlight w:val="none"/>
                      <w:lang w:eastAsia="en-US"/>
                    </w:rPr>
                    <w:t xml:space="preserve"> </w:t>
                  </w:r>
                  <w:r>
                    <w:rPr>
                      <w:rFonts w:hint="default" w:ascii="Times New Roman" w:hAnsi="Times New Roman" w:cs="Times New Roman" w:eastAsiaTheme="minorEastAsia"/>
                      <w:color w:val="auto"/>
                      <w:spacing w:val="-8"/>
                      <w:szCs w:val="21"/>
                      <w:highlight w:val="none"/>
                      <w:lang w:eastAsia="en-US"/>
                    </w:rPr>
                    <w:t>1次</w:t>
                  </w:r>
                </w:p>
              </w:tc>
            </w:tr>
          </w:tbl>
          <w:p w14:paraId="198B0016">
            <w:pPr>
              <w:snapToGrid w:val="0"/>
              <w:ind w:firstLine="422" w:firstLineChars="200"/>
              <w:jc w:val="center"/>
              <w:rPr>
                <w:b/>
                <w:color w:val="auto"/>
                <w:szCs w:val="21"/>
                <w:highlight w:val="none"/>
              </w:rPr>
            </w:pPr>
            <w:r>
              <w:rPr>
                <w:rFonts w:hint="eastAsia"/>
                <w:b/>
                <w:color w:val="auto"/>
                <w:szCs w:val="21"/>
                <w:highlight w:val="none"/>
              </w:rPr>
              <w:t>表12-2 工作人员拟制定监测方案</w:t>
            </w:r>
          </w:p>
          <w:tbl>
            <w:tblPr>
              <w:tblStyle w:val="92"/>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673"/>
              <w:gridCol w:w="2271"/>
              <w:gridCol w:w="1984"/>
              <w:gridCol w:w="2807"/>
            </w:tblGrid>
            <w:tr w14:paraId="4E098B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957" w:type="pct"/>
                  <w:tcBorders>
                    <w:tl2br w:val="nil"/>
                    <w:tr2bl w:val="nil"/>
                  </w:tcBorders>
                </w:tcPr>
                <w:p w14:paraId="76493CBB">
                  <w:pPr>
                    <w:jc w:val="center"/>
                    <w:rPr>
                      <w:rFonts w:hint="default" w:ascii="Times New Roman" w:hAnsi="Times New Roman" w:cs="Times New Roman" w:eastAsiaTheme="minorEastAsia"/>
                      <w:b/>
                      <w:bCs/>
                      <w:color w:val="auto"/>
                      <w:spacing w:val="-1"/>
                      <w:szCs w:val="21"/>
                      <w:highlight w:val="none"/>
                      <w:lang w:eastAsia="en-US"/>
                    </w:rPr>
                  </w:pPr>
                  <w:r>
                    <w:rPr>
                      <w:rFonts w:hint="default" w:ascii="Times New Roman" w:hAnsi="Times New Roman" w:cs="Times New Roman" w:eastAsiaTheme="minorEastAsia"/>
                      <w:b/>
                      <w:bCs/>
                      <w:color w:val="auto"/>
                      <w:spacing w:val="-1"/>
                      <w:szCs w:val="21"/>
                      <w:highlight w:val="none"/>
                      <w:lang w:eastAsia="en-US"/>
                    </w:rPr>
                    <w:t>监测对象</w:t>
                  </w:r>
                </w:p>
              </w:tc>
              <w:tc>
                <w:tcPr>
                  <w:tcW w:w="1299" w:type="pct"/>
                  <w:tcBorders>
                    <w:tl2br w:val="nil"/>
                    <w:tr2bl w:val="nil"/>
                  </w:tcBorders>
                </w:tcPr>
                <w:p w14:paraId="4CF5727E">
                  <w:pPr>
                    <w:jc w:val="center"/>
                    <w:rPr>
                      <w:rFonts w:hint="default" w:ascii="Times New Roman" w:hAnsi="Times New Roman" w:cs="Times New Roman" w:eastAsiaTheme="minorEastAsia"/>
                      <w:b/>
                      <w:bCs/>
                      <w:color w:val="auto"/>
                      <w:spacing w:val="-1"/>
                      <w:szCs w:val="21"/>
                      <w:highlight w:val="none"/>
                      <w:lang w:eastAsia="en-US"/>
                    </w:rPr>
                  </w:pPr>
                  <w:r>
                    <w:rPr>
                      <w:rFonts w:hint="default" w:ascii="Times New Roman" w:hAnsi="Times New Roman" w:cs="Times New Roman" w:eastAsiaTheme="minorEastAsia"/>
                      <w:b/>
                      <w:bCs/>
                      <w:color w:val="auto"/>
                      <w:spacing w:val="-1"/>
                      <w:szCs w:val="21"/>
                      <w:highlight w:val="none"/>
                      <w:lang w:eastAsia="en-US"/>
                    </w:rPr>
                    <w:t>监测方案</w:t>
                  </w:r>
                </w:p>
              </w:tc>
              <w:tc>
                <w:tcPr>
                  <w:tcW w:w="1135" w:type="pct"/>
                  <w:tcBorders>
                    <w:tl2br w:val="nil"/>
                    <w:tr2bl w:val="nil"/>
                  </w:tcBorders>
                </w:tcPr>
                <w:p w14:paraId="7EC55203">
                  <w:pPr>
                    <w:jc w:val="center"/>
                    <w:rPr>
                      <w:rFonts w:hint="default" w:ascii="Times New Roman" w:hAnsi="Times New Roman" w:cs="Times New Roman" w:eastAsiaTheme="minorEastAsia"/>
                      <w:b/>
                      <w:bCs/>
                      <w:color w:val="auto"/>
                      <w:spacing w:val="-1"/>
                      <w:szCs w:val="21"/>
                      <w:highlight w:val="none"/>
                      <w:lang w:eastAsia="en-US"/>
                    </w:rPr>
                  </w:pPr>
                  <w:r>
                    <w:rPr>
                      <w:rFonts w:hint="default" w:ascii="Times New Roman" w:hAnsi="Times New Roman" w:cs="Times New Roman" w:eastAsiaTheme="minorEastAsia"/>
                      <w:b/>
                      <w:bCs/>
                      <w:color w:val="auto"/>
                      <w:spacing w:val="-1"/>
                      <w:szCs w:val="21"/>
                      <w:highlight w:val="none"/>
                      <w:lang w:eastAsia="en-US"/>
                    </w:rPr>
                    <w:t>监测项目</w:t>
                  </w:r>
                </w:p>
              </w:tc>
              <w:tc>
                <w:tcPr>
                  <w:tcW w:w="1606" w:type="pct"/>
                  <w:tcBorders>
                    <w:tl2br w:val="nil"/>
                    <w:tr2bl w:val="nil"/>
                  </w:tcBorders>
                </w:tcPr>
                <w:p w14:paraId="4ADA405F">
                  <w:pPr>
                    <w:jc w:val="center"/>
                    <w:rPr>
                      <w:rFonts w:hint="default" w:ascii="Times New Roman" w:hAnsi="Times New Roman" w:cs="Times New Roman" w:eastAsiaTheme="minorEastAsia"/>
                      <w:b/>
                      <w:bCs/>
                      <w:color w:val="auto"/>
                      <w:spacing w:val="-1"/>
                      <w:szCs w:val="21"/>
                      <w:highlight w:val="none"/>
                      <w:lang w:eastAsia="en-US"/>
                    </w:rPr>
                  </w:pPr>
                  <w:r>
                    <w:rPr>
                      <w:rFonts w:hint="default" w:ascii="Times New Roman" w:hAnsi="Times New Roman" w:cs="Times New Roman" w:eastAsiaTheme="minorEastAsia"/>
                      <w:b/>
                      <w:bCs/>
                      <w:color w:val="auto"/>
                      <w:spacing w:val="-1"/>
                      <w:szCs w:val="21"/>
                      <w:highlight w:val="none"/>
                      <w:lang w:eastAsia="en-US"/>
                    </w:rPr>
                    <w:t>监测频次</w:t>
                  </w:r>
                </w:p>
              </w:tc>
            </w:tr>
            <w:tr w14:paraId="1B1928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5" w:hRule="atLeast"/>
              </w:trPr>
              <w:tc>
                <w:tcPr>
                  <w:tcW w:w="957" w:type="pct"/>
                  <w:tcBorders>
                    <w:tl2br w:val="nil"/>
                    <w:tr2bl w:val="nil"/>
                  </w:tcBorders>
                  <w:vAlign w:val="center"/>
                </w:tcPr>
                <w:p w14:paraId="5F891FA6">
                  <w:pPr>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辐射工作人员</w:t>
                  </w:r>
                </w:p>
              </w:tc>
              <w:tc>
                <w:tcPr>
                  <w:tcW w:w="1299" w:type="pct"/>
                  <w:tcBorders>
                    <w:tl2br w:val="nil"/>
                    <w:tr2bl w:val="nil"/>
                  </w:tcBorders>
                  <w:vAlign w:val="center"/>
                </w:tcPr>
                <w:p w14:paraId="5C691C05">
                  <w:pPr>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佩戴个人辐射剂量计</w:t>
                  </w:r>
                </w:p>
              </w:tc>
              <w:tc>
                <w:tcPr>
                  <w:tcW w:w="1135" w:type="pct"/>
                  <w:tcBorders>
                    <w:tl2br w:val="nil"/>
                    <w:tr2bl w:val="nil"/>
                  </w:tcBorders>
                  <w:vAlign w:val="center"/>
                </w:tcPr>
                <w:p w14:paraId="3D2B0503">
                  <w:pPr>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个人累计剂量</w:t>
                  </w:r>
                </w:p>
              </w:tc>
              <w:tc>
                <w:tcPr>
                  <w:tcW w:w="1606" w:type="pct"/>
                  <w:tcBorders>
                    <w:tl2br w:val="nil"/>
                    <w:tr2bl w:val="nil"/>
                  </w:tcBorders>
                  <w:vAlign w:val="center"/>
                </w:tcPr>
                <w:p w14:paraId="65AF7AD6">
                  <w:pPr>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监测周期一般为1个月，最长不应超过3个月</w:t>
                  </w:r>
                </w:p>
              </w:tc>
            </w:tr>
          </w:tbl>
          <w:p w14:paraId="42E191A4">
            <w:pPr>
              <w:adjustRightInd w:val="0"/>
              <w:spacing w:line="360" w:lineRule="auto"/>
              <w:ind w:firstLine="480" w:firstLineChars="200"/>
              <w:textAlignment w:val="baseline"/>
              <w:rPr>
                <w:color w:val="auto"/>
                <w:sz w:val="24"/>
                <w:highlight w:val="none"/>
              </w:rPr>
            </w:pPr>
            <w:bookmarkStart w:id="202" w:name="_Toc994"/>
            <w:bookmarkStart w:id="203" w:name="_Toc6483"/>
            <w:r>
              <w:rPr>
                <w:rFonts w:hint="eastAsia"/>
                <w:color w:val="auto"/>
                <w:sz w:val="24"/>
                <w:highlight w:val="none"/>
              </w:rPr>
              <w:t>（2）监测仪器</w:t>
            </w:r>
          </w:p>
          <w:p w14:paraId="6063B50F">
            <w:pPr>
              <w:adjustRightInd w:val="0"/>
              <w:spacing w:line="360" w:lineRule="auto"/>
              <w:ind w:firstLine="480" w:firstLineChars="200"/>
              <w:textAlignment w:val="baseline"/>
              <w:rPr>
                <w:color w:val="auto"/>
                <w:sz w:val="24"/>
                <w:szCs w:val="24"/>
                <w:highlight w:val="none"/>
              </w:rPr>
            </w:pPr>
            <w:r>
              <w:rPr>
                <w:color w:val="auto"/>
                <w:sz w:val="24"/>
                <w:szCs w:val="24"/>
                <w:highlight w:val="none"/>
              </w:rPr>
              <w:t>根据《放射性同位素与射线装置安全许可管理办法》和</w:t>
            </w:r>
            <w:r>
              <w:rPr>
                <w:rFonts w:hint="eastAsia"/>
                <w:color w:val="auto"/>
                <w:sz w:val="24"/>
                <w:szCs w:val="24"/>
                <w:highlight w:val="none"/>
              </w:rPr>
              <w:t>《工业探伤放射防护标准》（GBZ117-2022）</w:t>
            </w:r>
            <w:r>
              <w:rPr>
                <w:color w:val="auto"/>
                <w:sz w:val="24"/>
                <w:szCs w:val="24"/>
                <w:highlight w:val="none"/>
              </w:rPr>
              <w:t>要求，射线装置使用单位应配备与辐射类型和辐射水平相适应的防护用品和监测仪器，包括个人剂量测量报警、辐射监测等仪器。</w:t>
            </w:r>
            <w:r>
              <w:rPr>
                <w:rFonts w:hint="eastAsia"/>
                <w:color w:val="auto"/>
                <w:sz w:val="24"/>
                <w:szCs w:val="24"/>
                <w:highlight w:val="none"/>
              </w:rPr>
              <w:t>本项目建成后</w:t>
            </w:r>
            <w:r>
              <w:rPr>
                <w:rFonts w:hint="default" w:ascii="Times New Roman" w:hAnsi="Times New Roman" w:cs="Times New Roman"/>
                <w:color w:val="auto"/>
                <w:sz w:val="24"/>
                <w:szCs w:val="24"/>
                <w:highlight w:val="none"/>
                <w:lang w:eastAsia="zh-CN"/>
              </w:rPr>
              <w:t>安徽泓济环境科技有限公司</w:t>
            </w:r>
            <w:r>
              <w:rPr>
                <w:rFonts w:hint="eastAsia"/>
                <w:color w:val="auto"/>
                <w:sz w:val="24"/>
                <w:szCs w:val="24"/>
                <w:highlight w:val="none"/>
              </w:rPr>
              <w:t>应</w:t>
            </w:r>
            <w:r>
              <w:rPr>
                <w:color w:val="auto"/>
                <w:sz w:val="24"/>
                <w:szCs w:val="24"/>
                <w:highlight w:val="none"/>
              </w:rPr>
              <w:t>配备1台便携式γ辐射仪</w:t>
            </w:r>
            <w:r>
              <w:rPr>
                <w:rFonts w:hint="eastAsia"/>
                <w:color w:val="auto"/>
                <w:sz w:val="24"/>
                <w:szCs w:val="24"/>
                <w:highlight w:val="none"/>
              </w:rPr>
              <w:t>、2</w:t>
            </w:r>
            <w:r>
              <w:rPr>
                <w:color w:val="auto"/>
                <w:sz w:val="24"/>
                <w:szCs w:val="24"/>
                <w:highlight w:val="none"/>
              </w:rPr>
              <w:t>个个人报警剂量仪，</w:t>
            </w:r>
            <w:r>
              <w:rPr>
                <w:rFonts w:hint="eastAsia"/>
                <w:color w:val="auto"/>
                <w:sz w:val="24"/>
                <w:szCs w:val="24"/>
                <w:highlight w:val="none"/>
              </w:rPr>
              <w:t>1台固定式场所辐射探测报警装置。</w:t>
            </w:r>
            <w:r>
              <w:rPr>
                <w:color w:val="auto"/>
                <w:sz w:val="24"/>
                <w:szCs w:val="24"/>
                <w:highlight w:val="none"/>
              </w:rPr>
              <w:t>若后期</w:t>
            </w:r>
            <w:r>
              <w:rPr>
                <w:rFonts w:hint="eastAsia"/>
                <w:color w:val="auto"/>
                <w:sz w:val="24"/>
                <w:szCs w:val="24"/>
                <w:highlight w:val="none"/>
              </w:rPr>
              <w:t>建设单位</w:t>
            </w:r>
            <w:r>
              <w:rPr>
                <w:color w:val="auto"/>
                <w:sz w:val="24"/>
                <w:szCs w:val="24"/>
                <w:highlight w:val="none"/>
              </w:rPr>
              <w:t>需新增辐射工作人员，需</w:t>
            </w:r>
            <w:r>
              <w:rPr>
                <w:rFonts w:hint="eastAsia"/>
                <w:color w:val="auto"/>
                <w:sz w:val="24"/>
                <w:szCs w:val="24"/>
                <w:highlight w:val="none"/>
              </w:rPr>
              <w:t>进行</w:t>
            </w:r>
            <w:r>
              <w:rPr>
                <w:color w:val="auto"/>
                <w:sz w:val="24"/>
                <w:szCs w:val="24"/>
                <w:highlight w:val="none"/>
              </w:rPr>
              <w:t>个人剂量监测</w:t>
            </w:r>
            <w:r>
              <w:rPr>
                <w:rFonts w:hint="eastAsia"/>
                <w:color w:val="auto"/>
                <w:sz w:val="24"/>
                <w:szCs w:val="24"/>
                <w:highlight w:val="none"/>
              </w:rPr>
              <w:t>并增加相应的个人剂量报警仪</w:t>
            </w:r>
            <w:r>
              <w:rPr>
                <w:color w:val="auto"/>
                <w:sz w:val="24"/>
                <w:szCs w:val="24"/>
                <w:highlight w:val="none"/>
              </w:rPr>
              <w:t>。</w:t>
            </w:r>
          </w:p>
          <w:p w14:paraId="2A6B2D7D">
            <w:pPr>
              <w:pStyle w:val="5"/>
              <w:keepNext w:val="0"/>
              <w:keepLines w:val="0"/>
              <w:pageBreakBefore w:val="0"/>
              <w:widowControl w:val="0"/>
              <w:kinsoku/>
              <w:wordWrap/>
              <w:overflowPunct/>
              <w:topLinePunct w:val="0"/>
              <w:autoSpaceDE/>
              <w:autoSpaceDN/>
              <w:bidi w:val="0"/>
              <w:adjustRightInd w:val="0"/>
              <w:snapToGrid w:val="0"/>
              <w:spacing w:before="157" w:beforeLines="50" w:after="157" w:afterLines="50" w:line="360" w:lineRule="auto"/>
              <w:ind w:firstLine="482" w:firstLineChars="200"/>
              <w:textAlignment w:val="auto"/>
              <w:rPr>
                <w:rFonts w:hint="eastAsia"/>
                <w:b/>
                <w:bCs/>
                <w:color w:val="auto"/>
                <w:sz w:val="24"/>
                <w:szCs w:val="22"/>
                <w:highlight w:val="none"/>
              </w:rPr>
            </w:pPr>
            <w:r>
              <w:rPr>
                <w:rFonts w:hint="eastAsia"/>
                <w:b/>
                <w:bCs/>
                <w:color w:val="auto"/>
                <w:sz w:val="24"/>
                <w:szCs w:val="22"/>
                <w:highlight w:val="none"/>
              </w:rPr>
              <w:t>5、职业健康体检</w:t>
            </w:r>
            <w:bookmarkEnd w:id="202"/>
            <w:bookmarkEnd w:id="203"/>
          </w:p>
          <w:p w14:paraId="72106D54">
            <w:pPr>
              <w:pStyle w:val="12"/>
              <w:spacing w:line="360" w:lineRule="auto"/>
              <w:ind w:firstLine="480" w:firstLineChars="200"/>
              <w:rPr>
                <w:color w:val="auto"/>
                <w:highlight w:val="none"/>
              </w:rPr>
            </w:pPr>
            <w:r>
              <w:rPr>
                <w:rFonts w:hint="default" w:ascii="Times New Roman" w:hAnsi="Times New Roman" w:cs="Times New Roman"/>
                <w:color w:val="auto"/>
                <w:sz w:val="24"/>
                <w:szCs w:val="24"/>
                <w:highlight w:val="none"/>
                <w:lang w:eastAsia="zh-CN"/>
              </w:rPr>
              <w:t>安徽泓济环境科技有限公司</w:t>
            </w:r>
            <w:r>
              <w:rPr>
                <w:rFonts w:hint="eastAsia"/>
                <w:color w:val="auto"/>
                <w:highlight w:val="none"/>
              </w:rPr>
              <w:t>应规范个人健康管理档案管理，健康档案应当包括个人基本信息、工作岗位、职业健康体检等材料；个人健康档案应当保存至辐射工作人员年满七十五周岁，或者停止辐射工作三十年；对于体检结果出现异常的，不得安排从事辐射相关工作。职业健康体检在岗人员两年一次，新进辐射人员上岗前应做岗前体检，离岗人员离岗前应做离岗体检。</w:t>
            </w:r>
          </w:p>
          <w:p w14:paraId="6331C600">
            <w:pPr>
              <w:pStyle w:val="5"/>
              <w:keepNext w:val="0"/>
              <w:keepLines w:val="0"/>
              <w:pageBreakBefore w:val="0"/>
              <w:widowControl w:val="0"/>
              <w:kinsoku/>
              <w:wordWrap/>
              <w:overflowPunct/>
              <w:topLinePunct w:val="0"/>
              <w:autoSpaceDE/>
              <w:autoSpaceDN/>
              <w:bidi w:val="0"/>
              <w:adjustRightInd w:val="0"/>
              <w:snapToGrid w:val="0"/>
              <w:spacing w:before="157" w:beforeLines="50" w:after="157" w:afterLines="50" w:line="360" w:lineRule="auto"/>
              <w:ind w:firstLine="482" w:firstLineChars="200"/>
              <w:textAlignment w:val="auto"/>
              <w:rPr>
                <w:rFonts w:hint="eastAsia"/>
                <w:b/>
                <w:bCs/>
                <w:color w:val="auto"/>
                <w:sz w:val="24"/>
                <w:szCs w:val="22"/>
                <w:highlight w:val="none"/>
              </w:rPr>
            </w:pPr>
            <w:bookmarkStart w:id="204" w:name="_Toc1515"/>
            <w:bookmarkStart w:id="205" w:name="_Toc30698"/>
            <w:r>
              <w:rPr>
                <w:rFonts w:hint="eastAsia"/>
                <w:b/>
                <w:bCs/>
                <w:color w:val="auto"/>
                <w:sz w:val="24"/>
                <w:szCs w:val="22"/>
                <w:highlight w:val="none"/>
              </w:rPr>
              <w:t>6、辐射安全与防护考核</w:t>
            </w:r>
            <w:bookmarkEnd w:id="204"/>
            <w:bookmarkEnd w:id="205"/>
          </w:p>
          <w:p w14:paraId="5DBD03F5">
            <w:pPr>
              <w:pStyle w:val="12"/>
              <w:spacing w:line="360" w:lineRule="auto"/>
              <w:ind w:firstLine="480" w:firstLineChars="200"/>
              <w:rPr>
                <w:color w:val="auto"/>
                <w:highlight w:val="none"/>
              </w:rPr>
            </w:pPr>
            <w:r>
              <w:rPr>
                <w:rFonts w:hint="eastAsia"/>
                <w:color w:val="auto"/>
                <w:highlight w:val="none"/>
              </w:rPr>
              <w:t>根据《关于核技术利用辐射安全与防护培训和考核有关事项的公告》（生态环境部公告2019年第57号）的要求，辐射工作人员可通过生态环境部组织开发的国家核技术利用辐射安全与防护培训平台（网址：http://fushe.mee.gov.cn）免费学习相关知识。</w:t>
            </w:r>
            <w:r>
              <w:rPr>
                <w:rFonts w:hint="default" w:ascii="Times New Roman" w:hAnsi="Times New Roman" w:cs="Times New Roman"/>
                <w:color w:val="auto"/>
                <w:sz w:val="24"/>
                <w:szCs w:val="24"/>
                <w:highlight w:val="none"/>
                <w:lang w:eastAsia="zh-CN"/>
              </w:rPr>
              <w:t>安徽泓济环境科技有限公司</w:t>
            </w:r>
            <w:r>
              <w:rPr>
                <w:rFonts w:hint="eastAsia"/>
                <w:color w:val="auto"/>
                <w:highlight w:val="none"/>
              </w:rPr>
              <w:t>新任命的辐射安全负责人、后期可能新增的从事辐射活动的人员，应当通过生态环境部国家核技术利用辐射安全与防护培训平台报名并参加考核，考试不合格不得上岗。</w:t>
            </w:r>
          </w:p>
          <w:p w14:paraId="3C29A8DE">
            <w:pPr>
              <w:pStyle w:val="5"/>
              <w:keepNext w:val="0"/>
              <w:keepLines w:val="0"/>
              <w:pageBreakBefore w:val="0"/>
              <w:widowControl w:val="0"/>
              <w:kinsoku/>
              <w:wordWrap/>
              <w:overflowPunct/>
              <w:topLinePunct w:val="0"/>
              <w:autoSpaceDE/>
              <w:autoSpaceDN/>
              <w:bidi w:val="0"/>
              <w:adjustRightInd w:val="0"/>
              <w:snapToGrid w:val="0"/>
              <w:spacing w:before="157" w:beforeLines="50" w:after="157" w:afterLines="50" w:line="360" w:lineRule="auto"/>
              <w:ind w:firstLine="482" w:firstLineChars="200"/>
              <w:textAlignment w:val="auto"/>
              <w:rPr>
                <w:b/>
                <w:bCs/>
                <w:color w:val="auto"/>
                <w:sz w:val="24"/>
                <w:szCs w:val="22"/>
                <w:highlight w:val="none"/>
              </w:rPr>
            </w:pPr>
            <w:bookmarkStart w:id="206" w:name="_Toc66010051"/>
            <w:bookmarkStart w:id="207" w:name="_Toc30390"/>
            <w:bookmarkStart w:id="208" w:name="_Toc66001617"/>
            <w:bookmarkStart w:id="209" w:name="_Toc21404"/>
            <w:bookmarkStart w:id="210" w:name="_Toc21129"/>
            <w:r>
              <w:rPr>
                <w:rFonts w:hint="eastAsia"/>
                <w:b/>
                <w:bCs/>
                <w:color w:val="auto"/>
                <w:sz w:val="24"/>
                <w:szCs w:val="22"/>
                <w:highlight w:val="none"/>
              </w:rPr>
              <w:t>7、事故应急</w:t>
            </w:r>
            <w:bookmarkEnd w:id="206"/>
            <w:bookmarkEnd w:id="207"/>
            <w:bookmarkEnd w:id="208"/>
            <w:bookmarkEnd w:id="209"/>
            <w:bookmarkEnd w:id="210"/>
          </w:p>
          <w:p w14:paraId="25C735BB">
            <w:pPr>
              <w:spacing w:line="360" w:lineRule="auto"/>
              <w:ind w:firstLine="480" w:firstLineChars="200"/>
              <w:rPr>
                <w:color w:val="auto"/>
                <w:kern w:val="0"/>
                <w:sz w:val="24"/>
                <w:szCs w:val="24"/>
                <w:highlight w:val="none"/>
                <w:lang w:val="zh-CN"/>
              </w:rPr>
            </w:pPr>
            <w:r>
              <w:rPr>
                <w:rFonts w:hint="eastAsia"/>
                <w:color w:val="auto"/>
                <w:kern w:val="0"/>
                <w:sz w:val="24"/>
                <w:szCs w:val="24"/>
                <w:highlight w:val="none"/>
                <w:lang w:val="zh-CN"/>
              </w:rPr>
              <w:t>建设单位已制定《</w:t>
            </w:r>
            <w:r>
              <w:rPr>
                <w:rFonts w:hint="default" w:ascii="Times New Roman" w:hAnsi="Times New Roman" w:cs="Times New Roman"/>
                <w:color w:val="auto"/>
                <w:sz w:val="24"/>
                <w:szCs w:val="24"/>
                <w:highlight w:val="none"/>
                <w:lang w:eastAsia="zh-CN"/>
              </w:rPr>
              <w:t>安徽泓济环境科技有限公司</w:t>
            </w:r>
            <w:r>
              <w:rPr>
                <w:rFonts w:hint="eastAsia"/>
                <w:color w:val="auto"/>
                <w:kern w:val="0"/>
                <w:sz w:val="24"/>
                <w:szCs w:val="24"/>
                <w:highlight w:val="none"/>
                <w:lang w:val="zh-CN"/>
              </w:rPr>
              <w:t>辐射事故应急处理方案》，该方案建立了应急组织，明确各相关部门职责，建立了应急事故处理流程。单位事故处理流程可操作性较强，应急预案制定合理，应定期对应急预案进行演练，并列入培训计划。</w:t>
            </w:r>
          </w:p>
          <w:p w14:paraId="777E1A01">
            <w:pPr>
              <w:spacing w:line="360" w:lineRule="auto"/>
              <w:ind w:firstLine="480" w:firstLineChars="200"/>
              <w:rPr>
                <w:color w:val="auto"/>
                <w:kern w:val="0"/>
                <w:sz w:val="24"/>
                <w:szCs w:val="24"/>
                <w:highlight w:val="none"/>
                <w:lang w:val="zh-CN"/>
              </w:rPr>
            </w:pPr>
            <w:r>
              <w:rPr>
                <w:rFonts w:hint="eastAsia"/>
                <w:color w:val="auto"/>
                <w:kern w:val="0"/>
                <w:sz w:val="24"/>
                <w:szCs w:val="24"/>
                <w:highlight w:val="none"/>
                <w:lang w:val="zh-CN"/>
              </w:rPr>
              <w:t>根据《放射性同位素与射线装置安全和防护条例》《放射性同位素与射线装置安全和防护管理办法》及《突发环境事件信息报告办法》等有关规定，</w:t>
            </w:r>
            <w:r>
              <w:rPr>
                <w:rFonts w:hint="eastAsia"/>
                <w:color w:val="auto"/>
                <w:kern w:val="0"/>
                <w:sz w:val="24"/>
                <w:szCs w:val="24"/>
                <w:highlight w:val="none"/>
              </w:rPr>
              <w:t>建设单位</w:t>
            </w:r>
            <w:r>
              <w:rPr>
                <w:rFonts w:hint="eastAsia"/>
                <w:color w:val="auto"/>
                <w:kern w:val="0"/>
                <w:sz w:val="24"/>
                <w:szCs w:val="24"/>
                <w:highlight w:val="none"/>
                <w:lang w:val="zh-CN"/>
              </w:rPr>
              <w:t>应完善已制定辐射事故应急方案，并定期进行演练，及时进行整改。</w:t>
            </w:r>
          </w:p>
          <w:p w14:paraId="18DB95EA">
            <w:pPr>
              <w:spacing w:line="360" w:lineRule="auto"/>
              <w:ind w:firstLine="480" w:firstLineChars="200"/>
              <w:rPr>
                <w:color w:val="auto"/>
                <w:kern w:val="0"/>
                <w:sz w:val="24"/>
                <w:szCs w:val="24"/>
                <w:highlight w:val="none"/>
                <w:lang w:val="zh-CN"/>
              </w:rPr>
            </w:pPr>
            <w:r>
              <w:rPr>
                <w:rFonts w:hint="eastAsia"/>
                <w:color w:val="auto"/>
                <w:kern w:val="0"/>
                <w:sz w:val="24"/>
                <w:szCs w:val="24"/>
                <w:highlight w:val="none"/>
                <w:lang w:val="zh-CN"/>
              </w:rPr>
              <w:t>当事故发生时，当事人应立即向</w:t>
            </w:r>
            <w:r>
              <w:rPr>
                <w:rFonts w:hint="eastAsia"/>
                <w:color w:val="auto"/>
                <w:kern w:val="0"/>
                <w:sz w:val="24"/>
                <w:szCs w:val="24"/>
                <w:highlight w:val="none"/>
              </w:rPr>
              <w:t>建设单位</w:t>
            </w:r>
            <w:r>
              <w:rPr>
                <w:rFonts w:hint="eastAsia"/>
                <w:color w:val="auto"/>
                <w:kern w:val="0"/>
                <w:sz w:val="24"/>
                <w:szCs w:val="24"/>
                <w:highlight w:val="none"/>
                <w:lang w:val="zh-CN"/>
              </w:rPr>
              <w:t>的辐射安全负责人和法定代表人报告，事故单位应当立即启动本单位的辐射事故应急方案，采取必要处理措施，并在2小时内填写《辐射事故初始报告表》，向当地生态环境主管部门报告，涉及人为故意破坏的还应向公安部门报告，造成人员超剂量照射的，还应同时向当地卫生行政部门报告。</w:t>
            </w:r>
          </w:p>
          <w:p w14:paraId="78CEFF3A">
            <w:pPr>
              <w:pStyle w:val="12"/>
              <w:spacing w:line="360" w:lineRule="auto"/>
              <w:rPr>
                <w:rFonts w:hint="eastAsia"/>
                <w:b/>
                <w:bCs/>
                <w:color w:val="auto"/>
                <w:highlight w:val="none"/>
              </w:rPr>
            </w:pPr>
          </w:p>
          <w:p w14:paraId="25111580">
            <w:pPr>
              <w:pStyle w:val="12"/>
              <w:spacing w:line="360" w:lineRule="auto"/>
              <w:ind w:firstLine="482" w:firstLineChars="200"/>
              <w:rPr>
                <w:b/>
                <w:bCs/>
                <w:color w:val="auto"/>
                <w:highlight w:val="none"/>
              </w:rPr>
            </w:pPr>
            <w:r>
              <w:rPr>
                <w:rFonts w:hint="eastAsia"/>
                <w:b/>
                <w:bCs/>
                <w:color w:val="auto"/>
                <w:highlight w:val="none"/>
              </w:rPr>
              <w:t>8、“三同时”验收和环保投资估算表</w:t>
            </w:r>
          </w:p>
          <w:p w14:paraId="15A8DD4D">
            <w:pPr>
              <w:spacing w:line="360" w:lineRule="auto"/>
              <w:ind w:firstLine="480" w:firstLineChars="200"/>
              <w:rPr>
                <w:rFonts w:hint="eastAsia"/>
                <w:b/>
                <w:color w:val="auto"/>
                <w:szCs w:val="21"/>
                <w:highlight w:val="none"/>
              </w:rPr>
            </w:pPr>
            <w:r>
              <w:rPr>
                <w:rFonts w:hint="eastAsia"/>
                <w:color w:val="auto"/>
                <w:kern w:val="0"/>
                <w:sz w:val="24"/>
                <w:szCs w:val="24"/>
                <w:highlight w:val="none"/>
                <w:lang w:val="zh-CN"/>
              </w:rPr>
              <w:t>根据项目情况，本项目“三同时”验收一览见表12-</w:t>
            </w:r>
            <w:r>
              <w:rPr>
                <w:rFonts w:hint="eastAsia"/>
                <w:color w:val="auto"/>
                <w:kern w:val="0"/>
                <w:sz w:val="24"/>
                <w:szCs w:val="24"/>
                <w:highlight w:val="none"/>
              </w:rPr>
              <w:t>3。</w:t>
            </w:r>
          </w:p>
          <w:p w14:paraId="084D236F">
            <w:pPr>
              <w:snapToGrid w:val="0"/>
              <w:ind w:firstLine="422" w:firstLineChars="200"/>
              <w:jc w:val="center"/>
              <w:rPr>
                <w:b/>
                <w:color w:val="auto"/>
                <w:szCs w:val="21"/>
                <w:highlight w:val="none"/>
              </w:rPr>
            </w:pPr>
            <w:r>
              <w:rPr>
                <w:rFonts w:hint="eastAsia"/>
                <w:b/>
                <w:color w:val="auto"/>
                <w:szCs w:val="21"/>
                <w:highlight w:val="none"/>
              </w:rPr>
              <w:t>表12-3 “三同时”验收一览表</w:t>
            </w:r>
          </w:p>
          <w:tbl>
            <w:tblPr>
              <w:tblStyle w:val="92"/>
              <w:tblW w:w="4996" w:type="pct"/>
              <w:tblInd w:w="0" w:type="dxa"/>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autofit"/>
              <w:tblCellMar>
                <w:top w:w="0" w:type="dxa"/>
                <w:left w:w="0" w:type="dxa"/>
                <w:bottom w:w="0" w:type="dxa"/>
                <w:right w:w="0" w:type="dxa"/>
              </w:tblCellMar>
            </w:tblPr>
            <w:tblGrid>
              <w:gridCol w:w="920"/>
              <w:gridCol w:w="1089"/>
              <w:gridCol w:w="3871"/>
              <w:gridCol w:w="2851"/>
            </w:tblGrid>
            <w:tr w14:paraId="5E75794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920" w:type="dxa"/>
                  <w:tcBorders>
                    <w:tl2br w:val="nil"/>
                    <w:tr2bl w:val="nil"/>
                  </w:tcBorders>
                  <w:vAlign w:val="center"/>
                </w:tcPr>
                <w:p w14:paraId="479EA522">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项目</w:t>
                  </w:r>
                </w:p>
              </w:tc>
              <w:tc>
                <w:tcPr>
                  <w:tcW w:w="1089" w:type="dxa"/>
                  <w:tcBorders>
                    <w:tl2br w:val="nil"/>
                    <w:tr2bl w:val="nil"/>
                  </w:tcBorders>
                  <w:vAlign w:val="center"/>
                </w:tcPr>
                <w:p w14:paraId="0B8B6F13">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“三同时”措施</w:t>
                  </w:r>
                </w:p>
              </w:tc>
              <w:tc>
                <w:tcPr>
                  <w:tcW w:w="3872" w:type="dxa"/>
                  <w:tcBorders>
                    <w:tl2br w:val="nil"/>
                    <w:tr2bl w:val="nil"/>
                  </w:tcBorders>
                  <w:vAlign w:val="center"/>
                </w:tcPr>
                <w:p w14:paraId="4292EB2B">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要求</w:t>
                  </w:r>
                </w:p>
              </w:tc>
              <w:tc>
                <w:tcPr>
                  <w:tcW w:w="2852" w:type="dxa"/>
                  <w:tcBorders>
                    <w:tl2br w:val="nil"/>
                    <w:tr2bl w:val="nil"/>
                  </w:tcBorders>
                  <w:vAlign w:val="center"/>
                </w:tcPr>
                <w:p w14:paraId="589100FE">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验收要求</w:t>
                  </w:r>
                </w:p>
              </w:tc>
            </w:tr>
            <w:tr w14:paraId="48671C9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920" w:type="dxa"/>
                  <w:vMerge w:val="restart"/>
                  <w:tcBorders>
                    <w:tl2br w:val="nil"/>
                    <w:tr2bl w:val="nil"/>
                  </w:tcBorders>
                  <w:vAlign w:val="center"/>
                </w:tcPr>
                <w:p w14:paraId="39469DE5">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辐射安全与防护措施</w:t>
                  </w:r>
                </w:p>
              </w:tc>
              <w:tc>
                <w:tcPr>
                  <w:tcW w:w="1089" w:type="dxa"/>
                  <w:tcBorders>
                    <w:tl2br w:val="nil"/>
                    <w:tr2bl w:val="nil"/>
                  </w:tcBorders>
                  <w:vAlign w:val="center"/>
                </w:tcPr>
                <w:p w14:paraId="566EB1E1">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屏蔽措施</w:t>
                  </w:r>
                </w:p>
              </w:tc>
              <w:tc>
                <w:tcPr>
                  <w:tcW w:w="3872" w:type="dxa"/>
                  <w:tcBorders>
                    <w:tl2br w:val="nil"/>
                    <w:tr2bl w:val="nil"/>
                  </w:tcBorders>
                  <w:vAlign w:val="center"/>
                </w:tcPr>
                <w:p w14:paraId="6D9D2079">
                  <w:pPr>
                    <w:snapToGrid w:val="0"/>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外观尺寸：</w:t>
                  </w:r>
                  <w:r>
                    <w:rPr>
                      <w:rFonts w:hint="default" w:ascii="Times New Roman" w:hAnsi="Times New Roman" w:cs="Times New Roman" w:eastAsiaTheme="minorEastAsia"/>
                      <w:color w:val="auto"/>
                      <w:spacing w:val="-2"/>
                      <w:szCs w:val="21"/>
                      <w:highlight w:val="none"/>
                      <w:lang w:eastAsia="zh-CN"/>
                    </w:rPr>
                    <w:t>长</w:t>
                  </w:r>
                  <w:r>
                    <w:rPr>
                      <w:rFonts w:hint="eastAsia" w:cs="Times New Roman" w:eastAsiaTheme="minorEastAsia"/>
                      <w:color w:val="auto"/>
                      <w:spacing w:val="-2"/>
                      <w:szCs w:val="21"/>
                      <w:highlight w:val="none"/>
                      <w:lang w:val="en-US" w:eastAsia="zh-CN"/>
                    </w:rPr>
                    <w:t>4420</w:t>
                  </w:r>
                  <w:r>
                    <w:rPr>
                      <w:rFonts w:hint="default" w:ascii="Times New Roman" w:hAnsi="Times New Roman" w:cs="Times New Roman" w:eastAsiaTheme="minorEastAsia"/>
                      <w:color w:val="auto"/>
                      <w:spacing w:val="-2"/>
                      <w:szCs w:val="21"/>
                      <w:highlight w:val="none"/>
                      <w:lang w:eastAsia="zh-CN"/>
                    </w:rPr>
                    <w:t>mm×宽</w:t>
                  </w:r>
                  <w:r>
                    <w:rPr>
                      <w:rFonts w:hint="eastAsia" w:cs="Times New Roman" w:eastAsiaTheme="minorEastAsia"/>
                      <w:color w:val="auto"/>
                      <w:spacing w:val="-2"/>
                      <w:szCs w:val="21"/>
                      <w:highlight w:val="none"/>
                      <w:lang w:val="en-US" w:eastAsia="zh-CN"/>
                    </w:rPr>
                    <w:t>4020</w:t>
                  </w:r>
                  <w:r>
                    <w:rPr>
                      <w:rFonts w:hint="default" w:ascii="Times New Roman" w:hAnsi="Times New Roman" w:cs="Times New Roman" w:eastAsiaTheme="minorEastAsia"/>
                      <w:color w:val="auto"/>
                      <w:spacing w:val="-2"/>
                      <w:szCs w:val="21"/>
                      <w:highlight w:val="none"/>
                      <w:lang w:eastAsia="zh-CN"/>
                    </w:rPr>
                    <w:t>mm×高</w:t>
                  </w:r>
                  <w:r>
                    <w:rPr>
                      <w:rFonts w:hint="eastAsia" w:cs="Times New Roman" w:eastAsiaTheme="minorEastAsia"/>
                      <w:color w:val="auto"/>
                      <w:spacing w:val="-2"/>
                      <w:szCs w:val="21"/>
                      <w:highlight w:val="none"/>
                      <w:lang w:val="en-US" w:eastAsia="zh-CN"/>
                    </w:rPr>
                    <w:t>2755</w:t>
                  </w:r>
                  <w:r>
                    <w:rPr>
                      <w:rFonts w:hint="default" w:ascii="Times New Roman" w:hAnsi="Times New Roman" w:cs="Times New Roman" w:eastAsiaTheme="minorEastAsia"/>
                      <w:color w:val="auto"/>
                      <w:spacing w:val="-2"/>
                      <w:szCs w:val="21"/>
                      <w:highlight w:val="none"/>
                      <w:lang w:eastAsia="zh-CN"/>
                    </w:rPr>
                    <w:t>mm；</w:t>
                  </w:r>
                </w:p>
                <w:p w14:paraId="7D3061E4">
                  <w:pPr>
                    <w:snapToGrid w:val="0"/>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内部尺寸：</w:t>
                  </w:r>
                  <w:r>
                    <w:rPr>
                      <w:rFonts w:hint="default" w:ascii="Times New Roman" w:hAnsi="Times New Roman" w:cs="Times New Roman" w:eastAsiaTheme="minorEastAsia"/>
                      <w:color w:val="auto"/>
                      <w:spacing w:val="-2"/>
                      <w:szCs w:val="21"/>
                      <w:highlight w:val="none"/>
                      <w:lang w:eastAsia="zh-CN"/>
                    </w:rPr>
                    <w:t>长</w:t>
                  </w:r>
                  <w:r>
                    <w:rPr>
                      <w:rFonts w:hint="eastAsia" w:cs="Times New Roman" w:eastAsiaTheme="minorEastAsia"/>
                      <w:color w:val="auto"/>
                      <w:spacing w:val="-2"/>
                      <w:szCs w:val="21"/>
                      <w:highlight w:val="none"/>
                      <w:lang w:val="en-US" w:eastAsia="zh-CN"/>
                    </w:rPr>
                    <w:t>4</w:t>
                  </w:r>
                  <w:r>
                    <w:rPr>
                      <w:rFonts w:hint="default" w:ascii="Times New Roman" w:hAnsi="Times New Roman" w:cs="Times New Roman" w:eastAsiaTheme="minorEastAsia"/>
                      <w:color w:val="auto"/>
                      <w:spacing w:val="-2"/>
                      <w:szCs w:val="21"/>
                      <w:highlight w:val="none"/>
                      <w:lang w:eastAsia="zh-CN"/>
                    </w:rPr>
                    <w:t>000mm×宽</w:t>
                  </w:r>
                  <w:r>
                    <w:rPr>
                      <w:rFonts w:hint="eastAsia" w:cs="Times New Roman" w:eastAsiaTheme="minorEastAsia"/>
                      <w:color w:val="auto"/>
                      <w:spacing w:val="-2"/>
                      <w:szCs w:val="21"/>
                      <w:highlight w:val="none"/>
                      <w:lang w:val="en-US" w:eastAsia="zh-CN"/>
                    </w:rPr>
                    <w:t>26</w:t>
                  </w:r>
                  <w:r>
                    <w:rPr>
                      <w:rFonts w:hint="default" w:ascii="Times New Roman" w:hAnsi="Times New Roman" w:cs="Times New Roman" w:eastAsiaTheme="minorEastAsia"/>
                      <w:color w:val="auto"/>
                      <w:spacing w:val="-2"/>
                      <w:szCs w:val="21"/>
                      <w:highlight w:val="none"/>
                      <w:lang w:eastAsia="zh-CN"/>
                    </w:rPr>
                    <w:t>00mm×高</w:t>
                  </w:r>
                  <w:r>
                    <w:rPr>
                      <w:rFonts w:hint="eastAsia" w:cs="Times New Roman" w:eastAsiaTheme="minorEastAsia"/>
                      <w:color w:val="auto"/>
                      <w:spacing w:val="-2"/>
                      <w:szCs w:val="21"/>
                      <w:highlight w:val="none"/>
                      <w:lang w:val="en-US" w:eastAsia="zh-CN"/>
                    </w:rPr>
                    <w:t>25</w:t>
                  </w:r>
                  <w:r>
                    <w:rPr>
                      <w:rFonts w:hint="default" w:ascii="Times New Roman" w:hAnsi="Times New Roman" w:cs="Times New Roman" w:eastAsiaTheme="minorEastAsia"/>
                      <w:color w:val="auto"/>
                      <w:spacing w:val="-2"/>
                      <w:szCs w:val="21"/>
                      <w:highlight w:val="none"/>
                      <w:lang w:eastAsia="zh-CN"/>
                    </w:rPr>
                    <w:t>00mm；</w:t>
                  </w:r>
                </w:p>
                <w:p w14:paraId="4159685F">
                  <w:pPr>
                    <w:snapToGrid w:val="0"/>
                    <w:rPr>
                      <w:rFonts w:hint="default" w:ascii="Times New Roman" w:hAnsi="Times New Roman" w:cs="Times New Roman" w:eastAsiaTheme="minorEastAsia"/>
                      <w:color w:val="auto"/>
                      <w:spacing w:val="-2"/>
                      <w:szCs w:val="21"/>
                      <w:highlight w:val="none"/>
                      <w:lang w:eastAsia="zh-CN"/>
                    </w:rPr>
                  </w:pPr>
                  <w:r>
                    <w:rPr>
                      <w:rFonts w:hint="default" w:ascii="Times New Roman" w:hAnsi="Times New Roman" w:cs="Times New Roman" w:eastAsiaTheme="minorEastAsia"/>
                      <w:color w:val="auto"/>
                      <w:spacing w:val="-1"/>
                      <w:szCs w:val="21"/>
                      <w:highlight w:val="none"/>
                      <w:lang w:eastAsia="zh-CN"/>
                    </w:rPr>
                    <w:t>东、南、西、北侧墙体：</w:t>
                  </w:r>
                  <w:r>
                    <w:rPr>
                      <w:rFonts w:hint="eastAsia" w:cs="Times New Roman" w:eastAsiaTheme="minorEastAsia"/>
                      <w:color w:val="auto"/>
                      <w:spacing w:val="-1"/>
                      <w:szCs w:val="21"/>
                      <w:highlight w:val="none"/>
                      <w:lang w:val="en-US" w:eastAsia="zh-CN"/>
                    </w:rPr>
                    <w:t>5mm钢板＋195</w:t>
                  </w:r>
                  <w:r>
                    <w:rPr>
                      <w:rFonts w:hint="default" w:ascii="Times New Roman" w:hAnsi="Times New Roman" w:cs="Times New Roman" w:eastAsiaTheme="minorEastAsia"/>
                      <w:color w:val="auto"/>
                      <w:spacing w:val="-1"/>
                      <w:szCs w:val="21"/>
                      <w:highlight w:val="none"/>
                      <w:lang w:eastAsia="zh-CN"/>
                    </w:rPr>
                    <w:t>mm</w:t>
                  </w:r>
                  <w:r>
                    <w:rPr>
                      <w:rFonts w:hint="eastAsia" w:cs="Times New Roman" w:eastAsiaTheme="minorEastAsia"/>
                      <w:color w:val="auto"/>
                      <w:spacing w:val="-1"/>
                      <w:szCs w:val="21"/>
                      <w:highlight w:val="none"/>
                      <w:lang w:val="en-US" w:eastAsia="zh-CN"/>
                    </w:rPr>
                    <w:t>重晶石粉</w:t>
                  </w:r>
                  <w:r>
                    <w:rPr>
                      <w:rFonts w:hint="default" w:ascii="Times New Roman" w:hAnsi="Times New Roman" w:cs="Times New Roman" w:eastAsiaTheme="minorEastAsia"/>
                      <w:color w:val="auto"/>
                      <w:spacing w:val="-1"/>
                      <w:szCs w:val="21"/>
                      <w:highlight w:val="none"/>
                      <w:lang w:eastAsia="zh-CN"/>
                    </w:rPr>
                    <w:t>混凝土</w:t>
                  </w:r>
                  <w:r>
                    <w:rPr>
                      <w:rFonts w:hint="eastAsia" w:cs="Times New Roman" w:eastAsiaTheme="minorEastAsia"/>
                      <w:color w:val="auto"/>
                      <w:spacing w:val="-1"/>
                      <w:szCs w:val="21"/>
                      <w:highlight w:val="none"/>
                      <w:lang w:val="en-US" w:eastAsia="zh-CN"/>
                    </w:rPr>
                    <w:t>＋5mm铅板＋5mm钢板</w:t>
                  </w:r>
                  <w:r>
                    <w:rPr>
                      <w:rFonts w:hint="default" w:ascii="Times New Roman" w:hAnsi="Times New Roman" w:cs="Times New Roman" w:eastAsiaTheme="minorEastAsia"/>
                      <w:color w:val="auto"/>
                      <w:spacing w:val="-2"/>
                      <w:szCs w:val="21"/>
                      <w:highlight w:val="none"/>
                      <w:lang w:eastAsia="zh-CN"/>
                    </w:rPr>
                    <w:t>；</w:t>
                  </w:r>
                </w:p>
                <w:p w14:paraId="7910790F">
                  <w:pPr>
                    <w:rPr>
                      <w:rFonts w:hint="default" w:ascii="Times New Roman" w:hAnsi="Times New Roman" w:cs="Times New Roman" w:eastAsiaTheme="minorEastAsia"/>
                      <w:color w:val="auto"/>
                      <w:szCs w:val="22"/>
                      <w:highlight w:val="none"/>
                      <w:lang w:eastAsia="zh-CN"/>
                    </w:rPr>
                  </w:pPr>
                  <w:r>
                    <w:rPr>
                      <w:rFonts w:hint="default" w:ascii="Times New Roman" w:hAnsi="Times New Roman" w:cs="Times New Roman" w:eastAsiaTheme="minorEastAsia"/>
                      <w:color w:val="auto"/>
                      <w:spacing w:val="-1"/>
                      <w:szCs w:val="21"/>
                      <w:highlight w:val="none"/>
                      <w:lang w:eastAsia="zh-CN"/>
                    </w:rPr>
                    <w:t>顶部：</w:t>
                  </w:r>
                  <w:r>
                    <w:rPr>
                      <w:rFonts w:hint="eastAsia" w:cs="Times New Roman" w:eastAsiaTheme="minorEastAsia"/>
                      <w:color w:val="auto"/>
                      <w:spacing w:val="-1"/>
                      <w:szCs w:val="21"/>
                      <w:highlight w:val="none"/>
                      <w:lang w:val="en-US" w:eastAsia="zh-CN"/>
                    </w:rPr>
                    <w:t>5mm钢板＋25</w:t>
                  </w:r>
                  <w:r>
                    <w:rPr>
                      <w:rFonts w:hint="default" w:ascii="Times New Roman" w:hAnsi="Times New Roman" w:cs="Times New Roman" w:eastAsiaTheme="minorEastAsia"/>
                      <w:color w:val="auto"/>
                      <w:spacing w:val="-1"/>
                      <w:szCs w:val="21"/>
                      <w:highlight w:val="none"/>
                      <w:lang w:eastAsia="zh-CN"/>
                    </w:rPr>
                    <w:t>0mm</w:t>
                  </w:r>
                  <w:r>
                    <w:rPr>
                      <w:rFonts w:hint="eastAsia" w:cs="Times New Roman" w:eastAsiaTheme="minorEastAsia"/>
                      <w:color w:val="auto"/>
                      <w:spacing w:val="-1"/>
                      <w:szCs w:val="21"/>
                      <w:highlight w:val="none"/>
                      <w:lang w:val="en-US" w:eastAsia="zh-CN"/>
                    </w:rPr>
                    <w:t>重晶石粉</w:t>
                  </w:r>
                  <w:r>
                    <w:rPr>
                      <w:rFonts w:hint="default" w:ascii="Times New Roman" w:hAnsi="Times New Roman" w:cs="Times New Roman" w:eastAsiaTheme="minorEastAsia"/>
                      <w:color w:val="auto"/>
                      <w:spacing w:val="-1"/>
                      <w:szCs w:val="21"/>
                      <w:highlight w:val="none"/>
                      <w:lang w:eastAsia="zh-CN"/>
                    </w:rPr>
                    <w:t>混凝土</w:t>
                  </w:r>
                  <w:r>
                    <w:rPr>
                      <w:rFonts w:hint="default" w:ascii="Times New Roman" w:hAnsi="Times New Roman" w:cs="Times New Roman" w:eastAsiaTheme="minorEastAsia"/>
                      <w:color w:val="auto"/>
                      <w:spacing w:val="-2"/>
                      <w:szCs w:val="21"/>
                      <w:highlight w:val="none"/>
                      <w:lang w:eastAsia="zh-CN"/>
                    </w:rPr>
                    <w:t>；</w:t>
                  </w:r>
                </w:p>
                <w:p w14:paraId="511B8152">
                  <w:pPr>
                    <w:snapToGrid w:val="0"/>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门洞尺寸：</w:t>
                  </w:r>
                  <w:r>
                    <w:rPr>
                      <w:rFonts w:hint="default" w:ascii="Times New Roman" w:hAnsi="Times New Roman" w:cs="Times New Roman" w:eastAsiaTheme="minorEastAsia"/>
                      <w:color w:val="auto"/>
                      <w:spacing w:val="-2"/>
                      <w:szCs w:val="21"/>
                      <w:highlight w:val="none"/>
                      <w:lang w:eastAsia="zh-CN"/>
                    </w:rPr>
                    <w:t>3000mm×</w:t>
                  </w:r>
                  <w:r>
                    <w:rPr>
                      <w:rFonts w:hint="eastAsia" w:cs="Times New Roman" w:eastAsiaTheme="minorEastAsia"/>
                      <w:color w:val="auto"/>
                      <w:spacing w:val="-2"/>
                      <w:szCs w:val="21"/>
                      <w:highlight w:val="none"/>
                      <w:lang w:val="en-US" w:eastAsia="zh-CN"/>
                    </w:rPr>
                    <w:t>250</w:t>
                  </w:r>
                  <w:r>
                    <w:rPr>
                      <w:rFonts w:hint="default" w:ascii="Times New Roman" w:hAnsi="Times New Roman" w:cs="Times New Roman" w:eastAsiaTheme="minorEastAsia"/>
                      <w:color w:val="auto"/>
                      <w:spacing w:val="-2"/>
                      <w:szCs w:val="21"/>
                      <w:highlight w:val="none"/>
                      <w:lang w:eastAsia="zh-CN"/>
                    </w:rPr>
                    <w:t>0mm</w:t>
                  </w:r>
                  <w:r>
                    <w:rPr>
                      <w:rFonts w:hint="default" w:ascii="Times New Roman" w:hAnsi="Times New Roman" w:cs="Times New Roman" w:eastAsiaTheme="minorEastAsia"/>
                      <w:color w:val="auto"/>
                      <w:spacing w:val="-1"/>
                      <w:szCs w:val="21"/>
                      <w:highlight w:val="none"/>
                      <w:lang w:eastAsia="zh-CN"/>
                    </w:rPr>
                    <w:t>；</w:t>
                  </w:r>
                </w:p>
                <w:p w14:paraId="13AF5323">
                  <w:pPr>
                    <w:snapToGrid w:val="0"/>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门体尺寸：</w:t>
                  </w:r>
                  <w:r>
                    <w:rPr>
                      <w:rFonts w:hint="default" w:ascii="Times New Roman" w:hAnsi="Times New Roman" w:cs="Times New Roman" w:eastAsiaTheme="minorEastAsia"/>
                      <w:color w:val="auto"/>
                      <w:spacing w:val="-2"/>
                      <w:szCs w:val="21"/>
                      <w:highlight w:val="none"/>
                      <w:lang w:eastAsia="zh-CN"/>
                    </w:rPr>
                    <w:t>3</w:t>
                  </w:r>
                  <w:r>
                    <w:rPr>
                      <w:rFonts w:hint="eastAsia" w:cs="Times New Roman" w:eastAsiaTheme="minorEastAsia"/>
                      <w:color w:val="auto"/>
                      <w:spacing w:val="-2"/>
                      <w:szCs w:val="21"/>
                      <w:highlight w:val="none"/>
                      <w:lang w:val="en-US" w:eastAsia="zh-CN"/>
                    </w:rPr>
                    <w:t>4</w:t>
                  </w:r>
                  <w:r>
                    <w:rPr>
                      <w:rFonts w:hint="default" w:ascii="Times New Roman" w:hAnsi="Times New Roman" w:cs="Times New Roman" w:eastAsiaTheme="minorEastAsia"/>
                      <w:color w:val="auto"/>
                      <w:spacing w:val="-2"/>
                      <w:szCs w:val="21"/>
                      <w:highlight w:val="none"/>
                      <w:lang w:eastAsia="zh-CN"/>
                    </w:rPr>
                    <w:t>00mm×</w:t>
                  </w:r>
                  <w:r>
                    <w:rPr>
                      <w:rFonts w:hint="eastAsia" w:cs="Times New Roman" w:eastAsiaTheme="minorEastAsia"/>
                      <w:color w:val="auto"/>
                      <w:spacing w:val="-2"/>
                      <w:szCs w:val="21"/>
                      <w:highlight w:val="none"/>
                      <w:lang w:val="en-US" w:eastAsia="zh-CN"/>
                    </w:rPr>
                    <w:t>28</w:t>
                  </w:r>
                  <w:r>
                    <w:rPr>
                      <w:rFonts w:hint="default" w:ascii="Times New Roman" w:hAnsi="Times New Roman" w:cs="Times New Roman" w:eastAsiaTheme="minorEastAsia"/>
                      <w:color w:val="auto"/>
                      <w:spacing w:val="-2"/>
                      <w:szCs w:val="21"/>
                      <w:highlight w:val="none"/>
                      <w:lang w:eastAsia="zh-CN"/>
                    </w:rPr>
                    <w:t>00mm</w:t>
                  </w:r>
                  <w:r>
                    <w:rPr>
                      <w:rFonts w:hint="default" w:ascii="Times New Roman" w:hAnsi="Times New Roman" w:cs="Times New Roman" w:eastAsiaTheme="minorEastAsia"/>
                      <w:color w:val="auto"/>
                      <w:spacing w:val="-1"/>
                      <w:szCs w:val="21"/>
                      <w:highlight w:val="none"/>
                      <w:lang w:eastAsia="zh-CN"/>
                    </w:rPr>
                    <w:t>；</w:t>
                  </w:r>
                </w:p>
                <w:p w14:paraId="2FB67802">
                  <w:pPr>
                    <w:snapToGrid w:val="0"/>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防护门：</w:t>
                  </w:r>
                  <w:r>
                    <w:rPr>
                      <w:rFonts w:hint="eastAsia" w:cs="Times New Roman" w:eastAsiaTheme="minorEastAsia"/>
                      <w:color w:val="auto"/>
                      <w:spacing w:val="-1"/>
                      <w:szCs w:val="21"/>
                      <w:highlight w:val="none"/>
                      <w:lang w:val="en-US" w:eastAsia="zh-CN"/>
                    </w:rPr>
                    <w:t>8mm钢板＋12</w:t>
                  </w:r>
                  <w:r>
                    <w:rPr>
                      <w:rFonts w:hint="default" w:ascii="Times New Roman" w:hAnsi="Times New Roman" w:cs="Times New Roman" w:eastAsiaTheme="minorEastAsia"/>
                      <w:color w:val="auto"/>
                      <w:spacing w:val="-1"/>
                      <w:szCs w:val="21"/>
                      <w:highlight w:val="none"/>
                      <w:lang w:eastAsia="zh-CN"/>
                    </w:rPr>
                    <w:t>0mm</w:t>
                  </w:r>
                  <w:r>
                    <w:rPr>
                      <w:rFonts w:hint="eastAsia" w:cs="Times New Roman" w:eastAsiaTheme="minorEastAsia"/>
                      <w:color w:val="auto"/>
                      <w:spacing w:val="-1"/>
                      <w:szCs w:val="21"/>
                      <w:highlight w:val="none"/>
                      <w:lang w:val="en-US" w:eastAsia="zh-CN"/>
                    </w:rPr>
                    <w:t>重晶石粉</w:t>
                  </w:r>
                  <w:r>
                    <w:rPr>
                      <w:rFonts w:hint="default" w:ascii="Times New Roman" w:hAnsi="Times New Roman" w:cs="Times New Roman" w:eastAsiaTheme="minorEastAsia"/>
                      <w:color w:val="auto"/>
                      <w:spacing w:val="-1"/>
                      <w:szCs w:val="21"/>
                      <w:highlight w:val="none"/>
                      <w:lang w:eastAsia="zh-CN"/>
                    </w:rPr>
                    <w:t>混凝土</w:t>
                  </w:r>
                  <w:r>
                    <w:rPr>
                      <w:rFonts w:hint="eastAsia" w:cs="Times New Roman" w:eastAsiaTheme="minorEastAsia"/>
                      <w:color w:val="auto"/>
                      <w:spacing w:val="-1"/>
                      <w:szCs w:val="21"/>
                      <w:highlight w:val="none"/>
                      <w:lang w:val="en-US" w:eastAsia="zh-CN"/>
                    </w:rPr>
                    <w:t>＋5mm铅板＋8mm钢板</w:t>
                  </w:r>
                  <w:r>
                    <w:rPr>
                      <w:rFonts w:hint="default" w:ascii="Times New Roman" w:hAnsi="Times New Roman" w:cs="Times New Roman" w:eastAsiaTheme="minorEastAsia"/>
                      <w:color w:val="auto"/>
                      <w:spacing w:val="-1"/>
                      <w:szCs w:val="21"/>
                      <w:highlight w:val="none"/>
                      <w:lang w:eastAsia="en-US"/>
                    </w:rPr>
                    <w:t>。</w:t>
                  </w:r>
                </w:p>
              </w:tc>
              <w:tc>
                <w:tcPr>
                  <w:tcW w:w="2852" w:type="dxa"/>
                  <w:tcBorders>
                    <w:tl2br w:val="nil"/>
                    <w:tr2bl w:val="nil"/>
                  </w:tcBorders>
                  <w:vAlign w:val="center"/>
                </w:tcPr>
                <w:p w14:paraId="711C0181">
                  <w:pPr>
                    <w:snapToGrid w:val="0"/>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探伤房周围屏蔽体外30cm外瞬时剂量率不超过2.5</w:t>
                  </w:r>
                  <w:r>
                    <w:rPr>
                      <w:rFonts w:hint="default" w:ascii="Times New Roman" w:hAnsi="Times New Roman" w:cs="Times New Roman" w:eastAsiaTheme="minorEastAsia"/>
                      <w:color w:val="auto"/>
                      <w:spacing w:val="-1"/>
                      <w:szCs w:val="21"/>
                      <w:highlight w:val="none"/>
                      <w:lang w:eastAsia="en-US"/>
                    </w:rPr>
                    <w:t>μ</w:t>
                  </w:r>
                  <w:r>
                    <w:rPr>
                      <w:rFonts w:hint="default" w:ascii="Times New Roman" w:hAnsi="Times New Roman" w:cs="Times New Roman" w:eastAsiaTheme="minorEastAsia"/>
                      <w:color w:val="auto"/>
                      <w:spacing w:val="-1"/>
                      <w:szCs w:val="21"/>
                      <w:highlight w:val="none"/>
                      <w:lang w:eastAsia="zh-CN"/>
                    </w:rPr>
                    <w:t>Sv/h；</w:t>
                  </w:r>
                </w:p>
                <w:p w14:paraId="3C274552">
                  <w:pPr>
                    <w:snapToGrid w:val="0"/>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辐射工作人员年有效剂量不超过5mSv，公众年有效剂量不超过0.25mSv。</w:t>
                  </w:r>
                </w:p>
              </w:tc>
            </w:tr>
            <w:tr w14:paraId="743122B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920" w:type="dxa"/>
                  <w:vMerge w:val="continue"/>
                  <w:tcBorders>
                    <w:tl2br w:val="nil"/>
                    <w:tr2bl w:val="nil"/>
                  </w:tcBorders>
                  <w:vAlign w:val="center"/>
                </w:tcPr>
                <w:p w14:paraId="19B52C61">
                  <w:pPr>
                    <w:snapToGrid w:val="0"/>
                    <w:jc w:val="center"/>
                    <w:rPr>
                      <w:rFonts w:hint="default" w:ascii="Times New Roman" w:hAnsi="Times New Roman" w:cs="Times New Roman" w:eastAsiaTheme="minorEastAsia"/>
                      <w:color w:val="auto"/>
                      <w:spacing w:val="-1"/>
                      <w:szCs w:val="21"/>
                      <w:highlight w:val="none"/>
                      <w:lang w:eastAsia="zh-CN"/>
                    </w:rPr>
                  </w:pPr>
                </w:p>
              </w:tc>
              <w:tc>
                <w:tcPr>
                  <w:tcW w:w="1089" w:type="dxa"/>
                  <w:tcBorders>
                    <w:tl2br w:val="nil"/>
                    <w:tr2bl w:val="nil"/>
                  </w:tcBorders>
                  <w:vAlign w:val="center"/>
                </w:tcPr>
                <w:p w14:paraId="18AB4573">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安全措施</w:t>
                  </w:r>
                </w:p>
              </w:tc>
              <w:tc>
                <w:tcPr>
                  <w:tcW w:w="3872" w:type="dxa"/>
                  <w:tcBorders>
                    <w:tl2br w:val="nil"/>
                    <w:tr2bl w:val="nil"/>
                  </w:tcBorders>
                  <w:vAlign w:val="center"/>
                </w:tcPr>
                <w:p w14:paraId="1D43B065">
                  <w:pPr>
                    <w:snapToGrid w:val="0"/>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防护门：安装门机联锁装置；X射线探伤房安装语音警示灯箱和工作状态指示灯，并与探伤机联锁；防护门拟设置“当心电离辐射”警告标志和中文警示说明；探伤房内部、操作台和防护门旁外墙拟安装急停按钮，急停按钮安装的位置和数量可满足人员在探伤房内任何位置时，都不需要主射线束就能够使用；X射线探伤房内安装监控系统，监控系统可覆盖整个探伤房内部情况探伤；探伤房出入口设置显示“预备”和“照射”状态的指示灯和声音提示装置，并与探伤机联锁。</w:t>
                  </w:r>
                </w:p>
              </w:tc>
              <w:tc>
                <w:tcPr>
                  <w:tcW w:w="2852" w:type="dxa"/>
                  <w:tcBorders>
                    <w:tl2br w:val="nil"/>
                    <w:tr2bl w:val="nil"/>
                  </w:tcBorders>
                  <w:vAlign w:val="center"/>
                </w:tcPr>
                <w:p w14:paraId="5F0D818F">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设置后可满足验收要求</w:t>
                  </w:r>
                </w:p>
              </w:tc>
            </w:tr>
            <w:tr w14:paraId="455351C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920" w:type="dxa"/>
                  <w:vMerge w:val="restart"/>
                  <w:tcBorders>
                    <w:tl2br w:val="nil"/>
                    <w:tr2bl w:val="nil"/>
                  </w:tcBorders>
                  <w:vAlign w:val="center"/>
                </w:tcPr>
                <w:p w14:paraId="5942794B">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非辐射污染防治</w:t>
                  </w:r>
                </w:p>
              </w:tc>
              <w:tc>
                <w:tcPr>
                  <w:tcW w:w="1089" w:type="dxa"/>
                  <w:tcBorders>
                    <w:tl2br w:val="nil"/>
                    <w:tr2bl w:val="nil"/>
                  </w:tcBorders>
                  <w:vAlign w:val="center"/>
                </w:tcPr>
                <w:p w14:paraId="4D4F1D1B">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废气</w:t>
                  </w:r>
                </w:p>
              </w:tc>
              <w:tc>
                <w:tcPr>
                  <w:tcW w:w="3872" w:type="dxa"/>
                  <w:tcBorders>
                    <w:tl2br w:val="nil"/>
                    <w:tr2bl w:val="nil"/>
                  </w:tcBorders>
                  <w:vAlign w:val="center"/>
                </w:tcPr>
                <w:p w14:paraId="3AB57DD0">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设置机械</w:t>
                  </w:r>
                  <w:r>
                    <w:rPr>
                      <w:rFonts w:hint="default" w:ascii="Times New Roman" w:hAnsi="Times New Roman" w:cs="Times New Roman" w:eastAsiaTheme="minorEastAsia"/>
                      <w:color w:val="auto"/>
                      <w:kern w:val="0"/>
                      <w:szCs w:val="21"/>
                      <w:highlight w:val="none"/>
                      <w:lang w:val="zh-CN" w:eastAsia="zh-CN"/>
                    </w:rPr>
                    <w:t>通风设施，X射线</w:t>
                  </w:r>
                  <w:r>
                    <w:rPr>
                      <w:rFonts w:hint="default" w:ascii="Times New Roman" w:hAnsi="Times New Roman" w:cs="Times New Roman" w:eastAsiaTheme="minorEastAsia"/>
                      <w:color w:val="auto"/>
                      <w:kern w:val="0"/>
                      <w:szCs w:val="21"/>
                      <w:highlight w:val="none"/>
                      <w:lang w:eastAsia="zh-CN"/>
                    </w:rPr>
                    <w:t>探伤房产生的</w:t>
                  </w:r>
                  <w:r>
                    <w:rPr>
                      <w:rFonts w:hint="default" w:ascii="Times New Roman" w:hAnsi="Times New Roman" w:cs="Times New Roman" w:eastAsiaTheme="minorEastAsia"/>
                      <w:color w:val="auto"/>
                      <w:kern w:val="0"/>
                      <w:szCs w:val="21"/>
                      <w:highlight w:val="none"/>
                      <w:lang w:val="zh-CN" w:eastAsia="zh-CN"/>
                    </w:rPr>
                    <w:t>少量的臭氧、氮氧化物等气体，通过机械通风装置排风机</w:t>
                  </w:r>
                  <w:r>
                    <w:rPr>
                      <w:rFonts w:hint="default" w:ascii="Times New Roman" w:hAnsi="Times New Roman" w:cs="Times New Roman" w:eastAsiaTheme="minorEastAsia"/>
                      <w:color w:val="auto"/>
                      <w:kern w:val="0"/>
                      <w:szCs w:val="21"/>
                      <w:highlight w:val="none"/>
                      <w:lang w:eastAsia="zh-CN"/>
                    </w:rPr>
                    <w:t>排出，并通过管道从探伤房</w:t>
                  </w:r>
                  <w:r>
                    <w:rPr>
                      <w:rFonts w:hint="eastAsia" w:cs="Times New Roman" w:eastAsiaTheme="minorEastAsia"/>
                      <w:color w:val="auto"/>
                      <w:kern w:val="0"/>
                      <w:szCs w:val="21"/>
                      <w:highlight w:val="none"/>
                      <w:lang w:val="en-US" w:eastAsia="zh-CN"/>
                    </w:rPr>
                    <w:t>地下东北</w:t>
                  </w:r>
                  <w:r>
                    <w:rPr>
                      <w:rFonts w:hint="default" w:ascii="Times New Roman" w:hAnsi="Times New Roman" w:cs="Times New Roman" w:eastAsiaTheme="minorEastAsia"/>
                      <w:color w:val="auto"/>
                      <w:kern w:val="0"/>
                      <w:szCs w:val="21"/>
                      <w:highlight w:val="none"/>
                      <w:lang w:eastAsia="zh-CN"/>
                    </w:rPr>
                    <w:t>侧引出室外，</w:t>
                  </w:r>
                  <w:r>
                    <w:rPr>
                      <w:rFonts w:hint="default" w:ascii="Times New Roman" w:hAnsi="Times New Roman" w:cs="Times New Roman" w:eastAsiaTheme="minorEastAsia"/>
                      <w:color w:val="auto"/>
                      <w:kern w:val="0"/>
                      <w:szCs w:val="21"/>
                      <w:highlight w:val="none"/>
                      <w:lang w:val="zh-CN" w:eastAsia="zh-CN"/>
                    </w:rPr>
                    <w:t>排入大气环境。</w:t>
                  </w:r>
                  <w:r>
                    <w:rPr>
                      <w:rFonts w:hint="default" w:ascii="Times New Roman" w:hAnsi="Times New Roman" w:cs="Times New Roman" w:eastAsiaTheme="minorEastAsia"/>
                      <w:color w:val="auto"/>
                      <w:kern w:val="0"/>
                      <w:szCs w:val="21"/>
                      <w:highlight w:val="none"/>
                      <w:lang w:eastAsia="zh-CN"/>
                    </w:rPr>
                    <w:t>探伤</w:t>
                  </w:r>
                  <w:r>
                    <w:rPr>
                      <w:rFonts w:hint="default" w:ascii="Times New Roman" w:hAnsi="Times New Roman" w:cs="Times New Roman" w:eastAsiaTheme="minorEastAsia"/>
                      <w:color w:val="auto"/>
                      <w:szCs w:val="21"/>
                      <w:highlight w:val="none"/>
                      <w:lang w:eastAsia="zh-CN"/>
                    </w:rPr>
                    <w:t>房排风机风量为4</w:t>
                  </w:r>
                  <w:r>
                    <w:rPr>
                      <w:rFonts w:hint="eastAsia" w:cs="Times New Roman" w:eastAsiaTheme="minorEastAsia"/>
                      <w:color w:val="auto"/>
                      <w:szCs w:val="21"/>
                      <w:highlight w:val="none"/>
                      <w:lang w:val="en-US" w:eastAsia="zh-CN"/>
                    </w:rPr>
                    <w:t>0</w:t>
                  </w:r>
                  <w:r>
                    <w:rPr>
                      <w:rFonts w:hint="default" w:ascii="Times New Roman" w:hAnsi="Times New Roman" w:cs="Times New Roman" w:eastAsiaTheme="minorEastAsia"/>
                      <w:color w:val="auto"/>
                      <w:szCs w:val="21"/>
                      <w:highlight w:val="none"/>
                      <w:lang w:eastAsia="zh-CN"/>
                    </w:rPr>
                    <w:t>0m</w:t>
                  </w:r>
                  <w:r>
                    <w:rPr>
                      <w:rFonts w:hint="default" w:ascii="Times New Roman" w:hAnsi="Times New Roman" w:cs="Times New Roman" w:eastAsiaTheme="minorEastAsia"/>
                      <w:color w:val="auto"/>
                      <w:szCs w:val="21"/>
                      <w:highlight w:val="none"/>
                      <w:vertAlign w:val="superscript"/>
                      <w:lang w:eastAsia="zh-CN"/>
                    </w:rPr>
                    <w:t>3</w:t>
                  </w:r>
                  <w:r>
                    <w:rPr>
                      <w:rFonts w:hint="default" w:ascii="Times New Roman" w:hAnsi="Times New Roman" w:cs="Times New Roman" w:eastAsiaTheme="minorEastAsia"/>
                      <w:color w:val="auto"/>
                      <w:szCs w:val="21"/>
                      <w:highlight w:val="none"/>
                      <w:lang w:eastAsia="zh-CN"/>
                    </w:rPr>
                    <w:t>/h，通风效率以80%计，通风换气次数为</w:t>
                  </w:r>
                  <w:r>
                    <w:rPr>
                      <w:rFonts w:hint="eastAsia" w:cs="Times New Roman" w:eastAsiaTheme="minorEastAsia"/>
                      <w:color w:val="auto"/>
                      <w:szCs w:val="21"/>
                      <w:highlight w:val="none"/>
                      <w:lang w:val="en-US" w:eastAsia="zh-CN"/>
                    </w:rPr>
                    <w:t>13.3</w:t>
                  </w:r>
                  <w:r>
                    <w:rPr>
                      <w:rFonts w:hint="default" w:ascii="Times New Roman" w:hAnsi="Times New Roman" w:cs="Times New Roman" w:eastAsiaTheme="minorEastAsia"/>
                      <w:color w:val="auto"/>
                      <w:szCs w:val="21"/>
                      <w:highlight w:val="none"/>
                      <w:lang w:eastAsia="zh-CN"/>
                    </w:rPr>
                    <w:t>次/h。</w:t>
                  </w:r>
                </w:p>
              </w:tc>
              <w:tc>
                <w:tcPr>
                  <w:tcW w:w="2852" w:type="dxa"/>
                  <w:tcBorders>
                    <w:tl2br w:val="nil"/>
                    <w:tr2bl w:val="nil"/>
                  </w:tcBorders>
                  <w:vAlign w:val="center"/>
                </w:tcPr>
                <w:p w14:paraId="32353326">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满足《工业探伤放射防护标准》（GBZ117-2022）要求</w:t>
                  </w:r>
                </w:p>
              </w:tc>
            </w:tr>
            <w:tr w14:paraId="40D1994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920" w:type="dxa"/>
                  <w:vMerge w:val="continue"/>
                  <w:tcBorders>
                    <w:tl2br w:val="nil"/>
                    <w:tr2bl w:val="nil"/>
                  </w:tcBorders>
                  <w:vAlign w:val="center"/>
                </w:tcPr>
                <w:p w14:paraId="6B946CBE">
                  <w:pPr>
                    <w:snapToGrid w:val="0"/>
                    <w:jc w:val="center"/>
                    <w:rPr>
                      <w:rFonts w:hint="default" w:ascii="Times New Roman" w:hAnsi="Times New Roman" w:cs="Times New Roman" w:eastAsiaTheme="minorEastAsia"/>
                      <w:color w:val="auto"/>
                      <w:spacing w:val="-1"/>
                      <w:szCs w:val="21"/>
                      <w:highlight w:val="none"/>
                      <w:lang w:eastAsia="zh-CN"/>
                    </w:rPr>
                  </w:pPr>
                </w:p>
              </w:tc>
              <w:tc>
                <w:tcPr>
                  <w:tcW w:w="1089" w:type="dxa"/>
                  <w:tcBorders>
                    <w:tl2br w:val="nil"/>
                    <w:tr2bl w:val="nil"/>
                  </w:tcBorders>
                  <w:vAlign w:val="center"/>
                </w:tcPr>
                <w:p w14:paraId="2AD9A317">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固废</w:t>
                  </w:r>
                </w:p>
              </w:tc>
              <w:tc>
                <w:tcPr>
                  <w:tcW w:w="3872" w:type="dxa"/>
                  <w:tcBorders>
                    <w:tl2br w:val="nil"/>
                    <w:tr2bl w:val="nil"/>
                  </w:tcBorders>
                  <w:vAlign w:val="center"/>
                </w:tcPr>
                <w:p w14:paraId="6F726957">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本项目涉及2名辐射工作人员，工作人员产生的生活垃圾经建设单位所在园区内现有垃圾箱收集后，委托环卫部门清运，做到日产日清。本项目运行期间，每年将产生废胶片，建设单位拟将产生的废胶片收集于危废暂存间内并委托有资质的单位定期处理处置。危废暂存间平时上锁，钥匙由专人保管，并建立危废管理台账。</w:t>
                  </w:r>
                </w:p>
              </w:tc>
              <w:tc>
                <w:tcPr>
                  <w:tcW w:w="2852" w:type="dxa"/>
                  <w:vMerge w:val="restart"/>
                  <w:tcBorders>
                    <w:tl2br w:val="nil"/>
                    <w:tr2bl w:val="nil"/>
                  </w:tcBorders>
                  <w:vAlign w:val="center"/>
                </w:tcPr>
                <w:p w14:paraId="4DE84990">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设置后可满足验收要求</w:t>
                  </w:r>
                </w:p>
              </w:tc>
            </w:tr>
            <w:tr w14:paraId="2082A91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920" w:type="dxa"/>
                  <w:vMerge w:val="continue"/>
                  <w:tcBorders>
                    <w:tl2br w:val="nil"/>
                    <w:tr2bl w:val="nil"/>
                  </w:tcBorders>
                  <w:vAlign w:val="center"/>
                </w:tcPr>
                <w:p w14:paraId="78DC79A0">
                  <w:pPr>
                    <w:snapToGrid w:val="0"/>
                    <w:jc w:val="center"/>
                    <w:rPr>
                      <w:rFonts w:hint="default" w:ascii="Times New Roman" w:hAnsi="Times New Roman" w:cs="Times New Roman" w:eastAsiaTheme="minorEastAsia"/>
                      <w:color w:val="auto"/>
                      <w:spacing w:val="-1"/>
                      <w:szCs w:val="21"/>
                      <w:highlight w:val="none"/>
                      <w:lang w:eastAsia="zh-CN"/>
                    </w:rPr>
                  </w:pPr>
                </w:p>
              </w:tc>
              <w:tc>
                <w:tcPr>
                  <w:tcW w:w="1089" w:type="dxa"/>
                  <w:tcBorders>
                    <w:tl2br w:val="nil"/>
                    <w:tr2bl w:val="nil"/>
                  </w:tcBorders>
                  <w:vAlign w:val="center"/>
                </w:tcPr>
                <w:p w14:paraId="44A58C96">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废水</w:t>
                  </w:r>
                </w:p>
              </w:tc>
              <w:tc>
                <w:tcPr>
                  <w:tcW w:w="3872" w:type="dxa"/>
                  <w:tcBorders>
                    <w:tl2br w:val="nil"/>
                    <w:tr2bl w:val="nil"/>
                  </w:tcBorders>
                  <w:vAlign w:val="center"/>
                </w:tcPr>
                <w:p w14:paraId="58B81786">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本项目运行期间，每年将产生</w:t>
                  </w:r>
                  <w:r>
                    <w:rPr>
                      <w:rFonts w:hint="default" w:ascii="Times New Roman" w:hAnsi="Times New Roman" w:cs="Times New Roman" w:eastAsiaTheme="minorEastAsia"/>
                      <w:color w:val="auto"/>
                      <w:spacing w:val="-1"/>
                      <w:szCs w:val="21"/>
                      <w:highlight w:val="none"/>
                      <w:lang w:val="zh-CN" w:eastAsia="zh-CN"/>
                    </w:rPr>
                    <w:t>废显（定）影剂</w:t>
                  </w:r>
                  <w:r>
                    <w:rPr>
                      <w:rFonts w:hint="default" w:ascii="Times New Roman" w:hAnsi="Times New Roman" w:cs="Times New Roman" w:eastAsiaTheme="minorEastAsia"/>
                      <w:color w:val="auto"/>
                      <w:spacing w:val="-1"/>
                      <w:szCs w:val="21"/>
                      <w:highlight w:val="none"/>
                      <w:lang w:eastAsia="zh-CN"/>
                    </w:rPr>
                    <w:t>约</w:t>
                  </w:r>
                  <w:r>
                    <w:rPr>
                      <w:rFonts w:hint="eastAsia" w:cs="Times New Roman" w:eastAsiaTheme="minorEastAsia"/>
                      <w:color w:val="auto"/>
                      <w:spacing w:val="-1"/>
                      <w:szCs w:val="21"/>
                      <w:highlight w:val="none"/>
                      <w:lang w:val="en-US" w:eastAsia="zh-CN"/>
                    </w:rPr>
                    <w:t>0.014t</w:t>
                  </w:r>
                  <w:r>
                    <w:rPr>
                      <w:rFonts w:hint="default" w:ascii="Times New Roman" w:hAnsi="Times New Roman" w:cs="Times New Roman" w:eastAsiaTheme="minorEastAsia"/>
                      <w:color w:val="auto"/>
                      <w:spacing w:val="-1"/>
                      <w:szCs w:val="21"/>
                      <w:highlight w:val="none"/>
                      <w:lang w:eastAsia="zh-CN"/>
                    </w:rPr>
                    <w:t>，</w:t>
                  </w:r>
                  <w:r>
                    <w:rPr>
                      <w:rFonts w:hint="eastAsia" w:cs="Times New Roman" w:eastAsiaTheme="minorEastAsia"/>
                      <w:color w:val="auto"/>
                      <w:spacing w:val="-1"/>
                      <w:szCs w:val="21"/>
                      <w:highlight w:val="none"/>
                      <w:lang w:val="en-US" w:eastAsia="zh-CN"/>
                    </w:rPr>
                    <w:t>胶片</w:t>
                  </w:r>
                  <w:r>
                    <w:rPr>
                      <w:rFonts w:hint="default" w:ascii="Times New Roman" w:hAnsi="Times New Roman" w:cs="Times New Roman" w:eastAsiaTheme="minorEastAsia"/>
                      <w:color w:val="auto"/>
                      <w:spacing w:val="-1"/>
                      <w:szCs w:val="21"/>
                      <w:highlight w:val="none"/>
                      <w:lang w:val="zh-CN" w:eastAsia="zh-CN"/>
                    </w:rPr>
                    <w:t>冲洗废水</w:t>
                  </w:r>
                  <w:r>
                    <w:rPr>
                      <w:rFonts w:hint="default" w:ascii="Times New Roman" w:hAnsi="Times New Roman" w:cs="Times New Roman" w:eastAsiaTheme="minorEastAsia"/>
                      <w:color w:val="auto"/>
                      <w:spacing w:val="-1"/>
                      <w:szCs w:val="21"/>
                      <w:highlight w:val="none"/>
                      <w:lang w:eastAsia="zh-CN"/>
                    </w:rPr>
                    <w:t>约</w:t>
                  </w:r>
                  <w:r>
                    <w:rPr>
                      <w:rFonts w:hint="eastAsia" w:cs="Times New Roman" w:eastAsiaTheme="minorEastAsia"/>
                      <w:color w:val="auto"/>
                      <w:spacing w:val="-1"/>
                      <w:szCs w:val="21"/>
                      <w:highlight w:val="none"/>
                      <w:lang w:val="en-US" w:eastAsia="zh-CN"/>
                    </w:rPr>
                    <w:t>0.12t</w:t>
                  </w:r>
                  <w:r>
                    <w:rPr>
                      <w:rFonts w:hint="default" w:ascii="Times New Roman" w:hAnsi="Times New Roman" w:cs="Times New Roman" w:eastAsiaTheme="minorEastAsia"/>
                      <w:color w:val="auto"/>
                      <w:spacing w:val="-1"/>
                      <w:szCs w:val="21"/>
                      <w:highlight w:val="none"/>
                      <w:lang w:eastAsia="zh-CN"/>
                    </w:rPr>
                    <w:t>，其中</w:t>
                  </w:r>
                  <w:r>
                    <w:rPr>
                      <w:rFonts w:hint="default" w:ascii="Times New Roman" w:hAnsi="Times New Roman" w:cs="Times New Roman" w:eastAsiaTheme="minorEastAsia"/>
                      <w:color w:val="auto"/>
                      <w:spacing w:val="-1"/>
                      <w:szCs w:val="21"/>
                      <w:highlight w:val="none"/>
                      <w:lang w:val="en-GB" w:eastAsia="zh-CN"/>
                    </w:rPr>
                    <w:t>显影、定影废液</w:t>
                  </w:r>
                  <w:r>
                    <w:rPr>
                      <w:rFonts w:hint="default" w:ascii="Times New Roman" w:hAnsi="Times New Roman" w:cs="Times New Roman" w:eastAsiaTheme="minorEastAsia"/>
                      <w:color w:val="auto"/>
                      <w:spacing w:val="-1"/>
                      <w:szCs w:val="21"/>
                      <w:highlight w:val="none"/>
                      <w:lang w:val="zh-CN" w:eastAsia="zh-CN"/>
                    </w:rPr>
                    <w:t>属《国家危险废物名录》中编号为HW16的危险废物，</w:t>
                  </w:r>
                  <w:r>
                    <w:rPr>
                      <w:rFonts w:hint="eastAsia" w:cs="Times New Roman" w:eastAsiaTheme="minorEastAsia"/>
                      <w:color w:val="auto"/>
                      <w:spacing w:val="-1"/>
                      <w:szCs w:val="21"/>
                      <w:highlight w:val="none"/>
                      <w:lang w:val="en-US" w:eastAsia="zh-CN"/>
                    </w:rPr>
                    <w:t>胶片</w:t>
                  </w:r>
                  <w:r>
                    <w:rPr>
                      <w:rFonts w:hint="default" w:ascii="Times New Roman" w:hAnsi="Times New Roman" w:cs="Times New Roman" w:eastAsiaTheme="minorEastAsia"/>
                      <w:color w:val="auto"/>
                      <w:spacing w:val="-1"/>
                      <w:szCs w:val="21"/>
                      <w:highlight w:val="none"/>
                      <w:lang w:val="zh-CN" w:eastAsia="zh-CN"/>
                    </w:rPr>
                    <w:t>冲洗废水拟按危险废物进行管理处置，不得随意排放。</w:t>
                  </w:r>
                  <w:r>
                    <w:rPr>
                      <w:rFonts w:hint="default" w:ascii="Times New Roman" w:hAnsi="Times New Roman" w:cs="Times New Roman" w:eastAsiaTheme="minorEastAsia"/>
                      <w:color w:val="auto"/>
                      <w:spacing w:val="-1"/>
                      <w:szCs w:val="21"/>
                      <w:highlight w:val="none"/>
                      <w:lang w:eastAsia="zh-CN"/>
                    </w:rPr>
                    <w:t>建设单位拟将产生的</w:t>
                  </w:r>
                  <w:r>
                    <w:rPr>
                      <w:rFonts w:hint="default" w:ascii="Times New Roman" w:hAnsi="Times New Roman" w:cs="Times New Roman" w:eastAsiaTheme="minorEastAsia"/>
                      <w:color w:val="auto"/>
                      <w:spacing w:val="-1"/>
                      <w:szCs w:val="21"/>
                      <w:highlight w:val="none"/>
                      <w:lang w:val="zh-CN" w:eastAsia="zh-CN"/>
                    </w:rPr>
                    <w:t>废显（定）影剂</w:t>
                  </w:r>
                  <w:r>
                    <w:rPr>
                      <w:rFonts w:hint="default" w:ascii="Times New Roman" w:hAnsi="Times New Roman" w:cs="Times New Roman" w:eastAsiaTheme="minorEastAsia"/>
                      <w:color w:val="auto"/>
                      <w:spacing w:val="-1"/>
                      <w:szCs w:val="21"/>
                      <w:highlight w:val="none"/>
                      <w:lang w:eastAsia="zh-CN"/>
                    </w:rPr>
                    <w:t>及</w:t>
                  </w:r>
                  <w:r>
                    <w:rPr>
                      <w:rFonts w:hint="eastAsia" w:cs="Times New Roman" w:eastAsiaTheme="minorEastAsia"/>
                      <w:color w:val="auto"/>
                      <w:spacing w:val="-1"/>
                      <w:szCs w:val="21"/>
                      <w:highlight w:val="none"/>
                      <w:lang w:val="en-US" w:eastAsia="zh-CN"/>
                    </w:rPr>
                    <w:t>胶片</w:t>
                  </w:r>
                  <w:r>
                    <w:rPr>
                      <w:rFonts w:hint="default" w:ascii="Times New Roman" w:hAnsi="Times New Roman" w:cs="Times New Roman" w:eastAsiaTheme="minorEastAsia"/>
                      <w:color w:val="auto"/>
                      <w:spacing w:val="-1"/>
                      <w:szCs w:val="21"/>
                      <w:highlight w:val="none"/>
                      <w:lang w:val="zh-CN" w:eastAsia="zh-CN"/>
                    </w:rPr>
                    <w:t>冲洗废水</w:t>
                  </w:r>
                  <w:r>
                    <w:rPr>
                      <w:rFonts w:hint="default" w:ascii="Times New Roman" w:hAnsi="Times New Roman" w:cs="Times New Roman" w:eastAsiaTheme="minorEastAsia"/>
                      <w:color w:val="auto"/>
                      <w:spacing w:val="-1"/>
                      <w:szCs w:val="21"/>
                      <w:highlight w:val="none"/>
                      <w:lang w:eastAsia="zh-CN"/>
                    </w:rPr>
                    <w:t>收集于危废暂存间防渗漏且无反应的桶内并委托有资质的单位定期处理处置。危废暂存间平时上锁，钥匙由专人保管，并建立危废管理台账。</w:t>
                  </w:r>
                </w:p>
              </w:tc>
              <w:tc>
                <w:tcPr>
                  <w:tcW w:w="2852" w:type="dxa"/>
                  <w:vMerge w:val="continue"/>
                  <w:tcBorders>
                    <w:tl2br w:val="nil"/>
                    <w:tr2bl w:val="nil"/>
                  </w:tcBorders>
                  <w:vAlign w:val="center"/>
                </w:tcPr>
                <w:p w14:paraId="6D79DC02">
                  <w:pPr>
                    <w:snapToGrid w:val="0"/>
                    <w:jc w:val="center"/>
                    <w:rPr>
                      <w:rFonts w:hint="default" w:ascii="Times New Roman" w:hAnsi="Times New Roman" w:cs="Times New Roman" w:eastAsiaTheme="minorEastAsia"/>
                      <w:color w:val="auto"/>
                      <w:spacing w:val="-1"/>
                      <w:szCs w:val="21"/>
                      <w:highlight w:val="none"/>
                      <w:lang w:eastAsia="zh-CN"/>
                    </w:rPr>
                  </w:pPr>
                </w:p>
              </w:tc>
            </w:tr>
            <w:tr w14:paraId="132E7CD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920" w:type="dxa"/>
                  <w:vMerge w:val="continue"/>
                  <w:tcBorders>
                    <w:tl2br w:val="nil"/>
                    <w:tr2bl w:val="nil"/>
                  </w:tcBorders>
                  <w:vAlign w:val="center"/>
                </w:tcPr>
                <w:p w14:paraId="5D1958E6">
                  <w:pPr>
                    <w:snapToGrid w:val="0"/>
                    <w:jc w:val="center"/>
                    <w:rPr>
                      <w:rFonts w:hint="default" w:ascii="Times New Roman" w:hAnsi="Times New Roman" w:cs="Times New Roman" w:eastAsiaTheme="minorEastAsia"/>
                      <w:color w:val="auto"/>
                      <w:spacing w:val="-1"/>
                      <w:szCs w:val="21"/>
                      <w:highlight w:val="none"/>
                      <w:lang w:eastAsia="zh-CN"/>
                    </w:rPr>
                  </w:pPr>
                </w:p>
              </w:tc>
              <w:tc>
                <w:tcPr>
                  <w:tcW w:w="1089" w:type="dxa"/>
                  <w:tcBorders>
                    <w:tl2br w:val="nil"/>
                    <w:tr2bl w:val="nil"/>
                  </w:tcBorders>
                  <w:vAlign w:val="center"/>
                </w:tcPr>
                <w:p w14:paraId="7B83DCF1">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噪声</w:t>
                  </w:r>
                </w:p>
              </w:tc>
              <w:tc>
                <w:tcPr>
                  <w:tcW w:w="3872" w:type="dxa"/>
                  <w:tcBorders>
                    <w:tl2br w:val="nil"/>
                    <w:tr2bl w:val="nil"/>
                  </w:tcBorders>
                  <w:vAlign w:val="center"/>
                </w:tcPr>
                <w:p w14:paraId="1BA2FDB1">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项目</w:t>
                  </w:r>
                  <w:r>
                    <w:rPr>
                      <w:rFonts w:hint="default" w:ascii="Times New Roman" w:hAnsi="Times New Roman" w:cs="Times New Roman" w:eastAsiaTheme="minorEastAsia"/>
                      <w:color w:val="auto"/>
                      <w:spacing w:val="-1"/>
                      <w:szCs w:val="21"/>
                      <w:highlight w:val="none"/>
                      <w:lang w:val="zh-CN" w:eastAsia="zh-CN"/>
                    </w:rPr>
                    <w:t>X射线</w:t>
                  </w:r>
                  <w:r>
                    <w:rPr>
                      <w:rFonts w:hint="default" w:ascii="Times New Roman" w:hAnsi="Times New Roman" w:cs="Times New Roman" w:eastAsiaTheme="minorEastAsia"/>
                      <w:color w:val="auto"/>
                      <w:spacing w:val="-1"/>
                      <w:szCs w:val="21"/>
                      <w:highlight w:val="none"/>
                      <w:lang w:eastAsia="zh-CN"/>
                    </w:rPr>
                    <w:t>探伤房内</w:t>
                  </w:r>
                  <w:r>
                    <w:rPr>
                      <w:rFonts w:hint="default" w:ascii="Times New Roman" w:hAnsi="Times New Roman" w:cs="Times New Roman" w:eastAsiaTheme="minorEastAsia"/>
                      <w:color w:val="auto"/>
                      <w:spacing w:val="-1"/>
                      <w:szCs w:val="21"/>
                      <w:highlight w:val="none"/>
                      <w:lang w:val="zh-CN" w:eastAsia="zh-CN"/>
                    </w:rPr>
                    <w:t>设置机械通风装置，</w:t>
                  </w:r>
                  <w:r>
                    <w:rPr>
                      <w:rFonts w:hint="default" w:ascii="Times New Roman" w:hAnsi="Times New Roman" w:cs="Times New Roman" w:eastAsiaTheme="minorEastAsia"/>
                      <w:color w:val="auto"/>
                      <w:spacing w:val="-1"/>
                      <w:szCs w:val="21"/>
                      <w:highlight w:val="none"/>
                      <w:lang w:eastAsia="zh-CN"/>
                    </w:rPr>
                    <w:t>排风口设置于探伤房</w:t>
                  </w:r>
                  <w:r>
                    <w:rPr>
                      <w:rFonts w:hint="eastAsia" w:cs="Times New Roman" w:eastAsiaTheme="minorEastAsia"/>
                      <w:color w:val="auto"/>
                      <w:spacing w:val="-1"/>
                      <w:szCs w:val="21"/>
                      <w:highlight w:val="none"/>
                      <w:lang w:val="en-US" w:eastAsia="zh-CN"/>
                    </w:rPr>
                    <w:t>地面东北</w:t>
                  </w:r>
                  <w:r>
                    <w:rPr>
                      <w:rFonts w:hint="default" w:ascii="Times New Roman" w:hAnsi="Times New Roman" w:cs="Times New Roman" w:eastAsiaTheme="minorEastAsia"/>
                      <w:color w:val="auto"/>
                      <w:spacing w:val="-1"/>
                      <w:szCs w:val="21"/>
                      <w:highlight w:val="none"/>
                      <w:lang w:eastAsia="zh-CN"/>
                    </w:rPr>
                    <w:t>侧，排风机</w:t>
                  </w:r>
                  <w:r>
                    <w:rPr>
                      <w:rFonts w:hint="default" w:ascii="Times New Roman" w:hAnsi="Times New Roman" w:cs="Times New Roman" w:eastAsiaTheme="minorEastAsia"/>
                      <w:color w:val="auto"/>
                      <w:spacing w:val="-1"/>
                      <w:szCs w:val="21"/>
                      <w:highlight w:val="none"/>
                      <w:lang w:val="zh-CN" w:eastAsia="zh-CN"/>
                    </w:rPr>
                    <w:t>运行时会产生噪声。项目X射线</w:t>
                  </w:r>
                  <w:r>
                    <w:rPr>
                      <w:rFonts w:hint="default" w:ascii="Times New Roman" w:hAnsi="Times New Roman" w:cs="Times New Roman" w:eastAsiaTheme="minorEastAsia"/>
                      <w:color w:val="auto"/>
                      <w:spacing w:val="-1"/>
                      <w:szCs w:val="21"/>
                      <w:highlight w:val="none"/>
                      <w:lang w:eastAsia="zh-CN"/>
                    </w:rPr>
                    <w:t>探伤房</w:t>
                  </w:r>
                  <w:r>
                    <w:rPr>
                      <w:rFonts w:hint="default" w:ascii="Times New Roman" w:hAnsi="Times New Roman" w:cs="Times New Roman" w:eastAsiaTheme="minorEastAsia"/>
                      <w:color w:val="auto"/>
                      <w:spacing w:val="-1"/>
                      <w:szCs w:val="21"/>
                      <w:highlight w:val="none"/>
                      <w:lang w:val="zh-CN" w:eastAsia="zh-CN"/>
                    </w:rPr>
                    <w:t>风机正常运行时距风机1m处的噪声源强不超过</w:t>
                  </w:r>
                  <w:r>
                    <w:rPr>
                      <w:rFonts w:hint="default" w:ascii="Times New Roman" w:hAnsi="Times New Roman" w:cs="Times New Roman" w:eastAsiaTheme="minorEastAsia"/>
                      <w:color w:val="auto"/>
                      <w:spacing w:val="-1"/>
                      <w:szCs w:val="21"/>
                      <w:highlight w:val="none"/>
                      <w:lang w:eastAsia="zh-CN"/>
                    </w:rPr>
                    <w:t>60</w:t>
                  </w:r>
                  <w:r>
                    <w:rPr>
                      <w:rFonts w:hint="default" w:ascii="Times New Roman" w:hAnsi="Times New Roman" w:cs="Times New Roman" w:eastAsiaTheme="minorEastAsia"/>
                      <w:color w:val="auto"/>
                      <w:spacing w:val="-1"/>
                      <w:szCs w:val="21"/>
                      <w:highlight w:val="none"/>
                      <w:lang w:val="zh-CN" w:eastAsia="zh-CN"/>
                    </w:rPr>
                    <w:t>dB（A）。项目对风机噪声控制措施主要为选取低噪声设备、厂房隔声及距离衰减等。</w:t>
                  </w:r>
                </w:p>
              </w:tc>
              <w:tc>
                <w:tcPr>
                  <w:tcW w:w="2852" w:type="dxa"/>
                  <w:vMerge w:val="continue"/>
                  <w:tcBorders>
                    <w:tl2br w:val="nil"/>
                    <w:tr2bl w:val="nil"/>
                  </w:tcBorders>
                  <w:vAlign w:val="center"/>
                </w:tcPr>
                <w:p w14:paraId="319F04B6">
                  <w:pPr>
                    <w:snapToGrid w:val="0"/>
                    <w:jc w:val="center"/>
                    <w:rPr>
                      <w:rFonts w:hint="default" w:ascii="Times New Roman" w:hAnsi="Times New Roman" w:cs="Times New Roman" w:eastAsiaTheme="minorEastAsia"/>
                      <w:color w:val="auto"/>
                      <w:spacing w:val="-1"/>
                      <w:szCs w:val="21"/>
                      <w:highlight w:val="none"/>
                      <w:lang w:eastAsia="zh-CN"/>
                    </w:rPr>
                  </w:pPr>
                </w:p>
              </w:tc>
            </w:tr>
            <w:tr w14:paraId="0D0503D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920" w:type="dxa"/>
                  <w:vMerge w:val="restart"/>
                  <w:tcBorders>
                    <w:tl2br w:val="nil"/>
                    <w:tr2bl w:val="nil"/>
                  </w:tcBorders>
                  <w:vAlign w:val="center"/>
                </w:tcPr>
                <w:p w14:paraId="3DA4B358">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人员配置</w:t>
                  </w:r>
                </w:p>
              </w:tc>
              <w:tc>
                <w:tcPr>
                  <w:tcW w:w="1089" w:type="dxa"/>
                  <w:tcBorders>
                    <w:tl2br w:val="nil"/>
                    <w:tr2bl w:val="nil"/>
                  </w:tcBorders>
                  <w:vAlign w:val="center"/>
                </w:tcPr>
                <w:p w14:paraId="4B4721CA">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辐射防护与安全培训和考核</w:t>
                  </w:r>
                </w:p>
              </w:tc>
              <w:tc>
                <w:tcPr>
                  <w:tcW w:w="3872" w:type="dxa"/>
                  <w:tcBorders>
                    <w:tl2br w:val="nil"/>
                    <w:tr2bl w:val="nil"/>
                  </w:tcBorders>
                  <w:vAlign w:val="center"/>
                </w:tcPr>
                <w:p w14:paraId="668B9CC1">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辐射工作人员及辐射安全防护管理负责人应通过辐射安全与防护知识考核。</w:t>
                  </w:r>
                </w:p>
              </w:tc>
              <w:tc>
                <w:tcPr>
                  <w:tcW w:w="2852" w:type="dxa"/>
                  <w:vMerge w:val="restart"/>
                  <w:tcBorders>
                    <w:tl2br w:val="nil"/>
                    <w:tr2bl w:val="nil"/>
                  </w:tcBorders>
                  <w:vAlign w:val="center"/>
                </w:tcPr>
                <w:p w14:paraId="5F1AB862">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满足《放射性同位素与射线装置安全许可管理办法》中从事辐射工作的人员必须通过辐射安全和防护专业知识及相关法律法规的考核、开展个人剂量监测以及开展职业健康体检的管理要求</w:t>
                  </w:r>
                </w:p>
              </w:tc>
            </w:tr>
            <w:tr w14:paraId="3BD3267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920" w:type="dxa"/>
                  <w:vMerge w:val="continue"/>
                  <w:tcBorders>
                    <w:tl2br w:val="nil"/>
                    <w:tr2bl w:val="nil"/>
                  </w:tcBorders>
                  <w:vAlign w:val="center"/>
                </w:tcPr>
                <w:p w14:paraId="53CC2683">
                  <w:pPr>
                    <w:snapToGrid w:val="0"/>
                    <w:jc w:val="center"/>
                    <w:rPr>
                      <w:rFonts w:hint="default" w:ascii="Times New Roman" w:hAnsi="Times New Roman" w:cs="Times New Roman" w:eastAsiaTheme="minorEastAsia"/>
                      <w:color w:val="auto"/>
                      <w:spacing w:val="-1"/>
                      <w:szCs w:val="21"/>
                      <w:highlight w:val="none"/>
                      <w:lang w:eastAsia="zh-CN"/>
                    </w:rPr>
                  </w:pPr>
                </w:p>
              </w:tc>
              <w:tc>
                <w:tcPr>
                  <w:tcW w:w="1089" w:type="dxa"/>
                  <w:tcBorders>
                    <w:tl2br w:val="nil"/>
                    <w:tr2bl w:val="nil"/>
                  </w:tcBorders>
                  <w:vAlign w:val="center"/>
                </w:tcPr>
                <w:p w14:paraId="54318CB9">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职业健康体检</w:t>
                  </w:r>
                </w:p>
              </w:tc>
              <w:tc>
                <w:tcPr>
                  <w:tcW w:w="3872" w:type="dxa"/>
                  <w:tcBorders>
                    <w:tl2br w:val="nil"/>
                    <w:tr2bl w:val="nil"/>
                  </w:tcBorders>
                  <w:vAlign w:val="center"/>
                </w:tcPr>
                <w:p w14:paraId="62B9286B">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辐射工作人员定期进行职业健康体检，并建立放射工作人员职业健康档案。</w:t>
                  </w:r>
                </w:p>
              </w:tc>
              <w:tc>
                <w:tcPr>
                  <w:tcW w:w="2852" w:type="dxa"/>
                  <w:vMerge w:val="continue"/>
                  <w:tcBorders>
                    <w:tl2br w:val="nil"/>
                    <w:tr2bl w:val="nil"/>
                  </w:tcBorders>
                  <w:vAlign w:val="center"/>
                </w:tcPr>
                <w:p w14:paraId="62706996">
                  <w:pPr>
                    <w:snapToGrid w:val="0"/>
                    <w:jc w:val="center"/>
                    <w:rPr>
                      <w:rFonts w:hint="default" w:ascii="Times New Roman" w:hAnsi="Times New Roman" w:cs="Times New Roman" w:eastAsiaTheme="minorEastAsia"/>
                      <w:color w:val="auto"/>
                      <w:spacing w:val="-1"/>
                      <w:szCs w:val="21"/>
                      <w:highlight w:val="none"/>
                      <w:lang w:eastAsia="zh-CN"/>
                    </w:rPr>
                  </w:pPr>
                </w:p>
              </w:tc>
            </w:tr>
            <w:tr w14:paraId="575FEB1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920" w:type="dxa"/>
                  <w:vMerge w:val="continue"/>
                  <w:tcBorders>
                    <w:tl2br w:val="nil"/>
                    <w:tr2bl w:val="nil"/>
                  </w:tcBorders>
                  <w:vAlign w:val="center"/>
                </w:tcPr>
                <w:p w14:paraId="4E183880">
                  <w:pPr>
                    <w:snapToGrid w:val="0"/>
                    <w:jc w:val="center"/>
                    <w:rPr>
                      <w:rFonts w:hint="default" w:ascii="Times New Roman" w:hAnsi="Times New Roman" w:cs="Times New Roman" w:eastAsiaTheme="minorEastAsia"/>
                      <w:color w:val="auto"/>
                      <w:spacing w:val="-1"/>
                      <w:szCs w:val="21"/>
                      <w:highlight w:val="none"/>
                      <w:lang w:eastAsia="zh-CN"/>
                    </w:rPr>
                  </w:pPr>
                </w:p>
              </w:tc>
              <w:tc>
                <w:tcPr>
                  <w:tcW w:w="1089" w:type="dxa"/>
                  <w:tcBorders>
                    <w:tl2br w:val="nil"/>
                    <w:tr2bl w:val="nil"/>
                  </w:tcBorders>
                  <w:vAlign w:val="center"/>
                </w:tcPr>
                <w:p w14:paraId="3AF905FC">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个人剂量监测</w:t>
                  </w:r>
                </w:p>
              </w:tc>
              <w:tc>
                <w:tcPr>
                  <w:tcW w:w="3872" w:type="dxa"/>
                  <w:tcBorders>
                    <w:tl2br w:val="nil"/>
                    <w:tr2bl w:val="nil"/>
                  </w:tcBorders>
                  <w:vAlign w:val="center"/>
                </w:tcPr>
                <w:p w14:paraId="460508B1">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辐射工作人员在上岗前佩戴个人剂量计，并定期送检（最长不应超过3个月），加强个人剂量监测，建立个人剂量档案。</w:t>
                  </w:r>
                </w:p>
              </w:tc>
              <w:tc>
                <w:tcPr>
                  <w:tcW w:w="2852" w:type="dxa"/>
                  <w:vMerge w:val="continue"/>
                  <w:tcBorders>
                    <w:tl2br w:val="nil"/>
                    <w:tr2bl w:val="nil"/>
                  </w:tcBorders>
                  <w:vAlign w:val="center"/>
                </w:tcPr>
                <w:p w14:paraId="48313192">
                  <w:pPr>
                    <w:snapToGrid w:val="0"/>
                    <w:jc w:val="center"/>
                    <w:rPr>
                      <w:rFonts w:hint="default" w:ascii="Times New Roman" w:hAnsi="Times New Roman" w:cs="Times New Roman" w:eastAsiaTheme="minorEastAsia"/>
                      <w:color w:val="auto"/>
                      <w:spacing w:val="-1"/>
                      <w:szCs w:val="21"/>
                      <w:highlight w:val="none"/>
                      <w:lang w:eastAsia="zh-CN"/>
                    </w:rPr>
                  </w:pPr>
                </w:p>
              </w:tc>
            </w:tr>
            <w:tr w14:paraId="7625261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920" w:type="dxa"/>
                  <w:tcBorders>
                    <w:tl2br w:val="nil"/>
                    <w:tr2bl w:val="nil"/>
                  </w:tcBorders>
                  <w:vAlign w:val="center"/>
                </w:tcPr>
                <w:p w14:paraId="3D9BC2B1">
                  <w:pPr>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监测仪器和防护用品</w:t>
                  </w:r>
                </w:p>
              </w:tc>
              <w:tc>
                <w:tcPr>
                  <w:tcW w:w="1089" w:type="dxa"/>
                  <w:tcBorders>
                    <w:tl2br w:val="nil"/>
                    <w:tr2bl w:val="nil"/>
                  </w:tcBorders>
                  <w:vAlign w:val="center"/>
                </w:tcPr>
                <w:p w14:paraId="587EE183">
                  <w:pPr>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监测仪器</w:t>
                  </w:r>
                </w:p>
              </w:tc>
              <w:tc>
                <w:tcPr>
                  <w:tcW w:w="3872" w:type="dxa"/>
                  <w:tcBorders>
                    <w:tl2br w:val="nil"/>
                    <w:tr2bl w:val="nil"/>
                  </w:tcBorders>
                  <w:vAlign w:val="center"/>
                </w:tcPr>
                <w:p w14:paraId="3B8FA998">
                  <w:pPr>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配置1台便携式辐射剂量仪，2台个人剂量报警仪，探伤房内安装1台固定式场所辐射探测报警装置。</w:t>
                  </w:r>
                </w:p>
              </w:tc>
              <w:tc>
                <w:tcPr>
                  <w:tcW w:w="2852" w:type="dxa"/>
                  <w:tcBorders>
                    <w:tl2br w:val="nil"/>
                    <w:tr2bl w:val="nil"/>
                  </w:tcBorders>
                  <w:vAlign w:val="center"/>
                </w:tcPr>
                <w:p w14:paraId="7058A321">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按要求配置，每月对项目探伤房周围X-</w:t>
                  </w:r>
                  <w:r>
                    <w:rPr>
                      <w:rFonts w:hint="default" w:ascii="Times New Roman" w:hAnsi="Times New Roman" w:cs="Times New Roman" w:eastAsiaTheme="minorEastAsia"/>
                      <w:color w:val="auto"/>
                      <w:spacing w:val="-1"/>
                      <w:szCs w:val="21"/>
                      <w:highlight w:val="none"/>
                      <w:lang w:eastAsia="en-US"/>
                    </w:rPr>
                    <w:t>γ</w:t>
                  </w:r>
                  <w:r>
                    <w:rPr>
                      <w:rFonts w:hint="default" w:ascii="Times New Roman" w:hAnsi="Times New Roman" w:cs="Times New Roman" w:eastAsiaTheme="minorEastAsia"/>
                      <w:color w:val="auto"/>
                      <w:spacing w:val="-1"/>
                      <w:szCs w:val="21"/>
                      <w:highlight w:val="none"/>
                      <w:lang w:eastAsia="zh-CN"/>
                    </w:rPr>
                    <w:t>辐射剂量率进行监测，并对监测结果进行存档</w:t>
                  </w:r>
                </w:p>
              </w:tc>
            </w:tr>
            <w:tr w14:paraId="1122E63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c>
                <w:tcPr>
                  <w:tcW w:w="920" w:type="dxa"/>
                  <w:tcBorders>
                    <w:tl2br w:val="nil"/>
                    <w:tr2bl w:val="nil"/>
                  </w:tcBorders>
                  <w:vAlign w:val="center"/>
                </w:tcPr>
                <w:p w14:paraId="5A5B66ED">
                  <w:pPr>
                    <w:snapToGrid w:val="0"/>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辐射安全管理制度</w:t>
                  </w:r>
                </w:p>
              </w:tc>
              <w:tc>
                <w:tcPr>
                  <w:tcW w:w="4961" w:type="dxa"/>
                  <w:gridSpan w:val="2"/>
                  <w:tcBorders>
                    <w:tl2br w:val="nil"/>
                    <w:tr2bl w:val="nil"/>
                  </w:tcBorders>
                  <w:vAlign w:val="center"/>
                </w:tcPr>
                <w:p w14:paraId="3C5DF89A">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根据环评要求，按照项目的实际情况，补充相关内容，完善辐射安全规章制度。</w:t>
                  </w:r>
                </w:p>
              </w:tc>
              <w:tc>
                <w:tcPr>
                  <w:tcW w:w="2852" w:type="dxa"/>
                  <w:tcBorders>
                    <w:tl2br w:val="nil"/>
                    <w:tr2bl w:val="nil"/>
                  </w:tcBorders>
                  <w:vAlign w:val="center"/>
                </w:tcPr>
                <w:p w14:paraId="607DBB0A">
                  <w:pPr>
                    <w:snapToGrid w:val="0"/>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完善后可满足</w:t>
                  </w:r>
                </w:p>
              </w:tc>
            </w:tr>
          </w:tbl>
          <w:p w14:paraId="3083F364">
            <w:pPr>
              <w:spacing w:before="127" w:line="360" w:lineRule="auto"/>
              <w:ind w:firstLine="601"/>
              <w:rPr>
                <w:color w:val="auto"/>
                <w:spacing w:val="-3"/>
                <w:sz w:val="24"/>
                <w:szCs w:val="24"/>
                <w:highlight w:val="none"/>
              </w:rPr>
            </w:pPr>
            <w:r>
              <w:rPr>
                <w:rFonts w:ascii="宋体" w:hAnsi="宋体" w:cs="宋体"/>
                <w:color w:val="auto"/>
                <w:sz w:val="24"/>
                <w:szCs w:val="24"/>
                <w:highlight w:val="none"/>
              </w:rPr>
              <w:t>项目总</w:t>
            </w:r>
            <w:r>
              <w:rPr>
                <w:color w:val="auto"/>
                <w:sz w:val="24"/>
                <w:szCs w:val="24"/>
                <w:highlight w:val="none"/>
              </w:rPr>
              <w:t>投资</w:t>
            </w:r>
            <w:r>
              <w:rPr>
                <w:rFonts w:hint="eastAsia"/>
                <w:color w:val="auto"/>
                <w:sz w:val="24"/>
                <w:szCs w:val="24"/>
                <w:highlight w:val="none"/>
                <w:lang w:val="en-US" w:eastAsia="zh-CN"/>
              </w:rPr>
              <w:t>7</w:t>
            </w:r>
            <w:r>
              <w:rPr>
                <w:rFonts w:hint="eastAsia"/>
                <w:color w:val="auto"/>
                <w:sz w:val="24"/>
                <w:szCs w:val="24"/>
                <w:highlight w:val="none"/>
              </w:rPr>
              <w:t>0</w:t>
            </w:r>
            <w:r>
              <w:rPr>
                <w:color w:val="auto"/>
                <w:sz w:val="24"/>
                <w:szCs w:val="24"/>
                <w:highlight w:val="none"/>
              </w:rPr>
              <w:t>万，环保投资</w:t>
            </w:r>
            <w:r>
              <w:rPr>
                <w:rFonts w:hint="eastAsia"/>
                <w:color w:val="auto"/>
                <w:sz w:val="24"/>
                <w:szCs w:val="24"/>
                <w:highlight w:val="none"/>
                <w:lang w:val="en-US" w:eastAsia="zh-CN"/>
              </w:rPr>
              <w:t>20</w:t>
            </w:r>
            <w:r>
              <w:rPr>
                <w:color w:val="auto"/>
                <w:sz w:val="24"/>
                <w:szCs w:val="24"/>
                <w:highlight w:val="none"/>
              </w:rPr>
              <w:t>万元，占总投资的</w:t>
            </w:r>
            <w:r>
              <w:rPr>
                <w:rFonts w:hint="eastAsia"/>
                <w:color w:val="auto"/>
                <w:sz w:val="24"/>
                <w:szCs w:val="24"/>
                <w:highlight w:val="none"/>
                <w:lang w:val="en-US" w:eastAsia="zh-CN"/>
              </w:rPr>
              <w:t>28.6</w:t>
            </w:r>
            <w:r>
              <w:rPr>
                <w:rFonts w:eastAsia="Times New Roman"/>
                <w:color w:val="auto"/>
                <w:sz w:val="24"/>
                <w:szCs w:val="24"/>
                <w:highlight w:val="none"/>
              </w:rPr>
              <w:t>%</w:t>
            </w:r>
            <w:r>
              <w:rPr>
                <w:color w:val="auto"/>
                <w:sz w:val="24"/>
                <w:szCs w:val="24"/>
                <w:highlight w:val="none"/>
              </w:rPr>
              <w:t>，项目环保</w:t>
            </w:r>
            <w:r>
              <w:rPr>
                <w:color w:val="auto"/>
                <w:spacing w:val="-3"/>
                <w:sz w:val="24"/>
                <w:szCs w:val="24"/>
                <w:highlight w:val="none"/>
              </w:rPr>
              <w:t>投资一览表见表</w:t>
            </w:r>
            <w:r>
              <w:rPr>
                <w:color w:val="auto"/>
                <w:spacing w:val="-21"/>
                <w:sz w:val="24"/>
                <w:szCs w:val="24"/>
                <w:highlight w:val="none"/>
              </w:rPr>
              <w:t xml:space="preserve"> </w:t>
            </w:r>
            <w:r>
              <w:rPr>
                <w:rFonts w:eastAsia="Times New Roman"/>
                <w:color w:val="auto"/>
                <w:spacing w:val="-3"/>
                <w:sz w:val="24"/>
                <w:szCs w:val="24"/>
                <w:highlight w:val="none"/>
              </w:rPr>
              <w:t>12-</w:t>
            </w:r>
            <w:r>
              <w:rPr>
                <w:rFonts w:hint="eastAsia"/>
                <w:color w:val="auto"/>
                <w:spacing w:val="-3"/>
                <w:sz w:val="24"/>
                <w:szCs w:val="24"/>
                <w:highlight w:val="none"/>
              </w:rPr>
              <w:t>4</w:t>
            </w:r>
            <w:r>
              <w:rPr>
                <w:color w:val="auto"/>
                <w:spacing w:val="-3"/>
                <w:sz w:val="24"/>
                <w:szCs w:val="24"/>
                <w:highlight w:val="none"/>
              </w:rPr>
              <w:t>。</w:t>
            </w:r>
          </w:p>
          <w:p w14:paraId="6EFAA415">
            <w:pPr>
              <w:snapToGrid w:val="0"/>
              <w:ind w:firstLine="422" w:firstLineChars="200"/>
              <w:jc w:val="center"/>
              <w:rPr>
                <w:b/>
                <w:color w:val="auto"/>
                <w:szCs w:val="21"/>
                <w:highlight w:val="none"/>
              </w:rPr>
            </w:pPr>
            <w:r>
              <w:rPr>
                <w:rFonts w:hint="eastAsia"/>
                <w:b/>
                <w:color w:val="auto"/>
                <w:szCs w:val="21"/>
                <w:highlight w:val="none"/>
              </w:rPr>
              <w:t>表12-4 项目环保投资一览表</w:t>
            </w:r>
          </w:p>
          <w:tbl>
            <w:tblPr>
              <w:tblStyle w:val="92"/>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070"/>
              <w:gridCol w:w="4699"/>
              <w:gridCol w:w="1969"/>
            </w:tblGrid>
            <w:tr w14:paraId="292D32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70" w:type="dxa"/>
                  <w:tcBorders>
                    <w:tl2br w:val="nil"/>
                    <w:tr2bl w:val="nil"/>
                  </w:tcBorders>
                  <w:vAlign w:val="center"/>
                </w:tcPr>
                <w:p w14:paraId="65E5DC70">
                  <w:pPr>
                    <w:jc w:val="center"/>
                    <w:rPr>
                      <w:rFonts w:asciiTheme="minorHAnsi" w:hAnsiTheme="minorHAnsi" w:eastAsiaTheme="minorEastAsia" w:cstheme="minorBidi"/>
                      <w:b/>
                      <w:bCs/>
                      <w:color w:val="auto"/>
                      <w:spacing w:val="-1"/>
                      <w:szCs w:val="21"/>
                      <w:highlight w:val="none"/>
                      <w:lang w:eastAsia="en-US"/>
                    </w:rPr>
                  </w:pPr>
                  <w:r>
                    <w:rPr>
                      <w:rFonts w:asciiTheme="minorHAnsi" w:hAnsiTheme="minorHAnsi" w:eastAsiaTheme="minorEastAsia" w:cstheme="minorBidi"/>
                      <w:b/>
                      <w:bCs/>
                      <w:color w:val="auto"/>
                      <w:spacing w:val="-1"/>
                      <w:szCs w:val="21"/>
                      <w:highlight w:val="none"/>
                      <w:lang w:eastAsia="en-US"/>
                    </w:rPr>
                    <w:t>项目</w:t>
                  </w:r>
                </w:p>
              </w:tc>
              <w:tc>
                <w:tcPr>
                  <w:tcW w:w="4699" w:type="dxa"/>
                  <w:tcBorders>
                    <w:tl2br w:val="nil"/>
                    <w:tr2bl w:val="nil"/>
                  </w:tcBorders>
                  <w:vAlign w:val="center"/>
                </w:tcPr>
                <w:p w14:paraId="0B962A32">
                  <w:pPr>
                    <w:jc w:val="center"/>
                    <w:rPr>
                      <w:rFonts w:asciiTheme="minorHAnsi" w:hAnsiTheme="minorHAnsi" w:eastAsiaTheme="minorEastAsia" w:cstheme="minorBidi"/>
                      <w:b/>
                      <w:bCs/>
                      <w:color w:val="auto"/>
                      <w:spacing w:val="-1"/>
                      <w:szCs w:val="21"/>
                      <w:highlight w:val="none"/>
                      <w:lang w:eastAsia="en-US"/>
                    </w:rPr>
                  </w:pPr>
                  <w:r>
                    <w:rPr>
                      <w:rFonts w:asciiTheme="minorHAnsi" w:hAnsiTheme="minorHAnsi" w:eastAsiaTheme="minorEastAsia" w:cstheme="minorBidi"/>
                      <w:b/>
                      <w:bCs/>
                      <w:color w:val="auto"/>
                      <w:spacing w:val="-1"/>
                      <w:szCs w:val="21"/>
                      <w:highlight w:val="none"/>
                      <w:lang w:eastAsia="en-US"/>
                    </w:rPr>
                    <w:t>环保设施/措施名称</w:t>
                  </w:r>
                </w:p>
              </w:tc>
              <w:tc>
                <w:tcPr>
                  <w:tcW w:w="1969" w:type="dxa"/>
                  <w:tcBorders>
                    <w:tl2br w:val="nil"/>
                    <w:tr2bl w:val="nil"/>
                  </w:tcBorders>
                  <w:vAlign w:val="center"/>
                </w:tcPr>
                <w:p w14:paraId="1D802A02">
                  <w:pPr>
                    <w:jc w:val="center"/>
                    <w:rPr>
                      <w:rFonts w:asciiTheme="minorHAnsi" w:hAnsiTheme="minorHAnsi" w:eastAsiaTheme="minorEastAsia" w:cstheme="minorBidi"/>
                      <w:b/>
                      <w:bCs/>
                      <w:color w:val="auto"/>
                      <w:spacing w:val="-1"/>
                      <w:szCs w:val="21"/>
                      <w:highlight w:val="none"/>
                      <w:lang w:eastAsia="en-US"/>
                    </w:rPr>
                  </w:pPr>
                  <w:r>
                    <w:rPr>
                      <w:rFonts w:asciiTheme="minorHAnsi" w:hAnsiTheme="minorHAnsi" w:eastAsiaTheme="minorEastAsia" w:cstheme="minorBidi"/>
                      <w:b/>
                      <w:bCs/>
                      <w:color w:val="auto"/>
                      <w:spacing w:val="-1"/>
                      <w:szCs w:val="21"/>
                      <w:highlight w:val="none"/>
                      <w:lang w:eastAsia="en-US"/>
                    </w:rPr>
                    <w:t>投资（万元）</w:t>
                  </w:r>
                </w:p>
              </w:tc>
            </w:tr>
            <w:tr w14:paraId="47EE8D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70" w:type="dxa"/>
                  <w:tcBorders>
                    <w:tl2br w:val="nil"/>
                    <w:tr2bl w:val="nil"/>
                  </w:tcBorders>
                  <w:vAlign w:val="center"/>
                </w:tcPr>
                <w:p w14:paraId="214FA6C7">
                  <w:pPr>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辐射安全和防护设施</w:t>
                  </w:r>
                </w:p>
              </w:tc>
              <w:tc>
                <w:tcPr>
                  <w:tcW w:w="4699" w:type="dxa"/>
                  <w:tcBorders>
                    <w:tl2br w:val="nil"/>
                    <w:tr2bl w:val="nil"/>
                  </w:tcBorders>
                  <w:vAlign w:val="center"/>
                </w:tcPr>
                <w:p w14:paraId="0A226FED">
                  <w:pPr>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探伤房墙体防护施工、铅防护门、安全措施（联锁装置、警示标志、急停按钮、工作指示灯、监控装置等）</w:t>
                  </w:r>
                </w:p>
              </w:tc>
              <w:tc>
                <w:tcPr>
                  <w:tcW w:w="1969" w:type="dxa"/>
                  <w:tcBorders>
                    <w:tl2br w:val="nil"/>
                    <w:tr2bl w:val="nil"/>
                  </w:tcBorders>
                  <w:vAlign w:val="center"/>
                </w:tcPr>
                <w:p w14:paraId="25D350D3">
                  <w:pPr>
                    <w:jc w:val="center"/>
                    <w:rPr>
                      <w:rFonts w:hint="default" w:ascii="Times New Roman" w:hAnsi="Times New Roman" w:cs="Times New Roman" w:eastAsiaTheme="minorEastAsia"/>
                      <w:color w:val="auto"/>
                      <w:spacing w:val="-1"/>
                      <w:szCs w:val="21"/>
                      <w:highlight w:val="none"/>
                      <w:lang w:val="en-US" w:eastAsia="zh-CN"/>
                    </w:rPr>
                  </w:pPr>
                  <w:r>
                    <w:rPr>
                      <w:rFonts w:hint="eastAsia" w:cs="Times New Roman" w:eastAsiaTheme="minorEastAsia"/>
                      <w:color w:val="auto"/>
                      <w:spacing w:val="-1"/>
                      <w:szCs w:val="21"/>
                      <w:highlight w:val="none"/>
                      <w:lang w:val="en-US" w:eastAsia="zh-CN"/>
                    </w:rPr>
                    <w:t>12</w:t>
                  </w:r>
                </w:p>
              </w:tc>
            </w:tr>
            <w:tr w14:paraId="115814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70" w:type="dxa"/>
                  <w:tcBorders>
                    <w:tl2br w:val="nil"/>
                    <w:tr2bl w:val="nil"/>
                  </w:tcBorders>
                  <w:vAlign w:val="center"/>
                </w:tcPr>
                <w:p w14:paraId="0044FB3C">
                  <w:pPr>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非辐射污染防治</w:t>
                  </w:r>
                </w:p>
              </w:tc>
              <w:tc>
                <w:tcPr>
                  <w:tcW w:w="4699" w:type="dxa"/>
                  <w:tcBorders>
                    <w:tl2br w:val="nil"/>
                    <w:tr2bl w:val="nil"/>
                  </w:tcBorders>
                  <w:vAlign w:val="center"/>
                </w:tcPr>
                <w:p w14:paraId="15589C11">
                  <w:pPr>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“三废”处理、噪声处理</w:t>
                  </w:r>
                </w:p>
              </w:tc>
              <w:tc>
                <w:tcPr>
                  <w:tcW w:w="1969" w:type="dxa"/>
                  <w:tcBorders>
                    <w:tl2br w:val="nil"/>
                    <w:tr2bl w:val="nil"/>
                  </w:tcBorders>
                  <w:vAlign w:val="center"/>
                </w:tcPr>
                <w:p w14:paraId="11AC3772">
                  <w:pPr>
                    <w:jc w:val="center"/>
                    <w:rPr>
                      <w:rFonts w:hint="eastAsia" w:ascii="Times New Roman" w:hAnsi="Times New Roman" w:cs="Times New Roman" w:eastAsiaTheme="minorEastAsia"/>
                      <w:color w:val="auto"/>
                      <w:spacing w:val="-1"/>
                      <w:szCs w:val="21"/>
                      <w:highlight w:val="none"/>
                      <w:lang w:eastAsia="zh-CN"/>
                    </w:rPr>
                  </w:pPr>
                  <w:r>
                    <w:rPr>
                      <w:rFonts w:hint="eastAsia" w:cs="Times New Roman" w:eastAsiaTheme="minorEastAsia"/>
                      <w:color w:val="auto"/>
                      <w:spacing w:val="-1"/>
                      <w:szCs w:val="21"/>
                      <w:highlight w:val="none"/>
                      <w:lang w:val="en-US" w:eastAsia="zh-CN"/>
                    </w:rPr>
                    <w:t>2</w:t>
                  </w:r>
                </w:p>
              </w:tc>
            </w:tr>
            <w:tr w14:paraId="4EB493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70" w:type="dxa"/>
                  <w:tcBorders>
                    <w:tl2br w:val="nil"/>
                    <w:tr2bl w:val="nil"/>
                  </w:tcBorders>
                  <w:vAlign w:val="center"/>
                </w:tcPr>
                <w:p w14:paraId="6204A5A2">
                  <w:pPr>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监测仪器</w:t>
                  </w:r>
                </w:p>
              </w:tc>
              <w:tc>
                <w:tcPr>
                  <w:tcW w:w="4699" w:type="dxa"/>
                  <w:tcBorders>
                    <w:tl2br w:val="nil"/>
                    <w:tr2bl w:val="nil"/>
                  </w:tcBorders>
                  <w:vAlign w:val="center"/>
                </w:tcPr>
                <w:p w14:paraId="67AC7326">
                  <w:pPr>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个人剂量计及个人剂量监测、个人剂量报警仪、便携式辐射剂量仪、固定式场所辐射探测报警装置</w:t>
                  </w:r>
                </w:p>
              </w:tc>
              <w:tc>
                <w:tcPr>
                  <w:tcW w:w="1969" w:type="dxa"/>
                  <w:tcBorders>
                    <w:tl2br w:val="nil"/>
                    <w:tr2bl w:val="nil"/>
                  </w:tcBorders>
                  <w:vAlign w:val="center"/>
                </w:tcPr>
                <w:p w14:paraId="3C642685">
                  <w:pPr>
                    <w:jc w:val="center"/>
                    <w:rPr>
                      <w:rFonts w:hint="default" w:ascii="Times New Roman" w:hAnsi="Times New Roman" w:cs="Times New Roman" w:eastAsiaTheme="minorEastAsia"/>
                      <w:color w:val="auto"/>
                      <w:spacing w:val="-1"/>
                      <w:szCs w:val="21"/>
                      <w:highlight w:val="none"/>
                      <w:lang w:val="en-US" w:eastAsia="zh-CN"/>
                    </w:rPr>
                  </w:pPr>
                  <w:r>
                    <w:rPr>
                      <w:rFonts w:hint="eastAsia" w:cs="Times New Roman" w:eastAsiaTheme="minorEastAsia"/>
                      <w:color w:val="auto"/>
                      <w:spacing w:val="-1"/>
                      <w:szCs w:val="21"/>
                      <w:highlight w:val="none"/>
                      <w:lang w:val="en-US" w:eastAsia="zh-CN"/>
                    </w:rPr>
                    <w:t>1.5</w:t>
                  </w:r>
                </w:p>
              </w:tc>
            </w:tr>
            <w:tr w14:paraId="56C078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70" w:type="dxa"/>
                  <w:tcBorders>
                    <w:tl2br w:val="nil"/>
                    <w:tr2bl w:val="nil"/>
                  </w:tcBorders>
                  <w:vAlign w:val="center"/>
                </w:tcPr>
                <w:p w14:paraId="19E654AE">
                  <w:pPr>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人员管理</w:t>
                  </w:r>
                </w:p>
              </w:tc>
              <w:tc>
                <w:tcPr>
                  <w:tcW w:w="4699" w:type="dxa"/>
                  <w:tcBorders>
                    <w:tl2br w:val="nil"/>
                    <w:tr2bl w:val="nil"/>
                  </w:tcBorders>
                  <w:vAlign w:val="center"/>
                </w:tcPr>
                <w:p w14:paraId="6F1A1474">
                  <w:pPr>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辐射工作人员上岗考核和职业健康管理</w:t>
                  </w:r>
                </w:p>
              </w:tc>
              <w:tc>
                <w:tcPr>
                  <w:tcW w:w="1969" w:type="dxa"/>
                  <w:tcBorders>
                    <w:tl2br w:val="nil"/>
                    <w:tr2bl w:val="nil"/>
                  </w:tcBorders>
                  <w:vAlign w:val="center"/>
                </w:tcPr>
                <w:p w14:paraId="16CFCA19">
                  <w:pPr>
                    <w:jc w:val="center"/>
                    <w:rPr>
                      <w:rFonts w:hint="default" w:ascii="Times New Roman" w:hAnsi="Times New Roman" w:cs="Times New Roman" w:eastAsiaTheme="minorEastAsia"/>
                      <w:color w:val="auto"/>
                      <w:spacing w:val="-1"/>
                      <w:szCs w:val="21"/>
                      <w:highlight w:val="none"/>
                      <w:lang w:val="en-US" w:eastAsia="zh-CN"/>
                    </w:rPr>
                  </w:pPr>
                  <w:r>
                    <w:rPr>
                      <w:rFonts w:hint="eastAsia" w:cs="Times New Roman" w:eastAsiaTheme="minorEastAsia"/>
                      <w:color w:val="auto"/>
                      <w:spacing w:val="-1"/>
                      <w:szCs w:val="21"/>
                      <w:highlight w:val="none"/>
                      <w:lang w:val="en-US" w:eastAsia="zh-CN"/>
                    </w:rPr>
                    <w:t>0.3</w:t>
                  </w:r>
                </w:p>
              </w:tc>
            </w:tr>
            <w:tr w14:paraId="03807E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70" w:type="dxa"/>
                  <w:tcBorders>
                    <w:tl2br w:val="nil"/>
                    <w:tr2bl w:val="nil"/>
                  </w:tcBorders>
                  <w:vAlign w:val="center"/>
                </w:tcPr>
                <w:p w14:paraId="7C7E941B">
                  <w:pPr>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辐射安全管理制度</w:t>
                  </w:r>
                </w:p>
              </w:tc>
              <w:tc>
                <w:tcPr>
                  <w:tcW w:w="4699" w:type="dxa"/>
                  <w:tcBorders>
                    <w:tl2br w:val="nil"/>
                    <w:tr2bl w:val="nil"/>
                  </w:tcBorders>
                  <w:vAlign w:val="center"/>
                </w:tcPr>
                <w:p w14:paraId="7E19D680">
                  <w:pPr>
                    <w:jc w:val="center"/>
                    <w:rPr>
                      <w:rFonts w:hint="default" w:ascii="Times New Roman" w:hAnsi="Times New Roman" w:cs="Times New Roman" w:eastAsiaTheme="minorEastAsia"/>
                      <w:color w:val="auto"/>
                      <w:spacing w:val="-1"/>
                      <w:szCs w:val="21"/>
                      <w:highlight w:val="none"/>
                      <w:lang w:eastAsia="zh-CN"/>
                    </w:rPr>
                  </w:pPr>
                  <w:r>
                    <w:rPr>
                      <w:rFonts w:hint="default" w:ascii="Times New Roman" w:hAnsi="Times New Roman" w:cs="Times New Roman" w:eastAsiaTheme="minorEastAsia"/>
                      <w:color w:val="auto"/>
                      <w:spacing w:val="-1"/>
                      <w:szCs w:val="21"/>
                      <w:highlight w:val="none"/>
                      <w:lang w:eastAsia="zh-CN"/>
                    </w:rPr>
                    <w:t>完善相关辐射安全管理制度并张贴上墙</w:t>
                  </w:r>
                </w:p>
              </w:tc>
              <w:tc>
                <w:tcPr>
                  <w:tcW w:w="1969" w:type="dxa"/>
                  <w:tcBorders>
                    <w:tl2br w:val="nil"/>
                    <w:tr2bl w:val="nil"/>
                  </w:tcBorders>
                  <w:vAlign w:val="center"/>
                </w:tcPr>
                <w:p w14:paraId="41867BC2">
                  <w:pPr>
                    <w:jc w:val="center"/>
                    <w:rPr>
                      <w:rFonts w:hint="default" w:ascii="Times New Roman" w:hAnsi="Times New Roman" w:cs="Times New Roman" w:eastAsiaTheme="minorEastAsia"/>
                      <w:color w:val="auto"/>
                      <w:spacing w:val="-1"/>
                      <w:szCs w:val="21"/>
                      <w:highlight w:val="none"/>
                      <w:lang w:val="en-US" w:eastAsia="zh-CN"/>
                    </w:rPr>
                  </w:pPr>
                  <w:r>
                    <w:rPr>
                      <w:rFonts w:hint="eastAsia" w:cs="Times New Roman" w:eastAsiaTheme="minorEastAsia"/>
                      <w:color w:val="auto"/>
                      <w:spacing w:val="-1"/>
                      <w:szCs w:val="21"/>
                      <w:highlight w:val="none"/>
                      <w:lang w:val="en-US" w:eastAsia="zh-CN"/>
                    </w:rPr>
                    <w:t>0.2</w:t>
                  </w:r>
                </w:p>
              </w:tc>
            </w:tr>
            <w:tr w14:paraId="6BE57A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070" w:type="dxa"/>
                  <w:tcBorders>
                    <w:tl2br w:val="nil"/>
                    <w:tr2bl w:val="nil"/>
                  </w:tcBorders>
                  <w:vAlign w:val="center"/>
                </w:tcPr>
                <w:p w14:paraId="15B80FF9">
                  <w:pPr>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其他</w:t>
                  </w:r>
                </w:p>
              </w:tc>
              <w:tc>
                <w:tcPr>
                  <w:tcW w:w="4699" w:type="dxa"/>
                  <w:tcBorders>
                    <w:tl2br w:val="nil"/>
                    <w:tr2bl w:val="nil"/>
                  </w:tcBorders>
                  <w:vAlign w:val="center"/>
                </w:tcPr>
                <w:p w14:paraId="3232B03A">
                  <w:pPr>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环评及验收费用等</w:t>
                  </w:r>
                </w:p>
              </w:tc>
              <w:tc>
                <w:tcPr>
                  <w:tcW w:w="1969" w:type="dxa"/>
                  <w:tcBorders>
                    <w:tl2br w:val="nil"/>
                    <w:tr2bl w:val="nil"/>
                  </w:tcBorders>
                  <w:vAlign w:val="center"/>
                </w:tcPr>
                <w:p w14:paraId="1546912D">
                  <w:pPr>
                    <w:jc w:val="center"/>
                    <w:rPr>
                      <w:rFonts w:hint="eastAsia" w:ascii="Times New Roman" w:hAnsi="Times New Roman" w:cs="Times New Roman" w:eastAsiaTheme="minorEastAsia"/>
                      <w:color w:val="auto"/>
                      <w:spacing w:val="-1"/>
                      <w:szCs w:val="21"/>
                      <w:highlight w:val="none"/>
                      <w:lang w:eastAsia="zh-CN"/>
                    </w:rPr>
                  </w:pPr>
                  <w:r>
                    <w:rPr>
                      <w:rFonts w:hint="eastAsia" w:cs="Times New Roman" w:eastAsiaTheme="minorEastAsia"/>
                      <w:color w:val="auto"/>
                      <w:spacing w:val="-1"/>
                      <w:szCs w:val="21"/>
                      <w:highlight w:val="none"/>
                      <w:lang w:val="en-US" w:eastAsia="zh-CN"/>
                    </w:rPr>
                    <w:t>4</w:t>
                  </w:r>
                </w:p>
              </w:tc>
            </w:tr>
            <w:tr w14:paraId="0A6212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769" w:type="dxa"/>
                  <w:gridSpan w:val="2"/>
                  <w:tcBorders>
                    <w:tl2br w:val="nil"/>
                    <w:tr2bl w:val="nil"/>
                  </w:tcBorders>
                  <w:vAlign w:val="center"/>
                </w:tcPr>
                <w:p w14:paraId="4AAAA040">
                  <w:pPr>
                    <w:jc w:val="center"/>
                    <w:rPr>
                      <w:rFonts w:hint="default" w:ascii="Times New Roman" w:hAnsi="Times New Roman" w:cs="Times New Roman" w:eastAsiaTheme="minorEastAsia"/>
                      <w:color w:val="auto"/>
                      <w:spacing w:val="-1"/>
                      <w:szCs w:val="21"/>
                      <w:highlight w:val="none"/>
                      <w:lang w:eastAsia="en-US"/>
                    </w:rPr>
                  </w:pPr>
                  <w:r>
                    <w:rPr>
                      <w:rFonts w:hint="default" w:ascii="Times New Roman" w:hAnsi="Times New Roman" w:cs="Times New Roman" w:eastAsiaTheme="minorEastAsia"/>
                      <w:color w:val="auto"/>
                      <w:spacing w:val="-1"/>
                      <w:szCs w:val="21"/>
                      <w:highlight w:val="none"/>
                      <w:lang w:eastAsia="en-US"/>
                    </w:rPr>
                    <w:t>合计</w:t>
                  </w:r>
                </w:p>
              </w:tc>
              <w:tc>
                <w:tcPr>
                  <w:tcW w:w="1969" w:type="dxa"/>
                  <w:tcBorders>
                    <w:tl2br w:val="nil"/>
                    <w:tr2bl w:val="nil"/>
                  </w:tcBorders>
                  <w:vAlign w:val="center"/>
                </w:tcPr>
                <w:p w14:paraId="63AE40E1">
                  <w:pPr>
                    <w:jc w:val="center"/>
                    <w:rPr>
                      <w:rFonts w:hint="default" w:ascii="Times New Roman" w:hAnsi="Times New Roman" w:cs="Times New Roman" w:eastAsiaTheme="minorEastAsia"/>
                      <w:color w:val="auto"/>
                      <w:spacing w:val="-1"/>
                      <w:szCs w:val="21"/>
                      <w:highlight w:val="none"/>
                      <w:lang w:val="en-US" w:eastAsia="zh-CN"/>
                    </w:rPr>
                  </w:pPr>
                  <w:r>
                    <w:rPr>
                      <w:rFonts w:hint="eastAsia" w:cs="Times New Roman" w:eastAsiaTheme="minorEastAsia"/>
                      <w:color w:val="auto"/>
                      <w:spacing w:val="-1"/>
                      <w:szCs w:val="21"/>
                      <w:highlight w:val="none"/>
                      <w:lang w:val="en-US" w:eastAsia="zh-CN"/>
                    </w:rPr>
                    <w:t>20</w:t>
                  </w:r>
                </w:p>
              </w:tc>
            </w:tr>
          </w:tbl>
          <w:p w14:paraId="0965059B">
            <w:pPr>
              <w:spacing w:line="360" w:lineRule="auto"/>
              <w:rPr>
                <w:rFonts w:hint="eastAsia"/>
                <w:color w:val="auto"/>
                <w:sz w:val="24"/>
                <w:szCs w:val="24"/>
                <w:highlight w:val="none"/>
                <w:lang w:eastAsia="zh-CN"/>
              </w:rPr>
            </w:pPr>
          </w:p>
          <w:p w14:paraId="335B1FD8">
            <w:pPr>
              <w:spacing w:line="360" w:lineRule="auto"/>
              <w:rPr>
                <w:rFonts w:hint="eastAsia"/>
                <w:color w:val="auto"/>
                <w:sz w:val="24"/>
                <w:szCs w:val="24"/>
                <w:highlight w:val="none"/>
                <w:lang w:eastAsia="zh-CN"/>
              </w:rPr>
            </w:pPr>
          </w:p>
          <w:p w14:paraId="07513C8A">
            <w:pPr>
              <w:spacing w:line="360" w:lineRule="auto"/>
              <w:rPr>
                <w:rFonts w:hint="eastAsia"/>
                <w:color w:val="auto"/>
                <w:sz w:val="24"/>
                <w:szCs w:val="24"/>
                <w:highlight w:val="none"/>
                <w:lang w:eastAsia="zh-CN"/>
              </w:rPr>
            </w:pPr>
          </w:p>
          <w:p w14:paraId="63BB7DA7">
            <w:pPr>
              <w:spacing w:line="360" w:lineRule="auto"/>
              <w:rPr>
                <w:rFonts w:hint="eastAsia"/>
                <w:color w:val="auto"/>
                <w:sz w:val="24"/>
                <w:szCs w:val="24"/>
                <w:highlight w:val="none"/>
                <w:lang w:eastAsia="zh-CN"/>
              </w:rPr>
            </w:pPr>
          </w:p>
          <w:p w14:paraId="286B0640">
            <w:pPr>
              <w:spacing w:line="360" w:lineRule="auto"/>
              <w:rPr>
                <w:rFonts w:hint="eastAsia"/>
                <w:color w:val="auto"/>
                <w:sz w:val="24"/>
                <w:szCs w:val="24"/>
                <w:highlight w:val="none"/>
                <w:lang w:eastAsia="zh-CN"/>
              </w:rPr>
            </w:pPr>
          </w:p>
          <w:p w14:paraId="7D485F65">
            <w:pPr>
              <w:spacing w:line="360" w:lineRule="auto"/>
              <w:rPr>
                <w:rFonts w:hint="eastAsia" w:eastAsia="宋体"/>
                <w:color w:val="auto"/>
                <w:sz w:val="24"/>
                <w:szCs w:val="24"/>
                <w:highlight w:val="none"/>
                <w:lang w:eastAsia="zh-CN"/>
              </w:rPr>
            </w:pPr>
          </w:p>
        </w:tc>
      </w:tr>
    </w:tbl>
    <w:p w14:paraId="49FA464C">
      <w:pPr>
        <w:rPr>
          <w:color w:val="auto"/>
          <w:highlight w:val="none"/>
        </w:rPr>
        <w:sectPr>
          <w:pgSz w:w="11906" w:h="16838"/>
          <w:pgMar w:top="1440" w:right="1746" w:bottom="1440" w:left="1746" w:header="1135" w:footer="992" w:gutter="0"/>
          <w:pgBorders>
            <w:top w:val="none" w:sz="0" w:space="0"/>
            <w:left w:val="none" w:sz="0" w:space="0"/>
            <w:bottom w:val="none" w:sz="0" w:space="0"/>
            <w:right w:val="none" w:sz="0" w:space="0"/>
          </w:pgBorders>
          <w:cols w:space="720" w:num="1"/>
          <w:docGrid w:type="lines" w:linePitch="312" w:charSpace="0"/>
        </w:sectPr>
      </w:pPr>
    </w:p>
    <w:bookmarkEnd w:id="186"/>
    <w:p w14:paraId="7B4FC169">
      <w:pPr>
        <w:pStyle w:val="3"/>
        <w:spacing w:before="0" w:after="0" w:line="360" w:lineRule="auto"/>
        <w:rPr>
          <w:color w:val="auto"/>
          <w:sz w:val="28"/>
          <w:szCs w:val="28"/>
          <w:highlight w:val="none"/>
        </w:rPr>
      </w:pPr>
      <w:bookmarkStart w:id="211" w:name="_Toc15389560"/>
      <w:bookmarkStart w:id="212" w:name="_Toc66010078"/>
      <w:bookmarkStart w:id="213" w:name="_Toc6792"/>
      <w:bookmarkStart w:id="214" w:name="_Toc15389586"/>
      <w:r>
        <w:rPr>
          <w:color w:val="auto"/>
          <w:sz w:val="28"/>
          <w:szCs w:val="28"/>
          <w:highlight w:val="none"/>
        </w:rPr>
        <w:t>表1</w:t>
      </w:r>
      <w:r>
        <w:rPr>
          <w:rFonts w:hint="eastAsia"/>
          <w:color w:val="auto"/>
          <w:sz w:val="28"/>
          <w:szCs w:val="28"/>
          <w:highlight w:val="none"/>
        </w:rPr>
        <w:t>3</w:t>
      </w:r>
      <w:r>
        <w:rPr>
          <w:color w:val="auto"/>
          <w:sz w:val="28"/>
          <w:szCs w:val="28"/>
          <w:highlight w:val="none"/>
        </w:rPr>
        <w:t xml:space="preserve"> 结论与建议</w:t>
      </w:r>
      <w:bookmarkEnd w:id="211"/>
      <w:bookmarkEnd w:id="212"/>
      <w:bookmarkEnd w:id="213"/>
    </w:p>
    <w:tbl>
      <w:tblPr>
        <w:tblStyle w:val="35"/>
        <w:tblW w:w="89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59"/>
      </w:tblGrid>
      <w:tr w14:paraId="2AEF7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11" w:hRule="atLeast"/>
          <w:jc w:val="center"/>
        </w:trPr>
        <w:tc>
          <w:tcPr>
            <w:tcW w:w="8959" w:type="dxa"/>
          </w:tcPr>
          <w:p w14:paraId="38908263">
            <w:pPr>
              <w:pStyle w:val="5"/>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color w:val="auto"/>
                <w:kern w:val="0"/>
                <w:sz w:val="24"/>
                <w:highlight w:val="none"/>
              </w:rPr>
            </w:pPr>
            <w:bookmarkStart w:id="215" w:name="_Toc66010079"/>
            <w:bookmarkStart w:id="216" w:name="_Toc14871"/>
            <w:bookmarkStart w:id="217" w:name="_Toc14419"/>
            <w:bookmarkStart w:id="218" w:name="_Toc66001645"/>
            <w:bookmarkStart w:id="219" w:name="_Toc36829746"/>
            <w:bookmarkStart w:id="220" w:name="_Toc30052"/>
            <w:r>
              <w:rPr>
                <w:rFonts w:hint="eastAsia"/>
                <w:b/>
                <w:bCs/>
                <w:color w:val="auto"/>
                <w:kern w:val="0"/>
                <w:sz w:val="24"/>
                <w:highlight w:val="none"/>
              </w:rPr>
              <w:t>1、结论</w:t>
            </w:r>
            <w:bookmarkEnd w:id="215"/>
            <w:bookmarkEnd w:id="216"/>
            <w:bookmarkEnd w:id="217"/>
            <w:bookmarkEnd w:id="218"/>
            <w:bookmarkEnd w:id="219"/>
            <w:bookmarkEnd w:id="220"/>
          </w:p>
          <w:p w14:paraId="51F6835B">
            <w:pPr>
              <w:pStyle w:val="5"/>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kern w:val="0"/>
                <w:sz w:val="24"/>
                <w:highlight w:val="none"/>
              </w:rPr>
            </w:pPr>
            <w:r>
              <w:rPr>
                <w:rFonts w:hint="eastAsia"/>
                <w:b/>
                <w:bCs/>
                <w:color w:val="auto"/>
                <w:kern w:val="0"/>
                <w:sz w:val="24"/>
                <w:highlight w:val="none"/>
              </w:rPr>
              <w:t>1.1</w:t>
            </w:r>
            <w:r>
              <w:rPr>
                <w:rFonts w:hint="eastAsia"/>
                <w:b/>
                <w:bCs/>
                <w:color w:val="auto"/>
                <w:kern w:val="0"/>
                <w:sz w:val="24"/>
                <w:highlight w:val="none"/>
                <w:lang w:eastAsia="zh-CN"/>
              </w:rPr>
              <w:t>、</w:t>
            </w:r>
            <w:r>
              <w:rPr>
                <w:rFonts w:hint="eastAsia"/>
                <w:b/>
                <w:bCs/>
                <w:color w:val="auto"/>
                <w:kern w:val="0"/>
                <w:sz w:val="24"/>
                <w:highlight w:val="none"/>
              </w:rPr>
              <w:t>辐射安全与防护分析结论</w:t>
            </w:r>
          </w:p>
          <w:p w14:paraId="2F1919C6">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eastAsia"/>
                <w:color w:val="auto"/>
                <w:kern w:val="0"/>
                <w:sz w:val="24"/>
                <w:highlight w:val="none"/>
              </w:rPr>
              <w:t>（1）从事辐射活动技术能力评价</w:t>
            </w:r>
          </w:p>
          <w:p w14:paraId="5BB5E7E5">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default" w:ascii="Times New Roman" w:hAnsi="Times New Roman" w:cs="Times New Roman"/>
                <w:color w:val="auto"/>
                <w:sz w:val="24"/>
                <w:szCs w:val="24"/>
                <w:highlight w:val="none"/>
                <w:lang w:eastAsia="zh-CN"/>
              </w:rPr>
              <w:t>安徽泓济环境科技有限公司</w:t>
            </w:r>
            <w:r>
              <w:rPr>
                <w:rFonts w:hint="eastAsia"/>
                <w:color w:val="auto"/>
                <w:kern w:val="0"/>
                <w:sz w:val="24"/>
                <w:highlight w:val="none"/>
              </w:rPr>
              <w:t>拟设置</w:t>
            </w:r>
            <w:r>
              <w:rPr>
                <w:rFonts w:hint="eastAsia"/>
                <w:color w:val="auto"/>
                <w:kern w:val="0"/>
                <w:sz w:val="24"/>
                <w:highlight w:val="none"/>
                <w:lang w:val="zh-CN"/>
              </w:rPr>
              <w:t>专门的安全和防护管理机构</w:t>
            </w:r>
            <w:r>
              <w:rPr>
                <w:rFonts w:hint="eastAsia"/>
                <w:color w:val="auto"/>
                <w:kern w:val="0"/>
                <w:sz w:val="24"/>
                <w:highlight w:val="none"/>
              </w:rPr>
              <w:t>-</w:t>
            </w:r>
            <w:r>
              <w:rPr>
                <w:rFonts w:hint="default" w:ascii="Times New Roman" w:hAnsi="Times New Roman" w:cs="Times New Roman"/>
                <w:color w:val="auto"/>
                <w:sz w:val="24"/>
                <w:szCs w:val="24"/>
                <w:highlight w:val="none"/>
                <w:lang w:eastAsia="zh-CN"/>
              </w:rPr>
              <w:t>安徽泓济环境科技有限公司</w:t>
            </w:r>
            <w:r>
              <w:rPr>
                <w:rFonts w:hint="eastAsia"/>
                <w:color w:val="auto"/>
                <w:kern w:val="0"/>
                <w:sz w:val="24"/>
                <w:highlight w:val="none"/>
                <w:lang w:val="zh-CN"/>
              </w:rPr>
              <w:t>辐射防护安全管理小组，负责辐射安全与环境保护管理工作以及应急救援指挥工作</w:t>
            </w:r>
            <w:r>
              <w:rPr>
                <w:rFonts w:hint="eastAsia"/>
                <w:color w:val="auto"/>
                <w:kern w:val="0"/>
                <w:sz w:val="24"/>
                <w:highlight w:val="none"/>
              </w:rPr>
              <w:t>，并以文件形式明确辐射防护负责人。同时拟制定了各项辐射安全管理制度，公司拟为本项目配备2名辐射工作人员。2名辐射工作人员均应取得辐射安全与防护知识合格成绩单方可上岗；建设单位拟对辐射工作人员进行职业健康监护和个人剂量监测，并为辐射工作人员建立个人职业健康监护档案和个人剂量档案。</w:t>
            </w:r>
          </w:p>
          <w:p w14:paraId="0C4ECD60">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eastAsia"/>
                <w:color w:val="auto"/>
                <w:kern w:val="0"/>
                <w:sz w:val="24"/>
                <w:highlight w:val="none"/>
              </w:rPr>
              <w:t>建设单位拟配备1台便携式辐射剂量仪、2台个人剂量报警仪及1台固定式场所辐射探测报警装置，公司的仪器配备能够满足审管部门关于仪器配备的要求。</w:t>
            </w:r>
          </w:p>
          <w:p w14:paraId="4F9120EA">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default" w:ascii="Times New Roman" w:hAnsi="Times New Roman" w:cs="Times New Roman"/>
                <w:color w:val="auto"/>
                <w:sz w:val="24"/>
                <w:szCs w:val="24"/>
                <w:highlight w:val="none"/>
                <w:lang w:eastAsia="zh-CN"/>
              </w:rPr>
              <w:t>安徽泓济环境科技有限公司</w:t>
            </w:r>
            <w:r>
              <w:rPr>
                <w:rFonts w:hint="eastAsia"/>
                <w:color w:val="auto"/>
                <w:kern w:val="0"/>
                <w:sz w:val="24"/>
                <w:highlight w:val="none"/>
              </w:rPr>
              <w:t>在日后的工作中还应不断加强对辐射工作人员的有关技能和辐射安全防护知识的再教育或培训，进一步提高对专业技能和放射防护工作重要性的认识，确保探伤房辐射防护的安全。对照原环境保护部令第3号、第18号以及本环评提出的要求认真落实后，</w:t>
            </w:r>
            <w:r>
              <w:rPr>
                <w:rFonts w:hint="default" w:ascii="Times New Roman" w:hAnsi="Times New Roman" w:cs="Times New Roman"/>
                <w:color w:val="auto"/>
                <w:sz w:val="24"/>
                <w:szCs w:val="24"/>
                <w:highlight w:val="none"/>
                <w:lang w:eastAsia="zh-CN"/>
              </w:rPr>
              <w:t>安徽泓济环境科技有限公司</w:t>
            </w:r>
            <w:r>
              <w:rPr>
                <w:rFonts w:hint="eastAsia"/>
                <w:color w:val="auto"/>
                <w:kern w:val="0"/>
                <w:sz w:val="24"/>
                <w:highlight w:val="none"/>
              </w:rPr>
              <w:t>具备从事相应核技术利用类型工作的能力。</w:t>
            </w:r>
          </w:p>
          <w:p w14:paraId="79813639">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eastAsia="宋体"/>
                <w:color w:val="auto"/>
                <w:kern w:val="0"/>
                <w:sz w:val="24"/>
                <w:highlight w:val="none"/>
                <w:lang w:val="en-US" w:eastAsia="zh-CN"/>
              </w:rPr>
            </w:pPr>
            <w:r>
              <w:rPr>
                <w:rFonts w:hint="eastAsia"/>
                <w:color w:val="auto"/>
                <w:kern w:val="0"/>
                <w:sz w:val="24"/>
                <w:highlight w:val="none"/>
              </w:rPr>
              <w:t>（2）辐射</w:t>
            </w:r>
            <w:r>
              <w:rPr>
                <w:rFonts w:hint="eastAsia"/>
                <w:color w:val="auto"/>
                <w:kern w:val="0"/>
                <w:sz w:val="24"/>
                <w:highlight w:val="none"/>
                <w:lang w:val="en-US" w:eastAsia="zh-CN"/>
              </w:rPr>
              <w:t>安全和防护措施</w:t>
            </w:r>
          </w:p>
          <w:p w14:paraId="325B83E9">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eastAsia"/>
                <w:color w:val="auto"/>
                <w:kern w:val="0"/>
                <w:sz w:val="24"/>
                <w:highlight w:val="none"/>
              </w:rPr>
              <w:t>从</w:t>
            </w:r>
            <w:r>
              <w:rPr>
                <w:rFonts w:hint="eastAsia"/>
                <w:color w:val="auto"/>
                <w:kern w:val="0"/>
                <w:sz w:val="24"/>
                <w:highlight w:val="none"/>
                <w:lang w:val="en-US" w:eastAsia="zh-CN"/>
              </w:rPr>
              <w:t>本项目</w:t>
            </w:r>
            <w:r>
              <w:rPr>
                <w:rFonts w:hint="eastAsia"/>
                <w:color w:val="auto"/>
                <w:kern w:val="0"/>
                <w:sz w:val="24"/>
                <w:highlight w:val="none"/>
              </w:rPr>
              <w:t>拟采用的辐射安全措施符合性分析可知，</w:t>
            </w:r>
            <w:r>
              <w:rPr>
                <w:rFonts w:hint="default" w:ascii="Times New Roman" w:hAnsi="Times New Roman" w:cs="Times New Roman"/>
                <w:color w:val="auto"/>
                <w:sz w:val="24"/>
                <w:szCs w:val="24"/>
                <w:highlight w:val="none"/>
                <w:lang w:eastAsia="zh-CN"/>
              </w:rPr>
              <w:t>安徽泓济环境科技有限公司</w:t>
            </w:r>
            <w:r>
              <w:rPr>
                <w:rFonts w:hint="eastAsia"/>
                <w:color w:val="auto"/>
                <w:kern w:val="0"/>
                <w:sz w:val="24"/>
                <w:highlight w:val="none"/>
              </w:rPr>
              <w:t>探伤房</w:t>
            </w:r>
            <w:r>
              <w:rPr>
                <w:rFonts w:hint="eastAsia"/>
                <w:color w:val="auto"/>
                <w:kern w:val="0"/>
                <w:sz w:val="24"/>
                <w:highlight w:val="none"/>
                <w:lang w:val="en-US" w:eastAsia="zh-CN"/>
              </w:rPr>
              <w:t>拟采取的各项屏蔽措施能够满足相关标准要求。</w:t>
            </w:r>
          </w:p>
          <w:p w14:paraId="373657D4">
            <w:pPr>
              <w:pStyle w:val="5"/>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kern w:val="0"/>
                <w:sz w:val="24"/>
                <w:highlight w:val="none"/>
              </w:rPr>
            </w:pPr>
            <w:r>
              <w:rPr>
                <w:rFonts w:hint="eastAsia"/>
                <w:b/>
                <w:bCs/>
                <w:color w:val="auto"/>
                <w:kern w:val="0"/>
                <w:sz w:val="24"/>
                <w:highlight w:val="none"/>
              </w:rPr>
              <w:t>1.2</w:t>
            </w:r>
            <w:r>
              <w:rPr>
                <w:rFonts w:hint="eastAsia"/>
                <w:b/>
                <w:bCs/>
                <w:color w:val="auto"/>
                <w:kern w:val="0"/>
                <w:sz w:val="24"/>
                <w:highlight w:val="none"/>
                <w:lang w:eastAsia="zh-CN"/>
              </w:rPr>
              <w:t>、</w:t>
            </w:r>
            <w:r>
              <w:rPr>
                <w:rFonts w:hint="eastAsia"/>
                <w:b/>
                <w:bCs/>
                <w:color w:val="auto"/>
                <w:kern w:val="0"/>
                <w:sz w:val="24"/>
                <w:highlight w:val="none"/>
              </w:rPr>
              <w:t>环境影响分析结论</w:t>
            </w:r>
          </w:p>
          <w:p w14:paraId="5DD6EEA8">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eastAsia"/>
                <w:color w:val="auto"/>
                <w:kern w:val="0"/>
                <w:sz w:val="24"/>
                <w:highlight w:val="none"/>
              </w:rPr>
              <w:t>（1）环境</w:t>
            </w:r>
            <w:r>
              <w:rPr>
                <w:rFonts w:hint="eastAsia"/>
                <w:color w:val="auto"/>
                <w:kern w:val="0"/>
                <w:sz w:val="24"/>
                <w:highlight w:val="none"/>
                <w:lang w:val="en-US" w:eastAsia="zh-CN"/>
              </w:rPr>
              <w:t>质量</w:t>
            </w:r>
            <w:r>
              <w:rPr>
                <w:rFonts w:hint="eastAsia"/>
                <w:color w:val="auto"/>
                <w:kern w:val="0"/>
                <w:sz w:val="24"/>
                <w:highlight w:val="none"/>
              </w:rPr>
              <w:t>现状评价</w:t>
            </w:r>
          </w:p>
          <w:p w14:paraId="356AB66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0"/>
                <w:sz w:val="24"/>
                <w:highlight w:val="none"/>
                <w:lang w:val="en-US" w:eastAsia="zh-CN" w:bidi="ar-SA"/>
              </w:rPr>
            </w:pPr>
            <w:r>
              <w:rPr>
                <w:rFonts w:hint="eastAsia" w:ascii="Times New Roman" w:hAnsi="Times New Roman" w:eastAsia="宋体" w:cs="Times New Roman"/>
                <w:color w:val="auto"/>
                <w:kern w:val="0"/>
                <w:sz w:val="24"/>
                <w:highlight w:val="none"/>
                <w:lang w:val="en-US" w:eastAsia="zh-CN" w:bidi="ar-SA"/>
              </w:rPr>
              <w:t>安徽澳林检测技术有限公司于202</w:t>
            </w:r>
            <w:r>
              <w:rPr>
                <w:rFonts w:hint="eastAsia" w:cs="Times New Roman"/>
                <w:color w:val="auto"/>
                <w:kern w:val="0"/>
                <w:sz w:val="24"/>
                <w:highlight w:val="none"/>
                <w:lang w:val="en-US" w:eastAsia="zh-CN" w:bidi="ar-SA"/>
              </w:rPr>
              <w:t>4</w:t>
            </w:r>
            <w:r>
              <w:rPr>
                <w:rFonts w:hint="eastAsia" w:ascii="Times New Roman" w:hAnsi="Times New Roman" w:eastAsia="宋体" w:cs="Times New Roman"/>
                <w:color w:val="auto"/>
                <w:kern w:val="0"/>
                <w:sz w:val="24"/>
                <w:highlight w:val="none"/>
                <w:lang w:val="en-US" w:eastAsia="zh-CN" w:bidi="ar-SA"/>
              </w:rPr>
              <w:t>年</w:t>
            </w:r>
            <w:r>
              <w:rPr>
                <w:rFonts w:hint="eastAsia" w:cs="Times New Roman"/>
                <w:color w:val="auto"/>
                <w:kern w:val="0"/>
                <w:sz w:val="24"/>
                <w:highlight w:val="none"/>
                <w:lang w:val="en-US" w:eastAsia="zh-CN" w:bidi="ar-SA"/>
              </w:rPr>
              <w:t>4</w:t>
            </w:r>
            <w:r>
              <w:rPr>
                <w:rFonts w:hint="eastAsia" w:ascii="Times New Roman" w:hAnsi="Times New Roman" w:eastAsia="宋体" w:cs="Times New Roman"/>
                <w:color w:val="auto"/>
                <w:kern w:val="0"/>
                <w:sz w:val="24"/>
                <w:highlight w:val="none"/>
                <w:lang w:val="en-US" w:eastAsia="zh-CN" w:bidi="ar-SA"/>
              </w:rPr>
              <w:t>月</w:t>
            </w:r>
            <w:r>
              <w:rPr>
                <w:rFonts w:hint="eastAsia" w:cs="Times New Roman"/>
                <w:color w:val="auto"/>
                <w:kern w:val="0"/>
                <w:sz w:val="24"/>
                <w:highlight w:val="none"/>
                <w:lang w:val="en-US" w:eastAsia="zh-CN" w:bidi="ar-SA"/>
              </w:rPr>
              <w:t>30</w:t>
            </w:r>
            <w:r>
              <w:rPr>
                <w:rFonts w:hint="eastAsia" w:ascii="Times New Roman" w:hAnsi="Times New Roman" w:eastAsia="宋体" w:cs="Times New Roman"/>
                <w:color w:val="auto"/>
                <w:kern w:val="0"/>
                <w:sz w:val="24"/>
                <w:highlight w:val="none"/>
                <w:lang w:val="en-US" w:eastAsia="zh-CN" w:bidi="ar-SA"/>
              </w:rPr>
              <w:t>日对本项目拟建地址及周边区域进行了辐射环境背景监测和声环境质量监测。监测结果表明：本项目核技术应用场所周边环境辐射本底</w:t>
            </w:r>
            <w:r>
              <w:rPr>
                <w:rFonts w:hint="eastAsia" w:cs="Times New Roman"/>
                <w:color w:val="auto"/>
                <w:kern w:val="0"/>
                <w:sz w:val="24"/>
                <w:highlight w:val="none"/>
                <w:lang w:val="en-US" w:eastAsia="zh-CN" w:bidi="ar-SA"/>
              </w:rPr>
              <w:t>均值</w:t>
            </w:r>
            <w:r>
              <w:rPr>
                <w:rFonts w:hint="eastAsia" w:ascii="Times New Roman" w:hAnsi="Times New Roman" w:eastAsia="宋体" w:cs="Times New Roman"/>
                <w:color w:val="auto"/>
                <w:kern w:val="0"/>
                <w:sz w:val="24"/>
                <w:highlight w:val="none"/>
                <w:lang w:val="en-US" w:eastAsia="zh-CN" w:bidi="ar-SA"/>
              </w:rPr>
              <w:t>在</w:t>
            </w:r>
            <w:r>
              <w:rPr>
                <w:rFonts w:hint="eastAsia" w:cs="Times New Roman"/>
                <w:color w:val="auto"/>
                <w:kern w:val="0"/>
                <w:sz w:val="24"/>
                <w:highlight w:val="none"/>
                <w:lang w:val="en-US" w:eastAsia="zh-CN" w:bidi="ar-SA"/>
              </w:rPr>
              <w:t>6</w:t>
            </w:r>
            <w:r>
              <w:rPr>
                <w:rFonts w:hint="eastAsia" w:ascii="Times New Roman" w:hAnsi="Times New Roman" w:eastAsia="宋体" w:cs="Times New Roman"/>
                <w:color w:val="auto"/>
                <w:kern w:val="0"/>
                <w:sz w:val="24"/>
                <w:highlight w:val="none"/>
                <w:lang w:val="en-US" w:eastAsia="zh-CN" w:bidi="ar-SA"/>
              </w:rPr>
              <w:t>0~</w:t>
            </w:r>
            <w:r>
              <w:rPr>
                <w:rFonts w:hint="eastAsia" w:cs="Times New Roman"/>
                <w:color w:val="auto"/>
                <w:kern w:val="0"/>
                <w:sz w:val="24"/>
                <w:highlight w:val="none"/>
                <w:lang w:val="en-US" w:eastAsia="zh-CN" w:bidi="ar-SA"/>
              </w:rPr>
              <w:t>9</w:t>
            </w:r>
            <w:r>
              <w:rPr>
                <w:rFonts w:hint="eastAsia" w:ascii="Times New Roman" w:hAnsi="Times New Roman" w:eastAsia="宋体" w:cs="Times New Roman"/>
                <w:color w:val="auto"/>
                <w:kern w:val="0"/>
                <w:sz w:val="24"/>
                <w:highlight w:val="none"/>
                <w:lang w:val="en-US" w:eastAsia="zh-CN" w:bidi="ar-SA"/>
              </w:rPr>
              <w:t>0nGy/h范围内，</w:t>
            </w:r>
            <w:r>
              <w:rPr>
                <w:rFonts w:hint="eastAsia" w:cs="Times New Roman"/>
                <w:color w:val="auto"/>
                <w:kern w:val="0"/>
                <w:sz w:val="24"/>
                <w:highlight w:val="none"/>
                <w:lang w:val="en-US" w:eastAsia="zh-CN" w:bidi="ar-SA"/>
              </w:rPr>
              <w:t>低于六安市</w:t>
            </w:r>
            <w:r>
              <w:rPr>
                <w:rFonts w:hint="eastAsia" w:ascii="Times New Roman" w:hAnsi="Times New Roman" w:eastAsia="宋体" w:cs="Times New Roman"/>
                <w:color w:val="auto"/>
                <w:kern w:val="0"/>
                <w:sz w:val="24"/>
                <w:highlight w:val="none"/>
                <w:lang w:val="en-US" w:eastAsia="zh-CN" w:bidi="ar-SA"/>
              </w:rPr>
              <w:t>辐射环境现状水平，辐射本底水平未见明显异常；项目区声环境质量可以满足《声环境质量标准》（GB3096-2008）中的3类区的标准限值要求。</w:t>
            </w:r>
          </w:p>
          <w:p w14:paraId="7B8BDEE2">
            <w:pPr>
              <w:pStyle w:val="5"/>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textAlignment w:val="auto"/>
              <w:rPr>
                <w:rFonts w:hint="eastAsia"/>
                <w:color w:val="auto"/>
                <w:kern w:val="0"/>
                <w:sz w:val="24"/>
                <w:highlight w:val="none"/>
                <w:lang w:val="en-US" w:eastAsia="zh-CN"/>
              </w:rPr>
            </w:pPr>
            <w:r>
              <w:rPr>
                <w:rFonts w:hint="eastAsia"/>
                <w:color w:val="auto"/>
                <w:kern w:val="0"/>
                <w:sz w:val="24"/>
                <w:highlight w:val="none"/>
                <w:lang w:val="en-US" w:eastAsia="zh-CN"/>
              </w:rPr>
              <w:t>辐射环境影响评价</w:t>
            </w:r>
          </w:p>
          <w:p w14:paraId="7E6526FC">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s="Times New Roman"/>
                <w:color w:val="auto"/>
                <w:kern w:val="0"/>
                <w:sz w:val="24"/>
                <w:highlight w:val="none"/>
                <w:lang w:eastAsia="zh-CN"/>
              </w:rPr>
            </w:pPr>
            <w:r>
              <w:rPr>
                <w:rFonts w:hint="default" w:ascii="Times New Roman" w:hAnsi="Times New Roman" w:cs="Times New Roman"/>
                <w:color w:val="auto"/>
                <w:kern w:val="0"/>
                <w:sz w:val="24"/>
                <w:highlight w:val="none"/>
              </w:rPr>
              <w:t>经计算，探伤机正常运行时，贯穿辐射对探伤</w:t>
            </w:r>
            <w:r>
              <w:rPr>
                <w:rFonts w:hint="eastAsia" w:ascii="Times New Roman" w:hAnsi="Times New Roman" w:cs="Times New Roman"/>
                <w:color w:val="auto"/>
                <w:kern w:val="0"/>
                <w:sz w:val="24"/>
                <w:highlight w:val="none"/>
                <w:lang w:val="en-US" w:eastAsia="zh-CN"/>
              </w:rPr>
              <w:t>房</w:t>
            </w:r>
            <w:r>
              <w:rPr>
                <w:rFonts w:hint="default" w:ascii="Times New Roman" w:hAnsi="Times New Roman" w:cs="Times New Roman"/>
                <w:color w:val="auto"/>
                <w:kern w:val="0"/>
                <w:sz w:val="24"/>
                <w:highlight w:val="none"/>
              </w:rPr>
              <w:t>周围关注点辐射剂量率满足《工业X射线探伤放射防护要求》（GBZ117-2015）中关注点剂量率不超过2.5μSv/h的防护要求。探伤</w:t>
            </w:r>
            <w:r>
              <w:rPr>
                <w:rFonts w:hint="eastAsia" w:ascii="Times New Roman" w:hAnsi="Times New Roman" w:cs="Times New Roman"/>
                <w:color w:val="auto"/>
                <w:kern w:val="0"/>
                <w:sz w:val="24"/>
                <w:highlight w:val="none"/>
              </w:rPr>
              <w:t>房</w:t>
            </w:r>
            <w:r>
              <w:rPr>
                <w:rFonts w:hint="default" w:ascii="Times New Roman" w:hAnsi="Times New Roman" w:cs="Times New Roman"/>
                <w:color w:val="auto"/>
                <w:kern w:val="0"/>
                <w:sz w:val="24"/>
                <w:highlight w:val="none"/>
              </w:rPr>
              <w:t>屋顶是无人到达区，辐射剂量率满足《工业探伤放射防护要求》（GBZ117-2022）中</w:t>
            </w:r>
            <w:r>
              <w:rPr>
                <w:rFonts w:hint="eastAsia" w:cs="Times New Roman"/>
                <w:color w:val="auto"/>
                <w:kern w:val="0"/>
                <w:sz w:val="24"/>
                <w:highlight w:val="none"/>
                <w:lang w:eastAsia="zh-CN"/>
              </w:rPr>
              <w:t>“</w:t>
            </w:r>
            <w:r>
              <w:rPr>
                <w:rFonts w:hint="default" w:ascii="Times New Roman" w:hAnsi="Times New Roman" w:cs="Times New Roman"/>
                <w:color w:val="auto"/>
                <w:kern w:val="0"/>
                <w:sz w:val="24"/>
                <w:highlight w:val="none"/>
              </w:rPr>
              <w:t>对不需要人员到达的探伤室顶，探伤室顶外表面30cm处的剂量率参考控制水平通常可取为100μSv/h</w:t>
            </w:r>
            <w:r>
              <w:rPr>
                <w:rFonts w:hint="eastAsia" w:cs="Times New Roman"/>
                <w:color w:val="auto"/>
                <w:kern w:val="0"/>
                <w:sz w:val="24"/>
                <w:highlight w:val="none"/>
                <w:lang w:eastAsia="zh-CN"/>
              </w:rPr>
              <w:t>”</w:t>
            </w:r>
            <w:r>
              <w:rPr>
                <w:rFonts w:hint="default" w:ascii="Times New Roman" w:hAnsi="Times New Roman" w:cs="Times New Roman"/>
                <w:color w:val="auto"/>
                <w:kern w:val="0"/>
                <w:sz w:val="24"/>
                <w:highlight w:val="none"/>
              </w:rPr>
              <w:t>的要求</w:t>
            </w:r>
            <w:r>
              <w:rPr>
                <w:rFonts w:hint="eastAsia" w:cs="Times New Roman"/>
                <w:color w:val="auto"/>
                <w:kern w:val="0"/>
                <w:sz w:val="24"/>
                <w:highlight w:val="none"/>
                <w:lang w:eastAsia="zh-CN"/>
              </w:rPr>
              <w:t>。</w:t>
            </w:r>
          </w:p>
          <w:p w14:paraId="38E37CF4">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cs="Times New Roman"/>
                <w:color w:val="auto"/>
                <w:kern w:val="0"/>
                <w:sz w:val="24"/>
                <w:highlight w:val="none"/>
              </w:rPr>
              <w:t>本项目探伤</w:t>
            </w:r>
            <w:r>
              <w:rPr>
                <w:rFonts w:hint="default" w:ascii="Times New Roman" w:hAnsi="Times New Roman" w:cs="Times New Roman"/>
                <w:color w:val="auto"/>
                <w:kern w:val="0"/>
                <w:sz w:val="24"/>
                <w:highlight w:val="none"/>
                <w:lang w:val="en-US" w:eastAsia="zh-CN"/>
              </w:rPr>
              <w:t>房</w:t>
            </w:r>
            <w:r>
              <w:rPr>
                <w:rFonts w:hint="default" w:ascii="Times New Roman" w:hAnsi="Times New Roman" w:cs="Times New Roman"/>
                <w:color w:val="auto"/>
                <w:kern w:val="0"/>
                <w:sz w:val="24"/>
                <w:highlight w:val="none"/>
              </w:rPr>
              <w:t>运行后，在建设单位预计的工作负荷下，辐射工作人员及公众所受剂量率可以满足辐射工作人员及公众成员的剂量管理目标值5mSv/a和0.25mSv/a的管理限值要求</w:t>
            </w:r>
            <w:r>
              <w:rPr>
                <w:rFonts w:hint="default" w:ascii="Times New Roman" w:hAnsi="Times New Roman" w:cs="Times New Roman"/>
                <w:color w:val="auto"/>
                <w:kern w:val="0"/>
                <w:sz w:val="24"/>
                <w:highlight w:val="none"/>
                <w:lang w:eastAsia="zh-CN"/>
              </w:rPr>
              <w:t>。</w:t>
            </w:r>
          </w:p>
          <w:p w14:paraId="5117A958">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eastAsia"/>
                <w:color w:val="auto"/>
                <w:kern w:val="0"/>
                <w:sz w:val="24"/>
                <w:highlight w:val="none"/>
              </w:rPr>
              <w:t>（</w:t>
            </w:r>
            <w:r>
              <w:rPr>
                <w:rFonts w:hint="eastAsia"/>
                <w:color w:val="auto"/>
                <w:kern w:val="0"/>
                <w:sz w:val="24"/>
                <w:highlight w:val="none"/>
                <w:lang w:val="en-US" w:eastAsia="zh-CN"/>
              </w:rPr>
              <w:t>3</w:t>
            </w:r>
            <w:r>
              <w:rPr>
                <w:rFonts w:hint="eastAsia"/>
                <w:color w:val="auto"/>
                <w:kern w:val="0"/>
                <w:sz w:val="24"/>
                <w:highlight w:val="none"/>
              </w:rPr>
              <w:t>）三废及噪声处理处置</w:t>
            </w:r>
          </w:p>
          <w:p w14:paraId="4FAFFC0B">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kern w:val="0"/>
                <w:sz w:val="24"/>
                <w:highlight w:val="none"/>
              </w:rPr>
            </w:pPr>
            <w:bookmarkStart w:id="221" w:name="_Toc30314"/>
            <w:bookmarkStart w:id="222" w:name="_Toc17222"/>
            <w:bookmarkStart w:id="223" w:name="_Toc66001653"/>
            <w:bookmarkStart w:id="224" w:name="_Toc14767"/>
            <w:bookmarkStart w:id="225" w:name="_Toc36829751"/>
            <w:bookmarkStart w:id="226" w:name="_Toc66010087"/>
            <w:r>
              <w:rPr>
                <w:rFonts w:hint="eastAsia"/>
                <w:color w:val="auto"/>
                <w:kern w:val="0"/>
                <w:sz w:val="24"/>
                <w:highlight w:val="none"/>
              </w:rPr>
              <w:t>1）废气</w:t>
            </w:r>
          </w:p>
          <w:p w14:paraId="2BD2C9EA">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kern w:val="0"/>
                <w:sz w:val="24"/>
                <w:highlight w:val="none"/>
              </w:rPr>
            </w:pPr>
            <w:r>
              <w:rPr>
                <w:rFonts w:hint="eastAsia"/>
                <w:color w:val="auto"/>
                <w:kern w:val="0"/>
                <w:sz w:val="24"/>
                <w:highlight w:val="none"/>
              </w:rPr>
              <w:t>项目运行期产生的废气主要为X射线电离空气产生的臭氧和氮氧化物。由于本项目X射线探伤机工作时的管电压、管电流较小，因此产生的臭氧和氮氧化物极少。少量臭氧和氮氧化物通过排风装置排出，臭氧排入空气中后很快得到分解，对工作人员及周围环境造成的影响可忽略。</w:t>
            </w:r>
          </w:p>
          <w:p w14:paraId="2FE216B7">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kern w:val="0"/>
                <w:sz w:val="24"/>
                <w:highlight w:val="none"/>
              </w:rPr>
            </w:pPr>
            <w:r>
              <w:rPr>
                <w:rFonts w:hint="eastAsia"/>
                <w:color w:val="auto"/>
                <w:kern w:val="0"/>
                <w:sz w:val="24"/>
                <w:highlight w:val="none"/>
              </w:rPr>
              <w:t>2）废水</w:t>
            </w:r>
          </w:p>
          <w:p w14:paraId="7C0DDF89">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kern w:val="0"/>
                <w:sz w:val="24"/>
                <w:highlight w:val="none"/>
                <w:lang w:val="en-US" w:eastAsia="zh-CN"/>
              </w:rPr>
            </w:pPr>
            <w:r>
              <w:rPr>
                <w:rFonts w:hint="eastAsia"/>
                <w:color w:val="auto"/>
                <w:kern w:val="0"/>
                <w:sz w:val="24"/>
                <w:highlight w:val="none"/>
                <w:lang w:val="en-US" w:eastAsia="zh-CN"/>
              </w:rPr>
              <w:t>本项目不新增劳动定员，无新增废水排放</w:t>
            </w:r>
          </w:p>
          <w:p w14:paraId="0E09B653">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kern w:val="0"/>
                <w:sz w:val="24"/>
                <w:highlight w:val="none"/>
              </w:rPr>
            </w:pPr>
            <w:r>
              <w:rPr>
                <w:rFonts w:hint="eastAsia"/>
                <w:color w:val="auto"/>
                <w:kern w:val="0"/>
                <w:sz w:val="24"/>
                <w:highlight w:val="none"/>
              </w:rPr>
              <w:t>3）噪声</w:t>
            </w:r>
          </w:p>
          <w:p w14:paraId="29159660">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kern w:val="0"/>
                <w:sz w:val="24"/>
                <w:highlight w:val="none"/>
              </w:rPr>
            </w:pPr>
            <w:r>
              <w:rPr>
                <w:rFonts w:hint="eastAsia"/>
                <w:color w:val="auto"/>
                <w:kern w:val="0"/>
                <w:sz w:val="24"/>
                <w:highlight w:val="none"/>
              </w:rPr>
              <w:t>本项目探伤</w:t>
            </w:r>
            <w:r>
              <w:rPr>
                <w:rFonts w:hint="eastAsia"/>
                <w:color w:val="auto"/>
                <w:kern w:val="0"/>
                <w:sz w:val="24"/>
                <w:highlight w:val="none"/>
                <w:lang w:val="en-US" w:eastAsia="zh-CN"/>
              </w:rPr>
              <w:t>房</w:t>
            </w:r>
            <w:r>
              <w:rPr>
                <w:rFonts w:hint="eastAsia"/>
                <w:color w:val="auto"/>
                <w:kern w:val="0"/>
                <w:sz w:val="24"/>
                <w:highlight w:val="none"/>
              </w:rPr>
              <w:t>配备机械排风装置，采用风机进行机械通风，风机安装于探伤</w:t>
            </w:r>
            <w:r>
              <w:rPr>
                <w:rFonts w:hint="eastAsia"/>
                <w:color w:val="auto"/>
                <w:kern w:val="0"/>
                <w:sz w:val="24"/>
                <w:highlight w:val="none"/>
                <w:lang w:val="en-US" w:eastAsia="zh-CN"/>
              </w:rPr>
              <w:t>房东北侧</w:t>
            </w:r>
            <w:r>
              <w:rPr>
                <w:rFonts w:hint="eastAsia"/>
                <w:color w:val="auto"/>
                <w:kern w:val="0"/>
                <w:sz w:val="24"/>
                <w:highlight w:val="none"/>
              </w:rPr>
              <w:t>。风机运行时产生噪声排放，噪声源强较低，经采用隔声、</w:t>
            </w:r>
            <w:r>
              <w:rPr>
                <w:rFonts w:hint="eastAsia"/>
                <w:color w:val="auto"/>
                <w:kern w:val="0"/>
                <w:sz w:val="24"/>
                <w:highlight w:val="none"/>
                <w:lang w:val="en-US" w:eastAsia="zh-CN"/>
              </w:rPr>
              <w:t>距离衰减</w:t>
            </w:r>
            <w:r>
              <w:rPr>
                <w:rFonts w:hint="eastAsia"/>
                <w:color w:val="auto"/>
                <w:kern w:val="0"/>
                <w:sz w:val="24"/>
                <w:highlight w:val="none"/>
              </w:rPr>
              <w:t>降噪处理后，对周围环境的噪声影响较小。</w:t>
            </w:r>
          </w:p>
          <w:p w14:paraId="73436D8E">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kern w:val="0"/>
                <w:sz w:val="24"/>
                <w:highlight w:val="none"/>
              </w:rPr>
            </w:pPr>
            <w:r>
              <w:rPr>
                <w:rFonts w:hint="eastAsia"/>
                <w:color w:val="auto"/>
                <w:kern w:val="0"/>
                <w:sz w:val="24"/>
                <w:highlight w:val="none"/>
              </w:rPr>
              <w:t>4）固废</w:t>
            </w:r>
          </w:p>
          <w:p w14:paraId="53EB69B5">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eastAsia="宋体"/>
                <w:color w:val="auto"/>
                <w:kern w:val="0"/>
                <w:sz w:val="24"/>
                <w:highlight w:val="none"/>
                <w:lang w:eastAsia="zh-CN"/>
              </w:rPr>
            </w:pPr>
            <w:r>
              <w:rPr>
                <w:rFonts w:hint="eastAsia"/>
                <w:color w:val="auto"/>
                <w:kern w:val="0"/>
                <w:sz w:val="24"/>
                <w:highlight w:val="none"/>
              </w:rPr>
              <w:t>本项目运营期产生的固废主要包括废显（定）影液、</w:t>
            </w:r>
            <w:r>
              <w:rPr>
                <w:rFonts w:hint="eastAsia"/>
                <w:color w:val="auto"/>
                <w:kern w:val="0"/>
                <w:sz w:val="24"/>
                <w:highlight w:val="none"/>
                <w:lang w:val="en-US" w:eastAsia="zh-CN"/>
              </w:rPr>
              <w:t>胶片冲洗废液、</w:t>
            </w:r>
            <w:r>
              <w:rPr>
                <w:rFonts w:hint="eastAsia"/>
                <w:color w:val="auto"/>
                <w:kern w:val="0"/>
                <w:sz w:val="24"/>
                <w:highlight w:val="none"/>
              </w:rPr>
              <w:t>废胶片。废显（定）影液和废胶片属于“HW16</w:t>
            </w:r>
            <w:r>
              <w:rPr>
                <w:rFonts w:hint="eastAsia"/>
                <w:color w:val="auto"/>
                <w:kern w:val="0"/>
                <w:sz w:val="24"/>
                <w:highlight w:val="none"/>
                <w:lang w:val="en-US" w:eastAsia="zh-CN"/>
              </w:rPr>
              <w:t xml:space="preserve"> 900-019-16</w:t>
            </w:r>
            <w:r>
              <w:rPr>
                <w:rFonts w:hint="eastAsia"/>
                <w:color w:val="auto"/>
                <w:kern w:val="0"/>
                <w:sz w:val="24"/>
                <w:highlight w:val="none"/>
              </w:rPr>
              <w:t xml:space="preserve"> 感光材料废物”类危险废物，</w:t>
            </w:r>
            <w:r>
              <w:rPr>
                <w:rFonts w:hint="eastAsia"/>
                <w:color w:val="auto"/>
                <w:kern w:val="0"/>
                <w:sz w:val="24"/>
                <w:highlight w:val="none"/>
                <w:lang w:val="en-US" w:eastAsia="zh-CN"/>
              </w:rPr>
              <w:t>胶片冲洗废液按照危险废物处理，</w:t>
            </w:r>
            <w:r>
              <w:rPr>
                <w:rFonts w:hint="eastAsia"/>
                <w:color w:val="auto"/>
                <w:kern w:val="0"/>
                <w:sz w:val="24"/>
                <w:highlight w:val="none"/>
              </w:rPr>
              <w:t>分类收集暂存于危险废物暂存间后，定期交由有资质的单位进行处置；项目产生的固体废物均得到有效处置，对环境影响较小</w:t>
            </w:r>
            <w:r>
              <w:rPr>
                <w:rFonts w:hint="eastAsia"/>
                <w:color w:val="auto"/>
                <w:kern w:val="0"/>
                <w:sz w:val="24"/>
                <w:highlight w:val="none"/>
                <w:lang w:eastAsia="zh-CN"/>
              </w:rPr>
              <w:t>。</w:t>
            </w:r>
          </w:p>
          <w:p w14:paraId="00DB3735">
            <w:pPr>
              <w:pStyle w:val="5"/>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kern w:val="0"/>
                <w:sz w:val="24"/>
                <w:highlight w:val="none"/>
              </w:rPr>
            </w:pPr>
            <w:r>
              <w:rPr>
                <w:rFonts w:hint="eastAsia"/>
                <w:b/>
                <w:bCs/>
                <w:color w:val="auto"/>
                <w:kern w:val="0"/>
                <w:sz w:val="24"/>
                <w:highlight w:val="none"/>
              </w:rPr>
              <w:t>1.3</w:t>
            </w:r>
            <w:r>
              <w:rPr>
                <w:rFonts w:hint="eastAsia"/>
                <w:b/>
                <w:bCs/>
                <w:color w:val="auto"/>
                <w:kern w:val="0"/>
                <w:sz w:val="24"/>
                <w:highlight w:val="none"/>
                <w:lang w:eastAsia="zh-CN"/>
              </w:rPr>
              <w:t>、</w:t>
            </w:r>
            <w:r>
              <w:rPr>
                <w:rFonts w:hint="eastAsia"/>
                <w:b/>
                <w:bCs/>
                <w:color w:val="auto"/>
                <w:kern w:val="0"/>
                <w:sz w:val="24"/>
                <w:highlight w:val="none"/>
              </w:rPr>
              <w:t>可行性结论分析</w:t>
            </w:r>
          </w:p>
          <w:p w14:paraId="3571237C">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eastAsia"/>
                <w:color w:val="auto"/>
                <w:kern w:val="0"/>
                <w:sz w:val="24"/>
                <w:highlight w:val="none"/>
              </w:rPr>
              <w:t>（1）产业政策符合性分析</w:t>
            </w:r>
          </w:p>
          <w:p w14:paraId="4A154383">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color w:val="auto"/>
                <w:kern w:val="0"/>
                <w:sz w:val="24"/>
                <w:highlight w:val="none"/>
              </w:rPr>
              <w:t>本项目</w:t>
            </w:r>
            <w:r>
              <w:rPr>
                <w:rFonts w:hint="eastAsia"/>
                <w:color w:val="auto"/>
                <w:kern w:val="0"/>
                <w:sz w:val="24"/>
                <w:highlight w:val="none"/>
              </w:rPr>
              <w:t>属于</w:t>
            </w:r>
            <w:r>
              <w:rPr>
                <w:color w:val="auto"/>
                <w:kern w:val="0"/>
                <w:sz w:val="24"/>
                <w:highlight w:val="none"/>
              </w:rPr>
              <w:t>《产业结构调整指导目录（20</w:t>
            </w:r>
            <w:r>
              <w:rPr>
                <w:rFonts w:hint="eastAsia"/>
                <w:color w:val="auto"/>
                <w:kern w:val="0"/>
                <w:sz w:val="24"/>
                <w:highlight w:val="none"/>
                <w:lang w:val="en-US" w:eastAsia="zh-CN"/>
              </w:rPr>
              <w:t>24</w:t>
            </w:r>
            <w:r>
              <w:rPr>
                <w:color w:val="auto"/>
                <w:kern w:val="0"/>
                <w:sz w:val="24"/>
                <w:highlight w:val="none"/>
              </w:rPr>
              <w:t>年本）》</w:t>
            </w:r>
            <w:r>
              <w:rPr>
                <w:rFonts w:hint="eastAsia"/>
                <w:color w:val="auto"/>
                <w:kern w:val="0"/>
                <w:sz w:val="24"/>
                <w:highlight w:val="none"/>
              </w:rPr>
              <w:t>中</w:t>
            </w:r>
            <w:r>
              <w:rPr>
                <w:color w:val="auto"/>
                <w:kern w:val="0"/>
                <w:sz w:val="24"/>
                <w:highlight w:val="none"/>
              </w:rPr>
              <w:t>第一类鼓励类中第三十一款科技服务业第1条</w:t>
            </w:r>
            <w:r>
              <w:rPr>
                <w:rFonts w:hint="eastAsia"/>
                <w:color w:val="auto"/>
                <w:kern w:val="0"/>
                <w:sz w:val="24"/>
                <w:highlight w:val="none"/>
              </w:rPr>
              <w:t>“</w:t>
            </w:r>
            <w:r>
              <w:rPr>
                <w:color w:val="auto"/>
                <w:kern w:val="0"/>
                <w:sz w:val="24"/>
                <w:highlight w:val="none"/>
              </w:rPr>
              <w:t>工业设计、气象、生物、新材料、新能源、节能、环保、测绘、海洋等专业科技服务，标准化服务、计量测试、质量认证和检验检测服务、科技普及</w:t>
            </w:r>
            <w:r>
              <w:rPr>
                <w:rFonts w:hint="eastAsia"/>
                <w:color w:val="auto"/>
                <w:kern w:val="0"/>
                <w:sz w:val="24"/>
                <w:highlight w:val="none"/>
              </w:rPr>
              <w:t>”</w:t>
            </w:r>
            <w:r>
              <w:rPr>
                <w:color w:val="auto"/>
                <w:kern w:val="0"/>
                <w:sz w:val="24"/>
                <w:highlight w:val="none"/>
              </w:rPr>
              <w:t>关于质量检验检测内容</w:t>
            </w:r>
            <w:r>
              <w:rPr>
                <w:rFonts w:hint="eastAsia"/>
                <w:color w:val="auto"/>
                <w:kern w:val="0"/>
                <w:sz w:val="24"/>
                <w:highlight w:val="none"/>
              </w:rPr>
              <w:t>，符合国家产业政策。</w:t>
            </w:r>
          </w:p>
          <w:p w14:paraId="7012FEFF">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eastAsia"/>
                <w:color w:val="auto"/>
                <w:kern w:val="0"/>
                <w:sz w:val="24"/>
                <w:highlight w:val="none"/>
              </w:rPr>
              <w:t>（2）实践正当性分析</w:t>
            </w:r>
          </w:p>
          <w:p w14:paraId="31976D07">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eastAsia"/>
                <w:color w:val="auto"/>
                <w:kern w:val="0"/>
                <w:sz w:val="24"/>
                <w:highlight w:val="none"/>
              </w:rPr>
              <w:t>为确保产品的质量安全，本项目建设X射线探伤房一间，配套购置使用</w:t>
            </w:r>
            <w:r>
              <w:rPr>
                <w:rFonts w:hint="eastAsia"/>
                <w:color w:val="auto"/>
                <w:kern w:val="0"/>
                <w:sz w:val="24"/>
                <w:highlight w:val="none"/>
                <w:lang w:val="en-US" w:eastAsia="zh-CN"/>
              </w:rPr>
              <w:t>1</w:t>
            </w:r>
            <w:r>
              <w:rPr>
                <w:rFonts w:hint="eastAsia"/>
                <w:color w:val="auto"/>
                <w:kern w:val="0"/>
                <w:sz w:val="24"/>
                <w:highlight w:val="none"/>
              </w:rPr>
              <w:t>台X射线探伤机（Ⅱ类射线装置）进行无损检测。项目充分考虑了周围场所的防护与安全，经分析可知，本项目运营后对辐射工作人员和公众外照射引起的年附加剂量低于项目管理目标值，本项目实施所获利益远大于其危害，因此本项目的实施符合《电离辐射防护与辐射源安全基本标准》（GB18871-2002）中辐射防护“实践的正当性”要求。</w:t>
            </w:r>
          </w:p>
          <w:p w14:paraId="27BA1901">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eastAsia"/>
                <w:color w:val="auto"/>
                <w:kern w:val="0"/>
                <w:sz w:val="24"/>
                <w:highlight w:val="none"/>
              </w:rPr>
              <w:t>（3）代价利益分析</w:t>
            </w:r>
          </w:p>
          <w:p w14:paraId="368143BC">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eastAsia"/>
                <w:color w:val="auto"/>
                <w:kern w:val="0"/>
                <w:sz w:val="24"/>
                <w:highlight w:val="none"/>
              </w:rPr>
              <w:t>本项目符合建设单位生产工艺的需要，能有效提高建设单位生产的产品质量。核技术在工业探伤上的应用有利于提高产品焊缝的质量，能有效减少因焊缝质量不过关而导致的安全事故数量，该项目在保障产品质量、保障产品使用者生命财产安全的同时也为公司和社会创造了更大的经济效益。为保护该项目周边辐射工作人员和公众，探伤房加强了防护，从剂量预测结果可知，该项目辐射工作人员年所受附加剂量满足项目管理限值5mSv的要求，周围公众年所受附加剂量满足项目管理限值0.25mSv的要求，符合《电离辐射防护与辐射源安全基本标准》（GB18871-2002）中关于“剂量限值”的要求。因此，从代价利益分析看，该项目是正当可行的。</w:t>
            </w:r>
          </w:p>
          <w:p w14:paraId="2A1BE436">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eastAsia"/>
                <w:color w:val="auto"/>
                <w:kern w:val="0"/>
                <w:sz w:val="24"/>
                <w:highlight w:val="none"/>
              </w:rPr>
              <w:t>综上所述，</w:t>
            </w:r>
            <w:r>
              <w:rPr>
                <w:rFonts w:hint="default" w:ascii="Times New Roman" w:hAnsi="Times New Roman" w:cs="Times New Roman"/>
                <w:color w:val="auto"/>
                <w:sz w:val="24"/>
                <w:szCs w:val="24"/>
                <w:highlight w:val="none"/>
                <w:lang w:eastAsia="zh-CN"/>
              </w:rPr>
              <w:t>安徽泓济环境科技有限公司</w:t>
            </w:r>
            <w:r>
              <w:rPr>
                <w:rFonts w:hint="eastAsia"/>
                <w:bCs/>
                <w:color w:val="auto"/>
                <w:spacing w:val="-2"/>
                <w:sz w:val="24"/>
                <w:szCs w:val="24"/>
                <w:highlight w:val="none"/>
              </w:rPr>
              <w:t>新建</w:t>
            </w:r>
            <w:r>
              <w:rPr>
                <w:rFonts w:hint="eastAsia"/>
                <w:bCs/>
                <w:color w:val="auto"/>
                <w:spacing w:val="-2"/>
                <w:sz w:val="24"/>
                <w:szCs w:val="24"/>
                <w:highlight w:val="none"/>
                <w:lang w:val="en-US" w:eastAsia="zh-CN"/>
              </w:rPr>
              <w:t>一</w:t>
            </w:r>
            <w:r>
              <w:rPr>
                <w:rFonts w:hint="eastAsia"/>
                <w:bCs/>
                <w:color w:val="auto"/>
                <w:spacing w:val="-2"/>
                <w:sz w:val="24"/>
                <w:szCs w:val="24"/>
                <w:highlight w:val="none"/>
              </w:rPr>
              <w:t>座</w:t>
            </w:r>
            <w:r>
              <w:rPr>
                <w:rFonts w:hint="eastAsia"/>
                <w:bCs/>
                <w:color w:val="auto"/>
                <w:spacing w:val="-2"/>
                <w:sz w:val="24"/>
                <w:szCs w:val="24"/>
                <w:highlight w:val="none"/>
                <w:lang w:val="en-US" w:eastAsia="zh-CN"/>
              </w:rPr>
              <w:t>固定式</w:t>
            </w:r>
            <w:r>
              <w:rPr>
                <w:rFonts w:hint="eastAsia"/>
                <w:bCs/>
                <w:color w:val="auto"/>
                <w:spacing w:val="-2"/>
                <w:sz w:val="24"/>
                <w:szCs w:val="24"/>
                <w:highlight w:val="none"/>
              </w:rPr>
              <w:t>X射线探伤房项目</w:t>
            </w:r>
            <w:r>
              <w:rPr>
                <w:bCs/>
                <w:color w:val="auto"/>
                <w:spacing w:val="-2"/>
                <w:sz w:val="24"/>
                <w:szCs w:val="24"/>
                <w:highlight w:val="none"/>
              </w:rPr>
              <w:t>在落实本报告提出的各项污染防治措施和管理措施后，该公司将具有与其所从事的辐射活动相适应的技术能力和具备相应的辐射安全防护措施，其运行对周围环境产生的影响能够符合辐射环境保护的要求，从辐射</w:t>
            </w:r>
            <w:r>
              <w:rPr>
                <w:rFonts w:hint="eastAsia"/>
                <w:bCs/>
                <w:color w:val="auto"/>
                <w:spacing w:val="-2"/>
                <w:sz w:val="24"/>
                <w:szCs w:val="24"/>
                <w:highlight w:val="none"/>
              </w:rPr>
              <w:t>安全和</w:t>
            </w:r>
            <w:r>
              <w:rPr>
                <w:bCs/>
                <w:color w:val="auto"/>
                <w:spacing w:val="-2"/>
                <w:sz w:val="24"/>
                <w:szCs w:val="24"/>
                <w:highlight w:val="none"/>
              </w:rPr>
              <w:t>环境</w:t>
            </w:r>
            <w:r>
              <w:rPr>
                <w:rFonts w:hint="eastAsia"/>
                <w:bCs/>
                <w:color w:val="auto"/>
                <w:spacing w:val="-2"/>
                <w:sz w:val="24"/>
                <w:szCs w:val="24"/>
                <w:highlight w:val="none"/>
              </w:rPr>
              <w:t>影响</w:t>
            </w:r>
            <w:r>
              <w:rPr>
                <w:bCs/>
                <w:color w:val="auto"/>
                <w:spacing w:val="-2"/>
                <w:sz w:val="24"/>
                <w:szCs w:val="24"/>
                <w:highlight w:val="none"/>
              </w:rPr>
              <w:t>角度论证，该项目的建设和运行是可行的</w:t>
            </w:r>
            <w:r>
              <w:rPr>
                <w:rFonts w:hint="eastAsia"/>
                <w:color w:val="auto"/>
                <w:kern w:val="0"/>
                <w:sz w:val="24"/>
                <w:highlight w:val="none"/>
              </w:rPr>
              <w:t>。</w:t>
            </w:r>
          </w:p>
          <w:p w14:paraId="6BD3BF2E">
            <w:pPr>
              <w:pStyle w:val="5"/>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2" w:firstLineChars="200"/>
              <w:textAlignment w:val="auto"/>
              <w:rPr>
                <w:b/>
                <w:bCs/>
                <w:color w:val="auto"/>
                <w:kern w:val="0"/>
                <w:sz w:val="24"/>
                <w:highlight w:val="none"/>
              </w:rPr>
            </w:pPr>
            <w:r>
              <w:rPr>
                <w:rFonts w:hint="eastAsia"/>
                <w:b/>
                <w:bCs/>
                <w:color w:val="auto"/>
                <w:kern w:val="0"/>
                <w:sz w:val="24"/>
                <w:highlight w:val="none"/>
              </w:rPr>
              <w:t>2、建议</w:t>
            </w:r>
            <w:bookmarkEnd w:id="221"/>
            <w:bookmarkEnd w:id="222"/>
            <w:bookmarkEnd w:id="223"/>
            <w:bookmarkEnd w:id="224"/>
            <w:bookmarkEnd w:id="225"/>
            <w:bookmarkEnd w:id="226"/>
            <w:r>
              <w:rPr>
                <w:rFonts w:hint="eastAsia"/>
                <w:b/>
                <w:bCs/>
                <w:color w:val="auto"/>
                <w:kern w:val="0"/>
                <w:sz w:val="24"/>
                <w:highlight w:val="none"/>
              </w:rPr>
              <w:t>和</w:t>
            </w:r>
            <w:r>
              <w:rPr>
                <w:rFonts w:hint="eastAsia"/>
                <w:b/>
                <w:bCs/>
                <w:color w:val="auto"/>
                <w:kern w:val="0"/>
                <w:sz w:val="24"/>
                <w:highlight w:val="none"/>
                <w:lang w:eastAsia="zh-CN"/>
              </w:rPr>
              <w:t>承诺</w:t>
            </w:r>
          </w:p>
          <w:p w14:paraId="78E60DA3">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eastAsia="宋体"/>
                <w:color w:val="auto"/>
                <w:kern w:val="0"/>
                <w:sz w:val="24"/>
                <w:highlight w:val="none"/>
                <w:lang w:eastAsia="zh-CN"/>
              </w:rPr>
            </w:pPr>
            <w:r>
              <w:rPr>
                <w:rFonts w:hint="eastAsia"/>
                <w:color w:val="auto"/>
                <w:kern w:val="0"/>
                <w:sz w:val="24"/>
                <w:highlight w:val="none"/>
              </w:rPr>
              <w:t>（1）取得环评批复后，</w:t>
            </w:r>
            <w:r>
              <w:rPr>
                <w:rFonts w:hint="eastAsia"/>
                <w:color w:val="auto"/>
                <w:kern w:val="0"/>
                <w:sz w:val="24"/>
                <w:highlight w:val="none"/>
                <w:lang w:val="en-US" w:eastAsia="zh-CN"/>
              </w:rPr>
              <w:t>建设单位</w:t>
            </w:r>
            <w:r>
              <w:rPr>
                <w:rFonts w:hint="eastAsia"/>
                <w:color w:val="auto"/>
                <w:kern w:val="0"/>
                <w:sz w:val="24"/>
                <w:highlight w:val="none"/>
              </w:rPr>
              <w:t>应及时申领辐射安全许可证，</w:t>
            </w:r>
            <w:r>
              <w:rPr>
                <w:rFonts w:hint="eastAsia"/>
                <w:color w:val="auto"/>
                <w:kern w:val="0"/>
                <w:sz w:val="24"/>
                <w:highlight w:val="none"/>
                <w:lang w:val="en-US" w:eastAsia="zh-CN"/>
              </w:rPr>
              <w:t>本项目完成环保竣工验收后方可正式投入运营</w:t>
            </w:r>
            <w:r>
              <w:rPr>
                <w:rFonts w:hint="eastAsia"/>
                <w:color w:val="auto"/>
                <w:kern w:val="0"/>
                <w:sz w:val="24"/>
                <w:highlight w:val="none"/>
                <w:lang w:eastAsia="zh-CN"/>
              </w:rPr>
              <w:t>；</w:t>
            </w:r>
          </w:p>
          <w:p w14:paraId="3A74072A">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eastAsia="宋体"/>
                <w:color w:val="auto"/>
                <w:kern w:val="0"/>
                <w:sz w:val="24"/>
                <w:highlight w:val="none"/>
                <w:lang w:eastAsia="zh-CN"/>
              </w:rPr>
            </w:pPr>
            <w:r>
              <w:rPr>
                <w:rFonts w:hint="eastAsia"/>
                <w:color w:val="auto"/>
                <w:kern w:val="0"/>
                <w:sz w:val="24"/>
                <w:highlight w:val="none"/>
              </w:rPr>
              <w:t>（2）建设单位每年要对射线装置的使用情况、辐射防护情况进行年度评估，评估结果上报全国核技术利用辐射安全申报系统</w:t>
            </w:r>
            <w:r>
              <w:rPr>
                <w:rFonts w:hint="eastAsia"/>
                <w:color w:val="auto"/>
                <w:kern w:val="0"/>
                <w:sz w:val="24"/>
                <w:highlight w:val="none"/>
                <w:lang w:eastAsia="zh-CN"/>
              </w:rPr>
              <w:t>；</w:t>
            </w:r>
          </w:p>
          <w:p w14:paraId="7D51F2B1">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kern w:val="0"/>
                <w:sz w:val="24"/>
                <w:highlight w:val="none"/>
              </w:rPr>
            </w:pPr>
            <w:r>
              <w:rPr>
                <w:rFonts w:hint="eastAsia"/>
                <w:color w:val="auto"/>
                <w:kern w:val="0"/>
                <w:sz w:val="24"/>
                <w:highlight w:val="none"/>
              </w:rPr>
              <w:t>（3）确保辐射工作人员均完成职业健康体检、辐射安全与防护知识考核，并完善个人剂量信息；确保厂区辐射安全管理负责人取得辐射安全与防护知识考核证书；</w:t>
            </w:r>
          </w:p>
          <w:p w14:paraId="449C9B8D">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eastAsia="宋体"/>
                <w:color w:val="auto"/>
                <w:kern w:val="0"/>
                <w:sz w:val="24"/>
                <w:highlight w:val="none"/>
                <w:lang w:eastAsia="zh-CN"/>
              </w:rPr>
            </w:pPr>
            <w:r>
              <w:rPr>
                <w:rFonts w:hint="eastAsia"/>
                <w:color w:val="auto"/>
                <w:kern w:val="0"/>
                <w:sz w:val="24"/>
                <w:highlight w:val="none"/>
              </w:rPr>
              <w:t>（4）应加强对现有核技术应用场所及周围辐射水平监测数据的管理工作，及时做好记录分析工作</w:t>
            </w:r>
            <w:r>
              <w:rPr>
                <w:rFonts w:hint="eastAsia"/>
                <w:color w:val="auto"/>
                <w:kern w:val="0"/>
                <w:sz w:val="24"/>
                <w:highlight w:val="none"/>
                <w:lang w:eastAsia="zh-CN"/>
              </w:rPr>
              <w:t>；</w:t>
            </w:r>
          </w:p>
          <w:p w14:paraId="5B4BE3FB">
            <w:pPr>
              <w:pStyle w:val="5"/>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eastAsia="宋体"/>
                <w:color w:val="auto"/>
                <w:sz w:val="24"/>
                <w:szCs w:val="24"/>
                <w:highlight w:val="none"/>
                <w:lang w:val="en-US" w:eastAsia="zh-CN"/>
              </w:rPr>
            </w:pPr>
            <w:r>
              <w:rPr>
                <w:rFonts w:hint="eastAsia"/>
                <w:color w:val="auto"/>
                <w:kern w:val="0"/>
                <w:sz w:val="24"/>
                <w:highlight w:val="none"/>
              </w:rPr>
              <w:t>（5）经常检查各辐射工作场所的门机联锁装置、出束信号警示灯、电离辐射警告标志、急停按钮、监控系统等，确保装置未损坏。</w:t>
            </w:r>
          </w:p>
          <w:p w14:paraId="20F55759">
            <w:pPr>
              <w:spacing w:line="360" w:lineRule="auto"/>
              <w:rPr>
                <w:rFonts w:hint="eastAsia"/>
                <w:b/>
                <w:color w:val="auto"/>
                <w:sz w:val="24"/>
                <w:szCs w:val="28"/>
                <w:highlight w:val="none"/>
                <w:lang w:eastAsia="zh-CN"/>
              </w:rPr>
            </w:pPr>
          </w:p>
          <w:p w14:paraId="79196BC1">
            <w:pPr>
              <w:spacing w:line="360" w:lineRule="auto"/>
              <w:rPr>
                <w:rFonts w:hint="eastAsia"/>
                <w:b/>
                <w:color w:val="auto"/>
                <w:sz w:val="24"/>
                <w:szCs w:val="28"/>
                <w:highlight w:val="none"/>
                <w:lang w:eastAsia="zh-CN"/>
              </w:rPr>
            </w:pPr>
          </w:p>
          <w:p w14:paraId="176A6B6C">
            <w:pPr>
              <w:spacing w:line="360" w:lineRule="auto"/>
              <w:rPr>
                <w:rFonts w:hint="eastAsia"/>
                <w:b/>
                <w:color w:val="auto"/>
                <w:sz w:val="24"/>
                <w:szCs w:val="28"/>
                <w:highlight w:val="none"/>
                <w:lang w:eastAsia="zh-CN"/>
              </w:rPr>
            </w:pPr>
          </w:p>
          <w:p w14:paraId="6AB26CD9">
            <w:pPr>
              <w:spacing w:line="360" w:lineRule="auto"/>
              <w:rPr>
                <w:rFonts w:hint="eastAsia"/>
                <w:b/>
                <w:color w:val="auto"/>
                <w:sz w:val="24"/>
                <w:szCs w:val="28"/>
                <w:highlight w:val="none"/>
                <w:lang w:eastAsia="zh-CN"/>
              </w:rPr>
            </w:pPr>
          </w:p>
          <w:p w14:paraId="1F9C5767">
            <w:pPr>
              <w:spacing w:line="360" w:lineRule="auto"/>
              <w:rPr>
                <w:rFonts w:hint="eastAsia"/>
                <w:b/>
                <w:color w:val="auto"/>
                <w:sz w:val="24"/>
                <w:szCs w:val="28"/>
                <w:highlight w:val="none"/>
                <w:lang w:eastAsia="zh-CN"/>
              </w:rPr>
            </w:pPr>
          </w:p>
          <w:p w14:paraId="1BD4A2E4">
            <w:pPr>
              <w:spacing w:line="360" w:lineRule="auto"/>
              <w:rPr>
                <w:rFonts w:hint="eastAsia"/>
                <w:b/>
                <w:color w:val="auto"/>
                <w:sz w:val="24"/>
                <w:szCs w:val="28"/>
                <w:highlight w:val="none"/>
                <w:lang w:eastAsia="zh-CN"/>
              </w:rPr>
            </w:pPr>
          </w:p>
          <w:p w14:paraId="51F894C5">
            <w:pPr>
              <w:spacing w:line="360" w:lineRule="auto"/>
              <w:rPr>
                <w:rFonts w:hint="eastAsia"/>
                <w:b/>
                <w:color w:val="auto"/>
                <w:sz w:val="24"/>
                <w:szCs w:val="28"/>
                <w:highlight w:val="none"/>
                <w:lang w:eastAsia="zh-CN"/>
              </w:rPr>
            </w:pPr>
          </w:p>
          <w:p w14:paraId="5B308AD5">
            <w:pPr>
              <w:spacing w:line="360" w:lineRule="auto"/>
              <w:rPr>
                <w:rFonts w:hint="eastAsia"/>
                <w:b/>
                <w:color w:val="auto"/>
                <w:sz w:val="24"/>
                <w:szCs w:val="28"/>
                <w:highlight w:val="none"/>
                <w:lang w:eastAsia="zh-CN"/>
              </w:rPr>
            </w:pPr>
          </w:p>
          <w:p w14:paraId="5467D7AC">
            <w:pPr>
              <w:spacing w:line="360" w:lineRule="auto"/>
              <w:rPr>
                <w:rFonts w:hint="eastAsia"/>
                <w:b/>
                <w:color w:val="auto"/>
                <w:sz w:val="24"/>
                <w:szCs w:val="28"/>
                <w:highlight w:val="none"/>
                <w:lang w:eastAsia="zh-CN"/>
              </w:rPr>
            </w:pPr>
          </w:p>
          <w:p w14:paraId="5B565CE1">
            <w:pPr>
              <w:spacing w:line="360" w:lineRule="auto"/>
              <w:rPr>
                <w:rFonts w:hint="eastAsia"/>
                <w:b/>
                <w:color w:val="auto"/>
                <w:sz w:val="24"/>
                <w:szCs w:val="28"/>
                <w:highlight w:val="none"/>
                <w:lang w:eastAsia="zh-CN"/>
              </w:rPr>
            </w:pPr>
          </w:p>
          <w:p w14:paraId="751C89CC">
            <w:pPr>
              <w:spacing w:line="360" w:lineRule="auto"/>
              <w:rPr>
                <w:rFonts w:hint="eastAsia"/>
                <w:b/>
                <w:color w:val="auto"/>
                <w:sz w:val="24"/>
                <w:szCs w:val="28"/>
                <w:highlight w:val="none"/>
                <w:lang w:eastAsia="zh-CN"/>
              </w:rPr>
            </w:pPr>
          </w:p>
          <w:p w14:paraId="3763A849">
            <w:pPr>
              <w:spacing w:line="360" w:lineRule="auto"/>
              <w:rPr>
                <w:rFonts w:hint="eastAsia"/>
                <w:b/>
                <w:color w:val="auto"/>
                <w:sz w:val="24"/>
                <w:szCs w:val="28"/>
                <w:highlight w:val="none"/>
                <w:lang w:eastAsia="zh-CN"/>
              </w:rPr>
            </w:pPr>
          </w:p>
          <w:p w14:paraId="6AF80640">
            <w:pPr>
              <w:spacing w:line="360" w:lineRule="auto"/>
              <w:rPr>
                <w:rFonts w:hint="eastAsia"/>
                <w:b/>
                <w:color w:val="auto"/>
                <w:sz w:val="24"/>
                <w:szCs w:val="28"/>
                <w:highlight w:val="none"/>
                <w:lang w:eastAsia="zh-CN"/>
              </w:rPr>
            </w:pPr>
          </w:p>
          <w:p w14:paraId="1F2321D4">
            <w:pPr>
              <w:spacing w:line="360" w:lineRule="auto"/>
              <w:rPr>
                <w:rFonts w:hint="eastAsia"/>
                <w:b/>
                <w:color w:val="auto"/>
                <w:sz w:val="24"/>
                <w:szCs w:val="28"/>
                <w:highlight w:val="none"/>
                <w:lang w:eastAsia="zh-CN"/>
              </w:rPr>
            </w:pPr>
          </w:p>
          <w:p w14:paraId="101EBF40">
            <w:pPr>
              <w:spacing w:line="360" w:lineRule="auto"/>
              <w:rPr>
                <w:rFonts w:hint="eastAsia"/>
                <w:b/>
                <w:color w:val="auto"/>
                <w:sz w:val="24"/>
                <w:szCs w:val="28"/>
                <w:highlight w:val="none"/>
                <w:lang w:eastAsia="zh-CN"/>
              </w:rPr>
            </w:pPr>
          </w:p>
          <w:p w14:paraId="4FE61688">
            <w:pPr>
              <w:spacing w:line="360" w:lineRule="auto"/>
              <w:rPr>
                <w:rFonts w:hint="eastAsia"/>
                <w:b/>
                <w:color w:val="auto"/>
                <w:sz w:val="24"/>
                <w:szCs w:val="28"/>
                <w:highlight w:val="none"/>
                <w:lang w:eastAsia="zh-CN"/>
              </w:rPr>
            </w:pPr>
          </w:p>
          <w:p w14:paraId="5D587439">
            <w:pPr>
              <w:spacing w:line="360" w:lineRule="auto"/>
              <w:rPr>
                <w:rFonts w:hint="eastAsia"/>
                <w:b/>
                <w:color w:val="auto"/>
                <w:sz w:val="24"/>
                <w:szCs w:val="28"/>
                <w:highlight w:val="none"/>
                <w:lang w:eastAsia="zh-CN"/>
              </w:rPr>
            </w:pPr>
          </w:p>
          <w:p w14:paraId="751E1B5D">
            <w:pPr>
              <w:spacing w:line="360" w:lineRule="auto"/>
              <w:rPr>
                <w:rFonts w:hint="eastAsia"/>
                <w:b/>
                <w:color w:val="auto"/>
                <w:sz w:val="24"/>
                <w:szCs w:val="28"/>
                <w:highlight w:val="none"/>
                <w:lang w:eastAsia="zh-CN"/>
              </w:rPr>
            </w:pPr>
          </w:p>
          <w:p w14:paraId="48002688">
            <w:pPr>
              <w:spacing w:line="360" w:lineRule="auto"/>
              <w:rPr>
                <w:rFonts w:hint="eastAsia"/>
                <w:b/>
                <w:color w:val="auto"/>
                <w:sz w:val="24"/>
                <w:szCs w:val="28"/>
                <w:highlight w:val="none"/>
                <w:lang w:eastAsia="zh-CN"/>
              </w:rPr>
            </w:pPr>
          </w:p>
          <w:p w14:paraId="264E4FFA">
            <w:pPr>
              <w:spacing w:line="360" w:lineRule="auto"/>
              <w:rPr>
                <w:rFonts w:hint="eastAsia" w:eastAsia="宋体"/>
                <w:b/>
                <w:color w:val="auto"/>
                <w:sz w:val="24"/>
                <w:szCs w:val="28"/>
                <w:highlight w:val="none"/>
                <w:lang w:eastAsia="zh-CN"/>
              </w:rPr>
            </w:pPr>
          </w:p>
        </w:tc>
      </w:tr>
    </w:tbl>
    <w:p w14:paraId="6AF4B95A">
      <w:pPr>
        <w:spacing w:line="40" w:lineRule="exact"/>
        <w:rPr>
          <w:color w:val="auto"/>
          <w:spacing w:val="20"/>
          <w:sz w:val="24"/>
          <w:highlight w:val="none"/>
        </w:rPr>
        <w:sectPr>
          <w:pgSz w:w="11906" w:h="16838"/>
          <w:pgMar w:top="1701" w:right="1531" w:bottom="1531" w:left="1701" w:header="1134" w:footer="992" w:gutter="0"/>
          <w:pgBorders>
            <w:top w:val="none" w:sz="0" w:space="0"/>
            <w:left w:val="none" w:sz="0" w:space="0"/>
            <w:bottom w:val="none" w:sz="0" w:space="0"/>
            <w:right w:val="none" w:sz="0" w:space="0"/>
          </w:pgBorders>
          <w:cols w:space="720" w:num="1"/>
          <w:docGrid w:type="lines" w:linePitch="312" w:charSpace="0"/>
        </w:sectPr>
      </w:pPr>
    </w:p>
    <w:p w14:paraId="459C5C11">
      <w:pPr>
        <w:jc w:val="left"/>
        <w:outlineLvl w:val="0"/>
        <w:rPr>
          <w:b/>
          <w:color w:val="auto"/>
          <w:sz w:val="28"/>
          <w:highlight w:val="none"/>
        </w:rPr>
      </w:pPr>
      <w:bookmarkStart w:id="227" w:name="_Toc66010088"/>
      <w:bookmarkStart w:id="228" w:name="_Toc881"/>
      <w:r>
        <w:rPr>
          <w:b/>
          <w:color w:val="auto"/>
          <w:sz w:val="28"/>
          <w:highlight w:val="none"/>
        </w:rPr>
        <w:t>表1</w:t>
      </w:r>
      <w:r>
        <w:rPr>
          <w:rFonts w:hint="eastAsia"/>
          <w:b/>
          <w:color w:val="auto"/>
          <w:sz w:val="28"/>
          <w:highlight w:val="none"/>
        </w:rPr>
        <w:t>4</w:t>
      </w:r>
      <w:r>
        <w:rPr>
          <w:b/>
          <w:color w:val="auto"/>
          <w:sz w:val="28"/>
          <w:highlight w:val="none"/>
        </w:rPr>
        <w:t xml:space="preserve"> 审批</w:t>
      </w:r>
      <w:bookmarkEnd w:id="214"/>
      <w:bookmarkEnd w:id="227"/>
      <w:bookmarkEnd w:id="228"/>
    </w:p>
    <w:tbl>
      <w:tblPr>
        <w:tblStyle w:val="35"/>
        <w:tblW w:w="90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33"/>
      </w:tblGrid>
      <w:tr w14:paraId="467A8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33" w:type="dxa"/>
          </w:tcPr>
          <w:p w14:paraId="085286D6">
            <w:pPr>
              <w:rPr>
                <w:color w:val="auto"/>
                <w:sz w:val="24"/>
                <w:highlight w:val="none"/>
              </w:rPr>
            </w:pPr>
            <w:r>
              <w:rPr>
                <w:color w:val="auto"/>
                <w:sz w:val="24"/>
                <w:highlight w:val="none"/>
              </w:rPr>
              <w:t>下一级</w:t>
            </w:r>
            <w:r>
              <w:rPr>
                <w:rFonts w:hint="eastAsia"/>
                <w:color w:val="auto"/>
                <w:sz w:val="24"/>
                <w:highlight w:val="none"/>
              </w:rPr>
              <w:t>生态环境部门</w:t>
            </w:r>
            <w:r>
              <w:rPr>
                <w:color w:val="auto"/>
                <w:sz w:val="24"/>
                <w:highlight w:val="none"/>
              </w:rPr>
              <w:t>预审意见</w:t>
            </w:r>
          </w:p>
          <w:p w14:paraId="465BDD2C">
            <w:pPr>
              <w:jc w:val="center"/>
              <w:rPr>
                <w:color w:val="auto"/>
                <w:sz w:val="24"/>
                <w:highlight w:val="none"/>
              </w:rPr>
            </w:pPr>
          </w:p>
          <w:p w14:paraId="4EF66979">
            <w:pPr>
              <w:jc w:val="center"/>
              <w:rPr>
                <w:color w:val="auto"/>
                <w:sz w:val="24"/>
                <w:highlight w:val="none"/>
              </w:rPr>
            </w:pPr>
          </w:p>
          <w:p w14:paraId="025EC4B0">
            <w:pPr>
              <w:jc w:val="center"/>
              <w:rPr>
                <w:color w:val="auto"/>
                <w:sz w:val="24"/>
                <w:highlight w:val="none"/>
              </w:rPr>
            </w:pPr>
          </w:p>
          <w:p w14:paraId="14FC9444">
            <w:pPr>
              <w:jc w:val="center"/>
              <w:rPr>
                <w:color w:val="auto"/>
                <w:sz w:val="24"/>
                <w:highlight w:val="none"/>
              </w:rPr>
            </w:pPr>
          </w:p>
          <w:p w14:paraId="5C59D388">
            <w:pPr>
              <w:jc w:val="center"/>
              <w:rPr>
                <w:color w:val="auto"/>
                <w:sz w:val="24"/>
                <w:highlight w:val="none"/>
              </w:rPr>
            </w:pPr>
          </w:p>
          <w:p w14:paraId="79C3812D">
            <w:pPr>
              <w:jc w:val="center"/>
              <w:rPr>
                <w:color w:val="auto"/>
                <w:sz w:val="24"/>
                <w:highlight w:val="none"/>
              </w:rPr>
            </w:pPr>
          </w:p>
          <w:p w14:paraId="327F624C">
            <w:pPr>
              <w:jc w:val="center"/>
              <w:rPr>
                <w:color w:val="auto"/>
                <w:sz w:val="24"/>
                <w:highlight w:val="none"/>
              </w:rPr>
            </w:pPr>
          </w:p>
          <w:p w14:paraId="0547E207">
            <w:pPr>
              <w:jc w:val="center"/>
              <w:rPr>
                <w:color w:val="auto"/>
                <w:sz w:val="24"/>
                <w:highlight w:val="none"/>
              </w:rPr>
            </w:pPr>
          </w:p>
          <w:p w14:paraId="482B0FC6">
            <w:pPr>
              <w:jc w:val="center"/>
              <w:rPr>
                <w:color w:val="auto"/>
                <w:sz w:val="24"/>
                <w:highlight w:val="none"/>
              </w:rPr>
            </w:pPr>
          </w:p>
          <w:p w14:paraId="2DD7B77B">
            <w:pPr>
              <w:jc w:val="center"/>
              <w:rPr>
                <w:color w:val="auto"/>
                <w:sz w:val="24"/>
                <w:highlight w:val="none"/>
              </w:rPr>
            </w:pPr>
          </w:p>
          <w:p w14:paraId="01A23496">
            <w:pPr>
              <w:jc w:val="center"/>
              <w:rPr>
                <w:color w:val="auto"/>
                <w:sz w:val="24"/>
                <w:highlight w:val="none"/>
              </w:rPr>
            </w:pPr>
          </w:p>
          <w:p w14:paraId="2DE7F126">
            <w:pPr>
              <w:jc w:val="center"/>
              <w:rPr>
                <w:color w:val="auto"/>
                <w:sz w:val="24"/>
                <w:highlight w:val="none"/>
              </w:rPr>
            </w:pPr>
          </w:p>
          <w:p w14:paraId="457B1633">
            <w:pPr>
              <w:jc w:val="center"/>
              <w:rPr>
                <w:color w:val="auto"/>
                <w:sz w:val="24"/>
                <w:highlight w:val="none"/>
              </w:rPr>
            </w:pPr>
          </w:p>
          <w:p w14:paraId="50BC1967">
            <w:pPr>
              <w:jc w:val="center"/>
              <w:rPr>
                <w:color w:val="auto"/>
                <w:sz w:val="24"/>
                <w:highlight w:val="none"/>
              </w:rPr>
            </w:pPr>
          </w:p>
          <w:p w14:paraId="39938811">
            <w:pPr>
              <w:rPr>
                <w:color w:val="auto"/>
                <w:sz w:val="24"/>
                <w:highlight w:val="none"/>
              </w:rPr>
            </w:pPr>
            <w:r>
              <w:rPr>
                <w:color w:val="auto"/>
                <w:sz w:val="24"/>
                <w:highlight w:val="none"/>
              </w:rPr>
              <w:t>经办人签字                                  公章</w:t>
            </w:r>
          </w:p>
          <w:p w14:paraId="7DBDCDBC">
            <w:pPr>
              <w:jc w:val="center"/>
              <w:rPr>
                <w:color w:val="auto"/>
                <w:sz w:val="24"/>
                <w:highlight w:val="none"/>
              </w:rPr>
            </w:pPr>
            <w:r>
              <w:rPr>
                <w:color w:val="auto"/>
                <w:sz w:val="24"/>
                <w:highlight w:val="none"/>
              </w:rPr>
              <w:t xml:space="preserve">                       年   月   日 </w:t>
            </w:r>
          </w:p>
          <w:p w14:paraId="1841917F">
            <w:pPr>
              <w:jc w:val="center"/>
              <w:rPr>
                <w:color w:val="auto"/>
                <w:sz w:val="24"/>
                <w:highlight w:val="none"/>
              </w:rPr>
            </w:pPr>
          </w:p>
        </w:tc>
      </w:tr>
      <w:tr w14:paraId="6E95F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8" w:hRule="atLeast"/>
          <w:jc w:val="center"/>
        </w:trPr>
        <w:tc>
          <w:tcPr>
            <w:tcW w:w="9033" w:type="dxa"/>
          </w:tcPr>
          <w:p w14:paraId="517024EF">
            <w:pPr>
              <w:jc w:val="left"/>
              <w:rPr>
                <w:color w:val="auto"/>
                <w:sz w:val="24"/>
                <w:highlight w:val="none"/>
              </w:rPr>
            </w:pPr>
            <w:r>
              <w:rPr>
                <w:color w:val="auto"/>
                <w:sz w:val="24"/>
                <w:highlight w:val="none"/>
              </w:rPr>
              <w:t>审批意见：</w:t>
            </w:r>
          </w:p>
          <w:p w14:paraId="37D78875">
            <w:pPr>
              <w:jc w:val="center"/>
              <w:rPr>
                <w:color w:val="auto"/>
                <w:sz w:val="24"/>
                <w:highlight w:val="none"/>
              </w:rPr>
            </w:pPr>
          </w:p>
          <w:p w14:paraId="2D48EE4B">
            <w:pPr>
              <w:jc w:val="center"/>
              <w:rPr>
                <w:color w:val="auto"/>
                <w:sz w:val="24"/>
                <w:highlight w:val="none"/>
              </w:rPr>
            </w:pPr>
          </w:p>
          <w:p w14:paraId="6A623D82">
            <w:pPr>
              <w:jc w:val="center"/>
              <w:rPr>
                <w:color w:val="auto"/>
                <w:sz w:val="24"/>
                <w:highlight w:val="none"/>
              </w:rPr>
            </w:pPr>
          </w:p>
          <w:p w14:paraId="3A7C6BBC">
            <w:pPr>
              <w:jc w:val="center"/>
              <w:rPr>
                <w:color w:val="auto"/>
                <w:sz w:val="24"/>
                <w:highlight w:val="none"/>
              </w:rPr>
            </w:pPr>
          </w:p>
          <w:p w14:paraId="313A0E2F">
            <w:pPr>
              <w:jc w:val="center"/>
              <w:rPr>
                <w:color w:val="auto"/>
                <w:sz w:val="24"/>
                <w:highlight w:val="none"/>
              </w:rPr>
            </w:pPr>
          </w:p>
          <w:p w14:paraId="2651B7A0">
            <w:pPr>
              <w:jc w:val="center"/>
              <w:rPr>
                <w:color w:val="auto"/>
                <w:sz w:val="24"/>
                <w:highlight w:val="none"/>
              </w:rPr>
            </w:pPr>
          </w:p>
          <w:p w14:paraId="1DEEA96F">
            <w:pPr>
              <w:jc w:val="center"/>
              <w:rPr>
                <w:color w:val="auto"/>
                <w:sz w:val="24"/>
                <w:highlight w:val="none"/>
              </w:rPr>
            </w:pPr>
          </w:p>
          <w:p w14:paraId="69894E6B">
            <w:pPr>
              <w:jc w:val="center"/>
              <w:rPr>
                <w:color w:val="auto"/>
                <w:sz w:val="24"/>
                <w:highlight w:val="none"/>
              </w:rPr>
            </w:pPr>
          </w:p>
          <w:p w14:paraId="204E5A8F">
            <w:pPr>
              <w:rPr>
                <w:color w:val="auto"/>
                <w:sz w:val="24"/>
                <w:highlight w:val="none"/>
              </w:rPr>
            </w:pPr>
          </w:p>
          <w:p w14:paraId="67AE1EA7">
            <w:pPr>
              <w:jc w:val="center"/>
              <w:rPr>
                <w:color w:val="auto"/>
                <w:sz w:val="24"/>
                <w:highlight w:val="none"/>
              </w:rPr>
            </w:pPr>
          </w:p>
          <w:p w14:paraId="44A00B1C">
            <w:pPr>
              <w:jc w:val="center"/>
              <w:rPr>
                <w:color w:val="auto"/>
                <w:sz w:val="24"/>
                <w:highlight w:val="none"/>
              </w:rPr>
            </w:pPr>
          </w:p>
          <w:p w14:paraId="3D484DA6">
            <w:pPr>
              <w:jc w:val="center"/>
              <w:rPr>
                <w:color w:val="auto"/>
                <w:sz w:val="24"/>
                <w:highlight w:val="none"/>
              </w:rPr>
            </w:pPr>
          </w:p>
          <w:p w14:paraId="4816ACD4">
            <w:pPr>
              <w:jc w:val="center"/>
              <w:rPr>
                <w:color w:val="auto"/>
                <w:sz w:val="24"/>
                <w:highlight w:val="none"/>
              </w:rPr>
            </w:pPr>
          </w:p>
          <w:p w14:paraId="6977B443">
            <w:pPr>
              <w:jc w:val="center"/>
              <w:rPr>
                <w:color w:val="auto"/>
                <w:sz w:val="24"/>
                <w:highlight w:val="none"/>
              </w:rPr>
            </w:pPr>
          </w:p>
          <w:p w14:paraId="5D7E2A29">
            <w:pPr>
              <w:jc w:val="center"/>
              <w:rPr>
                <w:color w:val="auto"/>
                <w:sz w:val="24"/>
                <w:highlight w:val="none"/>
              </w:rPr>
            </w:pPr>
          </w:p>
          <w:p w14:paraId="06F0A93E">
            <w:pPr>
              <w:jc w:val="center"/>
              <w:rPr>
                <w:color w:val="auto"/>
                <w:sz w:val="24"/>
                <w:highlight w:val="none"/>
              </w:rPr>
            </w:pPr>
          </w:p>
          <w:p w14:paraId="6401E52D">
            <w:pPr>
              <w:jc w:val="center"/>
              <w:rPr>
                <w:color w:val="auto"/>
                <w:sz w:val="24"/>
                <w:highlight w:val="none"/>
              </w:rPr>
            </w:pPr>
          </w:p>
          <w:p w14:paraId="0301E210">
            <w:pPr>
              <w:rPr>
                <w:color w:val="auto"/>
                <w:sz w:val="24"/>
                <w:highlight w:val="none"/>
              </w:rPr>
            </w:pPr>
            <w:r>
              <w:rPr>
                <w:color w:val="auto"/>
                <w:sz w:val="24"/>
                <w:highlight w:val="none"/>
              </w:rPr>
              <w:t>经办人签字                               公章</w:t>
            </w:r>
          </w:p>
          <w:p w14:paraId="07B20229">
            <w:pPr>
              <w:rPr>
                <w:color w:val="auto"/>
                <w:sz w:val="24"/>
                <w:highlight w:val="none"/>
              </w:rPr>
            </w:pPr>
            <w:r>
              <w:rPr>
                <w:color w:val="auto"/>
                <w:sz w:val="24"/>
                <w:highlight w:val="none"/>
              </w:rPr>
              <w:t xml:space="preserve">                                        年   月   日</w:t>
            </w:r>
          </w:p>
          <w:p w14:paraId="5B842439">
            <w:pPr>
              <w:jc w:val="center"/>
              <w:rPr>
                <w:color w:val="auto"/>
                <w:sz w:val="24"/>
                <w:highlight w:val="none"/>
              </w:rPr>
            </w:pPr>
          </w:p>
        </w:tc>
      </w:tr>
    </w:tbl>
    <w:p w14:paraId="77779CA7">
      <w:pPr>
        <w:tabs>
          <w:tab w:val="left" w:pos="1046"/>
        </w:tabs>
        <w:rPr>
          <w:color w:val="auto"/>
          <w:highlight w:val="none"/>
        </w:rPr>
        <w:sectPr>
          <w:footerReference r:id="rId9" w:type="default"/>
          <w:pgSz w:w="11906" w:h="16838"/>
          <w:pgMar w:top="1701" w:right="1531" w:bottom="1531" w:left="1701" w:header="1135" w:footer="992" w:gutter="0"/>
          <w:pgBorders>
            <w:top w:val="none" w:sz="0" w:space="0"/>
            <w:left w:val="none" w:sz="0" w:space="0"/>
            <w:bottom w:val="none" w:sz="0" w:space="0"/>
            <w:right w:val="none" w:sz="0" w:space="0"/>
          </w:pgBorders>
          <w:cols w:space="720" w:num="1"/>
          <w:docGrid w:type="lines" w:linePitch="312" w:charSpace="0"/>
        </w:sectPr>
      </w:pPr>
    </w:p>
    <w:p w14:paraId="5C9DD1DD">
      <w:pPr>
        <w:keepNext w:val="0"/>
        <w:keepLines w:val="0"/>
        <w:pageBreakBefore w:val="0"/>
        <w:widowControl w:val="0"/>
        <w:kinsoku/>
        <w:wordWrap/>
        <w:overflowPunct/>
        <w:topLinePunct w:val="0"/>
        <w:autoSpaceDE/>
        <w:autoSpaceDN/>
        <w:bidi w:val="0"/>
        <w:adjustRightInd/>
        <w:snapToGrid/>
        <w:spacing w:line="240" w:lineRule="atLeast"/>
        <w:jc w:val="both"/>
        <w:textAlignment w:val="auto"/>
        <w:outlineLvl w:val="0"/>
        <w:rPr>
          <w:rFonts w:hint="eastAsia"/>
          <w:b/>
          <w:color w:val="auto"/>
          <w:sz w:val="24"/>
          <w:szCs w:val="24"/>
        </w:rPr>
      </w:pPr>
      <w:bookmarkStart w:id="229" w:name="_Toc1776"/>
      <w:r>
        <w:rPr>
          <w:b/>
          <w:color w:val="auto"/>
          <w:sz w:val="24"/>
          <w:szCs w:val="24"/>
        </w:rPr>
        <w:t>附</w:t>
      </w:r>
      <w:r>
        <w:rPr>
          <w:rFonts w:hint="eastAsia"/>
          <w:b/>
          <w:color w:val="auto"/>
          <w:sz w:val="24"/>
          <w:szCs w:val="24"/>
        </w:rPr>
        <w:t>图</w:t>
      </w:r>
      <w:r>
        <w:rPr>
          <w:b/>
          <w:color w:val="auto"/>
          <w:sz w:val="24"/>
          <w:szCs w:val="24"/>
        </w:rPr>
        <w:t>1</w:t>
      </w:r>
      <w:r>
        <w:rPr>
          <w:rFonts w:hint="eastAsia"/>
          <w:b/>
          <w:color w:val="auto"/>
          <w:sz w:val="24"/>
          <w:szCs w:val="24"/>
        </w:rPr>
        <w:t>：项目</w:t>
      </w:r>
      <w:r>
        <w:rPr>
          <w:rFonts w:hint="eastAsia"/>
          <w:b/>
          <w:color w:val="auto"/>
          <w:sz w:val="24"/>
          <w:szCs w:val="24"/>
          <w:lang w:val="en-US" w:eastAsia="zh-CN"/>
        </w:rPr>
        <w:t>地理位置</w:t>
      </w:r>
      <w:r>
        <w:rPr>
          <w:rFonts w:hint="eastAsia"/>
          <w:b/>
          <w:color w:val="auto"/>
          <w:sz w:val="24"/>
          <w:szCs w:val="24"/>
        </w:rPr>
        <w:t>图</w:t>
      </w:r>
      <w:bookmarkEnd w:id="229"/>
    </w:p>
    <w:p w14:paraId="54030FEC">
      <w:pPr>
        <w:jc w:val="left"/>
        <w:outlineLvl w:val="0"/>
        <w:rPr>
          <w:b/>
          <w:color w:val="auto"/>
          <w:sz w:val="28"/>
          <w:szCs w:val="28"/>
        </w:rPr>
        <w:sectPr>
          <w:headerReference r:id="rId10" w:type="default"/>
          <w:footerReference r:id="rId11" w:type="default"/>
          <w:pgSz w:w="16838" w:h="11906" w:orient="landscape"/>
          <w:pgMar w:top="1361" w:right="1701" w:bottom="1361" w:left="1531" w:header="1135" w:footer="992" w:gutter="0"/>
          <w:pgBorders>
            <w:top w:val="none" w:sz="0" w:space="0"/>
            <w:left w:val="none" w:sz="0" w:space="0"/>
            <w:bottom w:val="none" w:sz="0" w:space="0"/>
            <w:right w:val="none" w:sz="0" w:space="0"/>
          </w:pgBorders>
          <w:pgNumType w:fmt="decimal" w:start="1"/>
          <w:cols w:space="720" w:num="1"/>
          <w:docGrid w:type="lines" w:linePitch="312" w:charSpace="0"/>
        </w:sectPr>
      </w:pPr>
      <w:r>
        <w:rPr>
          <w:rFonts w:hint="default" w:ascii="Times New Roman" w:hAnsi="Times New Roman" w:cs="Times New Roman"/>
          <w:color w:val="auto"/>
          <w:highlight w:val="none"/>
        </w:rPr>
        <w:drawing>
          <wp:anchor distT="0" distB="0" distL="114300" distR="114300" simplePos="0" relativeHeight="251747328" behindDoc="0" locked="0" layoutInCell="1" allowOverlap="1">
            <wp:simplePos x="0" y="0"/>
            <wp:positionH relativeFrom="column">
              <wp:posOffset>7860665</wp:posOffset>
            </wp:positionH>
            <wp:positionV relativeFrom="paragraph">
              <wp:posOffset>21590</wp:posOffset>
            </wp:positionV>
            <wp:extent cx="788670" cy="641350"/>
            <wp:effectExtent l="9525" t="9525" r="20955" b="15875"/>
            <wp:wrapNone/>
            <wp:docPr id="8" name="图片 8" descr="六安风向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六安风向玫瑰图"/>
                    <pic:cNvPicPr>
                      <a:picLocks noChangeAspect="1"/>
                    </pic:cNvPicPr>
                  </pic:nvPicPr>
                  <pic:blipFill>
                    <a:blip r:embed="rId33"/>
                    <a:stretch>
                      <a:fillRect/>
                    </a:stretch>
                  </pic:blipFill>
                  <pic:spPr>
                    <a:xfrm>
                      <a:off x="0" y="0"/>
                      <a:ext cx="788670" cy="641350"/>
                    </a:xfrm>
                    <a:prstGeom prst="rect">
                      <a:avLst/>
                    </a:prstGeom>
                    <a:ln>
                      <a:solidFill>
                        <a:schemeClr val="tx1"/>
                      </a:solidFill>
                    </a:ln>
                  </pic:spPr>
                </pic:pic>
              </a:graphicData>
            </a:graphic>
          </wp:anchor>
        </w:drawing>
      </w:r>
      <w:r>
        <w:rPr>
          <w:color w:val="auto"/>
          <w:sz w:val="21"/>
        </w:rPr>
        <mc:AlternateContent>
          <mc:Choice Requires="wps">
            <w:drawing>
              <wp:anchor distT="0" distB="0" distL="114300" distR="114300" simplePos="0" relativeHeight="251745280" behindDoc="0" locked="0" layoutInCell="1" allowOverlap="1">
                <wp:simplePos x="0" y="0"/>
                <wp:positionH relativeFrom="column">
                  <wp:posOffset>2734945</wp:posOffset>
                </wp:positionH>
                <wp:positionV relativeFrom="paragraph">
                  <wp:posOffset>2475230</wp:posOffset>
                </wp:positionV>
                <wp:extent cx="1163955" cy="487045"/>
                <wp:effectExtent l="19050" t="19050" r="360045" b="27305"/>
                <wp:wrapNone/>
                <wp:docPr id="4" name="矩形标注 4"/>
                <wp:cNvGraphicFramePr/>
                <a:graphic xmlns:a="http://schemas.openxmlformats.org/drawingml/2006/main">
                  <a:graphicData uri="http://schemas.microsoft.com/office/word/2010/wordprocessingShape">
                    <wps:wsp>
                      <wps:cNvSpPr/>
                      <wps:spPr>
                        <a:xfrm>
                          <a:off x="3114040" y="3766820"/>
                          <a:ext cx="1163955" cy="487045"/>
                        </a:xfrm>
                        <a:prstGeom prst="wedgeRectCallout">
                          <a:avLst>
                            <a:gd name="adj1" fmla="val 72804"/>
                            <a:gd name="adj2" fmla="val 45306"/>
                          </a:avLst>
                        </a:prstGeom>
                        <a:noFill/>
                        <a:ln w="38100">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E0DE2B0">
                            <w:pPr>
                              <w:jc w:val="center"/>
                              <w:rPr>
                                <w:rFonts w:hint="eastAsia" w:eastAsia="宋体"/>
                                <w:b/>
                                <w:bCs/>
                                <w:color w:val="FF0000"/>
                                <w:sz w:val="36"/>
                                <w:szCs w:val="32"/>
                                <w:lang w:val="en-US" w:eastAsia="zh-CN"/>
                              </w:rPr>
                            </w:pPr>
                            <w:r>
                              <w:rPr>
                                <w:rFonts w:hint="eastAsia"/>
                                <w:b/>
                                <w:bCs/>
                                <w:color w:val="FF0000"/>
                                <w:sz w:val="36"/>
                                <w:szCs w:val="32"/>
                                <w:lang w:val="en-US" w:eastAsia="zh-CN"/>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5.35pt;margin-top:194.9pt;height:38.35pt;width:91.65pt;z-index:251745280;v-text-anchor:middle;mso-width-relative:page;mso-height-relative:page;" filled="f" stroked="t" coordsize="21600,21600" o:gfxdata="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OwaNHrZAAAACwEAAA8AAAAAAAAAAQAg&#10;AAAAIgAAAGRycy9kb3ducmV2LnhtbFBLAQIUABQAAAAIAIdO4kA881ZHuAIAAEUFAAAOAAAAAAAA&#10;AAEAIAAAACgBAABkcnMvZTJvRG9jLnhtbFBLBQYAAAAABgAGAFkBAABSBgAAAAA=&#10;" adj="26526,20586">
                <v:fill on="f" focussize="0,0"/>
                <v:stroke weight="3pt" color="#ED7D31 [3205]" miterlimit="8" joinstyle="miter"/>
                <v:imagedata o:title=""/>
                <o:lock v:ext="edit" aspectratio="f"/>
                <v:textbox>
                  <w:txbxContent>
                    <w:p w14:paraId="6E0DE2B0">
                      <w:pPr>
                        <w:jc w:val="center"/>
                        <w:rPr>
                          <w:rFonts w:hint="eastAsia" w:eastAsia="宋体"/>
                          <w:b/>
                          <w:bCs/>
                          <w:color w:val="FF0000"/>
                          <w:sz w:val="36"/>
                          <w:szCs w:val="32"/>
                          <w:lang w:val="en-US" w:eastAsia="zh-CN"/>
                        </w:rPr>
                      </w:pPr>
                      <w:r>
                        <w:rPr>
                          <w:rFonts w:hint="eastAsia"/>
                          <w:b/>
                          <w:bCs/>
                          <w:color w:val="FF0000"/>
                          <w:sz w:val="36"/>
                          <w:szCs w:val="32"/>
                          <w:lang w:val="en-US" w:eastAsia="zh-CN"/>
                        </w:rPr>
                        <w:t>项目区</w:t>
                      </w:r>
                    </w:p>
                  </w:txbxContent>
                </v:textbox>
              </v:shape>
            </w:pict>
          </mc:Fallback>
        </mc:AlternateContent>
      </w:r>
      <w:r>
        <w:rPr>
          <w:color w:val="auto"/>
          <w:sz w:val="21"/>
        </w:rPr>
        <mc:AlternateContent>
          <mc:Choice Requires="wps">
            <w:drawing>
              <wp:anchor distT="0" distB="0" distL="114300" distR="114300" simplePos="0" relativeHeight="251746304" behindDoc="0" locked="0" layoutInCell="1" allowOverlap="1">
                <wp:simplePos x="0" y="0"/>
                <wp:positionH relativeFrom="column">
                  <wp:posOffset>4152265</wp:posOffset>
                </wp:positionH>
                <wp:positionV relativeFrom="paragraph">
                  <wp:posOffset>2877820</wp:posOffset>
                </wp:positionV>
                <wp:extent cx="212090" cy="179705"/>
                <wp:effectExtent l="21590" t="18415" r="33020" b="30480"/>
                <wp:wrapNone/>
                <wp:docPr id="5" name="五角星 5"/>
                <wp:cNvGraphicFramePr/>
                <a:graphic xmlns:a="http://schemas.openxmlformats.org/drawingml/2006/main">
                  <a:graphicData uri="http://schemas.microsoft.com/office/word/2010/wordprocessingShape">
                    <wps:wsp>
                      <wps:cNvSpPr/>
                      <wps:spPr>
                        <a:xfrm>
                          <a:off x="5187950" y="4201160"/>
                          <a:ext cx="212090" cy="17970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6.95pt;margin-top:226.6pt;height:14.15pt;width:16.7pt;z-index:251746304;v-text-anchor:middle;mso-width-relative:page;mso-height-relative:page;" fillcolor="#FF0000" filled="t" stroked="t" coordsize="212090,179705" o:gfxdata="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NsVNhzbAAAACwEAAA8AAAAAAAAAAQAg&#10;AAAAIgAAAGRycy9kb3ducmV2LnhtbFBLAQIUABQAAAAIAIdO4kAv+sgpfQIAAAMFAAAOAAAAAAAA&#10;AAEAIAAAACoBAABkcnMvZTJvRG9jLnhtbFBLBQYAAAAABgAGAFkBAAAZBgAAAAA=&#10;" path="m0,68641l81011,68641,106045,0,131078,68641,212089,68641,146549,111063,171584,179704,106045,137281,40505,179704,65540,111063xe">
                <v:path o:connectlocs="106045,0;0,68641;40505,179704;171584,179704;212089,68641" o:connectangles="247,164,82,82,0"/>
                <v:fill on="t" focussize="0,0"/>
                <v:stroke weight="1pt" color="#FF0000 [2404]" miterlimit="8" joinstyle="miter"/>
                <v:imagedata o:title=""/>
                <o:lock v:ext="edit" aspectratio="f"/>
              </v:shape>
            </w:pict>
          </mc:Fallback>
        </mc:AlternateContent>
      </w:r>
      <w:r>
        <w:rPr>
          <w:color w:val="auto"/>
        </w:rPr>
        <w:drawing>
          <wp:inline distT="0" distB="0" distL="114300" distR="114300">
            <wp:extent cx="8636635" cy="5283200"/>
            <wp:effectExtent l="9525" t="9525" r="21590" b="22225"/>
            <wp:docPr id="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2"/>
                    <pic:cNvPicPr>
                      <a:picLocks noChangeAspect="1"/>
                    </pic:cNvPicPr>
                  </pic:nvPicPr>
                  <pic:blipFill>
                    <a:blip r:embed="rId73"/>
                    <a:stretch>
                      <a:fillRect/>
                    </a:stretch>
                  </pic:blipFill>
                  <pic:spPr>
                    <a:xfrm>
                      <a:off x="0" y="0"/>
                      <a:ext cx="8636635" cy="5283200"/>
                    </a:xfrm>
                    <a:prstGeom prst="rect">
                      <a:avLst/>
                    </a:prstGeom>
                    <a:noFill/>
                    <a:ln>
                      <a:solidFill>
                        <a:schemeClr val="tx1"/>
                      </a:solidFill>
                    </a:ln>
                  </pic:spPr>
                </pic:pic>
              </a:graphicData>
            </a:graphic>
          </wp:inline>
        </w:drawing>
      </w:r>
    </w:p>
    <w:p w14:paraId="014A25E6">
      <w:pPr>
        <w:keepNext w:val="0"/>
        <w:keepLines w:val="0"/>
        <w:pageBreakBefore w:val="0"/>
        <w:widowControl w:val="0"/>
        <w:kinsoku/>
        <w:wordWrap/>
        <w:overflowPunct/>
        <w:topLinePunct w:val="0"/>
        <w:autoSpaceDE/>
        <w:autoSpaceDN/>
        <w:bidi w:val="0"/>
        <w:adjustRightInd/>
        <w:snapToGrid/>
        <w:spacing w:line="240" w:lineRule="atLeast"/>
        <w:jc w:val="both"/>
        <w:textAlignment w:val="auto"/>
        <w:outlineLvl w:val="0"/>
        <w:rPr>
          <w:rFonts w:hint="eastAsia"/>
          <w:b/>
          <w:color w:val="auto"/>
          <w:sz w:val="24"/>
          <w:szCs w:val="24"/>
        </w:rPr>
      </w:pPr>
      <w:bookmarkStart w:id="230" w:name="_Toc6619"/>
      <w:r>
        <w:rPr>
          <w:b/>
          <w:color w:val="auto"/>
          <w:sz w:val="24"/>
          <w:szCs w:val="24"/>
        </w:rPr>
        <w:t>附</w:t>
      </w:r>
      <w:r>
        <w:rPr>
          <w:rFonts w:hint="eastAsia"/>
          <w:b/>
          <w:color w:val="auto"/>
          <w:sz w:val="24"/>
          <w:szCs w:val="24"/>
        </w:rPr>
        <w:t>图</w:t>
      </w:r>
      <w:r>
        <w:rPr>
          <w:rFonts w:hint="eastAsia"/>
          <w:b/>
          <w:color w:val="auto"/>
          <w:sz w:val="24"/>
          <w:szCs w:val="24"/>
          <w:lang w:val="en-US" w:eastAsia="zh-CN"/>
        </w:rPr>
        <w:t>2</w:t>
      </w:r>
      <w:r>
        <w:rPr>
          <w:rFonts w:hint="eastAsia"/>
          <w:b/>
          <w:color w:val="auto"/>
          <w:sz w:val="24"/>
          <w:szCs w:val="24"/>
        </w:rPr>
        <w:t>：项目厂区总平面布置图</w:t>
      </w:r>
      <w:bookmarkEnd w:id="230"/>
    </w:p>
    <w:p w14:paraId="4685E7A1">
      <w:pPr>
        <w:pStyle w:val="5"/>
        <w:ind w:left="0" w:leftChars="0" w:firstLine="0" w:firstLineChars="0"/>
        <w:rPr>
          <w:color w:val="auto"/>
        </w:rPr>
      </w:pPr>
      <w:r>
        <w:rPr>
          <w:color w:val="auto"/>
          <w:sz w:val="28"/>
        </w:rPr>
        <mc:AlternateContent>
          <mc:Choice Requires="wps">
            <w:drawing>
              <wp:anchor distT="0" distB="0" distL="114300" distR="114300" simplePos="0" relativeHeight="251768832" behindDoc="0" locked="0" layoutInCell="1" allowOverlap="1">
                <wp:simplePos x="0" y="0"/>
                <wp:positionH relativeFrom="column">
                  <wp:posOffset>5240655</wp:posOffset>
                </wp:positionH>
                <wp:positionV relativeFrom="paragraph">
                  <wp:posOffset>1668780</wp:posOffset>
                </wp:positionV>
                <wp:extent cx="718820" cy="294640"/>
                <wp:effectExtent l="0" t="0" r="5080" b="10160"/>
                <wp:wrapNone/>
                <wp:docPr id="65" name="矩形 65"/>
                <wp:cNvGraphicFramePr/>
                <a:graphic xmlns:a="http://schemas.openxmlformats.org/drawingml/2006/main">
                  <a:graphicData uri="http://schemas.microsoft.com/office/word/2010/wordprocessingShape">
                    <wps:wsp>
                      <wps:cNvSpPr/>
                      <wps:spPr>
                        <a:xfrm>
                          <a:off x="0" y="0"/>
                          <a:ext cx="718820" cy="29464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E76737E">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2.65pt;margin-top:131.4pt;height:23.2pt;width:56.6pt;z-index:251768832;v-text-anchor:middle;mso-width-relative:page;mso-height-relative:page;" fillcolor="#FFFFFF [3212]" filled="t" stroked="f" coordsize="21600,21600" o:gfxdata="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IaMPr2wAAAAsBAAAPAAAAAAAAAAEAIAAAACIAAABkcnMv&#10;ZG93bnJldi54bWxQSwECFAAUAAAACACHTuJAFARB+XICAADXBAAADgAAAAAAAAABACAAAAAqAQAA&#10;ZHJzL2Uyb0RvYy54bWxQSwUGAAAAAAYABgBZAQAADgYAAAAA&#10;">
                <v:fill on="t" focussize="0,0"/>
                <v:stroke on="f" weight="1pt" miterlimit="8" joinstyle="miter"/>
                <v:imagedata o:title=""/>
                <o:lock v:ext="edit" aspectratio="f"/>
                <v:textbox>
                  <w:txbxContent>
                    <w:p w14:paraId="4E76737E">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2#车间</w:t>
                      </w:r>
                    </w:p>
                  </w:txbxContent>
                </v:textbox>
              </v:rect>
            </w:pict>
          </mc:Fallback>
        </mc:AlternateContent>
      </w:r>
      <w:r>
        <w:rPr>
          <w:color w:val="auto"/>
          <w:sz w:val="28"/>
        </w:rPr>
        <mc:AlternateContent>
          <mc:Choice Requires="wps">
            <w:drawing>
              <wp:anchor distT="0" distB="0" distL="114300" distR="114300" simplePos="0" relativeHeight="251766784" behindDoc="0" locked="0" layoutInCell="1" allowOverlap="1">
                <wp:simplePos x="0" y="0"/>
                <wp:positionH relativeFrom="column">
                  <wp:posOffset>6214110</wp:posOffset>
                </wp:positionH>
                <wp:positionV relativeFrom="paragraph">
                  <wp:posOffset>2840990</wp:posOffset>
                </wp:positionV>
                <wp:extent cx="718820" cy="294640"/>
                <wp:effectExtent l="0" t="0" r="5080" b="10160"/>
                <wp:wrapNone/>
                <wp:docPr id="63" name="矩形 63"/>
                <wp:cNvGraphicFramePr/>
                <a:graphic xmlns:a="http://schemas.openxmlformats.org/drawingml/2006/main">
                  <a:graphicData uri="http://schemas.microsoft.com/office/word/2010/wordprocessingShape">
                    <wps:wsp>
                      <wps:cNvSpPr/>
                      <wps:spPr>
                        <a:xfrm>
                          <a:off x="7178040" y="4317365"/>
                          <a:ext cx="718820" cy="29464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BE1F1BF">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9.3pt;margin-top:223.7pt;height:23.2pt;width:56.6pt;z-index:251766784;v-text-anchor:middle;mso-width-relative:page;mso-height-relative:page;" fillcolor="#FFFFFF [3212]" filled="t" stroked="f" coordsize="21600,21600" o:gfxdata="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ZuFmJNsAAAAMAQAADwAAAAAAAAABACAA&#10;AAAiAAAAZHJzL2Rvd25yZXYueG1sUEsBAhQAFAAAAAgAh07iQCTb16F8AgAA4wQAAA4AAAAAAAAA&#10;AQAgAAAAKgEAAGRycy9lMm9Eb2MueG1sUEsFBgAAAAAGAAYAWQEAABgGAAAAAA==&#10;">
                <v:fill on="t" focussize="0,0"/>
                <v:stroke on="f" weight="1pt" miterlimit="8" joinstyle="miter"/>
                <v:imagedata o:title=""/>
                <o:lock v:ext="edit" aspectratio="f"/>
                <v:textbox>
                  <w:txbxContent>
                    <w:p w14:paraId="3BE1F1BF">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3#车间</w:t>
                      </w:r>
                    </w:p>
                  </w:txbxContent>
                </v:textbox>
              </v:rect>
            </w:pict>
          </mc:Fallback>
        </mc:AlternateContent>
      </w:r>
      <w:r>
        <w:rPr>
          <w:color w:val="auto"/>
          <w:sz w:val="28"/>
        </w:rPr>
        <mc:AlternateContent>
          <mc:Choice Requires="wps">
            <w:drawing>
              <wp:anchor distT="0" distB="0" distL="114300" distR="114300" simplePos="0" relativeHeight="251767808" behindDoc="0" locked="0" layoutInCell="1" allowOverlap="1">
                <wp:simplePos x="0" y="0"/>
                <wp:positionH relativeFrom="column">
                  <wp:posOffset>3950970</wp:posOffset>
                </wp:positionH>
                <wp:positionV relativeFrom="paragraph">
                  <wp:posOffset>2854960</wp:posOffset>
                </wp:positionV>
                <wp:extent cx="718820" cy="294640"/>
                <wp:effectExtent l="0" t="0" r="5080" b="10160"/>
                <wp:wrapNone/>
                <wp:docPr id="64" name="矩形 64"/>
                <wp:cNvGraphicFramePr/>
                <a:graphic xmlns:a="http://schemas.openxmlformats.org/drawingml/2006/main">
                  <a:graphicData uri="http://schemas.microsoft.com/office/word/2010/wordprocessingShape">
                    <wps:wsp>
                      <wps:cNvSpPr/>
                      <wps:spPr>
                        <a:xfrm>
                          <a:off x="0" y="0"/>
                          <a:ext cx="718820" cy="29464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0B751CE">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1pt;margin-top:224.8pt;height:23.2pt;width:56.6pt;z-index:251767808;v-text-anchor:middle;mso-width-relative:page;mso-height-relative:page;" fillcolor="#FFFFFF [3212]" filled="t" stroked="f" coordsize="21600,21600" o:gfxdata="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GbPIi2wAAAAsBAAAPAAAAAAAAAAEAIAAAACIAAABkcnMv&#10;ZG93bnJldi54bWxQSwECFAAUAAAACACHTuJAyrV8aHICAADXBAAADgAAAAAAAAABACAAAAAqAQAA&#10;ZHJzL2Uyb0RvYy54bWxQSwUGAAAAAAYABgBZAQAADgYAAAAA&#10;">
                <v:fill on="t" focussize="0,0"/>
                <v:stroke on="f" weight="1pt" miterlimit="8" joinstyle="miter"/>
                <v:imagedata o:title=""/>
                <o:lock v:ext="edit" aspectratio="f"/>
                <v:textbox>
                  <w:txbxContent>
                    <w:p w14:paraId="00B751CE">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1#车间</w:t>
                      </w:r>
                    </w:p>
                  </w:txbxContent>
                </v:textbox>
              </v:rect>
            </w:pict>
          </mc:Fallback>
        </mc:AlternateContent>
      </w:r>
      <w:r>
        <w:rPr>
          <w:color w:val="auto"/>
          <w:sz w:val="28"/>
        </w:rPr>
        <mc:AlternateContent>
          <mc:Choice Requires="wps">
            <w:drawing>
              <wp:anchor distT="0" distB="0" distL="114300" distR="114300" simplePos="0" relativeHeight="251750400" behindDoc="0" locked="0" layoutInCell="1" allowOverlap="1">
                <wp:simplePos x="0" y="0"/>
                <wp:positionH relativeFrom="column">
                  <wp:posOffset>7188835</wp:posOffset>
                </wp:positionH>
                <wp:positionV relativeFrom="paragraph">
                  <wp:posOffset>1208405</wp:posOffset>
                </wp:positionV>
                <wp:extent cx="412750" cy="1031875"/>
                <wp:effectExtent l="0" t="0" r="0" b="0"/>
                <wp:wrapNone/>
                <wp:docPr id="16" name="矩形 16"/>
                <wp:cNvGraphicFramePr/>
                <a:graphic xmlns:a="http://schemas.openxmlformats.org/drawingml/2006/main">
                  <a:graphicData uri="http://schemas.microsoft.com/office/word/2010/wordprocessingShape">
                    <wps:wsp>
                      <wps:cNvSpPr/>
                      <wps:spPr>
                        <a:xfrm>
                          <a:off x="4271645" y="287655"/>
                          <a:ext cx="412750" cy="10318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01AF5E6">
                            <w:pPr>
                              <w:jc w:val="center"/>
                              <w:rPr>
                                <w:rFonts w:hint="eastAsia" w:eastAsia="宋体"/>
                                <w:b/>
                                <w:bCs/>
                                <w:color w:val="FFFF00"/>
                                <w:sz w:val="22"/>
                                <w:szCs w:val="21"/>
                                <w:lang w:val="en-US" w:eastAsia="zh-CN"/>
                              </w:rPr>
                            </w:pPr>
                            <w:r>
                              <w:rPr>
                                <w:rFonts w:hint="eastAsia"/>
                                <w:b/>
                                <w:bCs/>
                                <w:color w:val="FFFF00"/>
                                <w:sz w:val="22"/>
                                <w:szCs w:val="21"/>
                                <w:lang w:val="en-US" w:eastAsia="zh-CN"/>
                              </w:rPr>
                              <w:t>探伤房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6.05pt;margin-top:95.15pt;height:81.25pt;width:32.5pt;z-index:251750400;v-text-anchor:middle;mso-width-relative:page;mso-height-relative:page;" filled="f" stroked="f" coordsize="21600,21600" o:gfxdata="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WYhW/aAAAADQEAAA8AAAAAAAAAAQAgAAAAIgAAAGRycy9kb3ducmV2&#10;LnhtbFBLAQIUABQAAAAIAIdO4kAtrVBibAIAALoEAAAOAAAAAAAAAAEAIAAAACkBAABkcnMvZTJv&#10;RG9jLnhtbFBLBQYAAAAABgAGAFkBAAAHBgAAAAA=&#10;">
                <v:fill on="f" focussize="0,0"/>
                <v:stroke on="f" weight="1pt" miterlimit="8" joinstyle="miter"/>
                <v:imagedata o:title=""/>
                <o:lock v:ext="edit" aspectratio="f"/>
                <v:textbox>
                  <w:txbxContent>
                    <w:p w14:paraId="401AF5E6">
                      <w:pPr>
                        <w:jc w:val="center"/>
                        <w:rPr>
                          <w:rFonts w:hint="eastAsia" w:eastAsia="宋体"/>
                          <w:b/>
                          <w:bCs/>
                          <w:color w:val="FFFF00"/>
                          <w:sz w:val="22"/>
                          <w:szCs w:val="21"/>
                          <w:lang w:val="en-US" w:eastAsia="zh-CN"/>
                        </w:rPr>
                      </w:pPr>
                      <w:r>
                        <w:rPr>
                          <w:rFonts w:hint="eastAsia"/>
                          <w:b/>
                          <w:bCs/>
                          <w:color w:val="FFFF00"/>
                          <w:sz w:val="22"/>
                          <w:szCs w:val="21"/>
                          <w:lang w:val="en-US" w:eastAsia="zh-CN"/>
                        </w:rPr>
                        <w:t>探伤房</w:t>
                      </w:r>
                    </w:p>
                  </w:txbxContent>
                </v:textbox>
              </v:rect>
            </w:pict>
          </mc:Fallback>
        </mc:AlternateContent>
      </w:r>
      <w:r>
        <w:rPr>
          <w:color w:val="auto"/>
          <w:sz w:val="21"/>
        </w:rPr>
        <mc:AlternateContent>
          <mc:Choice Requires="wps">
            <w:drawing>
              <wp:anchor distT="0" distB="0" distL="114300" distR="114300" simplePos="0" relativeHeight="251749376" behindDoc="0" locked="0" layoutInCell="1" allowOverlap="1">
                <wp:simplePos x="0" y="0"/>
                <wp:positionH relativeFrom="column">
                  <wp:posOffset>7189470</wp:posOffset>
                </wp:positionH>
                <wp:positionV relativeFrom="paragraph">
                  <wp:posOffset>1445260</wp:posOffset>
                </wp:positionV>
                <wp:extent cx="368300" cy="558165"/>
                <wp:effectExtent l="6350" t="6350" r="6350" b="6985"/>
                <wp:wrapNone/>
                <wp:docPr id="10" name="矩形 10"/>
                <wp:cNvGraphicFramePr/>
                <a:graphic xmlns:a="http://schemas.openxmlformats.org/drawingml/2006/main">
                  <a:graphicData uri="http://schemas.microsoft.com/office/word/2010/wordprocessingShape">
                    <wps:wsp>
                      <wps:cNvSpPr/>
                      <wps:spPr>
                        <a:xfrm>
                          <a:off x="7345680" y="1846580"/>
                          <a:ext cx="368300" cy="558165"/>
                        </a:xfrm>
                        <a:prstGeom prst="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6.1pt;margin-top:113.8pt;height:43.95pt;width:29pt;z-index:251749376;v-text-anchor:middle;mso-width-relative:page;mso-height-relative:page;" fillcolor="#FF0000" filled="t" stroked="t" coordsize="21600,21600" o:gfxdata="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gp8rm9kAAAANAQAADwAAAAAAAAABACAAAAAiAAAAZHJz&#10;L2Rvd25yZXYueG1sUEsBAhQAFAAAAAgAh07iQDFuBU91AgAAAQUAAA4AAAAAAAAAAQAgAAAAKAEA&#10;AGRycy9lMm9Eb2MueG1sUEsFBgAAAAAGAAYAWQEAAA8GAAAAAA==&#10;">
                <v:fill on="t" focussize="0,0"/>
                <v:stroke weight="1pt" color="#FF0000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48352" behindDoc="0" locked="0" layoutInCell="1" allowOverlap="1">
                <wp:simplePos x="0" y="0"/>
                <wp:positionH relativeFrom="column">
                  <wp:posOffset>7094855</wp:posOffset>
                </wp:positionH>
                <wp:positionV relativeFrom="paragraph">
                  <wp:posOffset>3459480</wp:posOffset>
                </wp:positionV>
                <wp:extent cx="1483360" cy="530225"/>
                <wp:effectExtent l="6350" t="6350" r="15240" b="15875"/>
                <wp:wrapNone/>
                <wp:docPr id="9" name="矩形 9"/>
                <wp:cNvGraphicFramePr/>
                <a:graphic xmlns:a="http://schemas.openxmlformats.org/drawingml/2006/main">
                  <a:graphicData uri="http://schemas.microsoft.com/office/word/2010/wordprocessingShape">
                    <wps:wsp>
                      <wps:cNvSpPr/>
                      <wps:spPr>
                        <a:xfrm>
                          <a:off x="8067040" y="4935855"/>
                          <a:ext cx="1483360" cy="53022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8.65pt;margin-top:272.4pt;height:41.75pt;width:116.8pt;z-index:251748352;v-text-anchor:middle;mso-width-relative:page;mso-height-relative:page;" fillcolor="#FFFFFF [3212]" filled="t" stroked="t" coordsize="21600,21600" o:gfxdata="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&#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k66JR2gAAAA0BAAAPAAAAAAAAAAEAIAAAACIAAABk&#10;cnMvZG93bnJldi54bWxQSwECFAAUAAAACACHTuJApYG9HXYCAAAABQAADgAAAAAAAAABACAAAAAp&#10;AQAAZHJzL2Uyb0RvYy54bWxQSwUGAAAAAAYABgBZAQAAEQYAAAAA&#10;">
                <v:fill on="t" focussize="0,0"/>
                <v:stroke weight="1pt" color="#FFFFFF [3212]" miterlimit="8" joinstyle="miter"/>
                <v:imagedata o:title=""/>
                <o:lock v:ext="edit" aspectratio="f"/>
              </v:rect>
            </w:pict>
          </mc:Fallback>
        </mc:AlternateContent>
      </w:r>
      <w:r>
        <w:rPr>
          <w:rFonts w:hint="default" w:ascii="Times New Roman" w:hAnsi="Times New Roman" w:cs="Times New Roman"/>
          <w:color w:val="auto"/>
        </w:rPr>
        <w:drawing>
          <wp:inline distT="0" distB="0" distL="114300" distR="114300">
            <wp:extent cx="8651875" cy="5292090"/>
            <wp:effectExtent l="9525" t="9525" r="25400" b="13335"/>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32"/>
                    <a:srcRect l="3563" r="1510"/>
                    <a:stretch>
                      <a:fillRect/>
                    </a:stretch>
                  </pic:blipFill>
                  <pic:spPr>
                    <a:xfrm>
                      <a:off x="0" y="0"/>
                      <a:ext cx="8651875" cy="5292090"/>
                    </a:xfrm>
                    <a:prstGeom prst="rect">
                      <a:avLst/>
                    </a:prstGeom>
                    <a:noFill/>
                    <a:ln>
                      <a:solidFill>
                        <a:schemeClr val="tx1"/>
                      </a:solidFill>
                    </a:ln>
                  </pic:spPr>
                </pic:pic>
              </a:graphicData>
            </a:graphic>
          </wp:inline>
        </w:drawing>
      </w:r>
    </w:p>
    <w:p w14:paraId="4EA04FBE">
      <w:pPr>
        <w:rPr>
          <w:rFonts w:hint="eastAsia"/>
          <w:color w:val="auto"/>
          <w:lang w:val="en-US" w:eastAsia="zh-CN"/>
        </w:rPr>
      </w:pPr>
    </w:p>
    <w:p w14:paraId="655F761D">
      <w:pPr>
        <w:keepNext w:val="0"/>
        <w:keepLines w:val="0"/>
        <w:pageBreakBefore w:val="0"/>
        <w:widowControl w:val="0"/>
        <w:kinsoku/>
        <w:wordWrap/>
        <w:overflowPunct/>
        <w:topLinePunct w:val="0"/>
        <w:autoSpaceDE/>
        <w:autoSpaceDN/>
        <w:bidi w:val="0"/>
        <w:adjustRightInd/>
        <w:snapToGrid/>
        <w:jc w:val="left"/>
        <w:textAlignment w:val="auto"/>
        <w:outlineLvl w:val="0"/>
        <w:rPr>
          <w:rFonts w:hint="eastAsia"/>
          <w:b/>
          <w:color w:val="auto"/>
          <w:sz w:val="24"/>
          <w:szCs w:val="24"/>
          <w:lang w:val="en-US" w:eastAsia="zh-CN"/>
        </w:rPr>
      </w:pPr>
      <w:r>
        <w:rPr>
          <w:rFonts w:hint="eastAsia"/>
          <w:b/>
          <w:color w:val="auto"/>
          <w:sz w:val="24"/>
          <w:szCs w:val="24"/>
          <w:lang w:val="en-US" w:eastAsia="zh-CN"/>
        </w:rPr>
        <w:t>附图3：探伤房平面布局图</w:t>
      </w:r>
    </w:p>
    <w:p w14:paraId="2505377F">
      <w:pPr>
        <w:pStyle w:val="2"/>
        <w:ind w:left="0" w:leftChars="0" w:firstLine="0" w:firstLineChars="0"/>
        <w:rPr>
          <w:color w:val="auto"/>
        </w:rPr>
        <w:sectPr>
          <w:pgSz w:w="16838" w:h="11906" w:orient="landscape"/>
          <w:pgMar w:top="1134" w:right="1701" w:bottom="1134" w:left="1531" w:header="1135"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w:drawing>
          <wp:inline distT="0" distB="0" distL="114300" distR="114300">
            <wp:extent cx="8016875" cy="5410835"/>
            <wp:effectExtent l="12700" t="12700" r="28575" b="24765"/>
            <wp:docPr id="2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3"/>
                    <pic:cNvPicPr>
                      <a:picLocks noChangeAspect="1"/>
                    </pic:cNvPicPr>
                  </pic:nvPicPr>
                  <pic:blipFill>
                    <a:blip r:embed="rId74"/>
                    <a:stretch>
                      <a:fillRect/>
                    </a:stretch>
                  </pic:blipFill>
                  <pic:spPr>
                    <a:xfrm>
                      <a:off x="0" y="0"/>
                      <a:ext cx="8016875" cy="5410835"/>
                    </a:xfrm>
                    <a:prstGeom prst="rect">
                      <a:avLst/>
                    </a:prstGeom>
                    <a:noFill/>
                    <a:ln w="12700" cmpd="sng">
                      <a:solidFill>
                        <a:schemeClr val="tx1"/>
                      </a:solidFill>
                      <a:prstDash val="solid"/>
                    </a:ln>
                  </pic:spPr>
                </pic:pic>
              </a:graphicData>
            </a:graphic>
          </wp:inline>
        </w:drawing>
      </w:r>
    </w:p>
    <w:p w14:paraId="4D1F5ECB">
      <w:pPr>
        <w:jc w:val="left"/>
        <w:outlineLvl w:val="0"/>
        <w:rPr>
          <w:rFonts w:hint="default"/>
          <w:color w:val="auto"/>
          <w:lang w:val="en-US" w:eastAsia="zh-CN"/>
        </w:rPr>
        <w:sectPr>
          <w:pgSz w:w="23811" w:h="16838" w:orient="landscape"/>
          <w:pgMar w:top="1134" w:right="1701" w:bottom="1134" w:left="1531" w:header="1135"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b/>
          <w:color w:val="auto"/>
          <w:sz w:val="24"/>
          <w:szCs w:val="24"/>
          <w:lang w:val="en-US" w:eastAsia="zh-CN"/>
        </w:rPr>
        <w:t>附图4：探伤房防护设施设计图</w:t>
      </w:r>
      <w:r>
        <w:rPr>
          <w:rFonts w:hint="default"/>
          <w:color w:val="auto"/>
          <w:lang w:val="en-US" w:eastAsia="zh-CN"/>
        </w:rPr>
        <w:drawing>
          <wp:inline distT="0" distB="0" distL="114300" distR="114300">
            <wp:extent cx="8035925" cy="13080365"/>
            <wp:effectExtent l="28575" t="28575" r="35560" b="31750"/>
            <wp:docPr id="259" name="图片 259" descr="cf8bc31d031880ce906c1c73d2cfa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cf8bc31d031880ce906c1c73d2cfaf4"/>
                    <pic:cNvPicPr>
                      <a:picLocks noChangeAspect="1"/>
                    </pic:cNvPicPr>
                  </pic:nvPicPr>
                  <pic:blipFill>
                    <a:blip r:embed="rId75"/>
                    <a:srcRect l="11224" r="8823"/>
                    <a:stretch>
                      <a:fillRect/>
                    </a:stretch>
                  </pic:blipFill>
                  <pic:spPr>
                    <a:xfrm rot="16200000">
                      <a:off x="0" y="0"/>
                      <a:ext cx="8035925" cy="13080365"/>
                    </a:xfrm>
                    <a:prstGeom prst="rect">
                      <a:avLst/>
                    </a:prstGeom>
                    <a:ln w="28575" cmpd="sng">
                      <a:solidFill>
                        <a:schemeClr val="tx1"/>
                      </a:solidFill>
                      <a:prstDash val="solid"/>
                    </a:ln>
                  </pic:spPr>
                </pic:pic>
              </a:graphicData>
            </a:graphic>
          </wp:inline>
        </w:drawing>
      </w:r>
    </w:p>
    <w:p w14:paraId="250C2082">
      <w:pPr>
        <w:jc w:val="left"/>
        <w:outlineLvl w:val="0"/>
        <w:rPr>
          <w:color w:val="auto"/>
          <w:sz w:val="24"/>
          <w:szCs w:val="24"/>
        </w:rPr>
      </w:pPr>
      <w:bookmarkStart w:id="231" w:name="_Toc19236"/>
      <w:r>
        <w:rPr>
          <w:b/>
          <w:color w:val="auto"/>
          <w:sz w:val="24"/>
          <w:szCs w:val="24"/>
        </w:rPr>
        <w:t>附</w:t>
      </w:r>
      <w:r>
        <w:rPr>
          <w:rFonts w:hint="eastAsia"/>
          <w:b/>
          <w:color w:val="auto"/>
          <w:sz w:val="24"/>
          <w:szCs w:val="24"/>
        </w:rPr>
        <w:t>图</w:t>
      </w:r>
      <w:r>
        <w:rPr>
          <w:rFonts w:hint="eastAsia"/>
          <w:b/>
          <w:color w:val="auto"/>
          <w:sz w:val="24"/>
          <w:szCs w:val="24"/>
          <w:lang w:val="en-US" w:eastAsia="zh-CN"/>
        </w:rPr>
        <w:t>5</w:t>
      </w:r>
      <w:r>
        <w:rPr>
          <w:rFonts w:hint="eastAsia"/>
          <w:b/>
          <w:color w:val="auto"/>
          <w:sz w:val="24"/>
          <w:szCs w:val="24"/>
        </w:rPr>
        <w:t>：</w:t>
      </w:r>
      <w:r>
        <w:rPr>
          <w:rFonts w:hint="default"/>
          <w:b/>
          <w:color w:val="auto"/>
          <w:sz w:val="24"/>
          <w:szCs w:val="24"/>
          <w:lang w:val="en-US" w:eastAsia="zh-CN"/>
        </w:rPr>
        <w:t>本项目与</w:t>
      </w:r>
      <w:r>
        <w:rPr>
          <w:rFonts w:hint="eastAsia"/>
          <w:b/>
          <w:color w:val="auto"/>
          <w:sz w:val="24"/>
          <w:szCs w:val="24"/>
          <w:lang w:val="en-US" w:eastAsia="zh-CN"/>
        </w:rPr>
        <w:t>六安</w:t>
      </w:r>
      <w:r>
        <w:rPr>
          <w:rFonts w:hint="default"/>
          <w:b/>
          <w:color w:val="auto"/>
          <w:sz w:val="24"/>
          <w:szCs w:val="24"/>
          <w:lang w:val="en-US" w:eastAsia="zh-CN"/>
        </w:rPr>
        <w:t>市生态保护红线相对位置图</w:t>
      </w:r>
      <w:bookmarkEnd w:id="231"/>
    </w:p>
    <w:p w14:paraId="5530B77E">
      <w:pPr>
        <w:jc w:val="both"/>
        <w:rPr>
          <w:rFonts w:hint="eastAsia"/>
          <w:color w:val="auto"/>
          <w:lang w:val="en-US" w:eastAsia="zh-CN"/>
        </w:rPr>
      </w:pPr>
      <w:r>
        <w:rPr>
          <w:color w:val="auto"/>
          <w:sz w:val="21"/>
        </w:rPr>
        <mc:AlternateContent>
          <mc:Choice Requires="wps">
            <w:drawing>
              <wp:anchor distT="0" distB="0" distL="114300" distR="114300" simplePos="0" relativeHeight="251752448" behindDoc="0" locked="0" layoutInCell="1" allowOverlap="1">
                <wp:simplePos x="0" y="0"/>
                <wp:positionH relativeFrom="column">
                  <wp:posOffset>4032885</wp:posOffset>
                </wp:positionH>
                <wp:positionV relativeFrom="paragraph">
                  <wp:posOffset>2877820</wp:posOffset>
                </wp:positionV>
                <wp:extent cx="212090" cy="179705"/>
                <wp:effectExtent l="21590" t="18415" r="33020" b="30480"/>
                <wp:wrapNone/>
                <wp:docPr id="21" name="五角星 21"/>
                <wp:cNvGraphicFramePr/>
                <a:graphic xmlns:a="http://schemas.openxmlformats.org/drawingml/2006/main">
                  <a:graphicData uri="http://schemas.microsoft.com/office/word/2010/wordprocessingShape">
                    <wps:wsp>
                      <wps:cNvSpPr/>
                      <wps:spPr>
                        <a:xfrm>
                          <a:off x="0" y="0"/>
                          <a:ext cx="212090" cy="17970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17.55pt;margin-top:226.6pt;height:14.15pt;width:16.7pt;z-index:251752448;v-text-anchor:middle;mso-width-relative:page;mso-height-relative:page;" fillcolor="#FF0000" filled="t" stroked="t" coordsize="212090,179705" o:gfxdata="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HYEaZ3aAAAACwEAAA8AAAAAAAAAAQAgAAAAIgAAAGRycy9k&#10;b3ducmV2LnhtbFBLAQIUABQAAAAIAIdO4kAprcs4cgIAAPkEAAAOAAAAAAAAAAEAIAAAACkBAABk&#10;cnMvZTJvRG9jLnhtbFBLBQYAAAAABgAGAFkBAAANBgAAAAA=&#10;" path="m0,68641l81011,68641,106045,0,131078,68641,212089,68641,146549,111063,171584,179704,106045,137281,40505,179704,65540,111063xe">
                <v:path o:connectlocs="106045,0;0,68641;40505,179704;171584,179704;212089,68641" o:connectangles="247,164,82,82,0"/>
                <v:fill on="t" focussize="0,0"/>
                <v:stroke weight="1pt" color="#FF0000 [24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51424" behindDoc="0" locked="0" layoutInCell="1" allowOverlap="1">
                <wp:simplePos x="0" y="0"/>
                <wp:positionH relativeFrom="column">
                  <wp:posOffset>2615565</wp:posOffset>
                </wp:positionH>
                <wp:positionV relativeFrom="paragraph">
                  <wp:posOffset>2486660</wp:posOffset>
                </wp:positionV>
                <wp:extent cx="1163955" cy="487045"/>
                <wp:effectExtent l="19050" t="19050" r="360045" b="27305"/>
                <wp:wrapNone/>
                <wp:docPr id="20" name="矩形标注 20"/>
                <wp:cNvGraphicFramePr/>
                <a:graphic xmlns:a="http://schemas.openxmlformats.org/drawingml/2006/main">
                  <a:graphicData uri="http://schemas.microsoft.com/office/word/2010/wordprocessingShape">
                    <wps:wsp>
                      <wps:cNvSpPr/>
                      <wps:spPr>
                        <a:xfrm>
                          <a:off x="0" y="0"/>
                          <a:ext cx="1163955" cy="487045"/>
                        </a:xfrm>
                        <a:prstGeom prst="wedgeRectCallout">
                          <a:avLst>
                            <a:gd name="adj1" fmla="val 72804"/>
                            <a:gd name="adj2" fmla="val 45306"/>
                          </a:avLst>
                        </a:prstGeom>
                        <a:noFill/>
                        <a:ln w="38100">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5BC0281">
                            <w:pPr>
                              <w:jc w:val="center"/>
                              <w:rPr>
                                <w:rFonts w:hint="eastAsia" w:eastAsia="宋体"/>
                                <w:b/>
                                <w:bCs/>
                                <w:color w:val="FF0000"/>
                                <w:sz w:val="36"/>
                                <w:szCs w:val="32"/>
                                <w:lang w:val="en-US" w:eastAsia="zh-CN"/>
                              </w:rPr>
                            </w:pPr>
                            <w:r>
                              <w:rPr>
                                <w:rFonts w:hint="eastAsia"/>
                                <w:b/>
                                <w:bCs/>
                                <w:color w:val="FF0000"/>
                                <w:sz w:val="36"/>
                                <w:szCs w:val="32"/>
                                <w:lang w:val="en-US" w:eastAsia="zh-CN"/>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5.95pt;margin-top:195.8pt;height:38.35pt;width:91.65pt;z-index:251751424;v-text-anchor:middle;mso-width-relative:page;mso-height-relative:page;" filled="f" stroked="t" coordsize="21600,21600" o:gfxdata="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Jkh3qXZAAAACwEAAA8AAAAAAAAAAQAgAAAAIgAAAGRycy9k&#10;b3ducmV2LnhtbFBLAQIUABQAAAAIAIdO4kAIOS6xrAIAADsFAAAOAAAAAAAAAAEAIAAAACgBAABk&#10;cnMvZTJvRG9jLnhtbFBLBQYAAAAABgAGAFkBAABGBgAAAAA=&#10;" adj="26526,20586">
                <v:fill on="f" focussize="0,0"/>
                <v:stroke weight="3pt" color="#ED7D31 [3205]" miterlimit="8" joinstyle="miter"/>
                <v:imagedata o:title=""/>
                <o:lock v:ext="edit" aspectratio="f"/>
                <v:textbox>
                  <w:txbxContent>
                    <w:p w14:paraId="55BC0281">
                      <w:pPr>
                        <w:jc w:val="center"/>
                        <w:rPr>
                          <w:rFonts w:hint="eastAsia" w:eastAsia="宋体"/>
                          <w:b/>
                          <w:bCs/>
                          <w:color w:val="FF0000"/>
                          <w:sz w:val="36"/>
                          <w:szCs w:val="32"/>
                          <w:lang w:val="en-US" w:eastAsia="zh-CN"/>
                        </w:rPr>
                      </w:pPr>
                      <w:r>
                        <w:rPr>
                          <w:rFonts w:hint="eastAsia"/>
                          <w:b/>
                          <w:bCs/>
                          <w:color w:val="FF0000"/>
                          <w:sz w:val="36"/>
                          <w:szCs w:val="32"/>
                          <w:lang w:val="en-US" w:eastAsia="zh-CN"/>
                        </w:rPr>
                        <w:t>项目区</w:t>
                      </w:r>
                    </w:p>
                  </w:txbxContent>
                </v:textbox>
              </v:shape>
            </w:pict>
          </mc:Fallback>
        </mc:AlternateContent>
      </w:r>
      <w:r>
        <w:rPr>
          <w:color w:val="auto"/>
        </w:rPr>
        <w:drawing>
          <wp:inline distT="0" distB="0" distL="114300" distR="114300">
            <wp:extent cx="8167370" cy="5326380"/>
            <wp:effectExtent l="0" t="0" r="5080" b="7620"/>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76"/>
                    <a:stretch>
                      <a:fillRect/>
                    </a:stretch>
                  </pic:blipFill>
                  <pic:spPr>
                    <a:xfrm>
                      <a:off x="0" y="0"/>
                      <a:ext cx="8167370" cy="5326380"/>
                    </a:xfrm>
                    <a:prstGeom prst="rect">
                      <a:avLst/>
                    </a:prstGeom>
                    <a:noFill/>
                    <a:ln>
                      <a:noFill/>
                    </a:ln>
                  </pic:spPr>
                </pic:pic>
              </a:graphicData>
            </a:graphic>
          </wp:inline>
        </w:drawing>
      </w:r>
    </w:p>
    <w:p w14:paraId="09AC25FF">
      <w:pPr>
        <w:rPr>
          <w:rFonts w:hint="eastAsia"/>
          <w:color w:val="auto"/>
          <w:lang w:val="en-US" w:eastAsia="zh-CN"/>
        </w:rPr>
      </w:pPr>
      <w:r>
        <w:rPr>
          <w:rFonts w:hint="eastAsia"/>
          <w:color w:val="auto"/>
          <w:lang w:val="en-US" w:eastAsia="zh-CN"/>
        </w:rPr>
        <w:br w:type="page"/>
      </w:r>
    </w:p>
    <w:p w14:paraId="4EBD2413">
      <w:pPr>
        <w:jc w:val="left"/>
        <w:outlineLvl w:val="0"/>
        <w:rPr>
          <w:color w:val="auto"/>
          <w:sz w:val="24"/>
          <w:szCs w:val="24"/>
        </w:rPr>
      </w:pPr>
      <w:bookmarkStart w:id="232" w:name="_Toc18626"/>
      <w:r>
        <w:rPr>
          <w:b/>
          <w:color w:val="auto"/>
          <w:sz w:val="24"/>
          <w:szCs w:val="24"/>
        </w:rPr>
        <w:t>附</w:t>
      </w:r>
      <w:r>
        <w:rPr>
          <w:rFonts w:hint="eastAsia"/>
          <w:b/>
          <w:color w:val="auto"/>
          <w:sz w:val="24"/>
          <w:szCs w:val="24"/>
        </w:rPr>
        <w:t>图</w:t>
      </w:r>
      <w:r>
        <w:rPr>
          <w:rFonts w:hint="eastAsia"/>
          <w:b/>
          <w:color w:val="auto"/>
          <w:sz w:val="24"/>
          <w:szCs w:val="24"/>
          <w:lang w:val="en-US" w:eastAsia="zh-CN"/>
        </w:rPr>
        <w:t>6</w:t>
      </w:r>
      <w:r>
        <w:rPr>
          <w:rFonts w:hint="eastAsia"/>
          <w:b/>
          <w:color w:val="auto"/>
          <w:sz w:val="24"/>
          <w:szCs w:val="24"/>
        </w:rPr>
        <w:t>：</w:t>
      </w:r>
      <w:r>
        <w:rPr>
          <w:rFonts w:hint="default"/>
          <w:b/>
          <w:color w:val="auto"/>
          <w:sz w:val="24"/>
          <w:szCs w:val="24"/>
          <w:lang w:val="en-US" w:eastAsia="zh-CN"/>
        </w:rPr>
        <w:t>本项目与</w:t>
      </w:r>
      <w:r>
        <w:rPr>
          <w:rFonts w:hint="eastAsia"/>
          <w:b/>
          <w:color w:val="auto"/>
          <w:sz w:val="24"/>
          <w:szCs w:val="24"/>
          <w:lang w:val="en-US" w:eastAsia="zh-CN"/>
        </w:rPr>
        <w:t>六安</w:t>
      </w:r>
      <w:r>
        <w:rPr>
          <w:rFonts w:hint="default"/>
          <w:b/>
          <w:color w:val="auto"/>
          <w:sz w:val="24"/>
          <w:szCs w:val="24"/>
          <w:lang w:val="en-US" w:eastAsia="zh-CN"/>
        </w:rPr>
        <w:t>市</w:t>
      </w:r>
      <w:r>
        <w:rPr>
          <w:rFonts w:hint="eastAsia"/>
          <w:b/>
          <w:color w:val="auto"/>
          <w:sz w:val="24"/>
          <w:szCs w:val="24"/>
          <w:lang w:val="en-US" w:eastAsia="zh-CN"/>
        </w:rPr>
        <w:t>环境管控单元</w:t>
      </w:r>
      <w:r>
        <w:rPr>
          <w:rFonts w:hint="default"/>
          <w:b/>
          <w:color w:val="auto"/>
          <w:sz w:val="24"/>
          <w:szCs w:val="24"/>
          <w:lang w:val="en-US" w:eastAsia="zh-CN"/>
        </w:rPr>
        <w:t>相对位置图</w:t>
      </w:r>
      <w:bookmarkEnd w:id="232"/>
    </w:p>
    <w:p w14:paraId="2175EEB1">
      <w:pPr>
        <w:rPr>
          <w:color w:val="auto"/>
        </w:rPr>
        <w:sectPr>
          <w:pgSz w:w="16838" w:h="11906" w:orient="landscape"/>
          <w:pgMar w:top="1134" w:right="1701" w:bottom="1134" w:left="1531" w:header="1135"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sz w:val="21"/>
        </w:rPr>
        <mc:AlternateContent>
          <mc:Choice Requires="wps">
            <w:drawing>
              <wp:anchor distT="0" distB="0" distL="114300" distR="114300" simplePos="0" relativeHeight="251754496" behindDoc="0" locked="0" layoutInCell="1" allowOverlap="1">
                <wp:simplePos x="0" y="0"/>
                <wp:positionH relativeFrom="column">
                  <wp:posOffset>4591685</wp:posOffset>
                </wp:positionH>
                <wp:positionV relativeFrom="paragraph">
                  <wp:posOffset>2355850</wp:posOffset>
                </wp:positionV>
                <wp:extent cx="1163955" cy="487045"/>
                <wp:effectExtent l="334010" t="19050" r="26035" b="389255"/>
                <wp:wrapNone/>
                <wp:docPr id="23" name="矩形标注 23"/>
                <wp:cNvGraphicFramePr/>
                <a:graphic xmlns:a="http://schemas.openxmlformats.org/drawingml/2006/main">
                  <a:graphicData uri="http://schemas.microsoft.com/office/word/2010/wordprocessingShape">
                    <wps:wsp>
                      <wps:cNvSpPr/>
                      <wps:spPr>
                        <a:xfrm>
                          <a:off x="0" y="0"/>
                          <a:ext cx="1163955" cy="487045"/>
                        </a:xfrm>
                        <a:prstGeom prst="wedgeRectCallout">
                          <a:avLst>
                            <a:gd name="adj1" fmla="val -67348"/>
                            <a:gd name="adj2" fmla="val 111408"/>
                          </a:avLst>
                        </a:prstGeom>
                        <a:noFill/>
                        <a:ln w="38100">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818913E">
                            <w:pPr>
                              <w:jc w:val="center"/>
                              <w:rPr>
                                <w:rFonts w:hint="eastAsia" w:eastAsia="宋体"/>
                                <w:b/>
                                <w:bCs/>
                                <w:color w:val="FF0000"/>
                                <w:sz w:val="36"/>
                                <w:szCs w:val="32"/>
                                <w:lang w:val="en-US" w:eastAsia="zh-CN"/>
                              </w:rPr>
                            </w:pPr>
                            <w:r>
                              <w:rPr>
                                <w:rFonts w:hint="eastAsia"/>
                                <w:b/>
                                <w:bCs/>
                                <w:color w:val="FF0000"/>
                                <w:sz w:val="36"/>
                                <w:szCs w:val="32"/>
                                <w:lang w:val="en-US" w:eastAsia="zh-CN"/>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1.55pt;margin-top:185.5pt;height:38.35pt;width:91.65pt;z-index:251754496;v-text-anchor:middle;mso-width-relative:page;mso-height-relative:page;" filled="f" stroked="t" coordsize="21600,21600" o:gfxdata="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lFG18tsAAAALAQAADwAAAAAAAAABACAAAAAiAAAA&#10;ZHJzL2Rvd25yZXYueG1sUEsBAhQAFAAAAAgAh07iQF0vGvWvAgAAPQUAAA4AAAAAAAAAAQAgAAAA&#10;KgEAAGRycy9lMm9Eb2MueG1sUEsFBgAAAAAGAAYAWQEAAEsGAAAAAA==&#10;" adj="-3747,34864">
                <v:fill on="f" focussize="0,0"/>
                <v:stroke weight="3pt" color="#ED7D31 [3205]" miterlimit="8" joinstyle="miter"/>
                <v:imagedata o:title=""/>
                <o:lock v:ext="edit" aspectratio="f"/>
                <v:textbox>
                  <w:txbxContent>
                    <w:p w14:paraId="6818913E">
                      <w:pPr>
                        <w:jc w:val="center"/>
                        <w:rPr>
                          <w:rFonts w:hint="eastAsia" w:eastAsia="宋体"/>
                          <w:b/>
                          <w:bCs/>
                          <w:color w:val="FF0000"/>
                          <w:sz w:val="36"/>
                          <w:szCs w:val="32"/>
                          <w:lang w:val="en-US" w:eastAsia="zh-CN"/>
                        </w:rPr>
                      </w:pPr>
                      <w:r>
                        <w:rPr>
                          <w:rFonts w:hint="eastAsia"/>
                          <w:b/>
                          <w:bCs/>
                          <w:color w:val="FF0000"/>
                          <w:sz w:val="36"/>
                          <w:szCs w:val="32"/>
                          <w:lang w:val="en-US" w:eastAsia="zh-CN"/>
                        </w:rPr>
                        <w:t>项目区</w:t>
                      </w:r>
                    </w:p>
                  </w:txbxContent>
                </v:textbox>
              </v:shape>
            </w:pict>
          </mc:Fallback>
        </mc:AlternateContent>
      </w:r>
      <w:r>
        <w:rPr>
          <w:color w:val="auto"/>
          <w:sz w:val="21"/>
        </w:rPr>
        <mc:AlternateContent>
          <mc:Choice Requires="wps">
            <w:drawing>
              <wp:anchor distT="0" distB="0" distL="114300" distR="114300" simplePos="0" relativeHeight="251753472" behindDoc="0" locked="0" layoutInCell="1" allowOverlap="1">
                <wp:simplePos x="0" y="0"/>
                <wp:positionH relativeFrom="column">
                  <wp:posOffset>4175760</wp:posOffset>
                </wp:positionH>
                <wp:positionV relativeFrom="paragraph">
                  <wp:posOffset>3115945</wp:posOffset>
                </wp:positionV>
                <wp:extent cx="164465" cy="108585"/>
                <wp:effectExtent l="26670" t="15240" r="37465" b="28575"/>
                <wp:wrapNone/>
                <wp:docPr id="22" name="五角星 22"/>
                <wp:cNvGraphicFramePr/>
                <a:graphic xmlns:a="http://schemas.openxmlformats.org/drawingml/2006/main">
                  <a:graphicData uri="http://schemas.microsoft.com/office/word/2010/wordprocessingShape">
                    <wps:wsp>
                      <wps:cNvSpPr/>
                      <wps:spPr>
                        <a:xfrm>
                          <a:off x="0" y="0"/>
                          <a:ext cx="164465" cy="10858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8.8pt;margin-top:245.35pt;height:8.55pt;width:12.95pt;z-index:251753472;v-text-anchor:middle;mso-width-relative:page;mso-height-relative:page;" fillcolor="#FF0000" filled="t" stroked="t" coordsize="164465,108585" o:gfxdata="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yR9X42QAAAAsBAAAPAAAAAAAAAAEAIAAAACIAAABkcnMv&#10;ZG93bnJldi54bWxQSwECFAAUAAAACACHTuJAy+CmunQCAAD5BAAADgAAAAAAAAABACAAAAAoAQAA&#10;ZHJzL2Uyb0RvYy54bWxQSwUGAAAAAAYABgBZAQAADgYAAAAA&#10;" path="m0,41475l62820,41475,82232,0,101644,41475,164464,41475,113641,67108,133054,108584,82232,82950,31410,108584,50823,67108xe">
                <v:path o:connectlocs="82232,0;0,41475;31410,108584;133054,108584;164464,41475" o:connectangles="247,164,82,82,0"/>
                <v:fill on="t" focussize="0,0"/>
                <v:stroke weight="1pt" color="#FF0000 [2404]" miterlimit="8" joinstyle="miter"/>
                <v:imagedata o:title=""/>
                <o:lock v:ext="edit" aspectratio="f"/>
              </v:shape>
            </w:pict>
          </mc:Fallback>
        </mc:AlternateContent>
      </w:r>
      <w:r>
        <w:rPr>
          <w:color w:val="auto"/>
        </w:rPr>
        <w:drawing>
          <wp:inline distT="0" distB="0" distL="114300" distR="114300">
            <wp:extent cx="7931785" cy="5398770"/>
            <wp:effectExtent l="0" t="0" r="12065" b="11430"/>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77"/>
                    <a:stretch>
                      <a:fillRect/>
                    </a:stretch>
                  </pic:blipFill>
                  <pic:spPr>
                    <a:xfrm>
                      <a:off x="0" y="0"/>
                      <a:ext cx="7931785" cy="5398770"/>
                    </a:xfrm>
                    <a:prstGeom prst="rect">
                      <a:avLst/>
                    </a:prstGeom>
                    <a:noFill/>
                    <a:ln>
                      <a:noFill/>
                    </a:ln>
                  </pic:spPr>
                </pic:pic>
              </a:graphicData>
            </a:graphic>
          </wp:inline>
        </w:drawing>
      </w:r>
    </w:p>
    <w:p w14:paraId="392324C7">
      <w:pPr>
        <w:jc w:val="left"/>
        <w:outlineLvl w:val="0"/>
        <w:rPr>
          <w:color w:val="auto"/>
          <w:sz w:val="24"/>
          <w:szCs w:val="24"/>
        </w:rPr>
      </w:pPr>
      <w:bookmarkStart w:id="233" w:name="_Toc26200"/>
      <w:bookmarkStart w:id="234" w:name="_Toc66010089"/>
      <w:bookmarkStart w:id="235" w:name="_Toc38783318"/>
      <w:r>
        <w:rPr>
          <w:b/>
          <w:color w:val="auto"/>
          <w:sz w:val="24"/>
          <w:szCs w:val="24"/>
        </w:rPr>
        <w:t>附件1</w:t>
      </w:r>
      <w:r>
        <w:rPr>
          <w:rFonts w:hint="eastAsia"/>
          <w:b/>
          <w:color w:val="auto"/>
          <w:sz w:val="24"/>
          <w:szCs w:val="24"/>
        </w:rPr>
        <w:t>：</w:t>
      </w:r>
      <w:r>
        <w:rPr>
          <w:b/>
          <w:color w:val="auto"/>
          <w:sz w:val="24"/>
          <w:szCs w:val="24"/>
        </w:rPr>
        <w:t>委托书</w:t>
      </w:r>
      <w:bookmarkEnd w:id="233"/>
      <w:bookmarkEnd w:id="234"/>
      <w:bookmarkEnd w:id="235"/>
    </w:p>
    <w:p w14:paraId="748FACCF">
      <w:pPr>
        <w:jc w:val="left"/>
        <w:outlineLvl w:val="9"/>
        <w:rPr>
          <w:color w:val="auto"/>
        </w:rPr>
      </w:pPr>
      <w:bookmarkStart w:id="236" w:name="_Toc38783319"/>
      <w:bookmarkStart w:id="237" w:name="_Toc66010090"/>
      <w:r>
        <w:rPr>
          <w:color w:val="auto"/>
        </w:rPr>
        <w:drawing>
          <wp:inline distT="0" distB="0" distL="114300" distR="114300">
            <wp:extent cx="5647690" cy="7825740"/>
            <wp:effectExtent l="0" t="0" r="10160" b="381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78"/>
                    <a:srcRect l="4463"/>
                    <a:stretch>
                      <a:fillRect/>
                    </a:stretch>
                  </pic:blipFill>
                  <pic:spPr>
                    <a:xfrm>
                      <a:off x="0" y="0"/>
                      <a:ext cx="5647690" cy="7825740"/>
                    </a:xfrm>
                    <a:prstGeom prst="rect">
                      <a:avLst/>
                    </a:prstGeom>
                    <a:noFill/>
                    <a:ln>
                      <a:noFill/>
                    </a:ln>
                  </pic:spPr>
                </pic:pic>
              </a:graphicData>
            </a:graphic>
          </wp:inline>
        </w:drawing>
      </w:r>
    </w:p>
    <w:p w14:paraId="0917CE23">
      <w:pPr>
        <w:rPr>
          <w:color w:val="auto"/>
        </w:rPr>
      </w:pPr>
      <w:r>
        <w:rPr>
          <w:color w:val="auto"/>
        </w:rPr>
        <w:br w:type="page"/>
      </w:r>
    </w:p>
    <w:p w14:paraId="41CD81EB">
      <w:pPr>
        <w:jc w:val="left"/>
        <w:outlineLvl w:val="0"/>
        <w:rPr>
          <w:b/>
          <w:color w:val="auto"/>
          <w:sz w:val="24"/>
          <w:szCs w:val="24"/>
        </w:rPr>
      </w:pPr>
      <w:bookmarkStart w:id="238" w:name="_Toc23255"/>
      <w:r>
        <w:rPr>
          <w:b/>
          <w:color w:val="auto"/>
          <w:sz w:val="24"/>
          <w:szCs w:val="24"/>
        </w:rPr>
        <w:t>附件2</w:t>
      </w:r>
      <w:r>
        <w:rPr>
          <w:rFonts w:hint="eastAsia"/>
          <w:b/>
          <w:color w:val="auto"/>
          <w:sz w:val="24"/>
          <w:szCs w:val="24"/>
        </w:rPr>
        <w:t>：</w:t>
      </w:r>
      <w:r>
        <w:rPr>
          <w:rFonts w:hint="eastAsia"/>
          <w:b/>
          <w:color w:val="auto"/>
          <w:sz w:val="24"/>
          <w:szCs w:val="24"/>
          <w:lang w:eastAsia="zh-CN"/>
        </w:rPr>
        <w:t>安徽泓济环境科技有限公司</w:t>
      </w:r>
      <w:r>
        <w:rPr>
          <w:rFonts w:hint="eastAsia"/>
          <w:b/>
          <w:color w:val="auto"/>
          <w:sz w:val="24"/>
          <w:szCs w:val="24"/>
        </w:rPr>
        <w:t>会议纪要</w:t>
      </w:r>
      <w:bookmarkEnd w:id="238"/>
    </w:p>
    <w:p w14:paraId="058EE48C">
      <w:pPr>
        <w:rPr>
          <w:b/>
          <w:color w:val="auto"/>
          <w:sz w:val="28"/>
          <w:szCs w:val="28"/>
        </w:rPr>
      </w:pPr>
      <w:r>
        <w:rPr>
          <w:color w:val="auto"/>
        </w:rPr>
        <w:drawing>
          <wp:inline distT="0" distB="0" distL="114300" distR="114300">
            <wp:extent cx="5628005" cy="7114540"/>
            <wp:effectExtent l="0" t="0" r="10795" b="10160"/>
            <wp:docPr id="2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4"/>
                    <pic:cNvPicPr>
                      <a:picLocks noChangeAspect="1"/>
                    </pic:cNvPicPr>
                  </pic:nvPicPr>
                  <pic:blipFill>
                    <a:blip r:embed="rId79"/>
                    <a:srcRect l="3489" t="3284"/>
                    <a:stretch>
                      <a:fillRect/>
                    </a:stretch>
                  </pic:blipFill>
                  <pic:spPr>
                    <a:xfrm>
                      <a:off x="0" y="0"/>
                      <a:ext cx="5628005" cy="7114540"/>
                    </a:xfrm>
                    <a:prstGeom prst="rect">
                      <a:avLst/>
                    </a:prstGeom>
                    <a:noFill/>
                    <a:ln>
                      <a:noFill/>
                    </a:ln>
                  </pic:spPr>
                </pic:pic>
              </a:graphicData>
            </a:graphic>
          </wp:inline>
        </w:drawing>
      </w:r>
      <w:r>
        <w:rPr>
          <w:b/>
          <w:color w:val="auto"/>
          <w:sz w:val="28"/>
          <w:szCs w:val="28"/>
        </w:rPr>
        <w:br w:type="page"/>
      </w:r>
    </w:p>
    <w:p w14:paraId="0ED878BA">
      <w:pPr>
        <w:jc w:val="left"/>
        <w:outlineLvl w:val="0"/>
        <w:rPr>
          <w:rFonts w:hint="eastAsia"/>
          <w:b/>
          <w:color w:val="auto"/>
          <w:sz w:val="24"/>
          <w:szCs w:val="24"/>
        </w:rPr>
      </w:pPr>
      <w:bookmarkStart w:id="239" w:name="_Toc28195"/>
      <w:r>
        <w:rPr>
          <w:b/>
          <w:color w:val="auto"/>
          <w:sz w:val="24"/>
          <w:szCs w:val="24"/>
        </w:rPr>
        <w:t>附件</w:t>
      </w:r>
      <w:r>
        <w:rPr>
          <w:rFonts w:hint="eastAsia"/>
          <w:b/>
          <w:color w:val="auto"/>
          <w:sz w:val="24"/>
          <w:szCs w:val="24"/>
        </w:rPr>
        <w:t>3：</w:t>
      </w:r>
      <w:r>
        <w:rPr>
          <w:rFonts w:hint="eastAsia"/>
          <w:b/>
          <w:color w:val="auto"/>
          <w:sz w:val="24"/>
          <w:szCs w:val="24"/>
          <w:lang w:val="en-US" w:eastAsia="zh-CN"/>
        </w:rPr>
        <w:t>厂区大</w:t>
      </w:r>
      <w:r>
        <w:rPr>
          <w:rFonts w:hint="eastAsia"/>
          <w:b/>
          <w:color w:val="auto"/>
          <w:sz w:val="24"/>
          <w:szCs w:val="24"/>
        </w:rPr>
        <w:t>项目</w:t>
      </w:r>
      <w:bookmarkEnd w:id="236"/>
      <w:bookmarkEnd w:id="237"/>
      <w:r>
        <w:rPr>
          <w:rFonts w:hint="eastAsia"/>
          <w:b/>
          <w:color w:val="auto"/>
          <w:sz w:val="24"/>
          <w:szCs w:val="24"/>
        </w:rPr>
        <w:t>备案表</w:t>
      </w:r>
      <w:bookmarkEnd w:id="239"/>
    </w:p>
    <w:p w14:paraId="2128C7C7">
      <w:pPr>
        <w:pStyle w:val="2"/>
        <w:ind w:left="0" w:leftChars="0" w:firstLine="0" w:firstLineChars="0"/>
        <w:rPr>
          <w:color w:val="auto"/>
        </w:rPr>
      </w:pPr>
      <w:r>
        <w:rPr>
          <w:color w:val="auto"/>
        </w:rPr>
        <w:drawing>
          <wp:inline distT="0" distB="0" distL="114300" distR="114300">
            <wp:extent cx="5659755" cy="7521575"/>
            <wp:effectExtent l="0" t="0" r="17145" b="3175"/>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1"/>
                    </pic:cNvPicPr>
                  </pic:nvPicPr>
                  <pic:blipFill>
                    <a:blip r:embed="rId80"/>
                    <a:srcRect l="6071" r="4708"/>
                    <a:stretch>
                      <a:fillRect/>
                    </a:stretch>
                  </pic:blipFill>
                  <pic:spPr>
                    <a:xfrm>
                      <a:off x="0" y="0"/>
                      <a:ext cx="5659755" cy="7521575"/>
                    </a:xfrm>
                    <a:prstGeom prst="rect">
                      <a:avLst/>
                    </a:prstGeom>
                    <a:noFill/>
                    <a:ln>
                      <a:noFill/>
                    </a:ln>
                  </pic:spPr>
                </pic:pic>
              </a:graphicData>
            </a:graphic>
          </wp:inline>
        </w:drawing>
      </w:r>
    </w:p>
    <w:p w14:paraId="111C95EA">
      <w:pPr>
        <w:pStyle w:val="12"/>
        <w:rPr>
          <w:color w:val="auto"/>
        </w:rPr>
      </w:pPr>
    </w:p>
    <w:p w14:paraId="1964268A">
      <w:pPr>
        <w:rPr>
          <w:b/>
          <w:color w:val="auto"/>
          <w:sz w:val="28"/>
          <w:szCs w:val="28"/>
        </w:rPr>
      </w:pPr>
    </w:p>
    <w:p w14:paraId="7DB1A61A">
      <w:pPr>
        <w:jc w:val="left"/>
        <w:outlineLvl w:val="0"/>
        <w:rPr>
          <w:b/>
          <w:color w:val="auto"/>
          <w:sz w:val="28"/>
          <w:szCs w:val="28"/>
        </w:rPr>
        <w:sectPr>
          <w:headerReference r:id="rId12" w:type="default"/>
          <w:footerReference r:id="rId13" w:type="default"/>
          <w:pgSz w:w="11906" w:h="16838"/>
          <w:pgMar w:top="1701" w:right="1531" w:bottom="1531" w:left="1701" w:header="1135" w:footer="992" w:gutter="0"/>
          <w:pgBorders>
            <w:top w:val="none" w:sz="0" w:space="0"/>
            <w:left w:val="none" w:sz="0" w:space="0"/>
            <w:bottom w:val="none" w:sz="0" w:space="0"/>
            <w:right w:val="none" w:sz="0" w:space="0"/>
          </w:pgBorders>
          <w:pgNumType w:fmt="decimal" w:start="1"/>
          <w:cols w:space="720" w:num="1"/>
          <w:docGrid w:type="lines" w:linePitch="312" w:charSpace="0"/>
        </w:sectPr>
      </w:pPr>
    </w:p>
    <w:p w14:paraId="56140720">
      <w:pPr>
        <w:jc w:val="left"/>
        <w:outlineLvl w:val="0"/>
        <w:rPr>
          <w:rFonts w:hint="default"/>
          <w:b/>
          <w:color w:val="auto"/>
          <w:sz w:val="24"/>
          <w:szCs w:val="24"/>
          <w:lang w:val="en-US"/>
        </w:rPr>
      </w:pPr>
      <w:bookmarkStart w:id="240" w:name="_Toc14085"/>
      <w:r>
        <w:rPr>
          <w:b/>
          <w:color w:val="auto"/>
          <w:sz w:val="24"/>
          <w:szCs w:val="24"/>
        </w:rPr>
        <w:t>附件</w:t>
      </w:r>
      <w:r>
        <w:rPr>
          <w:rFonts w:hint="eastAsia"/>
          <w:b/>
          <w:color w:val="auto"/>
          <w:sz w:val="24"/>
          <w:szCs w:val="24"/>
        </w:rPr>
        <w:t>4：</w:t>
      </w:r>
      <w:bookmarkEnd w:id="240"/>
      <w:r>
        <w:rPr>
          <w:rFonts w:hint="eastAsia"/>
          <w:b/>
          <w:color w:val="auto"/>
          <w:sz w:val="24"/>
          <w:szCs w:val="24"/>
          <w:lang w:val="en-US" w:eastAsia="zh-CN"/>
        </w:rPr>
        <w:t>厂区大项目环评批复</w:t>
      </w:r>
    </w:p>
    <w:p w14:paraId="2A256C9F">
      <w:pPr>
        <w:rPr>
          <w:rFonts w:hint="default"/>
          <w:color w:val="auto"/>
        </w:rPr>
      </w:pPr>
      <w:r>
        <w:rPr>
          <w:rFonts w:hint="default"/>
          <w:color w:val="auto"/>
        </w:rPr>
        <w:drawing>
          <wp:inline distT="0" distB="0" distL="0" distR="0">
            <wp:extent cx="5698490" cy="7785100"/>
            <wp:effectExtent l="0" t="0" r="16510" b="635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81" cstate="print"/>
                    <a:srcRect/>
                    <a:stretch>
                      <a:fillRect/>
                    </a:stretch>
                  </pic:blipFill>
                  <pic:spPr>
                    <a:xfrm>
                      <a:off x="0" y="0"/>
                      <a:ext cx="5698490" cy="7785100"/>
                    </a:xfrm>
                    <a:prstGeom prst="rect">
                      <a:avLst/>
                    </a:prstGeom>
                    <a:noFill/>
                    <a:ln w="9525">
                      <a:noFill/>
                      <a:miter lim="800000"/>
                      <a:headEnd/>
                      <a:tailEnd/>
                    </a:ln>
                  </pic:spPr>
                </pic:pic>
              </a:graphicData>
            </a:graphic>
          </wp:inline>
        </w:drawing>
      </w:r>
    </w:p>
    <w:p w14:paraId="3CD1933D">
      <w:pPr>
        <w:pStyle w:val="2"/>
        <w:ind w:left="0" w:leftChars="0" w:firstLine="0" w:firstLineChars="0"/>
        <w:rPr>
          <w:color w:val="auto"/>
        </w:rPr>
        <w:sectPr>
          <w:pgSz w:w="11906" w:h="16838"/>
          <w:pgMar w:top="1701" w:right="1531" w:bottom="1531" w:left="1701" w:header="1135"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highlight w:val="none"/>
        </w:rPr>
        <w:drawing>
          <wp:inline distT="0" distB="0" distL="0" distR="0">
            <wp:extent cx="5638165" cy="8425180"/>
            <wp:effectExtent l="0" t="0" r="635" b="1397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82" cstate="print"/>
                    <a:srcRect l="2207" r="3981"/>
                    <a:stretch>
                      <a:fillRect/>
                    </a:stretch>
                  </pic:blipFill>
                  <pic:spPr>
                    <a:xfrm>
                      <a:off x="0" y="0"/>
                      <a:ext cx="5638165" cy="8425180"/>
                    </a:xfrm>
                    <a:prstGeom prst="rect">
                      <a:avLst/>
                    </a:prstGeom>
                    <a:noFill/>
                    <a:ln w="9525">
                      <a:noFill/>
                      <a:miter lim="800000"/>
                      <a:headEnd/>
                      <a:tailEnd/>
                    </a:ln>
                  </pic:spPr>
                </pic:pic>
              </a:graphicData>
            </a:graphic>
          </wp:inline>
        </w:drawing>
      </w:r>
    </w:p>
    <w:p w14:paraId="6C918237">
      <w:pPr>
        <w:jc w:val="left"/>
        <w:outlineLvl w:val="0"/>
        <w:rPr>
          <w:rFonts w:hint="default" w:ascii="Times New Roman" w:hAnsi="Times New Roman" w:cs="Times New Roman"/>
          <w:color w:val="auto"/>
          <w:highlight w:val="none"/>
        </w:rPr>
        <w:sectPr>
          <w:footerReference r:id="rId14" w:type="default"/>
          <w:pgSz w:w="11906" w:h="16838"/>
          <w:pgMar w:top="1531" w:right="1531" w:bottom="1531" w:left="1247" w:header="1135" w:footer="992" w:gutter="0"/>
          <w:pgBorders>
            <w:top w:val="none" w:sz="0" w:space="0"/>
            <w:left w:val="none" w:sz="0" w:space="0"/>
            <w:bottom w:val="none" w:sz="0" w:space="0"/>
            <w:right w:val="none" w:sz="0" w:space="0"/>
          </w:pgBorders>
          <w:pgNumType w:fmt="decimal"/>
          <w:cols w:space="720" w:num="1"/>
          <w:docGrid w:type="lines" w:linePitch="312" w:charSpace="0"/>
        </w:sectPr>
      </w:pPr>
      <w:bookmarkStart w:id="241" w:name="_Toc20569"/>
      <w:r>
        <w:rPr>
          <w:rFonts w:hint="default" w:ascii="Times New Roman" w:hAnsi="Times New Roman" w:cs="Times New Roman"/>
          <w:color w:val="auto"/>
          <w:highlight w:val="none"/>
        </w:rPr>
        <w:drawing>
          <wp:inline distT="0" distB="0" distL="0" distR="0">
            <wp:extent cx="5708650" cy="8505825"/>
            <wp:effectExtent l="0" t="0" r="6350" b="95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83" cstate="print"/>
                    <a:srcRect/>
                    <a:stretch>
                      <a:fillRect/>
                    </a:stretch>
                  </pic:blipFill>
                  <pic:spPr>
                    <a:xfrm>
                      <a:off x="0" y="0"/>
                      <a:ext cx="5708650" cy="8505825"/>
                    </a:xfrm>
                    <a:prstGeom prst="rect">
                      <a:avLst/>
                    </a:prstGeom>
                    <a:noFill/>
                    <a:ln w="9525">
                      <a:noFill/>
                      <a:miter lim="800000"/>
                      <a:headEnd/>
                      <a:tailEnd/>
                    </a:ln>
                  </pic:spPr>
                </pic:pic>
              </a:graphicData>
            </a:graphic>
          </wp:inline>
        </w:drawing>
      </w:r>
    </w:p>
    <w:p w14:paraId="7BF94B9A">
      <w:pPr>
        <w:jc w:val="left"/>
        <w:outlineLvl w:val="0"/>
        <w:rPr>
          <w:rFonts w:hint="default" w:eastAsia="宋体"/>
          <w:b/>
          <w:color w:val="auto"/>
          <w:sz w:val="24"/>
          <w:szCs w:val="24"/>
          <w:lang w:val="en-US" w:eastAsia="zh-CN"/>
        </w:rPr>
      </w:pPr>
      <w:r>
        <w:rPr>
          <w:rFonts w:hint="eastAsia"/>
          <w:b/>
          <w:color w:val="auto"/>
          <w:sz w:val="24"/>
          <w:szCs w:val="24"/>
        </w:rPr>
        <w:t>附件5：</w:t>
      </w:r>
      <w:r>
        <w:rPr>
          <w:rFonts w:hint="eastAsia"/>
          <w:b/>
          <w:color w:val="auto"/>
          <w:sz w:val="24"/>
          <w:szCs w:val="24"/>
          <w:lang w:val="en-US" w:eastAsia="zh-CN"/>
        </w:rPr>
        <w:t>X射线探伤机设备具体参数说明</w:t>
      </w:r>
      <w:bookmarkEnd w:id="241"/>
    </w:p>
    <w:p w14:paraId="357275B7">
      <w:pPr>
        <w:pStyle w:val="96"/>
        <w:ind w:left="0" w:leftChars="0" w:firstLine="0" w:firstLineChars="0"/>
        <w:jc w:val="both"/>
        <w:rPr>
          <w:rFonts w:hint="eastAsia" w:eastAsia="宋体" w:cs="Times New Roman"/>
          <w:b/>
          <w:color w:val="auto"/>
          <w:kern w:val="2"/>
          <w:sz w:val="21"/>
          <w:szCs w:val="21"/>
        </w:rPr>
      </w:pPr>
      <w:r>
        <w:rPr>
          <w:color w:val="auto"/>
        </w:rPr>
        <w:drawing>
          <wp:inline distT="0" distB="0" distL="114300" distR="114300">
            <wp:extent cx="5504815" cy="6595110"/>
            <wp:effectExtent l="0" t="0" r="635" b="15240"/>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84"/>
                    <a:stretch>
                      <a:fillRect/>
                    </a:stretch>
                  </pic:blipFill>
                  <pic:spPr>
                    <a:xfrm>
                      <a:off x="0" y="0"/>
                      <a:ext cx="5504815" cy="6595110"/>
                    </a:xfrm>
                    <a:prstGeom prst="rect">
                      <a:avLst/>
                    </a:prstGeom>
                    <a:noFill/>
                    <a:ln>
                      <a:noFill/>
                    </a:ln>
                  </pic:spPr>
                </pic:pic>
              </a:graphicData>
            </a:graphic>
          </wp:inline>
        </w:drawing>
      </w:r>
    </w:p>
    <w:p w14:paraId="75833F29">
      <w:pPr>
        <w:rPr>
          <w:rFonts w:hint="eastAsia"/>
          <w:b/>
          <w:color w:val="auto"/>
          <w:sz w:val="28"/>
          <w:szCs w:val="28"/>
        </w:rPr>
      </w:pPr>
      <w:r>
        <w:rPr>
          <w:rFonts w:hint="eastAsia"/>
          <w:b/>
          <w:color w:val="auto"/>
          <w:sz w:val="28"/>
          <w:szCs w:val="28"/>
        </w:rPr>
        <w:br w:type="page"/>
      </w:r>
    </w:p>
    <w:p w14:paraId="242B6724">
      <w:pPr>
        <w:jc w:val="left"/>
        <w:outlineLvl w:val="0"/>
        <w:rPr>
          <w:b/>
          <w:color w:val="auto"/>
          <w:sz w:val="24"/>
          <w:szCs w:val="24"/>
        </w:rPr>
      </w:pPr>
      <w:bookmarkStart w:id="242" w:name="_Toc1381"/>
      <w:r>
        <w:rPr>
          <w:rFonts w:hint="eastAsia"/>
          <w:b/>
          <w:color w:val="auto"/>
          <w:sz w:val="24"/>
          <w:szCs w:val="24"/>
        </w:rPr>
        <w:t>附件</w:t>
      </w:r>
      <w:r>
        <w:rPr>
          <w:rFonts w:hint="eastAsia"/>
          <w:b/>
          <w:color w:val="auto"/>
          <w:sz w:val="24"/>
          <w:szCs w:val="24"/>
          <w:lang w:val="en-US" w:eastAsia="zh-CN"/>
        </w:rPr>
        <w:t>6</w:t>
      </w:r>
      <w:r>
        <w:rPr>
          <w:rFonts w:hint="eastAsia"/>
          <w:b/>
          <w:color w:val="auto"/>
          <w:sz w:val="24"/>
          <w:szCs w:val="24"/>
        </w:rPr>
        <w:t>：</w:t>
      </w:r>
      <w:r>
        <w:rPr>
          <w:b/>
          <w:color w:val="auto"/>
          <w:sz w:val="24"/>
          <w:szCs w:val="24"/>
          <w:lang w:val="zh-CN"/>
        </w:rPr>
        <w:t>基础资料等说明</w:t>
      </w:r>
      <w:bookmarkEnd w:id="242"/>
    </w:p>
    <w:p w14:paraId="356DAB68">
      <w:pPr>
        <w:pStyle w:val="12"/>
        <w:rPr>
          <w:color w:val="auto"/>
        </w:rPr>
        <w:sectPr>
          <w:pgSz w:w="11906" w:h="16838"/>
          <w:pgMar w:top="1531" w:right="1531" w:bottom="1531" w:left="1247" w:header="1135"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w:drawing>
          <wp:inline distT="0" distB="0" distL="114300" distR="114300">
            <wp:extent cx="5759450" cy="7931150"/>
            <wp:effectExtent l="0" t="0" r="12700" b="12700"/>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85"/>
                    <a:stretch>
                      <a:fillRect/>
                    </a:stretch>
                  </pic:blipFill>
                  <pic:spPr>
                    <a:xfrm>
                      <a:off x="0" y="0"/>
                      <a:ext cx="5759450" cy="7931150"/>
                    </a:xfrm>
                    <a:prstGeom prst="rect">
                      <a:avLst/>
                    </a:prstGeom>
                    <a:noFill/>
                    <a:ln>
                      <a:noFill/>
                    </a:ln>
                  </pic:spPr>
                </pic:pic>
              </a:graphicData>
            </a:graphic>
          </wp:inline>
        </w:drawing>
      </w:r>
    </w:p>
    <w:p w14:paraId="2291407F">
      <w:pPr>
        <w:jc w:val="left"/>
        <w:outlineLvl w:val="0"/>
        <w:rPr>
          <w:b/>
          <w:color w:val="auto"/>
          <w:sz w:val="24"/>
          <w:szCs w:val="24"/>
        </w:rPr>
      </w:pPr>
      <w:bookmarkStart w:id="243" w:name="_Toc31365"/>
      <w:r>
        <w:rPr>
          <w:b/>
          <w:color w:val="auto"/>
          <w:sz w:val="24"/>
          <w:szCs w:val="24"/>
        </w:rPr>
        <w:t>附件</w:t>
      </w:r>
      <w:r>
        <w:rPr>
          <w:rFonts w:hint="eastAsia"/>
          <w:b/>
          <w:color w:val="auto"/>
          <w:sz w:val="24"/>
          <w:szCs w:val="24"/>
          <w:lang w:val="en-US" w:eastAsia="zh-CN"/>
        </w:rPr>
        <w:t>7</w:t>
      </w:r>
      <w:r>
        <w:rPr>
          <w:rFonts w:hint="eastAsia"/>
          <w:b/>
          <w:color w:val="auto"/>
          <w:sz w:val="24"/>
          <w:szCs w:val="24"/>
        </w:rPr>
        <w:t>：</w:t>
      </w:r>
      <w:r>
        <w:rPr>
          <w:b/>
          <w:color w:val="auto"/>
          <w:sz w:val="24"/>
          <w:szCs w:val="24"/>
        </w:rPr>
        <w:t>辐射安全</w:t>
      </w:r>
      <w:r>
        <w:rPr>
          <w:rFonts w:hint="eastAsia"/>
          <w:b/>
          <w:color w:val="auto"/>
          <w:sz w:val="24"/>
          <w:szCs w:val="24"/>
        </w:rPr>
        <w:t>与防护领导小组</w:t>
      </w:r>
      <w:bookmarkEnd w:id="243"/>
    </w:p>
    <w:p w14:paraId="3DCF381D">
      <w:pPr>
        <w:pStyle w:val="12"/>
        <w:rPr>
          <w:color w:val="auto"/>
        </w:rPr>
        <w:sectPr>
          <w:pgSz w:w="11906" w:h="16838"/>
          <w:pgMar w:top="1361" w:right="1531" w:bottom="1361" w:left="1701" w:header="1135"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w:drawing>
          <wp:inline distT="0" distB="0" distL="114300" distR="114300">
            <wp:extent cx="5570855" cy="8199120"/>
            <wp:effectExtent l="0" t="0" r="10795" b="11430"/>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86"/>
                    <a:stretch>
                      <a:fillRect/>
                    </a:stretch>
                  </pic:blipFill>
                  <pic:spPr>
                    <a:xfrm>
                      <a:off x="0" y="0"/>
                      <a:ext cx="5570855" cy="8199120"/>
                    </a:xfrm>
                    <a:prstGeom prst="rect">
                      <a:avLst/>
                    </a:prstGeom>
                    <a:noFill/>
                    <a:ln>
                      <a:noFill/>
                    </a:ln>
                  </pic:spPr>
                </pic:pic>
              </a:graphicData>
            </a:graphic>
          </wp:inline>
        </w:drawing>
      </w:r>
    </w:p>
    <w:p w14:paraId="0AAC10BC">
      <w:pPr>
        <w:jc w:val="left"/>
        <w:outlineLvl w:val="0"/>
        <w:rPr>
          <w:b/>
          <w:color w:val="auto"/>
          <w:sz w:val="24"/>
          <w:szCs w:val="24"/>
        </w:rPr>
      </w:pPr>
      <w:bookmarkStart w:id="244" w:name="_Toc10650"/>
      <w:r>
        <w:rPr>
          <w:rFonts w:hint="eastAsia"/>
          <w:b/>
          <w:color w:val="auto"/>
          <w:sz w:val="24"/>
          <w:szCs w:val="24"/>
        </w:rPr>
        <w:t>附件</w:t>
      </w:r>
      <w:r>
        <w:rPr>
          <w:rFonts w:hint="eastAsia"/>
          <w:b/>
          <w:color w:val="auto"/>
          <w:sz w:val="24"/>
          <w:szCs w:val="24"/>
          <w:lang w:val="en-US" w:eastAsia="zh-CN"/>
        </w:rPr>
        <w:t>8</w:t>
      </w:r>
      <w:r>
        <w:rPr>
          <w:rFonts w:hint="eastAsia"/>
          <w:b/>
          <w:color w:val="auto"/>
          <w:sz w:val="24"/>
          <w:szCs w:val="24"/>
        </w:rPr>
        <w:t>：</w:t>
      </w:r>
      <w:r>
        <w:rPr>
          <w:rFonts w:hint="eastAsia"/>
          <w:b/>
          <w:color w:val="auto"/>
          <w:sz w:val="24"/>
          <w:szCs w:val="24"/>
          <w:lang w:val="zh-CN"/>
        </w:rPr>
        <w:t>辐射事故应急预案</w:t>
      </w:r>
      <w:bookmarkEnd w:id="244"/>
    </w:p>
    <w:p w14:paraId="70061BC1">
      <w:pPr>
        <w:keepNext w:val="0"/>
        <w:keepLines w:val="0"/>
        <w:pageBreakBefore w:val="0"/>
        <w:widowControl w:val="0"/>
        <w:kinsoku/>
        <w:wordWrap/>
        <w:overflowPunct/>
        <w:topLinePunct w:val="0"/>
        <w:autoSpaceDE/>
        <w:autoSpaceDN/>
        <w:bidi w:val="0"/>
        <w:adjustRightInd/>
        <w:snapToGrid/>
        <w:spacing w:before="313" w:beforeLines="100"/>
        <w:jc w:val="left"/>
        <w:textAlignment w:val="auto"/>
        <w:outlineLvl w:val="9"/>
        <w:rPr>
          <w:color w:val="auto"/>
        </w:rPr>
      </w:pPr>
      <w:r>
        <w:rPr>
          <w:color w:val="auto"/>
        </w:rPr>
        <w:drawing>
          <wp:inline distT="0" distB="0" distL="114300" distR="114300">
            <wp:extent cx="5585460" cy="7624445"/>
            <wp:effectExtent l="0" t="0" r="15240" b="14605"/>
            <wp:docPr id="1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1"/>
                    <pic:cNvPicPr>
                      <a:picLocks noChangeAspect="1"/>
                    </pic:cNvPicPr>
                  </pic:nvPicPr>
                  <pic:blipFill>
                    <a:blip r:embed="rId87"/>
                    <a:stretch>
                      <a:fillRect/>
                    </a:stretch>
                  </pic:blipFill>
                  <pic:spPr>
                    <a:xfrm>
                      <a:off x="0" y="0"/>
                      <a:ext cx="5585460" cy="7624445"/>
                    </a:xfrm>
                    <a:prstGeom prst="rect">
                      <a:avLst/>
                    </a:prstGeom>
                    <a:noFill/>
                    <a:ln>
                      <a:noFill/>
                    </a:ln>
                  </pic:spPr>
                </pic:pic>
              </a:graphicData>
            </a:graphic>
          </wp:inline>
        </w:drawing>
      </w:r>
      <w:r>
        <w:rPr>
          <w:color w:val="auto"/>
        </w:rPr>
        <w:drawing>
          <wp:inline distT="0" distB="0" distL="114300" distR="114300">
            <wp:extent cx="5471795" cy="7483475"/>
            <wp:effectExtent l="0" t="0" r="14605" b="3175"/>
            <wp:docPr id="2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2"/>
                    <pic:cNvPicPr>
                      <a:picLocks noChangeAspect="1"/>
                    </pic:cNvPicPr>
                  </pic:nvPicPr>
                  <pic:blipFill>
                    <a:blip r:embed="rId88"/>
                    <a:stretch>
                      <a:fillRect/>
                    </a:stretch>
                  </pic:blipFill>
                  <pic:spPr>
                    <a:xfrm>
                      <a:off x="0" y="0"/>
                      <a:ext cx="5471795" cy="7483475"/>
                    </a:xfrm>
                    <a:prstGeom prst="rect">
                      <a:avLst/>
                    </a:prstGeom>
                    <a:noFill/>
                    <a:ln>
                      <a:noFill/>
                    </a:ln>
                  </pic:spPr>
                </pic:pic>
              </a:graphicData>
            </a:graphic>
          </wp:inline>
        </w:drawing>
      </w:r>
      <w:r>
        <w:rPr>
          <w:color w:val="auto"/>
        </w:rPr>
        <w:drawing>
          <wp:inline distT="0" distB="0" distL="114300" distR="114300">
            <wp:extent cx="5695950" cy="7914005"/>
            <wp:effectExtent l="0" t="0" r="0" b="10795"/>
            <wp:docPr id="5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0"/>
                    <pic:cNvPicPr>
                      <a:picLocks noChangeAspect="1"/>
                    </pic:cNvPicPr>
                  </pic:nvPicPr>
                  <pic:blipFill>
                    <a:blip r:embed="rId89"/>
                    <a:srcRect l="2142" t="1066"/>
                    <a:stretch>
                      <a:fillRect/>
                    </a:stretch>
                  </pic:blipFill>
                  <pic:spPr>
                    <a:xfrm>
                      <a:off x="0" y="0"/>
                      <a:ext cx="5695950" cy="7914005"/>
                    </a:xfrm>
                    <a:prstGeom prst="rect">
                      <a:avLst/>
                    </a:prstGeom>
                    <a:noFill/>
                    <a:ln>
                      <a:noFill/>
                    </a:ln>
                  </pic:spPr>
                </pic:pic>
              </a:graphicData>
            </a:graphic>
          </wp:inline>
        </w:drawing>
      </w:r>
      <w:r>
        <w:rPr>
          <w:color w:val="auto"/>
        </w:rPr>
        <w:drawing>
          <wp:inline distT="0" distB="0" distL="114300" distR="114300">
            <wp:extent cx="5679440" cy="7800975"/>
            <wp:effectExtent l="0" t="0" r="0" b="0"/>
            <wp:docPr id="6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1"/>
                    <pic:cNvPicPr>
                      <a:picLocks noChangeAspect="1"/>
                    </pic:cNvPicPr>
                  </pic:nvPicPr>
                  <pic:blipFill>
                    <a:blip r:embed="rId90"/>
                    <a:srcRect t="2570"/>
                    <a:stretch>
                      <a:fillRect/>
                    </a:stretch>
                  </pic:blipFill>
                  <pic:spPr>
                    <a:xfrm>
                      <a:off x="0" y="0"/>
                      <a:ext cx="5679440" cy="7800975"/>
                    </a:xfrm>
                    <a:prstGeom prst="rect">
                      <a:avLst/>
                    </a:prstGeom>
                    <a:noFill/>
                    <a:ln>
                      <a:noFill/>
                    </a:ln>
                  </pic:spPr>
                </pic:pic>
              </a:graphicData>
            </a:graphic>
          </wp:inline>
        </w:drawing>
      </w:r>
      <w:r>
        <w:rPr>
          <w:color w:val="auto"/>
        </w:rPr>
        <w:drawing>
          <wp:inline distT="0" distB="0" distL="114300" distR="114300">
            <wp:extent cx="5847080" cy="8225790"/>
            <wp:effectExtent l="0" t="0" r="1270" b="3810"/>
            <wp:docPr id="7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2"/>
                    <pic:cNvPicPr>
                      <a:picLocks noChangeAspect="1"/>
                    </pic:cNvPicPr>
                  </pic:nvPicPr>
                  <pic:blipFill>
                    <a:blip r:embed="rId91"/>
                    <a:srcRect l="2517" t="1894"/>
                    <a:stretch>
                      <a:fillRect/>
                    </a:stretch>
                  </pic:blipFill>
                  <pic:spPr>
                    <a:xfrm>
                      <a:off x="0" y="0"/>
                      <a:ext cx="5847080" cy="8225790"/>
                    </a:xfrm>
                    <a:prstGeom prst="rect">
                      <a:avLst/>
                    </a:prstGeom>
                    <a:noFill/>
                    <a:ln>
                      <a:noFill/>
                    </a:ln>
                  </pic:spPr>
                </pic:pic>
              </a:graphicData>
            </a:graphic>
          </wp:inline>
        </w:drawing>
      </w:r>
    </w:p>
    <w:p w14:paraId="0171C159">
      <w:pPr>
        <w:rPr>
          <w:color w:val="auto"/>
        </w:rPr>
      </w:pPr>
      <w:r>
        <w:rPr>
          <w:color w:val="auto"/>
        </w:rPr>
        <w:br w:type="page"/>
      </w:r>
    </w:p>
    <w:p w14:paraId="55ED8AEE">
      <w:pPr>
        <w:jc w:val="left"/>
        <w:outlineLvl w:val="0"/>
        <w:rPr>
          <w:b/>
          <w:color w:val="auto"/>
          <w:sz w:val="24"/>
          <w:szCs w:val="24"/>
        </w:rPr>
      </w:pPr>
      <w:bookmarkStart w:id="245" w:name="_Toc23632"/>
      <w:r>
        <w:rPr>
          <w:b/>
          <w:color w:val="auto"/>
          <w:sz w:val="24"/>
          <w:szCs w:val="24"/>
        </w:rPr>
        <w:t>附件</w:t>
      </w:r>
      <w:r>
        <w:rPr>
          <w:rFonts w:hint="eastAsia"/>
          <w:b/>
          <w:color w:val="auto"/>
          <w:sz w:val="24"/>
          <w:szCs w:val="24"/>
          <w:lang w:val="en-US" w:eastAsia="zh-CN"/>
        </w:rPr>
        <w:t>9</w:t>
      </w:r>
      <w:r>
        <w:rPr>
          <w:rFonts w:hint="eastAsia"/>
          <w:b/>
          <w:color w:val="auto"/>
          <w:sz w:val="24"/>
          <w:szCs w:val="24"/>
        </w:rPr>
        <w:t>：</w:t>
      </w:r>
      <w:r>
        <w:rPr>
          <w:b/>
          <w:color w:val="auto"/>
          <w:sz w:val="24"/>
          <w:szCs w:val="24"/>
        </w:rPr>
        <w:t>辐射安全管理制度</w:t>
      </w:r>
      <w:bookmarkEnd w:id="245"/>
    </w:p>
    <w:p w14:paraId="209CA96F">
      <w:pPr>
        <w:wordWrap w:val="0"/>
        <w:autoSpaceDE w:val="0"/>
        <w:autoSpaceDN w:val="0"/>
        <w:adjustRightInd w:val="0"/>
        <w:snapToGrid w:val="0"/>
        <w:spacing w:line="360" w:lineRule="auto"/>
        <w:jc w:val="both"/>
        <w:rPr>
          <w:color w:val="auto"/>
        </w:rPr>
      </w:pPr>
      <w:r>
        <w:rPr>
          <w:color w:val="auto"/>
        </w:rPr>
        <w:drawing>
          <wp:inline distT="0" distB="0" distL="114300" distR="114300">
            <wp:extent cx="5706110" cy="7785100"/>
            <wp:effectExtent l="0" t="0" r="8890" b="6350"/>
            <wp:docPr id="7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3"/>
                    <pic:cNvPicPr>
                      <a:picLocks noChangeAspect="1"/>
                    </pic:cNvPicPr>
                  </pic:nvPicPr>
                  <pic:blipFill>
                    <a:blip r:embed="rId92"/>
                    <a:stretch>
                      <a:fillRect/>
                    </a:stretch>
                  </pic:blipFill>
                  <pic:spPr>
                    <a:xfrm>
                      <a:off x="0" y="0"/>
                      <a:ext cx="5706110" cy="7785100"/>
                    </a:xfrm>
                    <a:prstGeom prst="rect">
                      <a:avLst/>
                    </a:prstGeom>
                    <a:noFill/>
                    <a:ln>
                      <a:noFill/>
                    </a:ln>
                  </pic:spPr>
                </pic:pic>
              </a:graphicData>
            </a:graphic>
          </wp:inline>
        </w:drawing>
      </w:r>
    </w:p>
    <w:p w14:paraId="1ECBEDAB">
      <w:pPr>
        <w:pStyle w:val="2"/>
        <w:rPr>
          <w:color w:val="auto"/>
        </w:rPr>
      </w:pPr>
    </w:p>
    <w:p w14:paraId="53F2CF13">
      <w:pPr>
        <w:rPr>
          <w:color w:val="auto"/>
        </w:rPr>
      </w:pPr>
      <w:r>
        <w:rPr>
          <w:color w:val="auto"/>
        </w:rPr>
        <w:drawing>
          <wp:inline distT="0" distB="0" distL="114300" distR="114300">
            <wp:extent cx="5696585" cy="7280275"/>
            <wp:effectExtent l="0" t="0" r="18415" b="15875"/>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93"/>
                    <a:srcRect l="5247" t="3466"/>
                    <a:stretch>
                      <a:fillRect/>
                    </a:stretch>
                  </pic:blipFill>
                  <pic:spPr>
                    <a:xfrm>
                      <a:off x="0" y="0"/>
                      <a:ext cx="5696585" cy="7280275"/>
                    </a:xfrm>
                    <a:prstGeom prst="rect">
                      <a:avLst/>
                    </a:prstGeom>
                    <a:noFill/>
                    <a:ln>
                      <a:noFill/>
                    </a:ln>
                  </pic:spPr>
                </pic:pic>
              </a:graphicData>
            </a:graphic>
          </wp:inline>
        </w:drawing>
      </w:r>
    </w:p>
    <w:p w14:paraId="2168D821">
      <w:pPr>
        <w:pStyle w:val="2"/>
        <w:rPr>
          <w:color w:val="auto"/>
        </w:rPr>
      </w:pPr>
    </w:p>
    <w:p w14:paraId="7F92DE7E">
      <w:pPr>
        <w:rPr>
          <w:color w:val="auto"/>
        </w:rPr>
      </w:pPr>
      <w:r>
        <w:rPr>
          <w:color w:val="auto"/>
        </w:rPr>
        <w:drawing>
          <wp:inline distT="0" distB="0" distL="114300" distR="114300">
            <wp:extent cx="5642610" cy="7880350"/>
            <wp:effectExtent l="0" t="0" r="15240" b="6350"/>
            <wp:docPr id="8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5"/>
                    <pic:cNvPicPr>
                      <a:picLocks noChangeAspect="1"/>
                    </pic:cNvPicPr>
                  </pic:nvPicPr>
                  <pic:blipFill>
                    <a:blip r:embed="rId94"/>
                    <a:stretch>
                      <a:fillRect/>
                    </a:stretch>
                  </pic:blipFill>
                  <pic:spPr>
                    <a:xfrm>
                      <a:off x="0" y="0"/>
                      <a:ext cx="5642610" cy="7880350"/>
                    </a:xfrm>
                    <a:prstGeom prst="rect">
                      <a:avLst/>
                    </a:prstGeom>
                    <a:noFill/>
                    <a:ln>
                      <a:noFill/>
                    </a:ln>
                  </pic:spPr>
                </pic:pic>
              </a:graphicData>
            </a:graphic>
          </wp:inline>
        </w:drawing>
      </w:r>
      <w:r>
        <w:rPr>
          <w:color w:val="auto"/>
        </w:rPr>
        <w:drawing>
          <wp:inline distT="0" distB="0" distL="114300" distR="114300">
            <wp:extent cx="5661660" cy="8049260"/>
            <wp:effectExtent l="0" t="0" r="15240" b="8890"/>
            <wp:docPr id="9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6"/>
                    <pic:cNvPicPr>
                      <a:picLocks noChangeAspect="1"/>
                    </pic:cNvPicPr>
                  </pic:nvPicPr>
                  <pic:blipFill>
                    <a:blip r:embed="rId95"/>
                    <a:srcRect l="4325"/>
                    <a:stretch>
                      <a:fillRect/>
                    </a:stretch>
                  </pic:blipFill>
                  <pic:spPr>
                    <a:xfrm>
                      <a:off x="0" y="0"/>
                      <a:ext cx="5661660" cy="8049260"/>
                    </a:xfrm>
                    <a:prstGeom prst="rect">
                      <a:avLst/>
                    </a:prstGeom>
                    <a:noFill/>
                    <a:ln>
                      <a:noFill/>
                    </a:ln>
                  </pic:spPr>
                </pic:pic>
              </a:graphicData>
            </a:graphic>
          </wp:inline>
        </w:drawing>
      </w:r>
    </w:p>
    <w:p w14:paraId="6A6B1DDF">
      <w:pPr>
        <w:pStyle w:val="2"/>
        <w:rPr>
          <w:color w:val="auto"/>
        </w:rPr>
      </w:pPr>
    </w:p>
    <w:p w14:paraId="55E8F401">
      <w:pPr>
        <w:rPr>
          <w:color w:val="auto"/>
        </w:rPr>
      </w:pPr>
    </w:p>
    <w:p w14:paraId="3F0ECA15">
      <w:pPr>
        <w:pStyle w:val="2"/>
        <w:ind w:left="0" w:leftChars="0" w:firstLine="0" w:firstLineChars="0"/>
        <w:rPr>
          <w:color w:val="auto"/>
        </w:rPr>
      </w:pPr>
      <w:r>
        <w:rPr>
          <w:color w:val="auto"/>
        </w:rPr>
        <w:drawing>
          <wp:inline distT="0" distB="0" distL="114300" distR="114300">
            <wp:extent cx="5615940" cy="8251825"/>
            <wp:effectExtent l="0" t="0" r="3810" b="15875"/>
            <wp:docPr id="9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7"/>
                    <pic:cNvPicPr>
                      <a:picLocks noChangeAspect="1"/>
                    </pic:cNvPicPr>
                  </pic:nvPicPr>
                  <pic:blipFill>
                    <a:blip r:embed="rId96"/>
                    <a:stretch>
                      <a:fillRect/>
                    </a:stretch>
                  </pic:blipFill>
                  <pic:spPr>
                    <a:xfrm>
                      <a:off x="0" y="0"/>
                      <a:ext cx="5615940" cy="8251825"/>
                    </a:xfrm>
                    <a:prstGeom prst="rect">
                      <a:avLst/>
                    </a:prstGeom>
                    <a:noFill/>
                    <a:ln>
                      <a:noFill/>
                    </a:ln>
                  </pic:spPr>
                </pic:pic>
              </a:graphicData>
            </a:graphic>
          </wp:inline>
        </w:drawing>
      </w:r>
    </w:p>
    <w:p w14:paraId="1D419DC5">
      <w:pPr>
        <w:rPr>
          <w:color w:val="auto"/>
        </w:rPr>
      </w:pPr>
    </w:p>
    <w:p w14:paraId="4026FC5C">
      <w:pPr>
        <w:pStyle w:val="2"/>
        <w:ind w:left="0" w:leftChars="0" w:firstLine="0" w:firstLineChars="0"/>
        <w:rPr>
          <w:color w:val="auto"/>
        </w:rPr>
      </w:pPr>
      <w:r>
        <w:rPr>
          <w:color w:val="auto"/>
        </w:rPr>
        <w:drawing>
          <wp:inline distT="0" distB="0" distL="114300" distR="114300">
            <wp:extent cx="5533390" cy="8029575"/>
            <wp:effectExtent l="0" t="0" r="10160" b="9525"/>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pic:cNvPicPr>
                  </pic:nvPicPr>
                  <pic:blipFill>
                    <a:blip r:embed="rId97"/>
                    <a:stretch>
                      <a:fillRect/>
                    </a:stretch>
                  </pic:blipFill>
                  <pic:spPr>
                    <a:xfrm>
                      <a:off x="0" y="0"/>
                      <a:ext cx="5533390" cy="8029575"/>
                    </a:xfrm>
                    <a:prstGeom prst="rect">
                      <a:avLst/>
                    </a:prstGeom>
                    <a:noFill/>
                    <a:ln>
                      <a:noFill/>
                    </a:ln>
                  </pic:spPr>
                </pic:pic>
              </a:graphicData>
            </a:graphic>
          </wp:inline>
        </w:drawing>
      </w:r>
      <w:r>
        <w:rPr>
          <w:color w:val="auto"/>
        </w:rPr>
        <w:drawing>
          <wp:inline distT="0" distB="0" distL="114300" distR="114300">
            <wp:extent cx="5755005" cy="8547100"/>
            <wp:effectExtent l="0" t="0" r="17145" b="6350"/>
            <wp:docPr id="9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9"/>
                    <pic:cNvPicPr>
                      <a:picLocks noChangeAspect="1"/>
                    </pic:cNvPicPr>
                  </pic:nvPicPr>
                  <pic:blipFill>
                    <a:blip r:embed="rId98"/>
                    <a:stretch>
                      <a:fillRect/>
                    </a:stretch>
                  </pic:blipFill>
                  <pic:spPr>
                    <a:xfrm>
                      <a:off x="0" y="0"/>
                      <a:ext cx="5755005" cy="8547100"/>
                    </a:xfrm>
                    <a:prstGeom prst="rect">
                      <a:avLst/>
                    </a:prstGeom>
                    <a:noFill/>
                    <a:ln>
                      <a:noFill/>
                    </a:ln>
                  </pic:spPr>
                </pic:pic>
              </a:graphicData>
            </a:graphic>
          </wp:inline>
        </w:drawing>
      </w:r>
    </w:p>
    <w:p w14:paraId="65F20A70">
      <w:pPr>
        <w:rPr>
          <w:color w:val="auto"/>
        </w:rPr>
      </w:pPr>
      <w:r>
        <w:rPr>
          <w:color w:val="auto"/>
        </w:rPr>
        <w:drawing>
          <wp:inline distT="0" distB="0" distL="114300" distR="114300">
            <wp:extent cx="5835015" cy="8221345"/>
            <wp:effectExtent l="0" t="0" r="13335" b="8255"/>
            <wp:docPr id="9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0"/>
                    <pic:cNvPicPr>
                      <a:picLocks noChangeAspect="1"/>
                    </pic:cNvPicPr>
                  </pic:nvPicPr>
                  <pic:blipFill>
                    <a:blip r:embed="rId99"/>
                    <a:stretch>
                      <a:fillRect/>
                    </a:stretch>
                  </pic:blipFill>
                  <pic:spPr>
                    <a:xfrm>
                      <a:off x="0" y="0"/>
                      <a:ext cx="5835015" cy="8221345"/>
                    </a:xfrm>
                    <a:prstGeom prst="rect">
                      <a:avLst/>
                    </a:prstGeom>
                    <a:noFill/>
                    <a:ln>
                      <a:noFill/>
                    </a:ln>
                  </pic:spPr>
                </pic:pic>
              </a:graphicData>
            </a:graphic>
          </wp:inline>
        </w:drawing>
      </w:r>
    </w:p>
    <w:p w14:paraId="5940A5B1">
      <w:pPr>
        <w:pStyle w:val="2"/>
        <w:rPr>
          <w:color w:val="auto"/>
        </w:rPr>
      </w:pPr>
    </w:p>
    <w:p w14:paraId="52C0A16A">
      <w:pPr>
        <w:rPr>
          <w:color w:val="auto"/>
        </w:rPr>
        <w:sectPr>
          <w:pgSz w:w="11906" w:h="16838"/>
          <w:pgMar w:top="1361" w:right="1531" w:bottom="1361" w:left="1701" w:header="1135"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w:drawing>
          <wp:inline distT="0" distB="0" distL="114300" distR="114300">
            <wp:extent cx="5749925" cy="7908290"/>
            <wp:effectExtent l="0" t="0" r="3175" b="16510"/>
            <wp:docPr id="10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1"/>
                    <pic:cNvPicPr>
                      <a:picLocks noChangeAspect="1"/>
                    </pic:cNvPicPr>
                  </pic:nvPicPr>
                  <pic:blipFill>
                    <a:blip r:embed="rId100"/>
                    <a:stretch>
                      <a:fillRect/>
                    </a:stretch>
                  </pic:blipFill>
                  <pic:spPr>
                    <a:xfrm>
                      <a:off x="0" y="0"/>
                      <a:ext cx="5749925" cy="7908290"/>
                    </a:xfrm>
                    <a:prstGeom prst="rect">
                      <a:avLst/>
                    </a:prstGeom>
                    <a:noFill/>
                    <a:ln>
                      <a:noFill/>
                    </a:ln>
                  </pic:spPr>
                </pic:pic>
              </a:graphicData>
            </a:graphic>
          </wp:inline>
        </w:drawing>
      </w:r>
      <w:r>
        <w:rPr>
          <w:color w:val="auto"/>
        </w:rPr>
        <w:drawing>
          <wp:inline distT="0" distB="0" distL="114300" distR="114300">
            <wp:extent cx="5751195" cy="8016240"/>
            <wp:effectExtent l="0" t="0" r="1905" b="3810"/>
            <wp:docPr id="10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2"/>
                    <pic:cNvPicPr>
                      <a:picLocks noChangeAspect="1"/>
                    </pic:cNvPicPr>
                  </pic:nvPicPr>
                  <pic:blipFill>
                    <a:blip r:embed="rId101"/>
                    <a:stretch>
                      <a:fillRect/>
                    </a:stretch>
                  </pic:blipFill>
                  <pic:spPr>
                    <a:xfrm>
                      <a:off x="0" y="0"/>
                      <a:ext cx="5751195" cy="8016240"/>
                    </a:xfrm>
                    <a:prstGeom prst="rect">
                      <a:avLst/>
                    </a:prstGeom>
                    <a:noFill/>
                    <a:ln>
                      <a:noFill/>
                    </a:ln>
                  </pic:spPr>
                </pic:pic>
              </a:graphicData>
            </a:graphic>
          </wp:inline>
        </w:drawing>
      </w:r>
      <w:r>
        <w:rPr>
          <w:color w:val="auto"/>
        </w:rPr>
        <w:drawing>
          <wp:inline distT="0" distB="0" distL="114300" distR="114300">
            <wp:extent cx="5627370" cy="7868920"/>
            <wp:effectExtent l="0" t="0" r="11430" b="17780"/>
            <wp:docPr id="10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3"/>
                    <pic:cNvPicPr>
                      <a:picLocks noChangeAspect="1"/>
                    </pic:cNvPicPr>
                  </pic:nvPicPr>
                  <pic:blipFill>
                    <a:blip r:embed="rId102"/>
                    <a:srcRect l="4359" r="4312"/>
                    <a:stretch>
                      <a:fillRect/>
                    </a:stretch>
                  </pic:blipFill>
                  <pic:spPr>
                    <a:xfrm>
                      <a:off x="0" y="0"/>
                      <a:ext cx="5627370" cy="7868920"/>
                    </a:xfrm>
                    <a:prstGeom prst="rect">
                      <a:avLst/>
                    </a:prstGeom>
                    <a:noFill/>
                    <a:ln>
                      <a:noFill/>
                    </a:ln>
                  </pic:spPr>
                </pic:pic>
              </a:graphicData>
            </a:graphic>
          </wp:inline>
        </w:drawing>
      </w:r>
      <w:r>
        <w:rPr>
          <w:color w:val="auto"/>
        </w:rPr>
        <w:drawing>
          <wp:inline distT="0" distB="0" distL="114300" distR="114300">
            <wp:extent cx="4933950" cy="6981825"/>
            <wp:effectExtent l="0" t="0" r="0" b="9525"/>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103"/>
                    <a:stretch>
                      <a:fillRect/>
                    </a:stretch>
                  </pic:blipFill>
                  <pic:spPr>
                    <a:xfrm>
                      <a:off x="0" y="0"/>
                      <a:ext cx="4933950" cy="6981825"/>
                    </a:xfrm>
                    <a:prstGeom prst="rect">
                      <a:avLst/>
                    </a:prstGeom>
                    <a:noFill/>
                    <a:ln>
                      <a:noFill/>
                    </a:ln>
                  </pic:spPr>
                </pic:pic>
              </a:graphicData>
            </a:graphic>
          </wp:inline>
        </w:drawing>
      </w:r>
      <w:r>
        <w:rPr>
          <w:color w:val="auto"/>
        </w:rPr>
        <w:drawing>
          <wp:inline distT="0" distB="0" distL="114300" distR="114300">
            <wp:extent cx="5464175" cy="8054975"/>
            <wp:effectExtent l="0" t="0" r="0" b="0"/>
            <wp:docPr id="10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5"/>
                    <pic:cNvPicPr>
                      <a:picLocks noChangeAspect="1"/>
                    </pic:cNvPicPr>
                  </pic:nvPicPr>
                  <pic:blipFill>
                    <a:blip r:embed="rId104"/>
                    <a:srcRect l="1801" t="533" r="1317"/>
                    <a:stretch>
                      <a:fillRect/>
                    </a:stretch>
                  </pic:blipFill>
                  <pic:spPr>
                    <a:xfrm>
                      <a:off x="0" y="0"/>
                      <a:ext cx="5464175" cy="8054975"/>
                    </a:xfrm>
                    <a:prstGeom prst="rect">
                      <a:avLst/>
                    </a:prstGeom>
                    <a:noFill/>
                    <a:ln>
                      <a:noFill/>
                    </a:ln>
                  </pic:spPr>
                </pic:pic>
              </a:graphicData>
            </a:graphic>
          </wp:inline>
        </w:drawing>
      </w:r>
    </w:p>
    <w:p w14:paraId="639C8D1C">
      <w:pPr>
        <w:jc w:val="left"/>
        <w:outlineLvl w:val="0"/>
        <w:rPr>
          <w:rFonts w:eastAsia="宋体"/>
          <w:b/>
          <w:color w:val="auto"/>
          <w:sz w:val="24"/>
          <w:szCs w:val="24"/>
        </w:rPr>
      </w:pPr>
      <w:r>
        <w:rPr>
          <w:rFonts w:eastAsia="宋体"/>
          <w:b/>
          <w:color w:val="auto"/>
          <w:sz w:val="24"/>
          <w:szCs w:val="24"/>
        </w:rPr>
        <w:t>附件</w:t>
      </w:r>
      <w:r>
        <w:rPr>
          <w:rFonts w:hint="eastAsia" w:eastAsia="宋体"/>
          <w:b/>
          <w:color w:val="auto"/>
          <w:sz w:val="24"/>
          <w:szCs w:val="24"/>
          <w:lang w:val="en-US" w:eastAsia="zh-CN"/>
        </w:rPr>
        <w:t>10</w:t>
      </w:r>
      <w:r>
        <w:rPr>
          <w:rFonts w:hint="eastAsia" w:eastAsia="宋体"/>
          <w:b/>
          <w:color w:val="auto"/>
          <w:sz w:val="24"/>
          <w:szCs w:val="24"/>
        </w:rPr>
        <w:t>：</w:t>
      </w:r>
      <w:r>
        <w:rPr>
          <w:rFonts w:eastAsia="宋体"/>
          <w:b/>
          <w:color w:val="auto"/>
          <w:sz w:val="24"/>
          <w:szCs w:val="24"/>
        </w:rPr>
        <w:t>辐射环境本底</w:t>
      </w:r>
      <w:r>
        <w:rPr>
          <w:rFonts w:hint="eastAsia" w:eastAsia="宋体"/>
          <w:b/>
          <w:color w:val="auto"/>
          <w:sz w:val="24"/>
          <w:szCs w:val="24"/>
        </w:rPr>
        <w:t>及声环境现状</w:t>
      </w:r>
      <w:r>
        <w:rPr>
          <w:rFonts w:eastAsia="宋体"/>
          <w:b/>
          <w:color w:val="auto"/>
          <w:sz w:val="24"/>
          <w:szCs w:val="24"/>
        </w:rPr>
        <w:t>检测报告</w:t>
      </w:r>
    </w:p>
    <w:p w14:paraId="433FC57C">
      <w:pPr>
        <w:rPr>
          <w:color w:val="auto"/>
        </w:rPr>
      </w:pPr>
      <w:r>
        <w:rPr>
          <w:color w:val="auto"/>
        </w:rPr>
        <w:drawing>
          <wp:inline distT="0" distB="0" distL="114300" distR="114300">
            <wp:extent cx="5781040" cy="7849235"/>
            <wp:effectExtent l="0" t="0" r="10160" b="18415"/>
            <wp:docPr id="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pic:cNvPicPr>
                      <a:picLocks noChangeAspect="1"/>
                    </pic:cNvPicPr>
                  </pic:nvPicPr>
                  <pic:blipFill>
                    <a:blip r:embed="rId105"/>
                    <a:stretch>
                      <a:fillRect/>
                    </a:stretch>
                  </pic:blipFill>
                  <pic:spPr>
                    <a:xfrm>
                      <a:off x="0" y="0"/>
                      <a:ext cx="5781040" cy="7849235"/>
                    </a:xfrm>
                    <a:prstGeom prst="rect">
                      <a:avLst/>
                    </a:prstGeom>
                    <a:noFill/>
                    <a:ln>
                      <a:noFill/>
                    </a:ln>
                  </pic:spPr>
                </pic:pic>
              </a:graphicData>
            </a:graphic>
          </wp:inline>
        </w:drawing>
      </w:r>
    </w:p>
    <w:p w14:paraId="7BE4F5F4">
      <w:pPr>
        <w:rPr>
          <w:color w:val="auto"/>
        </w:rPr>
      </w:pPr>
    </w:p>
    <w:p w14:paraId="10C6F71D">
      <w:pPr>
        <w:rPr>
          <w:color w:val="auto"/>
        </w:rPr>
      </w:pPr>
    </w:p>
    <w:p w14:paraId="67338B18">
      <w:pPr>
        <w:rPr>
          <w:rFonts w:hint="eastAsia"/>
          <w:color w:val="auto"/>
          <w:lang w:eastAsia="zh-CN"/>
        </w:rPr>
      </w:pPr>
    </w:p>
    <w:p w14:paraId="1D03CD3B">
      <w:pPr>
        <w:rPr>
          <w:color w:val="auto"/>
        </w:rPr>
      </w:pPr>
    </w:p>
    <w:p w14:paraId="611EB3C9">
      <w:pPr>
        <w:rPr>
          <w:color w:val="auto"/>
        </w:rPr>
      </w:pPr>
      <w:r>
        <w:rPr>
          <w:color w:val="auto"/>
        </w:rPr>
        <w:drawing>
          <wp:inline distT="0" distB="0" distL="114300" distR="114300">
            <wp:extent cx="5800090" cy="8220075"/>
            <wp:effectExtent l="0" t="0" r="10160" b="9525"/>
            <wp:docPr id="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
                    <pic:cNvPicPr>
                      <a:picLocks noChangeAspect="1"/>
                    </pic:cNvPicPr>
                  </pic:nvPicPr>
                  <pic:blipFill>
                    <a:blip r:embed="rId106"/>
                    <a:stretch>
                      <a:fillRect/>
                    </a:stretch>
                  </pic:blipFill>
                  <pic:spPr>
                    <a:xfrm>
                      <a:off x="0" y="0"/>
                      <a:ext cx="5800090" cy="8220075"/>
                    </a:xfrm>
                    <a:prstGeom prst="rect">
                      <a:avLst/>
                    </a:prstGeom>
                    <a:noFill/>
                    <a:ln>
                      <a:noFill/>
                    </a:ln>
                  </pic:spPr>
                </pic:pic>
              </a:graphicData>
            </a:graphic>
          </wp:inline>
        </w:drawing>
      </w:r>
    </w:p>
    <w:p w14:paraId="4967C58A">
      <w:pPr>
        <w:rPr>
          <w:color w:val="auto"/>
        </w:rPr>
      </w:pPr>
    </w:p>
    <w:p w14:paraId="6E46EE42">
      <w:pPr>
        <w:rPr>
          <w:color w:val="auto"/>
        </w:rPr>
      </w:pPr>
    </w:p>
    <w:p w14:paraId="1D1D9BE7">
      <w:pPr>
        <w:rPr>
          <w:color w:val="auto"/>
        </w:rPr>
      </w:pPr>
    </w:p>
    <w:p w14:paraId="2AD356EF">
      <w:pPr>
        <w:rPr>
          <w:color w:val="auto"/>
        </w:rPr>
      </w:pPr>
      <w:r>
        <w:rPr>
          <w:color w:val="auto"/>
        </w:rPr>
        <w:drawing>
          <wp:inline distT="0" distB="0" distL="114300" distR="114300">
            <wp:extent cx="5904230" cy="8309610"/>
            <wp:effectExtent l="0" t="0" r="1270" b="15240"/>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107"/>
                    <a:stretch>
                      <a:fillRect/>
                    </a:stretch>
                  </pic:blipFill>
                  <pic:spPr>
                    <a:xfrm>
                      <a:off x="0" y="0"/>
                      <a:ext cx="5904230" cy="8309610"/>
                    </a:xfrm>
                    <a:prstGeom prst="rect">
                      <a:avLst/>
                    </a:prstGeom>
                    <a:noFill/>
                    <a:ln>
                      <a:noFill/>
                    </a:ln>
                  </pic:spPr>
                </pic:pic>
              </a:graphicData>
            </a:graphic>
          </wp:inline>
        </w:drawing>
      </w:r>
    </w:p>
    <w:p w14:paraId="238FF2B0">
      <w:pPr>
        <w:rPr>
          <w:color w:val="auto"/>
        </w:rPr>
      </w:pPr>
    </w:p>
    <w:p w14:paraId="1FEC09EF">
      <w:pPr>
        <w:rPr>
          <w:color w:val="auto"/>
        </w:rPr>
      </w:pPr>
    </w:p>
    <w:p w14:paraId="4DBBC0E2">
      <w:pPr>
        <w:rPr>
          <w:color w:val="auto"/>
        </w:rPr>
      </w:pPr>
    </w:p>
    <w:p w14:paraId="4616E6CB">
      <w:pPr>
        <w:rPr>
          <w:color w:val="auto"/>
        </w:rPr>
      </w:pPr>
      <w:r>
        <w:rPr>
          <w:color w:val="auto"/>
        </w:rPr>
        <w:drawing>
          <wp:inline distT="0" distB="0" distL="114300" distR="114300">
            <wp:extent cx="5746750" cy="8265795"/>
            <wp:effectExtent l="0" t="0" r="6350" b="1905"/>
            <wp:docPr id="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4"/>
                    <pic:cNvPicPr>
                      <a:picLocks noChangeAspect="1"/>
                    </pic:cNvPicPr>
                  </pic:nvPicPr>
                  <pic:blipFill>
                    <a:blip r:embed="rId108"/>
                    <a:stretch>
                      <a:fillRect/>
                    </a:stretch>
                  </pic:blipFill>
                  <pic:spPr>
                    <a:xfrm>
                      <a:off x="0" y="0"/>
                      <a:ext cx="5746750" cy="8265795"/>
                    </a:xfrm>
                    <a:prstGeom prst="rect">
                      <a:avLst/>
                    </a:prstGeom>
                    <a:noFill/>
                    <a:ln>
                      <a:noFill/>
                    </a:ln>
                  </pic:spPr>
                </pic:pic>
              </a:graphicData>
            </a:graphic>
          </wp:inline>
        </w:drawing>
      </w:r>
    </w:p>
    <w:p w14:paraId="149F502A">
      <w:pPr>
        <w:rPr>
          <w:color w:val="auto"/>
        </w:rPr>
      </w:pPr>
    </w:p>
    <w:p w14:paraId="7B4552C1">
      <w:pPr>
        <w:rPr>
          <w:color w:val="auto"/>
        </w:rPr>
      </w:pPr>
    </w:p>
    <w:p w14:paraId="5FF77F6F">
      <w:pPr>
        <w:rPr>
          <w:color w:val="auto"/>
        </w:rPr>
      </w:pPr>
      <w:r>
        <w:rPr>
          <w:color w:val="auto"/>
        </w:rPr>
        <w:drawing>
          <wp:inline distT="0" distB="0" distL="114300" distR="114300">
            <wp:extent cx="5459095" cy="7889240"/>
            <wp:effectExtent l="0" t="0" r="8255" b="16510"/>
            <wp:docPr id="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5"/>
                    <pic:cNvPicPr>
                      <a:picLocks noChangeAspect="1"/>
                    </pic:cNvPicPr>
                  </pic:nvPicPr>
                  <pic:blipFill>
                    <a:blip r:embed="rId109"/>
                    <a:stretch>
                      <a:fillRect/>
                    </a:stretch>
                  </pic:blipFill>
                  <pic:spPr>
                    <a:xfrm>
                      <a:off x="0" y="0"/>
                      <a:ext cx="5459095" cy="7889240"/>
                    </a:xfrm>
                    <a:prstGeom prst="rect">
                      <a:avLst/>
                    </a:prstGeom>
                    <a:noFill/>
                    <a:ln>
                      <a:noFill/>
                    </a:ln>
                  </pic:spPr>
                </pic:pic>
              </a:graphicData>
            </a:graphic>
          </wp:inline>
        </w:drawing>
      </w:r>
    </w:p>
    <w:p w14:paraId="23C9870A">
      <w:pPr>
        <w:rPr>
          <w:color w:val="auto"/>
        </w:rPr>
      </w:pPr>
    </w:p>
    <w:p w14:paraId="08883AEE">
      <w:pPr>
        <w:rPr>
          <w:color w:val="auto"/>
        </w:rPr>
      </w:pPr>
    </w:p>
    <w:p w14:paraId="48ADD008">
      <w:pPr>
        <w:rPr>
          <w:color w:val="auto"/>
        </w:rPr>
      </w:pPr>
    </w:p>
    <w:p w14:paraId="6F7F2F40">
      <w:pPr>
        <w:rPr>
          <w:color w:val="auto"/>
        </w:rPr>
      </w:pPr>
      <w:r>
        <w:rPr>
          <w:color w:val="auto"/>
        </w:rPr>
        <w:drawing>
          <wp:inline distT="0" distB="0" distL="114300" distR="114300">
            <wp:extent cx="5561330" cy="8025765"/>
            <wp:effectExtent l="0" t="0" r="1270" b="13335"/>
            <wp:docPr id="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6"/>
                    <pic:cNvPicPr>
                      <a:picLocks noChangeAspect="1"/>
                    </pic:cNvPicPr>
                  </pic:nvPicPr>
                  <pic:blipFill>
                    <a:blip r:embed="rId110"/>
                    <a:stretch>
                      <a:fillRect/>
                    </a:stretch>
                  </pic:blipFill>
                  <pic:spPr>
                    <a:xfrm>
                      <a:off x="0" y="0"/>
                      <a:ext cx="5561330" cy="8025765"/>
                    </a:xfrm>
                    <a:prstGeom prst="rect">
                      <a:avLst/>
                    </a:prstGeom>
                    <a:noFill/>
                    <a:ln>
                      <a:noFill/>
                    </a:ln>
                  </pic:spPr>
                </pic:pic>
              </a:graphicData>
            </a:graphic>
          </wp:inline>
        </w:drawing>
      </w:r>
    </w:p>
    <w:p w14:paraId="769D6893">
      <w:pPr>
        <w:rPr>
          <w:color w:val="auto"/>
        </w:rPr>
      </w:pPr>
    </w:p>
    <w:p w14:paraId="7FE43C8C">
      <w:pPr>
        <w:pStyle w:val="2"/>
        <w:rPr>
          <w:color w:val="auto"/>
        </w:rPr>
      </w:pPr>
    </w:p>
    <w:p w14:paraId="6325A7B9">
      <w:pPr>
        <w:rPr>
          <w:color w:val="auto"/>
        </w:rPr>
      </w:pPr>
      <w:r>
        <w:rPr>
          <w:color w:val="auto"/>
        </w:rPr>
        <w:drawing>
          <wp:inline distT="0" distB="0" distL="114300" distR="114300">
            <wp:extent cx="5567680" cy="8054340"/>
            <wp:effectExtent l="0" t="0" r="13970" b="3810"/>
            <wp:docPr id="6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7"/>
                    <pic:cNvPicPr>
                      <a:picLocks noChangeAspect="1"/>
                    </pic:cNvPicPr>
                  </pic:nvPicPr>
                  <pic:blipFill>
                    <a:blip r:embed="rId111"/>
                    <a:stretch>
                      <a:fillRect/>
                    </a:stretch>
                  </pic:blipFill>
                  <pic:spPr>
                    <a:xfrm>
                      <a:off x="0" y="0"/>
                      <a:ext cx="5567680" cy="8054340"/>
                    </a:xfrm>
                    <a:prstGeom prst="rect">
                      <a:avLst/>
                    </a:prstGeom>
                    <a:noFill/>
                    <a:ln>
                      <a:noFill/>
                    </a:ln>
                  </pic:spPr>
                </pic:pic>
              </a:graphicData>
            </a:graphic>
          </wp:inline>
        </w:drawing>
      </w:r>
    </w:p>
    <w:p w14:paraId="54922AA9">
      <w:pPr>
        <w:pStyle w:val="2"/>
        <w:rPr>
          <w:color w:val="auto"/>
        </w:rPr>
      </w:pPr>
    </w:p>
    <w:p w14:paraId="67503C4B">
      <w:pPr>
        <w:rPr>
          <w:color w:val="auto"/>
        </w:rPr>
      </w:pPr>
    </w:p>
    <w:p w14:paraId="649F8C9C">
      <w:pPr>
        <w:rPr>
          <w:color w:val="auto"/>
        </w:rPr>
        <w:sectPr>
          <w:pgSz w:w="11906" w:h="16838"/>
          <w:pgMar w:top="1361" w:right="1531" w:bottom="1361" w:left="1701" w:header="1135"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w:drawing>
          <wp:inline distT="0" distB="0" distL="114300" distR="114300">
            <wp:extent cx="5784850" cy="8571865"/>
            <wp:effectExtent l="0" t="0" r="6350" b="635"/>
            <wp:docPr id="6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8"/>
                    <pic:cNvPicPr>
                      <a:picLocks noChangeAspect="1"/>
                    </pic:cNvPicPr>
                  </pic:nvPicPr>
                  <pic:blipFill>
                    <a:blip r:embed="rId112"/>
                    <a:stretch>
                      <a:fillRect/>
                    </a:stretch>
                  </pic:blipFill>
                  <pic:spPr>
                    <a:xfrm>
                      <a:off x="0" y="0"/>
                      <a:ext cx="5784850" cy="8571865"/>
                    </a:xfrm>
                    <a:prstGeom prst="rect">
                      <a:avLst/>
                    </a:prstGeom>
                    <a:noFill/>
                    <a:ln>
                      <a:noFill/>
                    </a:ln>
                  </pic:spPr>
                </pic:pic>
              </a:graphicData>
            </a:graphic>
          </wp:inline>
        </w:drawing>
      </w:r>
    </w:p>
    <w:p w14:paraId="36B2E229">
      <w:pPr>
        <w:jc w:val="left"/>
        <w:outlineLvl w:val="0"/>
        <w:rPr>
          <w:rFonts w:hint="default" w:eastAsia="宋体"/>
          <w:b/>
          <w:color w:val="auto"/>
          <w:sz w:val="24"/>
          <w:szCs w:val="24"/>
          <w:lang w:val="en-US" w:eastAsia="zh-CN"/>
        </w:rPr>
      </w:pPr>
      <w:r>
        <w:rPr>
          <w:rFonts w:eastAsia="宋体"/>
          <w:b/>
          <w:color w:val="auto"/>
          <w:sz w:val="24"/>
          <w:szCs w:val="24"/>
        </w:rPr>
        <w:t>附件</w:t>
      </w:r>
      <w:r>
        <w:rPr>
          <w:rFonts w:hint="eastAsia" w:eastAsia="宋体"/>
          <w:b/>
          <w:color w:val="auto"/>
          <w:sz w:val="24"/>
          <w:szCs w:val="24"/>
          <w:lang w:val="en-US" w:eastAsia="zh-CN"/>
        </w:rPr>
        <w:t>1</w:t>
      </w:r>
      <w:r>
        <w:rPr>
          <w:rFonts w:hint="eastAsia"/>
          <w:b/>
          <w:color w:val="auto"/>
          <w:sz w:val="24"/>
          <w:szCs w:val="24"/>
          <w:lang w:val="en-US" w:eastAsia="zh-CN"/>
        </w:rPr>
        <w:t>1</w:t>
      </w:r>
      <w:r>
        <w:rPr>
          <w:rFonts w:hint="eastAsia" w:eastAsia="宋体"/>
          <w:b/>
          <w:color w:val="auto"/>
          <w:sz w:val="24"/>
          <w:szCs w:val="24"/>
        </w:rPr>
        <w:t>：</w:t>
      </w:r>
      <w:r>
        <w:rPr>
          <w:rFonts w:hint="eastAsia"/>
          <w:b/>
          <w:color w:val="auto"/>
          <w:sz w:val="24"/>
          <w:szCs w:val="24"/>
          <w:lang w:val="en-US" w:eastAsia="zh-CN"/>
        </w:rPr>
        <w:t>检测机构资质证书</w:t>
      </w:r>
    </w:p>
    <w:p w14:paraId="03DBA556">
      <w:pPr>
        <w:pStyle w:val="2"/>
        <w:ind w:left="0" w:leftChars="0" w:firstLine="0" w:firstLineChars="0"/>
        <w:rPr>
          <w:color w:val="auto"/>
        </w:rPr>
        <w:sectPr>
          <w:pgSz w:w="11906" w:h="16838"/>
          <w:pgMar w:top="1361" w:right="1531" w:bottom="1361" w:left="1701" w:header="1135"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w:drawing>
          <wp:inline distT="0" distB="0" distL="114300" distR="114300">
            <wp:extent cx="5478145" cy="7615555"/>
            <wp:effectExtent l="0" t="0" r="8255" b="4445"/>
            <wp:docPr id="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9"/>
                    <pic:cNvPicPr>
                      <a:picLocks noChangeAspect="1"/>
                    </pic:cNvPicPr>
                  </pic:nvPicPr>
                  <pic:blipFill>
                    <a:blip r:embed="rId113"/>
                    <a:stretch>
                      <a:fillRect/>
                    </a:stretch>
                  </pic:blipFill>
                  <pic:spPr>
                    <a:xfrm>
                      <a:off x="0" y="0"/>
                      <a:ext cx="5478145" cy="7615555"/>
                    </a:xfrm>
                    <a:prstGeom prst="rect">
                      <a:avLst/>
                    </a:prstGeom>
                    <a:noFill/>
                    <a:ln>
                      <a:noFill/>
                    </a:ln>
                  </pic:spPr>
                </pic:pic>
              </a:graphicData>
            </a:graphic>
          </wp:inline>
        </w:drawing>
      </w:r>
    </w:p>
    <w:p w14:paraId="22A517B1">
      <w:pPr>
        <w:jc w:val="left"/>
        <w:outlineLvl w:val="0"/>
        <w:rPr>
          <w:rFonts w:hint="default" w:eastAsia="宋体"/>
          <w:b/>
          <w:color w:val="auto"/>
          <w:sz w:val="24"/>
          <w:szCs w:val="24"/>
          <w:lang w:val="en-US" w:eastAsia="zh-CN"/>
        </w:rPr>
      </w:pPr>
      <w:r>
        <w:rPr>
          <w:rFonts w:eastAsia="宋体"/>
          <w:b/>
          <w:color w:val="auto"/>
          <w:sz w:val="24"/>
          <w:szCs w:val="24"/>
        </w:rPr>
        <w:t>附件</w:t>
      </w:r>
      <w:r>
        <w:rPr>
          <w:rFonts w:hint="eastAsia" w:eastAsia="宋体"/>
          <w:b/>
          <w:color w:val="auto"/>
          <w:sz w:val="24"/>
          <w:szCs w:val="24"/>
          <w:lang w:val="en-US" w:eastAsia="zh-CN"/>
        </w:rPr>
        <w:t>1</w:t>
      </w:r>
      <w:r>
        <w:rPr>
          <w:rFonts w:hint="eastAsia"/>
          <w:b/>
          <w:color w:val="auto"/>
          <w:sz w:val="24"/>
          <w:szCs w:val="24"/>
          <w:lang w:val="en-US" w:eastAsia="zh-CN"/>
        </w:rPr>
        <w:t>2</w:t>
      </w:r>
      <w:r>
        <w:rPr>
          <w:rFonts w:hint="eastAsia" w:eastAsia="宋体"/>
          <w:b/>
          <w:color w:val="auto"/>
          <w:sz w:val="24"/>
          <w:szCs w:val="24"/>
        </w:rPr>
        <w:t>：</w:t>
      </w:r>
      <w:r>
        <w:rPr>
          <w:rFonts w:hint="eastAsia"/>
          <w:b/>
          <w:color w:val="auto"/>
          <w:sz w:val="24"/>
          <w:szCs w:val="24"/>
          <w:lang w:val="en-US" w:eastAsia="zh-CN"/>
        </w:rPr>
        <w:t>检测机构人员上岗证</w:t>
      </w:r>
    </w:p>
    <w:p w14:paraId="0F52B9CA">
      <w:pPr>
        <w:rPr>
          <w:color w:val="auto"/>
        </w:rPr>
        <w:sectPr>
          <w:pgSz w:w="11906" w:h="16838"/>
          <w:pgMar w:top="1361" w:right="1531" w:bottom="1361" w:left="1701" w:header="1135"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w:drawing>
          <wp:inline distT="0" distB="0" distL="114300" distR="114300">
            <wp:extent cx="5506085" cy="7638415"/>
            <wp:effectExtent l="0" t="0" r="18415" b="635"/>
            <wp:docPr id="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0"/>
                    <pic:cNvPicPr>
                      <a:picLocks noChangeAspect="1"/>
                    </pic:cNvPicPr>
                  </pic:nvPicPr>
                  <pic:blipFill>
                    <a:blip r:embed="rId114"/>
                    <a:stretch>
                      <a:fillRect/>
                    </a:stretch>
                  </pic:blipFill>
                  <pic:spPr>
                    <a:xfrm>
                      <a:off x="0" y="0"/>
                      <a:ext cx="5506085" cy="7638415"/>
                    </a:xfrm>
                    <a:prstGeom prst="rect">
                      <a:avLst/>
                    </a:prstGeom>
                    <a:noFill/>
                    <a:ln>
                      <a:noFill/>
                    </a:ln>
                  </pic:spPr>
                </pic:pic>
              </a:graphicData>
            </a:graphic>
          </wp:inline>
        </w:drawing>
      </w:r>
    </w:p>
    <w:p w14:paraId="5C5F10DF">
      <w:pPr>
        <w:jc w:val="left"/>
        <w:outlineLvl w:val="0"/>
        <w:rPr>
          <w:rFonts w:hint="default" w:eastAsia="宋体"/>
          <w:b/>
          <w:color w:val="auto"/>
          <w:sz w:val="24"/>
          <w:szCs w:val="24"/>
          <w:lang w:val="en-US" w:eastAsia="zh-CN"/>
        </w:rPr>
      </w:pPr>
      <w:r>
        <w:rPr>
          <w:rFonts w:eastAsia="宋体"/>
          <w:b/>
          <w:color w:val="auto"/>
          <w:sz w:val="24"/>
          <w:szCs w:val="24"/>
        </w:rPr>
        <w:t>附件</w:t>
      </w:r>
      <w:r>
        <w:rPr>
          <w:rFonts w:hint="eastAsia" w:eastAsia="宋体"/>
          <w:b/>
          <w:color w:val="auto"/>
          <w:sz w:val="24"/>
          <w:szCs w:val="24"/>
          <w:lang w:val="en-US" w:eastAsia="zh-CN"/>
        </w:rPr>
        <w:t>1</w:t>
      </w:r>
      <w:r>
        <w:rPr>
          <w:rFonts w:hint="eastAsia"/>
          <w:b/>
          <w:color w:val="auto"/>
          <w:sz w:val="24"/>
          <w:szCs w:val="24"/>
          <w:lang w:val="en-US" w:eastAsia="zh-CN"/>
        </w:rPr>
        <w:t>3</w:t>
      </w:r>
      <w:r>
        <w:rPr>
          <w:rFonts w:hint="eastAsia" w:eastAsia="宋体"/>
          <w:b/>
          <w:color w:val="auto"/>
          <w:sz w:val="24"/>
          <w:szCs w:val="24"/>
        </w:rPr>
        <w:t>：</w:t>
      </w:r>
      <w:r>
        <w:rPr>
          <w:rFonts w:hint="eastAsia"/>
          <w:b/>
          <w:color w:val="auto"/>
          <w:sz w:val="24"/>
          <w:szCs w:val="24"/>
          <w:lang w:val="en-US" w:eastAsia="zh-CN"/>
        </w:rPr>
        <w:t>检测设备校准证书</w:t>
      </w:r>
    </w:p>
    <w:p w14:paraId="0FAA670E">
      <w:pPr>
        <w:pStyle w:val="2"/>
        <w:ind w:left="0" w:leftChars="0" w:firstLine="0" w:firstLineChars="0"/>
        <w:rPr>
          <w:color w:val="auto"/>
        </w:rPr>
      </w:pPr>
      <w:r>
        <w:rPr>
          <w:color w:val="auto"/>
        </w:rPr>
        <w:drawing>
          <wp:inline distT="0" distB="0" distL="114300" distR="114300">
            <wp:extent cx="5876290" cy="8072755"/>
            <wp:effectExtent l="0" t="0" r="10160" b="4445"/>
            <wp:docPr id="6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1"/>
                    <pic:cNvPicPr>
                      <a:picLocks noChangeAspect="1"/>
                    </pic:cNvPicPr>
                  </pic:nvPicPr>
                  <pic:blipFill>
                    <a:blip r:embed="rId115"/>
                    <a:stretch>
                      <a:fillRect/>
                    </a:stretch>
                  </pic:blipFill>
                  <pic:spPr>
                    <a:xfrm>
                      <a:off x="0" y="0"/>
                      <a:ext cx="5876290" cy="8072755"/>
                    </a:xfrm>
                    <a:prstGeom prst="rect">
                      <a:avLst/>
                    </a:prstGeom>
                    <a:noFill/>
                    <a:ln>
                      <a:noFill/>
                    </a:ln>
                  </pic:spPr>
                </pic:pic>
              </a:graphicData>
            </a:graphic>
          </wp:inline>
        </w:drawing>
      </w:r>
      <w:r>
        <w:rPr>
          <w:color w:val="auto"/>
        </w:rPr>
        <w:drawing>
          <wp:inline distT="0" distB="0" distL="114300" distR="114300">
            <wp:extent cx="5822950" cy="8070215"/>
            <wp:effectExtent l="0" t="0" r="6350" b="6985"/>
            <wp:docPr id="1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5"/>
                    <pic:cNvPicPr>
                      <a:picLocks noChangeAspect="1"/>
                    </pic:cNvPicPr>
                  </pic:nvPicPr>
                  <pic:blipFill>
                    <a:blip r:embed="rId116"/>
                    <a:stretch>
                      <a:fillRect/>
                    </a:stretch>
                  </pic:blipFill>
                  <pic:spPr>
                    <a:xfrm>
                      <a:off x="0" y="0"/>
                      <a:ext cx="5822950" cy="8070215"/>
                    </a:xfrm>
                    <a:prstGeom prst="rect">
                      <a:avLst/>
                    </a:prstGeom>
                    <a:noFill/>
                    <a:ln>
                      <a:noFill/>
                    </a:ln>
                  </pic:spPr>
                </pic:pic>
              </a:graphicData>
            </a:graphic>
          </wp:inline>
        </w:drawing>
      </w:r>
    </w:p>
    <w:p w14:paraId="01638BB6">
      <w:pPr>
        <w:rPr>
          <w:color w:val="auto"/>
        </w:rPr>
      </w:pPr>
      <w:r>
        <w:rPr>
          <w:color w:val="auto"/>
        </w:rPr>
        <w:drawing>
          <wp:inline distT="0" distB="0" distL="114300" distR="114300">
            <wp:extent cx="5884545" cy="8298815"/>
            <wp:effectExtent l="0" t="0" r="1905" b="6985"/>
            <wp:docPr id="9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3"/>
                    <pic:cNvPicPr>
                      <a:picLocks noChangeAspect="1"/>
                    </pic:cNvPicPr>
                  </pic:nvPicPr>
                  <pic:blipFill>
                    <a:blip r:embed="rId117"/>
                    <a:stretch>
                      <a:fillRect/>
                    </a:stretch>
                  </pic:blipFill>
                  <pic:spPr>
                    <a:xfrm>
                      <a:off x="0" y="0"/>
                      <a:ext cx="5884545" cy="8298815"/>
                    </a:xfrm>
                    <a:prstGeom prst="rect">
                      <a:avLst/>
                    </a:prstGeom>
                    <a:noFill/>
                    <a:ln>
                      <a:noFill/>
                    </a:ln>
                  </pic:spPr>
                </pic:pic>
              </a:graphicData>
            </a:graphic>
          </wp:inline>
        </w:drawing>
      </w:r>
    </w:p>
    <w:p w14:paraId="4CADC164">
      <w:pPr>
        <w:pStyle w:val="2"/>
        <w:ind w:left="0" w:leftChars="0" w:firstLine="0" w:firstLineChars="0"/>
        <w:rPr>
          <w:color w:val="auto"/>
        </w:rPr>
      </w:pPr>
      <w:r>
        <w:rPr>
          <w:color w:val="auto"/>
        </w:rPr>
        <w:drawing>
          <wp:inline distT="0" distB="0" distL="114300" distR="114300">
            <wp:extent cx="5856605" cy="8533765"/>
            <wp:effectExtent l="0" t="0" r="10795" b="635"/>
            <wp:docPr id="10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4"/>
                    <pic:cNvPicPr>
                      <a:picLocks noChangeAspect="1"/>
                    </pic:cNvPicPr>
                  </pic:nvPicPr>
                  <pic:blipFill>
                    <a:blip r:embed="rId118"/>
                    <a:stretch>
                      <a:fillRect/>
                    </a:stretch>
                  </pic:blipFill>
                  <pic:spPr>
                    <a:xfrm rot="10800000">
                      <a:off x="0" y="0"/>
                      <a:ext cx="5856605" cy="8533765"/>
                    </a:xfrm>
                    <a:prstGeom prst="rect">
                      <a:avLst/>
                    </a:prstGeom>
                    <a:noFill/>
                    <a:ln>
                      <a:noFill/>
                    </a:ln>
                  </pic:spPr>
                </pic:pic>
              </a:graphicData>
            </a:graphic>
          </wp:inline>
        </w:drawing>
      </w:r>
    </w:p>
    <w:p w14:paraId="06E537DE">
      <w:pPr>
        <w:rPr>
          <w:color w:val="auto"/>
        </w:rPr>
      </w:pPr>
    </w:p>
    <w:p w14:paraId="4DDB2E2D">
      <w:pPr>
        <w:pStyle w:val="2"/>
        <w:rPr>
          <w:color w:val="auto"/>
        </w:rPr>
      </w:pPr>
    </w:p>
    <w:p w14:paraId="2BE31A4C">
      <w:pPr>
        <w:rPr>
          <w:color w:val="auto"/>
        </w:rPr>
      </w:pPr>
    </w:p>
    <w:p w14:paraId="728F0B7C">
      <w:pPr>
        <w:pStyle w:val="2"/>
        <w:ind w:left="0" w:leftChars="0" w:firstLine="0" w:firstLineChars="0"/>
        <w:rPr>
          <w:color w:val="auto"/>
        </w:rPr>
        <w:sectPr>
          <w:pgSz w:w="11906" w:h="16838"/>
          <w:pgMar w:top="1361" w:right="1531" w:bottom="1361" w:left="1701" w:header="1135"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rPr>
        <w:drawing>
          <wp:inline distT="0" distB="0" distL="114300" distR="114300">
            <wp:extent cx="5795010" cy="8335645"/>
            <wp:effectExtent l="0" t="0" r="15240" b="8255"/>
            <wp:docPr id="1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6"/>
                    <pic:cNvPicPr>
                      <a:picLocks noChangeAspect="1"/>
                    </pic:cNvPicPr>
                  </pic:nvPicPr>
                  <pic:blipFill>
                    <a:blip r:embed="rId119"/>
                    <a:stretch>
                      <a:fillRect/>
                    </a:stretch>
                  </pic:blipFill>
                  <pic:spPr>
                    <a:xfrm>
                      <a:off x="0" y="0"/>
                      <a:ext cx="5795010" cy="8335645"/>
                    </a:xfrm>
                    <a:prstGeom prst="rect">
                      <a:avLst/>
                    </a:prstGeom>
                    <a:noFill/>
                    <a:ln>
                      <a:noFill/>
                    </a:ln>
                  </pic:spPr>
                </pic:pic>
              </a:graphicData>
            </a:graphic>
          </wp:inline>
        </w:drawing>
      </w:r>
    </w:p>
    <w:p w14:paraId="35816BB1">
      <w:pPr>
        <w:jc w:val="left"/>
        <w:outlineLvl w:val="0"/>
        <w:rPr>
          <w:rFonts w:hint="default"/>
          <w:b/>
          <w:color w:val="auto"/>
          <w:sz w:val="24"/>
          <w:szCs w:val="24"/>
          <w:lang w:val="en-US" w:eastAsia="zh-CN"/>
        </w:rPr>
      </w:pPr>
      <w:r>
        <w:rPr>
          <w:rFonts w:hint="eastAsia"/>
          <w:b/>
          <w:color w:val="auto"/>
          <w:sz w:val="24"/>
          <w:szCs w:val="24"/>
          <w:lang w:val="en-US" w:eastAsia="zh-CN"/>
        </w:rPr>
        <w:t>附件14：专家评审意见及修改清单</w:t>
      </w:r>
    </w:p>
    <w:p w14:paraId="252A1194">
      <w:pPr>
        <w:pStyle w:val="2"/>
        <w:ind w:left="0" w:leftChars="0" w:firstLine="0" w:firstLineChars="0"/>
        <w:rPr>
          <w:color w:val="auto"/>
        </w:rPr>
      </w:pPr>
      <w:r>
        <w:rPr>
          <w:color w:val="auto"/>
        </w:rPr>
        <w:drawing>
          <wp:inline distT="0" distB="0" distL="114300" distR="114300">
            <wp:extent cx="5997575" cy="7871460"/>
            <wp:effectExtent l="0" t="0" r="3175" b="15240"/>
            <wp:docPr id="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
                    <pic:cNvPicPr>
                      <a:picLocks noChangeAspect="1"/>
                    </pic:cNvPicPr>
                  </pic:nvPicPr>
                  <pic:blipFill>
                    <a:blip r:embed="rId120"/>
                    <a:srcRect l="1985" r="2400"/>
                    <a:stretch>
                      <a:fillRect/>
                    </a:stretch>
                  </pic:blipFill>
                  <pic:spPr>
                    <a:xfrm>
                      <a:off x="0" y="0"/>
                      <a:ext cx="5997575" cy="7871460"/>
                    </a:xfrm>
                    <a:prstGeom prst="rect">
                      <a:avLst/>
                    </a:prstGeom>
                    <a:noFill/>
                    <a:ln>
                      <a:noFill/>
                    </a:ln>
                  </pic:spPr>
                </pic:pic>
              </a:graphicData>
            </a:graphic>
          </wp:inline>
        </w:drawing>
      </w:r>
    </w:p>
    <w:p w14:paraId="0F02636F">
      <w:pPr>
        <w:rPr>
          <w:color w:val="auto"/>
        </w:rPr>
      </w:pPr>
    </w:p>
    <w:p w14:paraId="6448E366">
      <w:pPr>
        <w:pStyle w:val="2"/>
        <w:rPr>
          <w:color w:val="auto"/>
        </w:rPr>
      </w:pPr>
    </w:p>
    <w:p w14:paraId="1192FEC4">
      <w:pPr>
        <w:rPr>
          <w:color w:val="auto"/>
        </w:rPr>
      </w:pPr>
    </w:p>
    <w:p w14:paraId="6C94417C">
      <w:pPr>
        <w:pStyle w:val="2"/>
        <w:ind w:left="0" w:leftChars="0" w:firstLine="0" w:firstLineChars="0"/>
      </w:pPr>
      <w:r>
        <w:drawing>
          <wp:inline distT="0" distB="0" distL="114300" distR="114300">
            <wp:extent cx="5892800" cy="8482965"/>
            <wp:effectExtent l="0" t="0" r="12700" b="13335"/>
            <wp:docPr id="2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2"/>
                    <pic:cNvPicPr>
                      <a:picLocks noChangeAspect="1"/>
                    </pic:cNvPicPr>
                  </pic:nvPicPr>
                  <pic:blipFill>
                    <a:blip r:embed="rId121"/>
                    <a:stretch>
                      <a:fillRect/>
                    </a:stretch>
                  </pic:blipFill>
                  <pic:spPr>
                    <a:xfrm>
                      <a:off x="0" y="0"/>
                      <a:ext cx="5892800" cy="8482965"/>
                    </a:xfrm>
                    <a:prstGeom prst="rect">
                      <a:avLst/>
                    </a:prstGeom>
                    <a:noFill/>
                    <a:ln>
                      <a:noFill/>
                    </a:ln>
                  </pic:spPr>
                </pic:pic>
              </a:graphicData>
            </a:graphic>
          </wp:inline>
        </w:drawing>
      </w:r>
    </w:p>
    <w:p w14:paraId="79774030"/>
    <w:p w14:paraId="6BA6E3FC">
      <w:pPr>
        <w:pStyle w:val="2"/>
        <w:ind w:left="0" w:leftChars="0" w:firstLine="0" w:firstLineChars="0"/>
      </w:pPr>
      <w:r>
        <w:drawing>
          <wp:inline distT="0" distB="0" distL="114300" distR="114300">
            <wp:extent cx="8544560" cy="5789930"/>
            <wp:effectExtent l="0" t="0" r="1270" b="8890"/>
            <wp:docPr id="27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3"/>
                    <pic:cNvPicPr>
                      <a:picLocks noChangeAspect="1"/>
                    </pic:cNvPicPr>
                  </pic:nvPicPr>
                  <pic:blipFill>
                    <a:blip r:embed="rId122"/>
                    <a:stretch>
                      <a:fillRect/>
                    </a:stretch>
                  </pic:blipFill>
                  <pic:spPr>
                    <a:xfrm rot="16200000">
                      <a:off x="0" y="0"/>
                      <a:ext cx="8544560" cy="5789930"/>
                    </a:xfrm>
                    <a:prstGeom prst="rect">
                      <a:avLst/>
                    </a:prstGeom>
                    <a:noFill/>
                    <a:ln>
                      <a:noFill/>
                    </a:ln>
                  </pic:spPr>
                </pic:pic>
              </a:graphicData>
            </a:graphic>
          </wp:inline>
        </w:drawing>
      </w:r>
    </w:p>
    <w:p w14:paraId="79F712C9"/>
    <w:p w14:paraId="0C38DEA3">
      <w:pPr>
        <w:pStyle w:val="2"/>
        <w:ind w:left="0" w:leftChars="0" w:firstLine="0" w:firstLineChars="0"/>
      </w:pPr>
      <w:r>
        <w:drawing>
          <wp:inline distT="0" distB="0" distL="114300" distR="114300">
            <wp:extent cx="8816340" cy="5851525"/>
            <wp:effectExtent l="0" t="0" r="15875" b="3810"/>
            <wp:docPr id="27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4"/>
                    <pic:cNvPicPr>
                      <a:picLocks noChangeAspect="1"/>
                    </pic:cNvPicPr>
                  </pic:nvPicPr>
                  <pic:blipFill>
                    <a:blip r:embed="rId123"/>
                    <a:stretch>
                      <a:fillRect/>
                    </a:stretch>
                  </pic:blipFill>
                  <pic:spPr>
                    <a:xfrm rot="16200000">
                      <a:off x="0" y="0"/>
                      <a:ext cx="8816340" cy="5851525"/>
                    </a:xfrm>
                    <a:prstGeom prst="rect">
                      <a:avLst/>
                    </a:prstGeom>
                    <a:noFill/>
                    <a:ln>
                      <a:noFill/>
                    </a:ln>
                  </pic:spPr>
                </pic:pic>
              </a:graphicData>
            </a:graphic>
          </wp:inline>
        </w:drawing>
      </w:r>
    </w:p>
    <w:p w14:paraId="0AEB651E">
      <w:r>
        <w:drawing>
          <wp:inline distT="0" distB="0" distL="114300" distR="114300">
            <wp:extent cx="8777605" cy="5721985"/>
            <wp:effectExtent l="0" t="0" r="12065" b="4445"/>
            <wp:docPr id="27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5"/>
                    <pic:cNvPicPr>
                      <a:picLocks noChangeAspect="1"/>
                    </pic:cNvPicPr>
                  </pic:nvPicPr>
                  <pic:blipFill>
                    <a:blip r:embed="rId124"/>
                    <a:stretch>
                      <a:fillRect/>
                    </a:stretch>
                  </pic:blipFill>
                  <pic:spPr>
                    <a:xfrm rot="16200000">
                      <a:off x="0" y="0"/>
                      <a:ext cx="8777605" cy="5721985"/>
                    </a:xfrm>
                    <a:prstGeom prst="rect">
                      <a:avLst/>
                    </a:prstGeom>
                    <a:noFill/>
                    <a:ln>
                      <a:noFill/>
                    </a:ln>
                  </pic:spPr>
                </pic:pic>
              </a:graphicData>
            </a:graphic>
          </wp:inline>
        </w:drawing>
      </w:r>
    </w:p>
    <w:p w14:paraId="48CDFF18">
      <w:pPr>
        <w:pStyle w:val="2"/>
        <w:ind w:left="0" w:leftChars="0" w:firstLine="0" w:firstLineChars="0"/>
      </w:pPr>
      <w:r>
        <w:drawing>
          <wp:inline distT="0" distB="0" distL="114300" distR="114300">
            <wp:extent cx="8583295" cy="5875655"/>
            <wp:effectExtent l="0" t="0" r="10795" b="8255"/>
            <wp:docPr id="27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6"/>
                    <pic:cNvPicPr>
                      <a:picLocks noChangeAspect="1"/>
                    </pic:cNvPicPr>
                  </pic:nvPicPr>
                  <pic:blipFill>
                    <a:blip r:embed="rId125"/>
                    <a:stretch>
                      <a:fillRect/>
                    </a:stretch>
                  </pic:blipFill>
                  <pic:spPr>
                    <a:xfrm rot="16200000">
                      <a:off x="0" y="0"/>
                      <a:ext cx="8583295" cy="5875655"/>
                    </a:xfrm>
                    <a:prstGeom prst="rect">
                      <a:avLst/>
                    </a:prstGeom>
                    <a:noFill/>
                    <a:ln>
                      <a:noFill/>
                    </a:ln>
                  </pic:spPr>
                </pic:pic>
              </a:graphicData>
            </a:graphic>
          </wp:inline>
        </w:drawing>
      </w:r>
    </w:p>
    <w:p w14:paraId="5DDB1AE8"/>
    <w:p w14:paraId="5A0A2A64">
      <w:pPr>
        <w:pStyle w:val="2"/>
        <w:ind w:left="0" w:leftChars="0" w:firstLine="0" w:firstLineChars="0"/>
      </w:pPr>
      <w:r>
        <w:drawing>
          <wp:inline distT="0" distB="0" distL="114300" distR="114300">
            <wp:extent cx="8514715" cy="5719445"/>
            <wp:effectExtent l="0" t="0" r="14605" b="635"/>
            <wp:docPr id="27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
                    <pic:cNvPicPr>
                      <a:picLocks noChangeAspect="1"/>
                    </pic:cNvPicPr>
                  </pic:nvPicPr>
                  <pic:blipFill>
                    <a:blip r:embed="rId126"/>
                    <a:stretch>
                      <a:fillRect/>
                    </a:stretch>
                  </pic:blipFill>
                  <pic:spPr>
                    <a:xfrm rot="16200000">
                      <a:off x="0" y="0"/>
                      <a:ext cx="8514715" cy="5719445"/>
                    </a:xfrm>
                    <a:prstGeom prst="rect">
                      <a:avLst/>
                    </a:prstGeom>
                    <a:noFill/>
                    <a:ln>
                      <a:noFill/>
                    </a:ln>
                  </pic:spPr>
                </pic:pic>
              </a:graphicData>
            </a:graphic>
          </wp:inline>
        </w:drawing>
      </w:r>
    </w:p>
    <w:p w14:paraId="3CFDE789"/>
    <w:p w14:paraId="4EEA4157">
      <w:pPr>
        <w:pStyle w:val="2"/>
        <w:ind w:left="0" w:leftChars="0" w:firstLine="0" w:firstLineChars="0"/>
      </w:pPr>
      <w:r>
        <w:drawing>
          <wp:inline distT="0" distB="0" distL="114300" distR="114300">
            <wp:extent cx="8785225" cy="5659120"/>
            <wp:effectExtent l="0" t="0" r="17780" b="15875"/>
            <wp:docPr id="27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8"/>
                    <pic:cNvPicPr>
                      <a:picLocks noChangeAspect="1"/>
                    </pic:cNvPicPr>
                  </pic:nvPicPr>
                  <pic:blipFill>
                    <a:blip r:embed="rId127"/>
                    <a:stretch>
                      <a:fillRect/>
                    </a:stretch>
                  </pic:blipFill>
                  <pic:spPr>
                    <a:xfrm rot="16200000">
                      <a:off x="0" y="0"/>
                      <a:ext cx="8785225" cy="5659120"/>
                    </a:xfrm>
                    <a:prstGeom prst="rect">
                      <a:avLst/>
                    </a:prstGeom>
                    <a:noFill/>
                    <a:ln>
                      <a:noFill/>
                    </a:ln>
                  </pic:spPr>
                </pic:pic>
              </a:graphicData>
            </a:graphic>
          </wp:inline>
        </w:drawing>
      </w:r>
    </w:p>
    <w:p w14:paraId="01E1775A">
      <w:r>
        <w:drawing>
          <wp:inline distT="0" distB="0" distL="114300" distR="114300">
            <wp:extent cx="8621395" cy="5869940"/>
            <wp:effectExtent l="0" t="0" r="16510" b="8255"/>
            <wp:docPr id="27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9"/>
                    <pic:cNvPicPr>
                      <a:picLocks noChangeAspect="1"/>
                    </pic:cNvPicPr>
                  </pic:nvPicPr>
                  <pic:blipFill>
                    <a:blip r:embed="rId128"/>
                    <a:stretch>
                      <a:fillRect/>
                    </a:stretch>
                  </pic:blipFill>
                  <pic:spPr>
                    <a:xfrm rot="16200000">
                      <a:off x="0" y="0"/>
                      <a:ext cx="8621395" cy="5869940"/>
                    </a:xfrm>
                    <a:prstGeom prst="rect">
                      <a:avLst/>
                    </a:prstGeom>
                    <a:noFill/>
                    <a:ln>
                      <a:noFill/>
                    </a:ln>
                  </pic:spPr>
                </pic:pic>
              </a:graphicData>
            </a:graphic>
          </wp:inline>
        </w:drawing>
      </w:r>
    </w:p>
    <w:p w14:paraId="5F558C47">
      <w:pPr>
        <w:pStyle w:val="2"/>
      </w:pPr>
    </w:p>
    <w:p w14:paraId="6ED7BE73">
      <w:r>
        <w:drawing>
          <wp:inline distT="0" distB="0" distL="114300" distR="114300">
            <wp:extent cx="8930640" cy="5759450"/>
            <wp:effectExtent l="0" t="0" r="12700" b="3810"/>
            <wp:docPr id="27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30"/>
                    <pic:cNvPicPr>
                      <a:picLocks noChangeAspect="1"/>
                    </pic:cNvPicPr>
                  </pic:nvPicPr>
                  <pic:blipFill>
                    <a:blip r:embed="rId129"/>
                    <a:stretch>
                      <a:fillRect/>
                    </a:stretch>
                  </pic:blipFill>
                  <pic:spPr>
                    <a:xfrm rot="16200000">
                      <a:off x="0" y="0"/>
                      <a:ext cx="8930640" cy="5759450"/>
                    </a:xfrm>
                    <a:prstGeom prst="rect">
                      <a:avLst/>
                    </a:prstGeom>
                    <a:noFill/>
                    <a:ln>
                      <a:noFill/>
                    </a:ln>
                  </pic:spPr>
                </pic:pic>
              </a:graphicData>
            </a:graphic>
          </wp:inline>
        </w:drawing>
      </w:r>
    </w:p>
    <w:p w14:paraId="201B2563">
      <w:pPr>
        <w:pStyle w:val="2"/>
        <w:ind w:left="0" w:leftChars="0" w:firstLine="0" w:firstLineChars="0"/>
      </w:pPr>
      <w:r>
        <w:drawing>
          <wp:inline distT="0" distB="0" distL="114300" distR="114300">
            <wp:extent cx="8836660" cy="5876290"/>
            <wp:effectExtent l="0" t="0" r="10160" b="2540"/>
            <wp:docPr id="28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31"/>
                    <pic:cNvPicPr>
                      <a:picLocks noChangeAspect="1"/>
                    </pic:cNvPicPr>
                  </pic:nvPicPr>
                  <pic:blipFill>
                    <a:blip r:embed="rId130"/>
                    <a:stretch>
                      <a:fillRect/>
                    </a:stretch>
                  </pic:blipFill>
                  <pic:spPr>
                    <a:xfrm rot="16200000">
                      <a:off x="0" y="0"/>
                      <a:ext cx="8836660" cy="5876290"/>
                    </a:xfrm>
                    <a:prstGeom prst="rect">
                      <a:avLst/>
                    </a:prstGeom>
                    <a:noFill/>
                    <a:ln>
                      <a:noFill/>
                    </a:ln>
                  </pic:spPr>
                </pic:pic>
              </a:graphicData>
            </a:graphic>
          </wp:inline>
        </w:drawing>
      </w:r>
    </w:p>
    <w:p w14:paraId="30F58B5F">
      <w:r>
        <w:drawing>
          <wp:inline distT="0" distB="0" distL="114300" distR="114300">
            <wp:extent cx="8686165" cy="5832475"/>
            <wp:effectExtent l="0" t="0" r="15875" b="635"/>
            <wp:docPr id="28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32"/>
                    <pic:cNvPicPr>
                      <a:picLocks noChangeAspect="1"/>
                    </pic:cNvPicPr>
                  </pic:nvPicPr>
                  <pic:blipFill>
                    <a:blip r:embed="rId131"/>
                    <a:stretch>
                      <a:fillRect/>
                    </a:stretch>
                  </pic:blipFill>
                  <pic:spPr>
                    <a:xfrm rot="16200000">
                      <a:off x="0" y="0"/>
                      <a:ext cx="8686165" cy="5832475"/>
                    </a:xfrm>
                    <a:prstGeom prst="rect">
                      <a:avLst/>
                    </a:prstGeom>
                    <a:noFill/>
                    <a:ln>
                      <a:noFill/>
                    </a:ln>
                  </pic:spPr>
                </pic:pic>
              </a:graphicData>
            </a:graphic>
          </wp:inline>
        </w:drawing>
      </w:r>
    </w:p>
    <w:p w14:paraId="420097FD">
      <w:pPr>
        <w:pStyle w:val="2"/>
      </w:pPr>
    </w:p>
    <w:p w14:paraId="00275F3E">
      <w:r>
        <w:drawing>
          <wp:inline distT="0" distB="0" distL="114300" distR="114300">
            <wp:extent cx="8809990" cy="5852795"/>
            <wp:effectExtent l="0" t="0" r="14605" b="10160"/>
            <wp:docPr id="2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33"/>
                    <pic:cNvPicPr>
                      <a:picLocks noChangeAspect="1"/>
                    </pic:cNvPicPr>
                  </pic:nvPicPr>
                  <pic:blipFill>
                    <a:blip r:embed="rId132"/>
                    <a:stretch>
                      <a:fillRect/>
                    </a:stretch>
                  </pic:blipFill>
                  <pic:spPr>
                    <a:xfrm rot="16200000">
                      <a:off x="0" y="0"/>
                      <a:ext cx="8809990" cy="5852795"/>
                    </a:xfrm>
                    <a:prstGeom prst="rect">
                      <a:avLst/>
                    </a:prstGeom>
                    <a:noFill/>
                    <a:ln>
                      <a:noFill/>
                    </a:ln>
                  </pic:spPr>
                </pic:pic>
              </a:graphicData>
            </a:graphic>
          </wp:inline>
        </w:drawing>
      </w:r>
    </w:p>
    <w:p w14:paraId="1A1EE88D">
      <w:pPr>
        <w:pStyle w:val="2"/>
        <w:ind w:left="0" w:leftChars="0" w:firstLine="0" w:firstLineChars="0"/>
      </w:pPr>
      <w:r>
        <w:drawing>
          <wp:inline distT="0" distB="0" distL="114300" distR="114300">
            <wp:extent cx="8930640" cy="5885180"/>
            <wp:effectExtent l="0" t="0" r="1270" b="3810"/>
            <wp:docPr id="28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34"/>
                    <pic:cNvPicPr>
                      <a:picLocks noChangeAspect="1"/>
                    </pic:cNvPicPr>
                  </pic:nvPicPr>
                  <pic:blipFill>
                    <a:blip r:embed="rId133"/>
                    <a:stretch>
                      <a:fillRect/>
                    </a:stretch>
                  </pic:blipFill>
                  <pic:spPr>
                    <a:xfrm rot="16200000">
                      <a:off x="0" y="0"/>
                      <a:ext cx="8930640" cy="5885180"/>
                    </a:xfrm>
                    <a:prstGeom prst="rect">
                      <a:avLst/>
                    </a:prstGeom>
                    <a:noFill/>
                    <a:ln>
                      <a:noFill/>
                    </a:ln>
                  </pic:spPr>
                </pic:pic>
              </a:graphicData>
            </a:graphic>
          </wp:inline>
        </w:drawing>
      </w:r>
    </w:p>
    <w:p w14:paraId="0975F7D4">
      <w:r>
        <w:drawing>
          <wp:inline distT="0" distB="0" distL="114300" distR="114300">
            <wp:extent cx="8864600" cy="5736590"/>
            <wp:effectExtent l="0" t="0" r="16510" b="12700"/>
            <wp:docPr id="28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35"/>
                    <pic:cNvPicPr>
                      <a:picLocks noChangeAspect="1"/>
                    </pic:cNvPicPr>
                  </pic:nvPicPr>
                  <pic:blipFill>
                    <a:blip r:embed="rId134"/>
                    <a:stretch>
                      <a:fillRect/>
                    </a:stretch>
                  </pic:blipFill>
                  <pic:spPr>
                    <a:xfrm rot="16200000">
                      <a:off x="0" y="0"/>
                      <a:ext cx="8864600" cy="5736590"/>
                    </a:xfrm>
                    <a:prstGeom prst="rect">
                      <a:avLst/>
                    </a:prstGeom>
                    <a:noFill/>
                    <a:ln>
                      <a:noFill/>
                    </a:ln>
                  </pic:spPr>
                </pic:pic>
              </a:graphicData>
            </a:graphic>
          </wp:inline>
        </w:drawing>
      </w:r>
    </w:p>
    <w:p w14:paraId="150AB35C">
      <w:pPr>
        <w:pStyle w:val="2"/>
        <w:ind w:left="0" w:leftChars="0" w:firstLine="0" w:firstLineChars="0"/>
      </w:pPr>
      <w:r>
        <w:drawing>
          <wp:inline distT="0" distB="0" distL="114300" distR="114300">
            <wp:extent cx="8778875" cy="5843905"/>
            <wp:effectExtent l="0" t="0" r="4445" b="3175"/>
            <wp:docPr id="28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36"/>
                    <pic:cNvPicPr>
                      <a:picLocks noChangeAspect="1"/>
                    </pic:cNvPicPr>
                  </pic:nvPicPr>
                  <pic:blipFill>
                    <a:blip r:embed="rId135"/>
                    <a:stretch>
                      <a:fillRect/>
                    </a:stretch>
                  </pic:blipFill>
                  <pic:spPr>
                    <a:xfrm rot="16200000">
                      <a:off x="0" y="0"/>
                      <a:ext cx="8778875" cy="5843905"/>
                    </a:xfrm>
                    <a:prstGeom prst="rect">
                      <a:avLst/>
                    </a:prstGeom>
                    <a:noFill/>
                    <a:ln>
                      <a:noFill/>
                    </a:ln>
                  </pic:spPr>
                </pic:pic>
              </a:graphicData>
            </a:graphic>
          </wp:inline>
        </w:drawing>
      </w:r>
    </w:p>
    <w:p w14:paraId="2768A693">
      <w:r>
        <w:drawing>
          <wp:inline distT="0" distB="0" distL="114300" distR="114300">
            <wp:extent cx="8527415" cy="5741035"/>
            <wp:effectExtent l="0" t="0" r="12065" b="6985"/>
            <wp:docPr id="28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37"/>
                    <pic:cNvPicPr>
                      <a:picLocks noChangeAspect="1"/>
                    </pic:cNvPicPr>
                  </pic:nvPicPr>
                  <pic:blipFill>
                    <a:blip r:embed="rId136"/>
                    <a:stretch>
                      <a:fillRect/>
                    </a:stretch>
                  </pic:blipFill>
                  <pic:spPr>
                    <a:xfrm rot="16200000">
                      <a:off x="0" y="0"/>
                      <a:ext cx="8527415" cy="5741035"/>
                    </a:xfrm>
                    <a:prstGeom prst="rect">
                      <a:avLst/>
                    </a:prstGeom>
                    <a:noFill/>
                    <a:ln>
                      <a:noFill/>
                    </a:ln>
                  </pic:spPr>
                </pic:pic>
              </a:graphicData>
            </a:graphic>
          </wp:inline>
        </w:drawing>
      </w:r>
    </w:p>
    <w:p w14:paraId="72DA8EB5">
      <w:pPr>
        <w:pStyle w:val="2"/>
      </w:pPr>
    </w:p>
    <w:p w14:paraId="7AB38F8A">
      <w:r>
        <w:drawing>
          <wp:inline distT="0" distB="0" distL="114300" distR="114300">
            <wp:extent cx="8621395" cy="5784850"/>
            <wp:effectExtent l="0" t="0" r="6350" b="8255"/>
            <wp:docPr id="28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38"/>
                    <pic:cNvPicPr>
                      <a:picLocks noChangeAspect="1"/>
                    </pic:cNvPicPr>
                  </pic:nvPicPr>
                  <pic:blipFill>
                    <a:blip r:embed="rId137"/>
                    <a:stretch>
                      <a:fillRect/>
                    </a:stretch>
                  </pic:blipFill>
                  <pic:spPr>
                    <a:xfrm rot="16200000">
                      <a:off x="0" y="0"/>
                      <a:ext cx="8621395" cy="5784850"/>
                    </a:xfrm>
                    <a:prstGeom prst="rect">
                      <a:avLst/>
                    </a:prstGeom>
                    <a:noFill/>
                    <a:ln>
                      <a:noFill/>
                    </a:ln>
                  </pic:spPr>
                </pic:pic>
              </a:graphicData>
            </a:graphic>
          </wp:inline>
        </w:drawing>
      </w:r>
    </w:p>
    <w:p w14:paraId="7708B355">
      <w:pPr>
        <w:pStyle w:val="2"/>
      </w:pPr>
    </w:p>
    <w:p w14:paraId="6775DB50">
      <w:r>
        <w:drawing>
          <wp:inline distT="0" distB="0" distL="114300" distR="114300">
            <wp:extent cx="8623935" cy="5858510"/>
            <wp:effectExtent l="0" t="0" r="8890" b="5715"/>
            <wp:docPr id="28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40"/>
                    <pic:cNvPicPr>
                      <a:picLocks noChangeAspect="1"/>
                    </pic:cNvPicPr>
                  </pic:nvPicPr>
                  <pic:blipFill>
                    <a:blip r:embed="rId138"/>
                    <a:stretch>
                      <a:fillRect/>
                    </a:stretch>
                  </pic:blipFill>
                  <pic:spPr>
                    <a:xfrm rot="16200000">
                      <a:off x="0" y="0"/>
                      <a:ext cx="8623935" cy="5858510"/>
                    </a:xfrm>
                    <a:prstGeom prst="rect">
                      <a:avLst/>
                    </a:prstGeom>
                    <a:noFill/>
                    <a:ln>
                      <a:noFill/>
                    </a:ln>
                  </pic:spPr>
                </pic:pic>
              </a:graphicData>
            </a:graphic>
          </wp:inline>
        </w:drawing>
      </w:r>
    </w:p>
    <w:p w14:paraId="238EC8F1">
      <w:pPr>
        <w:pStyle w:val="2"/>
      </w:pPr>
    </w:p>
    <w:p w14:paraId="7C1F53FA">
      <w:r>
        <w:drawing>
          <wp:inline distT="0" distB="0" distL="114300" distR="114300">
            <wp:extent cx="8769985" cy="5899785"/>
            <wp:effectExtent l="0" t="0" r="5715" b="12065"/>
            <wp:docPr id="29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41"/>
                    <pic:cNvPicPr>
                      <a:picLocks noChangeAspect="1"/>
                    </pic:cNvPicPr>
                  </pic:nvPicPr>
                  <pic:blipFill>
                    <a:blip r:embed="rId139"/>
                    <a:stretch>
                      <a:fillRect/>
                    </a:stretch>
                  </pic:blipFill>
                  <pic:spPr>
                    <a:xfrm rot="16200000">
                      <a:off x="0" y="0"/>
                      <a:ext cx="8769985" cy="5899785"/>
                    </a:xfrm>
                    <a:prstGeom prst="rect">
                      <a:avLst/>
                    </a:prstGeom>
                    <a:noFill/>
                    <a:ln>
                      <a:noFill/>
                    </a:ln>
                  </pic:spPr>
                </pic:pic>
              </a:graphicData>
            </a:graphic>
          </wp:inline>
        </w:drawing>
      </w:r>
    </w:p>
    <w:p w14:paraId="5A2083FA">
      <w:pPr>
        <w:pStyle w:val="2"/>
        <w:ind w:left="0" w:leftChars="0" w:firstLine="0" w:firstLineChars="0"/>
        <w:rPr>
          <w:b/>
          <w:bCs/>
        </w:rPr>
      </w:pPr>
      <w:r>
        <w:rPr>
          <w:b/>
          <w:bCs/>
        </w:rPr>
        <w:drawing>
          <wp:inline distT="0" distB="0" distL="114300" distR="114300">
            <wp:extent cx="8811895" cy="5954395"/>
            <wp:effectExtent l="0" t="0" r="8255" b="8255"/>
            <wp:docPr id="29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42"/>
                    <pic:cNvPicPr>
                      <a:picLocks noChangeAspect="1"/>
                    </pic:cNvPicPr>
                  </pic:nvPicPr>
                  <pic:blipFill>
                    <a:blip r:embed="rId140"/>
                    <a:stretch>
                      <a:fillRect/>
                    </a:stretch>
                  </pic:blipFill>
                  <pic:spPr>
                    <a:xfrm rot="16200000">
                      <a:off x="0" y="0"/>
                      <a:ext cx="8811895" cy="5954395"/>
                    </a:xfrm>
                    <a:prstGeom prst="rect">
                      <a:avLst/>
                    </a:prstGeom>
                    <a:noFill/>
                    <a:ln>
                      <a:noFill/>
                    </a:ln>
                  </pic:spPr>
                </pic:pic>
              </a:graphicData>
            </a:graphic>
          </wp:inline>
        </w:drawing>
      </w:r>
    </w:p>
    <w:p w14:paraId="4CF4823F">
      <w:r>
        <w:drawing>
          <wp:inline distT="0" distB="0" distL="114300" distR="114300">
            <wp:extent cx="8778875" cy="5810885"/>
            <wp:effectExtent l="0" t="0" r="18415" b="3175"/>
            <wp:docPr id="29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43"/>
                    <pic:cNvPicPr>
                      <a:picLocks noChangeAspect="1"/>
                    </pic:cNvPicPr>
                  </pic:nvPicPr>
                  <pic:blipFill>
                    <a:blip r:embed="rId141"/>
                    <a:stretch>
                      <a:fillRect/>
                    </a:stretch>
                  </pic:blipFill>
                  <pic:spPr>
                    <a:xfrm rot="16200000">
                      <a:off x="0" y="0"/>
                      <a:ext cx="8778875" cy="5810885"/>
                    </a:xfrm>
                    <a:prstGeom prst="rect">
                      <a:avLst/>
                    </a:prstGeom>
                    <a:noFill/>
                    <a:ln>
                      <a:noFill/>
                    </a:ln>
                  </pic:spPr>
                </pic:pic>
              </a:graphicData>
            </a:graphic>
          </wp:inline>
        </w:drawing>
      </w:r>
    </w:p>
    <w:p w14:paraId="12069124">
      <w:pPr>
        <w:pStyle w:val="2"/>
        <w:ind w:left="0" w:leftChars="0" w:firstLine="0" w:firstLineChars="0"/>
      </w:pPr>
      <w:r>
        <w:drawing>
          <wp:inline distT="0" distB="0" distL="114300" distR="114300">
            <wp:extent cx="8886825" cy="5901055"/>
            <wp:effectExtent l="0" t="0" r="4445" b="9525"/>
            <wp:docPr id="29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44"/>
                    <pic:cNvPicPr>
                      <a:picLocks noChangeAspect="1"/>
                    </pic:cNvPicPr>
                  </pic:nvPicPr>
                  <pic:blipFill>
                    <a:blip r:embed="rId142"/>
                    <a:stretch>
                      <a:fillRect/>
                    </a:stretch>
                  </pic:blipFill>
                  <pic:spPr>
                    <a:xfrm rot="16200000">
                      <a:off x="0" y="0"/>
                      <a:ext cx="8886825" cy="5901055"/>
                    </a:xfrm>
                    <a:prstGeom prst="rect">
                      <a:avLst/>
                    </a:prstGeom>
                    <a:noFill/>
                    <a:ln>
                      <a:noFill/>
                    </a:ln>
                  </pic:spPr>
                </pic:pic>
              </a:graphicData>
            </a:graphic>
          </wp:inline>
        </w:drawing>
      </w:r>
    </w:p>
    <w:p w14:paraId="2B935778">
      <w:r>
        <w:drawing>
          <wp:inline distT="0" distB="0" distL="114300" distR="114300">
            <wp:extent cx="8892540" cy="5838825"/>
            <wp:effectExtent l="0" t="0" r="9525" b="3810"/>
            <wp:docPr id="29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45"/>
                    <pic:cNvPicPr>
                      <a:picLocks noChangeAspect="1"/>
                    </pic:cNvPicPr>
                  </pic:nvPicPr>
                  <pic:blipFill>
                    <a:blip r:embed="rId143"/>
                    <a:stretch>
                      <a:fillRect/>
                    </a:stretch>
                  </pic:blipFill>
                  <pic:spPr>
                    <a:xfrm rot="16200000">
                      <a:off x="0" y="0"/>
                      <a:ext cx="8892540" cy="5838825"/>
                    </a:xfrm>
                    <a:prstGeom prst="rect">
                      <a:avLst/>
                    </a:prstGeom>
                    <a:noFill/>
                    <a:ln>
                      <a:noFill/>
                    </a:ln>
                  </pic:spPr>
                </pic:pic>
              </a:graphicData>
            </a:graphic>
          </wp:inline>
        </w:drawing>
      </w:r>
    </w:p>
    <w:p w14:paraId="0FCDBE05">
      <w:pPr>
        <w:pStyle w:val="2"/>
        <w:ind w:left="0" w:leftChars="0" w:firstLine="0" w:firstLineChars="0"/>
      </w:pPr>
      <w:r>
        <w:drawing>
          <wp:inline distT="0" distB="0" distL="114300" distR="114300">
            <wp:extent cx="8834755" cy="5925185"/>
            <wp:effectExtent l="0" t="0" r="18415" b="4445"/>
            <wp:docPr id="29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46"/>
                    <pic:cNvPicPr>
                      <a:picLocks noChangeAspect="1"/>
                    </pic:cNvPicPr>
                  </pic:nvPicPr>
                  <pic:blipFill>
                    <a:blip r:embed="rId144"/>
                    <a:stretch>
                      <a:fillRect/>
                    </a:stretch>
                  </pic:blipFill>
                  <pic:spPr>
                    <a:xfrm rot="16200000">
                      <a:off x="0" y="0"/>
                      <a:ext cx="8834755" cy="5925185"/>
                    </a:xfrm>
                    <a:prstGeom prst="rect">
                      <a:avLst/>
                    </a:prstGeom>
                    <a:noFill/>
                    <a:ln>
                      <a:noFill/>
                    </a:ln>
                  </pic:spPr>
                </pic:pic>
              </a:graphicData>
            </a:graphic>
          </wp:inline>
        </w:drawing>
      </w:r>
    </w:p>
    <w:p w14:paraId="2189D420">
      <w:r>
        <w:drawing>
          <wp:inline distT="0" distB="0" distL="114300" distR="114300">
            <wp:extent cx="8784590" cy="5939790"/>
            <wp:effectExtent l="0" t="0" r="3810" b="16510"/>
            <wp:docPr id="29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47"/>
                    <pic:cNvPicPr>
                      <a:picLocks noChangeAspect="1"/>
                    </pic:cNvPicPr>
                  </pic:nvPicPr>
                  <pic:blipFill>
                    <a:blip r:embed="rId145"/>
                    <a:stretch>
                      <a:fillRect/>
                    </a:stretch>
                  </pic:blipFill>
                  <pic:spPr>
                    <a:xfrm rot="16200000">
                      <a:off x="0" y="0"/>
                      <a:ext cx="8784590" cy="5939790"/>
                    </a:xfrm>
                    <a:prstGeom prst="rect">
                      <a:avLst/>
                    </a:prstGeom>
                    <a:noFill/>
                    <a:ln>
                      <a:noFill/>
                    </a:ln>
                  </pic:spPr>
                </pic:pic>
              </a:graphicData>
            </a:graphic>
          </wp:inline>
        </w:drawing>
      </w:r>
    </w:p>
    <w:p w14:paraId="746677E1">
      <w:pPr>
        <w:pStyle w:val="2"/>
        <w:ind w:left="0" w:leftChars="0" w:firstLine="0" w:firstLineChars="0"/>
      </w:pPr>
      <w:r>
        <w:drawing>
          <wp:inline distT="0" distB="0" distL="114300" distR="114300">
            <wp:extent cx="8860155" cy="5808345"/>
            <wp:effectExtent l="0" t="0" r="1905" b="17145"/>
            <wp:docPr id="29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49"/>
                    <pic:cNvPicPr>
                      <a:picLocks noChangeAspect="1"/>
                    </pic:cNvPicPr>
                  </pic:nvPicPr>
                  <pic:blipFill>
                    <a:blip r:embed="rId146"/>
                    <a:stretch>
                      <a:fillRect/>
                    </a:stretch>
                  </pic:blipFill>
                  <pic:spPr>
                    <a:xfrm rot="16200000">
                      <a:off x="0" y="0"/>
                      <a:ext cx="8860155" cy="5808345"/>
                    </a:xfrm>
                    <a:prstGeom prst="rect">
                      <a:avLst/>
                    </a:prstGeom>
                    <a:noFill/>
                    <a:ln>
                      <a:noFill/>
                    </a:ln>
                  </pic:spPr>
                </pic:pic>
              </a:graphicData>
            </a:graphic>
          </wp:inline>
        </w:drawing>
      </w:r>
    </w:p>
    <w:p w14:paraId="2D679E03">
      <w:pPr>
        <w:rPr>
          <w:rFonts w:hint="default"/>
          <w:lang w:val="en-US" w:eastAsia="zh-CN"/>
        </w:rPr>
      </w:pPr>
      <w:r>
        <w:drawing>
          <wp:inline distT="0" distB="0" distL="114300" distR="114300">
            <wp:extent cx="8326755" cy="6062980"/>
            <wp:effectExtent l="0" t="0" r="13970" b="17145"/>
            <wp:docPr id="29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50"/>
                    <pic:cNvPicPr>
                      <a:picLocks noChangeAspect="1"/>
                    </pic:cNvPicPr>
                  </pic:nvPicPr>
                  <pic:blipFill>
                    <a:blip r:embed="rId147"/>
                    <a:stretch>
                      <a:fillRect/>
                    </a:stretch>
                  </pic:blipFill>
                  <pic:spPr>
                    <a:xfrm rot="16200000">
                      <a:off x="0" y="0"/>
                      <a:ext cx="8326755" cy="6062980"/>
                    </a:xfrm>
                    <a:prstGeom prst="rect">
                      <a:avLst/>
                    </a:prstGeom>
                    <a:noFill/>
                    <a:ln>
                      <a:noFill/>
                    </a:ln>
                  </pic:spPr>
                </pic:pic>
              </a:graphicData>
            </a:graphic>
          </wp:inline>
        </w:drawing>
      </w:r>
    </w:p>
    <w:sectPr>
      <w:pgSz w:w="11906" w:h="16838"/>
      <w:pgMar w:top="1361" w:right="1531" w:bottom="1361" w:left="1304" w:header="1135"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decorative"/>
    <w:pitch w:val="default"/>
    <w:sig w:usb0="E0002EFF" w:usb1="C000785B" w:usb2="00000009" w:usb3="00000000" w:csb0="400001FF" w:csb1="FFFF0000"/>
  </w:font>
  <w:font w:name="宋体">
    <w:panose1 w:val="02010600030101010101"/>
    <w:charset w:val="B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CIDFont + F3">
    <w:altName w:val="微软雅黑"/>
    <w:panose1 w:val="00000000000000000000"/>
    <w:charset w:val="00"/>
    <w:family w:val="auto"/>
    <w:pitch w:val="default"/>
    <w:sig w:usb0="00000000" w:usb1="00000000" w:usb2="00000000" w:usb3="00000000" w:csb0="00040001" w:csb1="00000000"/>
  </w:font>
  <w:font w:name="TimesNewRomanPSMT">
    <w:altName w:val="Times New Roman"/>
    <w:panose1 w:val="00000000000000000000"/>
    <w:charset w:val="00"/>
    <w:family w:val="roman"/>
    <w:pitch w:val="default"/>
    <w:sig w:usb0="00000000" w:usb1="00000000" w:usb2="00000000" w:usb3="00000000" w:csb0="00000000" w:csb1="00000000"/>
  </w:font>
  <w:font w:name="Calibri Light">
    <w:panose1 w:val="020F0302020204030204"/>
    <w:charset w:val="00"/>
    <w:family w:val="swiss"/>
    <w:pitch w:val="default"/>
    <w:sig w:usb0="E4002EFF" w:usb1="C2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EFD941">
    <w:pPr>
      <w:pStyle w:val="25"/>
      <w:ind w:firstLine="420"/>
      <w:jc w:val="center"/>
    </w:pPr>
  </w:p>
  <w:p w14:paraId="3F6566EB">
    <w:pPr>
      <w:pStyle w:val="2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A05806">
    <w:pPr>
      <w:pStyle w:val="25"/>
      <w:ind w:firstLine="420"/>
      <w:jc w:val="center"/>
      <w:rPr>
        <w:sz w:val="21"/>
      </w:rPr>
    </w:pPr>
    <w:r>
      <w:rPr>
        <w:sz w:val="21"/>
      </w:rPr>
      <w:fldChar w:fldCharType="begin"/>
    </w:r>
    <w:r>
      <w:rPr>
        <w:sz w:val="21"/>
      </w:rPr>
      <w:instrText xml:space="preserve">PAGE   \* MERGEFORMAT</w:instrText>
    </w:r>
    <w:r>
      <w:rPr>
        <w:sz w:val="21"/>
      </w:rPr>
      <w:fldChar w:fldCharType="separate"/>
    </w:r>
    <w:r>
      <w:rPr>
        <w:sz w:val="21"/>
        <w:lang w:val="zh-CN"/>
      </w:rPr>
      <w:t>66</w:t>
    </w:r>
    <w:r>
      <w:rPr>
        <w:sz w:val="21"/>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27997434"/>
    </w:sdtPr>
    <w:sdtEndPr>
      <w:rPr>
        <w:sz w:val="21"/>
        <w:szCs w:val="21"/>
      </w:rPr>
    </w:sdtEndPr>
    <w:sdtContent>
      <w:p w14:paraId="5EC56C08">
        <w:pPr>
          <w:pStyle w:val="25"/>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143</w:t>
        </w:r>
        <w:r>
          <w:rPr>
            <w:sz w:val="21"/>
            <w:szCs w:val="21"/>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2E4454">
    <w:pPr>
      <w:pStyle w:val="25"/>
      <w:tabs>
        <w:tab w:val="left" w:pos="6339"/>
        <w:tab w:val="clear" w:pos="8306"/>
      </w:tabs>
      <w:jc w:val="both"/>
    </w:pPr>
    <w:r>
      <w:rPr>
        <w:rFonts w:hint="eastAsia"/>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558D66">
    <w:pPr>
      <w:pStyle w:val="25"/>
      <w:ind w:firstLine="3420" w:firstLineChars="1900"/>
    </w:pPr>
    <w:r>
      <w:rPr>
        <w:rFonts w:hint="eastAsia"/>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C78987">
    <w:pPr>
      <w:pStyle w:val="2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D30CD3">
    <w:pPr>
      <w:pStyle w:val="14"/>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40FB05">
    <w:pPr>
      <w:pStyle w:val="14"/>
      <w:pBdr>
        <w:bottom w:val="none" w:color="auto" w:sz="0" w:space="1"/>
      </w:pBdr>
      <w:jc w:val="both"/>
      <w:rPr>
        <w:rFonts w:hint="default" w:eastAsia="宋体"/>
        <w:u w:val="single"/>
        <w:lang w:val="en-US" w:eastAsia="zh-CN"/>
      </w:rPr>
    </w:pPr>
    <w:r>
      <w:rPr>
        <w:rFonts w:hint="eastAsia"/>
        <w:sz w:val="21"/>
        <w:szCs w:val="21"/>
        <w:u w:val="single"/>
        <w:lang w:val="en-US" w:eastAsia="zh-CN"/>
      </w:rPr>
      <w:t xml:space="preserve">              </w:t>
    </w:r>
    <w:r>
      <w:rPr>
        <w:rFonts w:hint="eastAsia"/>
        <w:sz w:val="18"/>
        <w:szCs w:val="18"/>
        <w:u w:val="single"/>
        <w:lang w:val="en-US" w:eastAsia="zh-CN"/>
      </w:rPr>
      <w:t xml:space="preserve">     </w:t>
    </w:r>
    <w:r>
      <w:rPr>
        <w:rFonts w:hint="default" w:eastAsia="宋体"/>
        <w:sz w:val="18"/>
        <w:szCs w:val="18"/>
        <w:u w:val="single"/>
        <w:lang w:eastAsia="zh-CN"/>
      </w:rPr>
      <w:t>安徽泓济环境科技有限公司</w:t>
    </w:r>
    <w:r>
      <w:rPr>
        <w:rFonts w:hint="eastAsia" w:eastAsia="宋体"/>
        <w:sz w:val="18"/>
        <w:szCs w:val="18"/>
        <w:u w:val="single"/>
      </w:rPr>
      <w:t>新</w:t>
    </w:r>
    <w:r>
      <w:rPr>
        <w:rFonts w:hint="eastAsia"/>
        <w:sz w:val="18"/>
        <w:szCs w:val="18"/>
        <w:u w:val="single"/>
      </w:rPr>
      <w:t>建</w:t>
    </w:r>
    <w:r>
      <w:rPr>
        <w:rFonts w:hint="eastAsia"/>
        <w:sz w:val="18"/>
        <w:szCs w:val="18"/>
        <w:u w:val="single"/>
        <w:lang w:val="en-US" w:eastAsia="zh-CN"/>
      </w:rPr>
      <w:t>一</w:t>
    </w:r>
    <w:r>
      <w:rPr>
        <w:rFonts w:hint="eastAsia"/>
        <w:sz w:val="18"/>
        <w:szCs w:val="18"/>
        <w:u w:val="single"/>
      </w:rPr>
      <w:t>座</w:t>
    </w:r>
    <w:r>
      <w:rPr>
        <w:rFonts w:hint="eastAsia"/>
        <w:sz w:val="18"/>
        <w:szCs w:val="18"/>
        <w:u w:val="single"/>
        <w:lang w:val="en-US" w:eastAsia="zh-CN"/>
      </w:rPr>
      <w:t>固定式</w:t>
    </w:r>
    <w:r>
      <w:rPr>
        <w:rFonts w:hint="eastAsia"/>
        <w:sz w:val="18"/>
        <w:szCs w:val="18"/>
        <w:u w:val="single"/>
      </w:rPr>
      <w:t>X射线探伤房项目</w:t>
    </w:r>
    <w:r>
      <w:rPr>
        <w:rFonts w:hint="eastAsia"/>
        <w:sz w:val="18"/>
        <w:szCs w:val="18"/>
        <w:u w:val="single"/>
        <w:lang w:val="en-US" w:eastAsia="zh-CN"/>
      </w:rPr>
      <w:t xml:space="preserve">         </w:t>
    </w:r>
    <w:r>
      <w:rPr>
        <w:rFonts w:hint="eastAsia"/>
        <w:sz w:val="21"/>
        <w:szCs w:val="21"/>
        <w:u w:val="single"/>
        <w:lang w:val="en-US" w:eastAsia="zh-CN"/>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7FF939">
    <w:pPr>
      <w:pStyle w:val="14"/>
      <w:pBdr>
        <w:bottom w:val="none" w:color="auto" w:sz="0" w:space="1"/>
      </w:pBdr>
      <w:jc w:val="both"/>
      <w:rPr>
        <w:rFonts w:hint="default" w:eastAsia="宋体"/>
        <w:lang w:val="en-US" w:eastAsia="zh-CN"/>
      </w:rPr>
    </w:pPr>
    <w:r>
      <w:rPr>
        <w:rFonts w:hint="eastAsia"/>
        <w:sz w:val="21"/>
        <w:szCs w:val="21"/>
        <w:u w:val="single"/>
        <w:lang w:val="en-US" w:eastAsia="zh-CN"/>
      </w:rPr>
      <w:t xml:space="preserve">                             </w:t>
    </w:r>
    <w:r>
      <w:rPr>
        <w:rFonts w:hint="eastAsia"/>
        <w:sz w:val="20"/>
        <w:szCs w:val="20"/>
        <w:u w:val="single"/>
        <w:lang w:val="en-US" w:eastAsia="zh-CN"/>
      </w:rPr>
      <w:t xml:space="preserve">        </w:t>
    </w:r>
    <w:r>
      <w:rPr>
        <w:rFonts w:hint="default" w:eastAsia="宋体"/>
        <w:sz w:val="20"/>
        <w:szCs w:val="20"/>
        <w:u w:val="single"/>
        <w:lang w:eastAsia="zh-CN"/>
      </w:rPr>
      <w:t>安徽泓济环境科技有限公司</w:t>
    </w:r>
    <w:r>
      <w:rPr>
        <w:rFonts w:hint="eastAsia" w:eastAsia="宋体"/>
        <w:sz w:val="20"/>
        <w:szCs w:val="20"/>
        <w:u w:val="single"/>
      </w:rPr>
      <w:t>新建</w:t>
    </w:r>
    <w:r>
      <w:rPr>
        <w:rFonts w:hint="eastAsia"/>
        <w:sz w:val="20"/>
        <w:szCs w:val="20"/>
        <w:u w:val="single"/>
        <w:lang w:val="en-US" w:eastAsia="zh-CN"/>
      </w:rPr>
      <w:t>一</w:t>
    </w:r>
    <w:r>
      <w:rPr>
        <w:rFonts w:hint="eastAsia" w:eastAsia="宋体"/>
        <w:sz w:val="20"/>
        <w:szCs w:val="20"/>
        <w:u w:val="single"/>
      </w:rPr>
      <w:t>座</w:t>
    </w:r>
    <w:r>
      <w:rPr>
        <w:rFonts w:hint="eastAsia"/>
        <w:sz w:val="20"/>
        <w:szCs w:val="20"/>
        <w:u w:val="single"/>
        <w:lang w:val="en-US" w:eastAsia="zh-CN"/>
      </w:rPr>
      <w:t>固定式</w:t>
    </w:r>
    <w:r>
      <w:rPr>
        <w:rFonts w:hint="eastAsia" w:eastAsia="宋体"/>
        <w:sz w:val="20"/>
        <w:szCs w:val="20"/>
        <w:u w:val="single"/>
      </w:rPr>
      <w:t>X射线探伤房项目</w:t>
    </w:r>
    <w:r>
      <w:rPr>
        <w:rFonts w:hint="eastAsia"/>
        <w:sz w:val="20"/>
        <w:szCs w:val="20"/>
        <w:u w:val="single"/>
        <w:lang w:val="en-US" w:eastAsia="zh-CN"/>
      </w:rPr>
      <w:t xml:space="preserve"> </w:t>
    </w:r>
    <w:r>
      <w:rPr>
        <w:rFonts w:hint="eastAsia"/>
        <w:sz w:val="21"/>
        <w:szCs w:val="21"/>
        <w:u w:val="single"/>
        <w:lang w:val="en-US" w:eastAsia="zh-CN"/>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D89533">
    <w:pPr>
      <w:pStyle w:val="14"/>
      <w:pBdr>
        <w:bottom w:val="none" w:color="auto" w:sz="0" w:space="1"/>
      </w:pBdr>
      <w:jc w:val="both"/>
      <w:rPr>
        <w:rFonts w:hint="default" w:eastAsia="宋体"/>
        <w:lang w:val="en-US" w:eastAsia="zh-CN"/>
      </w:rPr>
    </w:pPr>
    <w:r>
      <w:rPr>
        <w:rFonts w:hint="eastAsia"/>
        <w:sz w:val="21"/>
        <w:szCs w:val="21"/>
        <w:u w:val="single"/>
        <w:lang w:val="en-US" w:eastAsia="zh-CN"/>
      </w:rPr>
      <w:t xml:space="preserve">                 </w:t>
    </w:r>
    <w:r>
      <w:rPr>
        <w:rFonts w:hint="eastAsia"/>
        <w:sz w:val="20"/>
        <w:szCs w:val="20"/>
        <w:u w:val="single"/>
        <w:lang w:val="en-US" w:eastAsia="zh-CN"/>
      </w:rPr>
      <w:t xml:space="preserve"> </w:t>
    </w:r>
    <w:r>
      <w:rPr>
        <w:rFonts w:hint="default" w:eastAsia="宋体"/>
        <w:sz w:val="20"/>
        <w:szCs w:val="20"/>
        <w:u w:val="single"/>
        <w:lang w:eastAsia="zh-CN"/>
      </w:rPr>
      <w:t>安徽泓济环境科技有限公司</w:t>
    </w:r>
    <w:r>
      <w:rPr>
        <w:rFonts w:hint="eastAsia" w:eastAsia="宋体"/>
        <w:sz w:val="20"/>
        <w:szCs w:val="20"/>
        <w:u w:val="single"/>
      </w:rPr>
      <w:t>新建</w:t>
    </w:r>
    <w:r>
      <w:rPr>
        <w:rFonts w:hint="eastAsia"/>
        <w:sz w:val="20"/>
        <w:szCs w:val="20"/>
        <w:u w:val="single"/>
        <w:lang w:val="en-US" w:eastAsia="zh-CN"/>
      </w:rPr>
      <w:t>一</w:t>
    </w:r>
    <w:r>
      <w:rPr>
        <w:rFonts w:hint="eastAsia" w:eastAsia="宋体"/>
        <w:sz w:val="20"/>
        <w:szCs w:val="20"/>
        <w:u w:val="single"/>
      </w:rPr>
      <w:t>座</w:t>
    </w:r>
    <w:r>
      <w:rPr>
        <w:rFonts w:hint="eastAsia"/>
        <w:sz w:val="20"/>
        <w:szCs w:val="20"/>
        <w:u w:val="single"/>
        <w:lang w:val="en-US" w:eastAsia="zh-CN"/>
      </w:rPr>
      <w:t>固定式</w:t>
    </w:r>
    <w:r>
      <w:rPr>
        <w:rFonts w:hint="eastAsia" w:eastAsia="宋体"/>
        <w:sz w:val="20"/>
        <w:szCs w:val="20"/>
        <w:u w:val="single"/>
      </w:rPr>
      <w:t>X射线探伤房项目</w:t>
    </w:r>
    <w:r>
      <w:rPr>
        <w:rFonts w:hint="eastAsia"/>
        <w:sz w:val="20"/>
        <w:szCs w:val="20"/>
        <w:u w:val="single"/>
        <w:lang w:val="en-US" w:eastAsia="zh-CN"/>
      </w:rPr>
      <w:t xml:space="preserve"> </w:t>
    </w:r>
    <w:r>
      <w:rPr>
        <w:rFonts w:hint="eastAsia"/>
        <w:sz w:val="21"/>
        <w:szCs w:val="21"/>
        <w:u w:val="single"/>
        <w:lang w:val="en-US" w:eastAsia="zh-CN"/>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8E428A">
    <w:pPr>
      <w:pStyle w:val="14"/>
      <w:pBdr>
        <w:bottom w:val="none" w:color="auto" w:sz="0" w:space="1"/>
      </w:pBdr>
      <w:jc w:val="both"/>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E7E14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44D3DF8"/>
    <w:multiLevelType w:val="singleLevel"/>
    <w:tmpl w:val="C44D3DF8"/>
    <w:lvl w:ilvl="0" w:tentative="0">
      <w:start w:val="6"/>
      <w:numFmt w:val="decimal"/>
      <w:suff w:val="nothing"/>
      <w:lvlText w:val="%1、"/>
      <w:lvlJc w:val="left"/>
    </w:lvl>
  </w:abstractNum>
  <w:abstractNum w:abstractNumId="1">
    <w:nsid w:val="CEF9A41E"/>
    <w:multiLevelType w:val="singleLevel"/>
    <w:tmpl w:val="CEF9A41E"/>
    <w:lvl w:ilvl="0" w:tentative="0">
      <w:start w:val="2"/>
      <w:numFmt w:val="decimal"/>
      <w:suff w:val="nothing"/>
      <w:lvlText w:val="（%1）"/>
      <w:lvlJc w:val="left"/>
    </w:lvl>
  </w:abstractNum>
  <w:abstractNum w:abstractNumId="2">
    <w:nsid w:val="DD009795"/>
    <w:multiLevelType w:val="singleLevel"/>
    <w:tmpl w:val="DD009795"/>
    <w:lvl w:ilvl="0" w:tentative="0">
      <w:start w:val="1"/>
      <w:numFmt w:val="decimal"/>
      <w:suff w:val="nothing"/>
      <w:lvlText w:val="（%1）"/>
      <w:lvlJc w:val="left"/>
    </w:lvl>
  </w:abstractNum>
  <w:abstractNum w:abstractNumId="3">
    <w:nsid w:val="1FB420C5"/>
    <w:multiLevelType w:val="singleLevel"/>
    <w:tmpl w:val="1FB420C5"/>
    <w:lvl w:ilvl="0" w:tentative="0">
      <w:start w:val="1"/>
      <w:numFmt w:val="decimal"/>
      <w:suff w:val="nothing"/>
      <w:lvlText w:val="（%1）"/>
      <w:lvlJc w:val="left"/>
    </w:lvl>
  </w:abstractNum>
  <w:abstractNum w:abstractNumId="4">
    <w:nsid w:val="74BA423E"/>
    <w:multiLevelType w:val="multilevel"/>
    <w:tmpl w:val="74BA423E"/>
    <w:lvl w:ilvl="0" w:tentative="0">
      <w:start w:val="1"/>
      <w:numFmt w:val="decimal"/>
      <w:pStyle w:val="76"/>
      <w:lvlText w:val="%1."/>
      <w:lvlJc w:val="left"/>
      <w:pPr>
        <w:tabs>
          <w:tab w:val="left" w:pos="425"/>
        </w:tabs>
        <w:ind w:left="425" w:hanging="425"/>
      </w:pPr>
      <w:rPr>
        <w:rFonts w:hint="default" w:ascii="Times New Roman" w:hAnsi="Times New Roman" w:eastAsia="仿宋_GB2312"/>
      </w:rPr>
    </w:lvl>
    <w:lvl w:ilvl="1" w:tentative="0">
      <w:start w:val="1"/>
      <w:numFmt w:val="decimal"/>
      <w:pStyle w:val="47"/>
      <w:lvlText w:val="%1.%2."/>
      <w:lvlJc w:val="left"/>
      <w:pPr>
        <w:tabs>
          <w:tab w:val="left" w:pos="1135"/>
        </w:tabs>
        <w:ind w:left="1135" w:hanging="567"/>
      </w:pPr>
      <w:rPr>
        <w:rFonts w:hint="default" w:ascii="Times New Roman" w:hAnsi="Times New Roman" w:eastAsia="仿宋_GB2312"/>
        <w:color w:val="auto"/>
        <w:sz w:val="24"/>
        <w:szCs w:val="24"/>
      </w:rPr>
    </w:lvl>
    <w:lvl w:ilvl="2" w:tentative="0">
      <w:start w:val="1"/>
      <w:numFmt w:val="decimal"/>
      <w:pStyle w:val="78"/>
      <w:lvlText w:val="%1.%2.%3."/>
      <w:lvlJc w:val="left"/>
      <w:pPr>
        <w:tabs>
          <w:tab w:val="left" w:pos="1069"/>
        </w:tabs>
        <w:ind w:left="1069" w:hanging="709"/>
      </w:pPr>
      <w:rPr>
        <w:rFonts w:hint="default" w:ascii="Times New Roman" w:hAnsi="Times New Roman" w:eastAsia="仿宋_GB2312"/>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num w:numId="1">
    <w:abstractNumId w:val="4"/>
  </w:num>
  <w:num w:numId="2">
    <w:abstractNumId w:val="0"/>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0"/>
  <w:displayBackgroundShape w:val="1"/>
  <w:embedSystemFonts/>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VhNmVkYzg4OGU0YmY1MDBjZDAwYzI0ODQ5Njc0MTgifQ=="/>
  </w:docVars>
  <w:rsids>
    <w:rsidRoot w:val="0062567A"/>
    <w:rsid w:val="00000193"/>
    <w:rsid w:val="000005BD"/>
    <w:rsid w:val="0000096A"/>
    <w:rsid w:val="00001EEC"/>
    <w:rsid w:val="0000255B"/>
    <w:rsid w:val="000028A9"/>
    <w:rsid w:val="000033B4"/>
    <w:rsid w:val="00003472"/>
    <w:rsid w:val="000038D2"/>
    <w:rsid w:val="00004BD0"/>
    <w:rsid w:val="00005CD7"/>
    <w:rsid w:val="00005F2B"/>
    <w:rsid w:val="000061D7"/>
    <w:rsid w:val="00006557"/>
    <w:rsid w:val="000068CA"/>
    <w:rsid w:val="00006BCB"/>
    <w:rsid w:val="00006D43"/>
    <w:rsid w:val="00006EA2"/>
    <w:rsid w:val="00006F62"/>
    <w:rsid w:val="0000755D"/>
    <w:rsid w:val="00007E0B"/>
    <w:rsid w:val="0001013C"/>
    <w:rsid w:val="00010BCA"/>
    <w:rsid w:val="00011CFC"/>
    <w:rsid w:val="00011D61"/>
    <w:rsid w:val="00011D65"/>
    <w:rsid w:val="00012C43"/>
    <w:rsid w:val="00013D79"/>
    <w:rsid w:val="0001439A"/>
    <w:rsid w:val="0001452F"/>
    <w:rsid w:val="00014D97"/>
    <w:rsid w:val="00014DA9"/>
    <w:rsid w:val="00015096"/>
    <w:rsid w:val="000151DE"/>
    <w:rsid w:val="000155E6"/>
    <w:rsid w:val="00015663"/>
    <w:rsid w:val="0001576D"/>
    <w:rsid w:val="0001607A"/>
    <w:rsid w:val="000165B1"/>
    <w:rsid w:val="0001681A"/>
    <w:rsid w:val="00016BBC"/>
    <w:rsid w:val="00016F0A"/>
    <w:rsid w:val="00017738"/>
    <w:rsid w:val="000178B1"/>
    <w:rsid w:val="00017EBF"/>
    <w:rsid w:val="00021847"/>
    <w:rsid w:val="00021AE0"/>
    <w:rsid w:val="00021F16"/>
    <w:rsid w:val="00021F19"/>
    <w:rsid w:val="00022511"/>
    <w:rsid w:val="00022988"/>
    <w:rsid w:val="00022A3F"/>
    <w:rsid w:val="00022B39"/>
    <w:rsid w:val="00022C81"/>
    <w:rsid w:val="00024208"/>
    <w:rsid w:val="000243E7"/>
    <w:rsid w:val="00024938"/>
    <w:rsid w:val="00024FF2"/>
    <w:rsid w:val="0002552C"/>
    <w:rsid w:val="00025A2F"/>
    <w:rsid w:val="0002647D"/>
    <w:rsid w:val="00026D5B"/>
    <w:rsid w:val="00026F23"/>
    <w:rsid w:val="000275F2"/>
    <w:rsid w:val="00027F90"/>
    <w:rsid w:val="000303B3"/>
    <w:rsid w:val="00030777"/>
    <w:rsid w:val="00030C78"/>
    <w:rsid w:val="00030C96"/>
    <w:rsid w:val="000312D3"/>
    <w:rsid w:val="0003175D"/>
    <w:rsid w:val="000328EB"/>
    <w:rsid w:val="00033297"/>
    <w:rsid w:val="00033567"/>
    <w:rsid w:val="000335A7"/>
    <w:rsid w:val="000338C9"/>
    <w:rsid w:val="0003404C"/>
    <w:rsid w:val="00034381"/>
    <w:rsid w:val="000343BC"/>
    <w:rsid w:val="00034DDA"/>
    <w:rsid w:val="00035CE4"/>
    <w:rsid w:val="00035FD8"/>
    <w:rsid w:val="00036479"/>
    <w:rsid w:val="0003655C"/>
    <w:rsid w:val="000365D5"/>
    <w:rsid w:val="00036C37"/>
    <w:rsid w:val="00036DF4"/>
    <w:rsid w:val="00037347"/>
    <w:rsid w:val="00041032"/>
    <w:rsid w:val="00041E50"/>
    <w:rsid w:val="00041EDE"/>
    <w:rsid w:val="00042048"/>
    <w:rsid w:val="00042602"/>
    <w:rsid w:val="00042731"/>
    <w:rsid w:val="00042E92"/>
    <w:rsid w:val="0004305D"/>
    <w:rsid w:val="00043E58"/>
    <w:rsid w:val="0004409F"/>
    <w:rsid w:val="00044160"/>
    <w:rsid w:val="00044532"/>
    <w:rsid w:val="0004455F"/>
    <w:rsid w:val="00044BD6"/>
    <w:rsid w:val="000452C9"/>
    <w:rsid w:val="000454CD"/>
    <w:rsid w:val="00045A0D"/>
    <w:rsid w:val="00045AC9"/>
    <w:rsid w:val="00045C99"/>
    <w:rsid w:val="0004693C"/>
    <w:rsid w:val="000474FE"/>
    <w:rsid w:val="000476EC"/>
    <w:rsid w:val="00047F5A"/>
    <w:rsid w:val="00050533"/>
    <w:rsid w:val="00050601"/>
    <w:rsid w:val="00050C89"/>
    <w:rsid w:val="00050DEE"/>
    <w:rsid w:val="00050E3A"/>
    <w:rsid w:val="00051337"/>
    <w:rsid w:val="00051757"/>
    <w:rsid w:val="000517E9"/>
    <w:rsid w:val="00051ABD"/>
    <w:rsid w:val="00051BF3"/>
    <w:rsid w:val="00052874"/>
    <w:rsid w:val="00052900"/>
    <w:rsid w:val="00052B96"/>
    <w:rsid w:val="00053348"/>
    <w:rsid w:val="000541AF"/>
    <w:rsid w:val="000541B4"/>
    <w:rsid w:val="00054C03"/>
    <w:rsid w:val="0005549D"/>
    <w:rsid w:val="0005557A"/>
    <w:rsid w:val="00055AA8"/>
    <w:rsid w:val="00055D05"/>
    <w:rsid w:val="00056343"/>
    <w:rsid w:val="00056686"/>
    <w:rsid w:val="000566B5"/>
    <w:rsid w:val="00056A94"/>
    <w:rsid w:val="00056C66"/>
    <w:rsid w:val="00057CC5"/>
    <w:rsid w:val="00060254"/>
    <w:rsid w:val="000603B0"/>
    <w:rsid w:val="0006060A"/>
    <w:rsid w:val="00060DD8"/>
    <w:rsid w:val="0006130C"/>
    <w:rsid w:val="000615A9"/>
    <w:rsid w:val="000620B1"/>
    <w:rsid w:val="000621F7"/>
    <w:rsid w:val="000628FD"/>
    <w:rsid w:val="00063850"/>
    <w:rsid w:val="00063915"/>
    <w:rsid w:val="00063BFB"/>
    <w:rsid w:val="00063EF7"/>
    <w:rsid w:val="0006421B"/>
    <w:rsid w:val="000643A0"/>
    <w:rsid w:val="000647DA"/>
    <w:rsid w:val="00064C6C"/>
    <w:rsid w:val="00064E24"/>
    <w:rsid w:val="00064FFD"/>
    <w:rsid w:val="000651B8"/>
    <w:rsid w:val="00065895"/>
    <w:rsid w:val="000661A6"/>
    <w:rsid w:val="00066620"/>
    <w:rsid w:val="00066678"/>
    <w:rsid w:val="00066CBC"/>
    <w:rsid w:val="00066CDF"/>
    <w:rsid w:val="00066D8B"/>
    <w:rsid w:val="0006706D"/>
    <w:rsid w:val="000676AF"/>
    <w:rsid w:val="00070559"/>
    <w:rsid w:val="00071152"/>
    <w:rsid w:val="0007135C"/>
    <w:rsid w:val="0007151E"/>
    <w:rsid w:val="00071698"/>
    <w:rsid w:val="00072076"/>
    <w:rsid w:val="0007230E"/>
    <w:rsid w:val="000726C1"/>
    <w:rsid w:val="00072911"/>
    <w:rsid w:val="00073BAF"/>
    <w:rsid w:val="00073D1D"/>
    <w:rsid w:val="00074640"/>
    <w:rsid w:val="0007471E"/>
    <w:rsid w:val="000748FF"/>
    <w:rsid w:val="000752EB"/>
    <w:rsid w:val="00075BE0"/>
    <w:rsid w:val="000760F5"/>
    <w:rsid w:val="000764A7"/>
    <w:rsid w:val="00076898"/>
    <w:rsid w:val="00076DAF"/>
    <w:rsid w:val="00076DCC"/>
    <w:rsid w:val="00076DFB"/>
    <w:rsid w:val="00076E8B"/>
    <w:rsid w:val="000770DB"/>
    <w:rsid w:val="00077AFF"/>
    <w:rsid w:val="0008019C"/>
    <w:rsid w:val="0008072D"/>
    <w:rsid w:val="00080A6D"/>
    <w:rsid w:val="00080B34"/>
    <w:rsid w:val="00080D38"/>
    <w:rsid w:val="00080F3F"/>
    <w:rsid w:val="00081A14"/>
    <w:rsid w:val="00081B30"/>
    <w:rsid w:val="00081D0B"/>
    <w:rsid w:val="000820CD"/>
    <w:rsid w:val="0008241B"/>
    <w:rsid w:val="0008298C"/>
    <w:rsid w:val="00083A83"/>
    <w:rsid w:val="00083AD4"/>
    <w:rsid w:val="00084E4F"/>
    <w:rsid w:val="00084FF9"/>
    <w:rsid w:val="0008510E"/>
    <w:rsid w:val="00085230"/>
    <w:rsid w:val="000862B7"/>
    <w:rsid w:val="000871B7"/>
    <w:rsid w:val="00087260"/>
    <w:rsid w:val="0008726F"/>
    <w:rsid w:val="0008795D"/>
    <w:rsid w:val="00087C72"/>
    <w:rsid w:val="00087F09"/>
    <w:rsid w:val="00090197"/>
    <w:rsid w:val="00090259"/>
    <w:rsid w:val="00090772"/>
    <w:rsid w:val="000907E6"/>
    <w:rsid w:val="00090B32"/>
    <w:rsid w:val="0009163A"/>
    <w:rsid w:val="000918BD"/>
    <w:rsid w:val="0009241C"/>
    <w:rsid w:val="0009385F"/>
    <w:rsid w:val="00093C7D"/>
    <w:rsid w:val="00094848"/>
    <w:rsid w:val="0009545B"/>
    <w:rsid w:val="00095470"/>
    <w:rsid w:val="000956EA"/>
    <w:rsid w:val="00096008"/>
    <w:rsid w:val="0009634E"/>
    <w:rsid w:val="000964DE"/>
    <w:rsid w:val="00096627"/>
    <w:rsid w:val="00096B3C"/>
    <w:rsid w:val="00096C91"/>
    <w:rsid w:val="00096FA9"/>
    <w:rsid w:val="0009700B"/>
    <w:rsid w:val="000978D1"/>
    <w:rsid w:val="00097968"/>
    <w:rsid w:val="00097E0F"/>
    <w:rsid w:val="000A15DE"/>
    <w:rsid w:val="000A1BEF"/>
    <w:rsid w:val="000A1F73"/>
    <w:rsid w:val="000A2253"/>
    <w:rsid w:val="000A247E"/>
    <w:rsid w:val="000A29A5"/>
    <w:rsid w:val="000A2EED"/>
    <w:rsid w:val="000A3839"/>
    <w:rsid w:val="000A3C3B"/>
    <w:rsid w:val="000A3CF6"/>
    <w:rsid w:val="000A4541"/>
    <w:rsid w:val="000A5285"/>
    <w:rsid w:val="000A59EE"/>
    <w:rsid w:val="000A6188"/>
    <w:rsid w:val="000A62B1"/>
    <w:rsid w:val="000A65A9"/>
    <w:rsid w:val="000A6932"/>
    <w:rsid w:val="000A6A63"/>
    <w:rsid w:val="000A6CED"/>
    <w:rsid w:val="000A70F9"/>
    <w:rsid w:val="000A7BF4"/>
    <w:rsid w:val="000A7EE2"/>
    <w:rsid w:val="000B01B6"/>
    <w:rsid w:val="000B0246"/>
    <w:rsid w:val="000B0C3B"/>
    <w:rsid w:val="000B1479"/>
    <w:rsid w:val="000B1AB2"/>
    <w:rsid w:val="000B1F90"/>
    <w:rsid w:val="000B24B6"/>
    <w:rsid w:val="000B28D0"/>
    <w:rsid w:val="000B2B40"/>
    <w:rsid w:val="000B3855"/>
    <w:rsid w:val="000B3A25"/>
    <w:rsid w:val="000B3A67"/>
    <w:rsid w:val="000B4469"/>
    <w:rsid w:val="000B45D7"/>
    <w:rsid w:val="000B47B4"/>
    <w:rsid w:val="000B4E8B"/>
    <w:rsid w:val="000B5FB8"/>
    <w:rsid w:val="000B697E"/>
    <w:rsid w:val="000B71F8"/>
    <w:rsid w:val="000B73CB"/>
    <w:rsid w:val="000B7732"/>
    <w:rsid w:val="000B78A6"/>
    <w:rsid w:val="000C02AE"/>
    <w:rsid w:val="000C0A24"/>
    <w:rsid w:val="000C0FC2"/>
    <w:rsid w:val="000C1627"/>
    <w:rsid w:val="000C18F4"/>
    <w:rsid w:val="000C1C38"/>
    <w:rsid w:val="000C20B6"/>
    <w:rsid w:val="000C367A"/>
    <w:rsid w:val="000C4294"/>
    <w:rsid w:val="000C4616"/>
    <w:rsid w:val="000C467C"/>
    <w:rsid w:val="000C485C"/>
    <w:rsid w:val="000C4C06"/>
    <w:rsid w:val="000C4CF0"/>
    <w:rsid w:val="000C4EE6"/>
    <w:rsid w:val="000C5433"/>
    <w:rsid w:val="000C5855"/>
    <w:rsid w:val="000C5C9D"/>
    <w:rsid w:val="000C5DD1"/>
    <w:rsid w:val="000C5F3D"/>
    <w:rsid w:val="000C6CBB"/>
    <w:rsid w:val="000C73C1"/>
    <w:rsid w:val="000C7416"/>
    <w:rsid w:val="000C75C6"/>
    <w:rsid w:val="000C797B"/>
    <w:rsid w:val="000D0ED5"/>
    <w:rsid w:val="000D10EB"/>
    <w:rsid w:val="000D114A"/>
    <w:rsid w:val="000D16C3"/>
    <w:rsid w:val="000D1F4F"/>
    <w:rsid w:val="000D242C"/>
    <w:rsid w:val="000D2468"/>
    <w:rsid w:val="000D2624"/>
    <w:rsid w:val="000D3666"/>
    <w:rsid w:val="000D37E7"/>
    <w:rsid w:val="000D3C6D"/>
    <w:rsid w:val="000D3E89"/>
    <w:rsid w:val="000D4111"/>
    <w:rsid w:val="000D418B"/>
    <w:rsid w:val="000D43B6"/>
    <w:rsid w:val="000D4E84"/>
    <w:rsid w:val="000D5666"/>
    <w:rsid w:val="000D56DE"/>
    <w:rsid w:val="000D5747"/>
    <w:rsid w:val="000D6F1A"/>
    <w:rsid w:val="000D7633"/>
    <w:rsid w:val="000D7AD3"/>
    <w:rsid w:val="000D7B52"/>
    <w:rsid w:val="000E00C7"/>
    <w:rsid w:val="000E02C0"/>
    <w:rsid w:val="000E098D"/>
    <w:rsid w:val="000E17B3"/>
    <w:rsid w:val="000E17FC"/>
    <w:rsid w:val="000E1BC0"/>
    <w:rsid w:val="000E1E70"/>
    <w:rsid w:val="000E2274"/>
    <w:rsid w:val="000E23AB"/>
    <w:rsid w:val="000E2E93"/>
    <w:rsid w:val="000E3735"/>
    <w:rsid w:val="000E44EE"/>
    <w:rsid w:val="000E45BC"/>
    <w:rsid w:val="000E4708"/>
    <w:rsid w:val="000E4927"/>
    <w:rsid w:val="000E53CE"/>
    <w:rsid w:val="000E584F"/>
    <w:rsid w:val="000E58DA"/>
    <w:rsid w:val="000E68AE"/>
    <w:rsid w:val="000E6CCD"/>
    <w:rsid w:val="000E7658"/>
    <w:rsid w:val="000E7C25"/>
    <w:rsid w:val="000E7CC3"/>
    <w:rsid w:val="000F05B8"/>
    <w:rsid w:val="000F0F74"/>
    <w:rsid w:val="000F15D1"/>
    <w:rsid w:val="000F18AA"/>
    <w:rsid w:val="000F1DE2"/>
    <w:rsid w:val="000F1FB5"/>
    <w:rsid w:val="000F23EB"/>
    <w:rsid w:val="000F24A1"/>
    <w:rsid w:val="000F2B5F"/>
    <w:rsid w:val="000F2E05"/>
    <w:rsid w:val="000F3407"/>
    <w:rsid w:val="000F35E9"/>
    <w:rsid w:val="000F3DAF"/>
    <w:rsid w:val="000F40F0"/>
    <w:rsid w:val="000F41F7"/>
    <w:rsid w:val="000F4270"/>
    <w:rsid w:val="000F442E"/>
    <w:rsid w:val="000F4B54"/>
    <w:rsid w:val="000F53F3"/>
    <w:rsid w:val="000F5857"/>
    <w:rsid w:val="000F601E"/>
    <w:rsid w:val="000F617E"/>
    <w:rsid w:val="000F6298"/>
    <w:rsid w:val="000F6541"/>
    <w:rsid w:val="000F6F89"/>
    <w:rsid w:val="000F78FA"/>
    <w:rsid w:val="000F7B40"/>
    <w:rsid w:val="00100581"/>
    <w:rsid w:val="00101658"/>
    <w:rsid w:val="00101ACA"/>
    <w:rsid w:val="0010316A"/>
    <w:rsid w:val="00104465"/>
    <w:rsid w:val="001044E5"/>
    <w:rsid w:val="00104A96"/>
    <w:rsid w:val="00105357"/>
    <w:rsid w:val="0010562D"/>
    <w:rsid w:val="00105939"/>
    <w:rsid w:val="0010624F"/>
    <w:rsid w:val="00106818"/>
    <w:rsid w:val="00106CC7"/>
    <w:rsid w:val="00107431"/>
    <w:rsid w:val="0010744E"/>
    <w:rsid w:val="001077BB"/>
    <w:rsid w:val="001101A4"/>
    <w:rsid w:val="001104A6"/>
    <w:rsid w:val="001106D7"/>
    <w:rsid w:val="0011087B"/>
    <w:rsid w:val="0011094A"/>
    <w:rsid w:val="00110BC8"/>
    <w:rsid w:val="00110FD5"/>
    <w:rsid w:val="0011100A"/>
    <w:rsid w:val="00111BE1"/>
    <w:rsid w:val="00111E8A"/>
    <w:rsid w:val="00111EF3"/>
    <w:rsid w:val="0011252D"/>
    <w:rsid w:val="00112940"/>
    <w:rsid w:val="001136D4"/>
    <w:rsid w:val="00113B57"/>
    <w:rsid w:val="00113E74"/>
    <w:rsid w:val="0011486B"/>
    <w:rsid w:val="00114C82"/>
    <w:rsid w:val="0011573B"/>
    <w:rsid w:val="001157F5"/>
    <w:rsid w:val="001168CF"/>
    <w:rsid w:val="00116F0E"/>
    <w:rsid w:val="001170E7"/>
    <w:rsid w:val="001170F1"/>
    <w:rsid w:val="00117505"/>
    <w:rsid w:val="00117B7E"/>
    <w:rsid w:val="001200D4"/>
    <w:rsid w:val="001203F5"/>
    <w:rsid w:val="00120436"/>
    <w:rsid w:val="0012079B"/>
    <w:rsid w:val="001213FC"/>
    <w:rsid w:val="001215DF"/>
    <w:rsid w:val="0012194C"/>
    <w:rsid w:val="001219F8"/>
    <w:rsid w:val="00121ADE"/>
    <w:rsid w:val="00121D8A"/>
    <w:rsid w:val="00121E34"/>
    <w:rsid w:val="0012214D"/>
    <w:rsid w:val="0012313C"/>
    <w:rsid w:val="00123255"/>
    <w:rsid w:val="001235CB"/>
    <w:rsid w:val="00123A0C"/>
    <w:rsid w:val="00123E70"/>
    <w:rsid w:val="00124657"/>
    <w:rsid w:val="0012510A"/>
    <w:rsid w:val="00126085"/>
    <w:rsid w:val="001262BE"/>
    <w:rsid w:val="00126A17"/>
    <w:rsid w:val="00126F9D"/>
    <w:rsid w:val="001274FD"/>
    <w:rsid w:val="001279FB"/>
    <w:rsid w:val="00127E77"/>
    <w:rsid w:val="00131247"/>
    <w:rsid w:val="00131738"/>
    <w:rsid w:val="00131A2E"/>
    <w:rsid w:val="0013216C"/>
    <w:rsid w:val="001323A2"/>
    <w:rsid w:val="001328FD"/>
    <w:rsid w:val="00132EB0"/>
    <w:rsid w:val="00132F7C"/>
    <w:rsid w:val="001331D2"/>
    <w:rsid w:val="0013405A"/>
    <w:rsid w:val="001342B7"/>
    <w:rsid w:val="001343F3"/>
    <w:rsid w:val="0013499B"/>
    <w:rsid w:val="00135F6A"/>
    <w:rsid w:val="001362E4"/>
    <w:rsid w:val="001366E1"/>
    <w:rsid w:val="00137005"/>
    <w:rsid w:val="0013740A"/>
    <w:rsid w:val="00137BBD"/>
    <w:rsid w:val="00137D9E"/>
    <w:rsid w:val="0014092A"/>
    <w:rsid w:val="00140EF1"/>
    <w:rsid w:val="001421CF"/>
    <w:rsid w:val="001422DF"/>
    <w:rsid w:val="0014267C"/>
    <w:rsid w:val="001428C7"/>
    <w:rsid w:val="00142CE8"/>
    <w:rsid w:val="00142D4F"/>
    <w:rsid w:val="00143693"/>
    <w:rsid w:val="001439EE"/>
    <w:rsid w:val="00143A29"/>
    <w:rsid w:val="001444C8"/>
    <w:rsid w:val="0014496A"/>
    <w:rsid w:val="00144EB1"/>
    <w:rsid w:val="00144F62"/>
    <w:rsid w:val="00145009"/>
    <w:rsid w:val="00145600"/>
    <w:rsid w:val="00145A14"/>
    <w:rsid w:val="00146621"/>
    <w:rsid w:val="0014699C"/>
    <w:rsid w:val="00146A53"/>
    <w:rsid w:val="00146B4E"/>
    <w:rsid w:val="00147869"/>
    <w:rsid w:val="00147FBF"/>
    <w:rsid w:val="00150558"/>
    <w:rsid w:val="001508E5"/>
    <w:rsid w:val="00151BDB"/>
    <w:rsid w:val="0015370A"/>
    <w:rsid w:val="001538CC"/>
    <w:rsid w:val="00153C93"/>
    <w:rsid w:val="00153CBE"/>
    <w:rsid w:val="00154B56"/>
    <w:rsid w:val="00154E15"/>
    <w:rsid w:val="001553A2"/>
    <w:rsid w:val="001557F9"/>
    <w:rsid w:val="00155C52"/>
    <w:rsid w:val="00155D1F"/>
    <w:rsid w:val="001564A5"/>
    <w:rsid w:val="00156F9D"/>
    <w:rsid w:val="00157005"/>
    <w:rsid w:val="001571A9"/>
    <w:rsid w:val="0015729B"/>
    <w:rsid w:val="0016011A"/>
    <w:rsid w:val="001604DD"/>
    <w:rsid w:val="00160B6B"/>
    <w:rsid w:val="00161026"/>
    <w:rsid w:val="00161114"/>
    <w:rsid w:val="00161DC4"/>
    <w:rsid w:val="0016282C"/>
    <w:rsid w:val="001639CC"/>
    <w:rsid w:val="00163AAE"/>
    <w:rsid w:val="00163B68"/>
    <w:rsid w:val="00164070"/>
    <w:rsid w:val="00164264"/>
    <w:rsid w:val="001644CD"/>
    <w:rsid w:val="0016514E"/>
    <w:rsid w:val="00165732"/>
    <w:rsid w:val="00165D01"/>
    <w:rsid w:val="00165FA9"/>
    <w:rsid w:val="001661B6"/>
    <w:rsid w:val="00166211"/>
    <w:rsid w:val="00166571"/>
    <w:rsid w:val="001673EF"/>
    <w:rsid w:val="00167678"/>
    <w:rsid w:val="00167AEC"/>
    <w:rsid w:val="001701A8"/>
    <w:rsid w:val="00170FF3"/>
    <w:rsid w:val="00171580"/>
    <w:rsid w:val="00171C9E"/>
    <w:rsid w:val="00171D7F"/>
    <w:rsid w:val="001725E6"/>
    <w:rsid w:val="001727F3"/>
    <w:rsid w:val="00173836"/>
    <w:rsid w:val="00174191"/>
    <w:rsid w:val="00174601"/>
    <w:rsid w:val="00174CEE"/>
    <w:rsid w:val="001752B4"/>
    <w:rsid w:val="0017532A"/>
    <w:rsid w:val="001756F0"/>
    <w:rsid w:val="00175D98"/>
    <w:rsid w:val="001760A3"/>
    <w:rsid w:val="00176C89"/>
    <w:rsid w:val="00177046"/>
    <w:rsid w:val="0017782C"/>
    <w:rsid w:val="00177B65"/>
    <w:rsid w:val="00180044"/>
    <w:rsid w:val="00180895"/>
    <w:rsid w:val="00180C63"/>
    <w:rsid w:val="00181028"/>
    <w:rsid w:val="001815E4"/>
    <w:rsid w:val="00181CF3"/>
    <w:rsid w:val="00181F06"/>
    <w:rsid w:val="00182165"/>
    <w:rsid w:val="00182534"/>
    <w:rsid w:val="001830D0"/>
    <w:rsid w:val="0018344A"/>
    <w:rsid w:val="001834EB"/>
    <w:rsid w:val="001842BA"/>
    <w:rsid w:val="001847F0"/>
    <w:rsid w:val="00184B41"/>
    <w:rsid w:val="00184D05"/>
    <w:rsid w:val="00184F04"/>
    <w:rsid w:val="0018516A"/>
    <w:rsid w:val="00185926"/>
    <w:rsid w:val="001862F5"/>
    <w:rsid w:val="00186E0B"/>
    <w:rsid w:val="00186F5F"/>
    <w:rsid w:val="001870DC"/>
    <w:rsid w:val="0018778E"/>
    <w:rsid w:val="00187D7B"/>
    <w:rsid w:val="00187F3A"/>
    <w:rsid w:val="00190C53"/>
    <w:rsid w:val="0019160A"/>
    <w:rsid w:val="0019167E"/>
    <w:rsid w:val="00191697"/>
    <w:rsid w:val="001917C1"/>
    <w:rsid w:val="00191B86"/>
    <w:rsid w:val="00191CF8"/>
    <w:rsid w:val="0019208D"/>
    <w:rsid w:val="00192142"/>
    <w:rsid w:val="001924F5"/>
    <w:rsid w:val="00192F5B"/>
    <w:rsid w:val="0019311E"/>
    <w:rsid w:val="0019450D"/>
    <w:rsid w:val="001945C9"/>
    <w:rsid w:val="00194747"/>
    <w:rsid w:val="00195200"/>
    <w:rsid w:val="001954D6"/>
    <w:rsid w:val="0019566C"/>
    <w:rsid w:val="001956FE"/>
    <w:rsid w:val="001958BE"/>
    <w:rsid w:val="0019622D"/>
    <w:rsid w:val="00196C93"/>
    <w:rsid w:val="00196F80"/>
    <w:rsid w:val="00197480"/>
    <w:rsid w:val="00197FA9"/>
    <w:rsid w:val="001A03BC"/>
    <w:rsid w:val="001A03C7"/>
    <w:rsid w:val="001A0976"/>
    <w:rsid w:val="001A0E69"/>
    <w:rsid w:val="001A11C0"/>
    <w:rsid w:val="001A1889"/>
    <w:rsid w:val="001A19B9"/>
    <w:rsid w:val="001A1F1E"/>
    <w:rsid w:val="001A24E0"/>
    <w:rsid w:val="001A2785"/>
    <w:rsid w:val="001A29EE"/>
    <w:rsid w:val="001A2BFA"/>
    <w:rsid w:val="001A2CF3"/>
    <w:rsid w:val="001A32C3"/>
    <w:rsid w:val="001A367A"/>
    <w:rsid w:val="001A373C"/>
    <w:rsid w:val="001A3915"/>
    <w:rsid w:val="001A4445"/>
    <w:rsid w:val="001A4474"/>
    <w:rsid w:val="001A49FF"/>
    <w:rsid w:val="001A4BAA"/>
    <w:rsid w:val="001A4D8E"/>
    <w:rsid w:val="001A5A37"/>
    <w:rsid w:val="001A5A57"/>
    <w:rsid w:val="001A6104"/>
    <w:rsid w:val="001A6610"/>
    <w:rsid w:val="001A70D1"/>
    <w:rsid w:val="001A7532"/>
    <w:rsid w:val="001A75C6"/>
    <w:rsid w:val="001A7906"/>
    <w:rsid w:val="001A79E1"/>
    <w:rsid w:val="001A7B8D"/>
    <w:rsid w:val="001A7D98"/>
    <w:rsid w:val="001A7EF4"/>
    <w:rsid w:val="001B0022"/>
    <w:rsid w:val="001B0065"/>
    <w:rsid w:val="001B00DA"/>
    <w:rsid w:val="001B067C"/>
    <w:rsid w:val="001B0A5A"/>
    <w:rsid w:val="001B0BFE"/>
    <w:rsid w:val="001B0C12"/>
    <w:rsid w:val="001B1186"/>
    <w:rsid w:val="001B1211"/>
    <w:rsid w:val="001B1412"/>
    <w:rsid w:val="001B16A5"/>
    <w:rsid w:val="001B1D3A"/>
    <w:rsid w:val="001B1F96"/>
    <w:rsid w:val="001B28B8"/>
    <w:rsid w:val="001B340F"/>
    <w:rsid w:val="001B35D7"/>
    <w:rsid w:val="001B35EC"/>
    <w:rsid w:val="001B3644"/>
    <w:rsid w:val="001B3A9C"/>
    <w:rsid w:val="001B40A9"/>
    <w:rsid w:val="001B4358"/>
    <w:rsid w:val="001B484F"/>
    <w:rsid w:val="001B4AEE"/>
    <w:rsid w:val="001B5262"/>
    <w:rsid w:val="001B56CE"/>
    <w:rsid w:val="001B57FA"/>
    <w:rsid w:val="001B580F"/>
    <w:rsid w:val="001B5994"/>
    <w:rsid w:val="001B5D28"/>
    <w:rsid w:val="001B6054"/>
    <w:rsid w:val="001B6A0F"/>
    <w:rsid w:val="001B7438"/>
    <w:rsid w:val="001B7E19"/>
    <w:rsid w:val="001C01A0"/>
    <w:rsid w:val="001C0A1A"/>
    <w:rsid w:val="001C0A8E"/>
    <w:rsid w:val="001C0B91"/>
    <w:rsid w:val="001C0D33"/>
    <w:rsid w:val="001C0D8D"/>
    <w:rsid w:val="001C0DA4"/>
    <w:rsid w:val="001C1841"/>
    <w:rsid w:val="001C2147"/>
    <w:rsid w:val="001C3207"/>
    <w:rsid w:val="001C37C1"/>
    <w:rsid w:val="001C3B9A"/>
    <w:rsid w:val="001C4031"/>
    <w:rsid w:val="001C43ED"/>
    <w:rsid w:val="001C4D4D"/>
    <w:rsid w:val="001C4DBC"/>
    <w:rsid w:val="001C5169"/>
    <w:rsid w:val="001C536F"/>
    <w:rsid w:val="001C56A2"/>
    <w:rsid w:val="001C56FE"/>
    <w:rsid w:val="001C5B0F"/>
    <w:rsid w:val="001C5F66"/>
    <w:rsid w:val="001C5F75"/>
    <w:rsid w:val="001C6651"/>
    <w:rsid w:val="001C715B"/>
    <w:rsid w:val="001C73C0"/>
    <w:rsid w:val="001C752E"/>
    <w:rsid w:val="001D0D15"/>
    <w:rsid w:val="001D0F2B"/>
    <w:rsid w:val="001D12BF"/>
    <w:rsid w:val="001D1D9F"/>
    <w:rsid w:val="001D2766"/>
    <w:rsid w:val="001D28B7"/>
    <w:rsid w:val="001D29CB"/>
    <w:rsid w:val="001D2AF2"/>
    <w:rsid w:val="001D2B47"/>
    <w:rsid w:val="001D2FF7"/>
    <w:rsid w:val="001D3FE0"/>
    <w:rsid w:val="001D45DF"/>
    <w:rsid w:val="001D4DD9"/>
    <w:rsid w:val="001D598D"/>
    <w:rsid w:val="001D5DAE"/>
    <w:rsid w:val="001D6BAC"/>
    <w:rsid w:val="001D707C"/>
    <w:rsid w:val="001D7244"/>
    <w:rsid w:val="001D737B"/>
    <w:rsid w:val="001E0185"/>
    <w:rsid w:val="001E07F4"/>
    <w:rsid w:val="001E099D"/>
    <w:rsid w:val="001E0CCC"/>
    <w:rsid w:val="001E109C"/>
    <w:rsid w:val="001E13AB"/>
    <w:rsid w:val="001E167E"/>
    <w:rsid w:val="001E1C2A"/>
    <w:rsid w:val="001E1C80"/>
    <w:rsid w:val="001E210D"/>
    <w:rsid w:val="001E23BC"/>
    <w:rsid w:val="001E2524"/>
    <w:rsid w:val="001E25AD"/>
    <w:rsid w:val="001E2A0D"/>
    <w:rsid w:val="001E2A25"/>
    <w:rsid w:val="001E2C56"/>
    <w:rsid w:val="001E30E0"/>
    <w:rsid w:val="001E3253"/>
    <w:rsid w:val="001E364B"/>
    <w:rsid w:val="001E4ADA"/>
    <w:rsid w:val="001E510B"/>
    <w:rsid w:val="001E5445"/>
    <w:rsid w:val="001E65C3"/>
    <w:rsid w:val="001E6D74"/>
    <w:rsid w:val="001E77C6"/>
    <w:rsid w:val="001E7EF1"/>
    <w:rsid w:val="001F01A4"/>
    <w:rsid w:val="001F0577"/>
    <w:rsid w:val="001F0608"/>
    <w:rsid w:val="001F06A9"/>
    <w:rsid w:val="001F1389"/>
    <w:rsid w:val="001F1707"/>
    <w:rsid w:val="001F1AA9"/>
    <w:rsid w:val="001F222C"/>
    <w:rsid w:val="001F293C"/>
    <w:rsid w:val="001F29A6"/>
    <w:rsid w:val="001F333F"/>
    <w:rsid w:val="001F34C8"/>
    <w:rsid w:val="001F3C89"/>
    <w:rsid w:val="001F44A7"/>
    <w:rsid w:val="001F499B"/>
    <w:rsid w:val="001F515A"/>
    <w:rsid w:val="001F534C"/>
    <w:rsid w:val="001F5729"/>
    <w:rsid w:val="001F5829"/>
    <w:rsid w:val="001F5CD7"/>
    <w:rsid w:val="001F6091"/>
    <w:rsid w:val="001F63E1"/>
    <w:rsid w:val="001F6571"/>
    <w:rsid w:val="001F6756"/>
    <w:rsid w:val="001F6B99"/>
    <w:rsid w:val="001F7AA2"/>
    <w:rsid w:val="001F7AF2"/>
    <w:rsid w:val="0020028E"/>
    <w:rsid w:val="002006AA"/>
    <w:rsid w:val="0020073F"/>
    <w:rsid w:val="0020098F"/>
    <w:rsid w:val="00200AD8"/>
    <w:rsid w:val="00201E61"/>
    <w:rsid w:val="00201E84"/>
    <w:rsid w:val="00202454"/>
    <w:rsid w:val="00202938"/>
    <w:rsid w:val="00202A5F"/>
    <w:rsid w:val="00203017"/>
    <w:rsid w:val="00203190"/>
    <w:rsid w:val="002034D3"/>
    <w:rsid w:val="002036EC"/>
    <w:rsid w:val="0020375F"/>
    <w:rsid w:val="0020377A"/>
    <w:rsid w:val="00203853"/>
    <w:rsid w:val="00203A47"/>
    <w:rsid w:val="00203CBA"/>
    <w:rsid w:val="002042BB"/>
    <w:rsid w:val="00204893"/>
    <w:rsid w:val="00204ADE"/>
    <w:rsid w:val="00205D87"/>
    <w:rsid w:val="00206350"/>
    <w:rsid w:val="002065D7"/>
    <w:rsid w:val="002076FA"/>
    <w:rsid w:val="0020779A"/>
    <w:rsid w:val="002079D6"/>
    <w:rsid w:val="00207C5E"/>
    <w:rsid w:val="00210912"/>
    <w:rsid w:val="00210952"/>
    <w:rsid w:val="00210E27"/>
    <w:rsid w:val="00210F47"/>
    <w:rsid w:val="00211149"/>
    <w:rsid w:val="00211214"/>
    <w:rsid w:val="002118D0"/>
    <w:rsid w:val="0021230A"/>
    <w:rsid w:val="0021254F"/>
    <w:rsid w:val="00212C42"/>
    <w:rsid w:val="00212EB5"/>
    <w:rsid w:val="00213495"/>
    <w:rsid w:val="002137B6"/>
    <w:rsid w:val="00214824"/>
    <w:rsid w:val="002148A4"/>
    <w:rsid w:val="00214FC9"/>
    <w:rsid w:val="00215A65"/>
    <w:rsid w:val="00215DBF"/>
    <w:rsid w:val="00216782"/>
    <w:rsid w:val="00216937"/>
    <w:rsid w:val="002169ED"/>
    <w:rsid w:val="00216BAA"/>
    <w:rsid w:val="00216C71"/>
    <w:rsid w:val="00217A32"/>
    <w:rsid w:val="00217C3E"/>
    <w:rsid w:val="00217C7B"/>
    <w:rsid w:val="00220524"/>
    <w:rsid w:val="002205E4"/>
    <w:rsid w:val="00220C4A"/>
    <w:rsid w:val="00221BE4"/>
    <w:rsid w:val="00222075"/>
    <w:rsid w:val="00222309"/>
    <w:rsid w:val="0022247E"/>
    <w:rsid w:val="00222856"/>
    <w:rsid w:val="002229F6"/>
    <w:rsid w:val="00223146"/>
    <w:rsid w:val="00224A47"/>
    <w:rsid w:val="00225103"/>
    <w:rsid w:val="0022525B"/>
    <w:rsid w:val="0022561E"/>
    <w:rsid w:val="00225BB9"/>
    <w:rsid w:val="00225C14"/>
    <w:rsid w:val="00225CAA"/>
    <w:rsid w:val="00225FE2"/>
    <w:rsid w:val="002265FA"/>
    <w:rsid w:val="00226DF4"/>
    <w:rsid w:val="002270C8"/>
    <w:rsid w:val="00227241"/>
    <w:rsid w:val="00227C0E"/>
    <w:rsid w:val="0023047A"/>
    <w:rsid w:val="0023047D"/>
    <w:rsid w:val="0023060E"/>
    <w:rsid w:val="002307FA"/>
    <w:rsid w:val="00230CBF"/>
    <w:rsid w:val="00230FA5"/>
    <w:rsid w:val="00231BDD"/>
    <w:rsid w:val="00232153"/>
    <w:rsid w:val="002323B5"/>
    <w:rsid w:val="002328A6"/>
    <w:rsid w:val="00232943"/>
    <w:rsid w:val="00232992"/>
    <w:rsid w:val="00232A02"/>
    <w:rsid w:val="00233126"/>
    <w:rsid w:val="00233148"/>
    <w:rsid w:val="00233321"/>
    <w:rsid w:val="00233544"/>
    <w:rsid w:val="002338E9"/>
    <w:rsid w:val="00233E25"/>
    <w:rsid w:val="00233F62"/>
    <w:rsid w:val="0023409A"/>
    <w:rsid w:val="0023454B"/>
    <w:rsid w:val="002346B3"/>
    <w:rsid w:val="0023477C"/>
    <w:rsid w:val="002347A7"/>
    <w:rsid w:val="00234CAC"/>
    <w:rsid w:val="0023534A"/>
    <w:rsid w:val="002356D1"/>
    <w:rsid w:val="00235E01"/>
    <w:rsid w:val="002362C1"/>
    <w:rsid w:val="002362FF"/>
    <w:rsid w:val="002363B6"/>
    <w:rsid w:val="0023640D"/>
    <w:rsid w:val="00237014"/>
    <w:rsid w:val="00237596"/>
    <w:rsid w:val="00237FFB"/>
    <w:rsid w:val="002402D6"/>
    <w:rsid w:val="00240B01"/>
    <w:rsid w:val="00240E69"/>
    <w:rsid w:val="0024117E"/>
    <w:rsid w:val="00241EB7"/>
    <w:rsid w:val="002423F6"/>
    <w:rsid w:val="00242863"/>
    <w:rsid w:val="002429CE"/>
    <w:rsid w:val="00242DC7"/>
    <w:rsid w:val="00242FD2"/>
    <w:rsid w:val="002434AF"/>
    <w:rsid w:val="002447C6"/>
    <w:rsid w:val="00244F5D"/>
    <w:rsid w:val="00245127"/>
    <w:rsid w:val="0024542C"/>
    <w:rsid w:val="00245463"/>
    <w:rsid w:val="0024553F"/>
    <w:rsid w:val="00245594"/>
    <w:rsid w:val="00246935"/>
    <w:rsid w:val="00247B1E"/>
    <w:rsid w:val="00247CB6"/>
    <w:rsid w:val="00250003"/>
    <w:rsid w:val="00250E38"/>
    <w:rsid w:val="00251147"/>
    <w:rsid w:val="002512F3"/>
    <w:rsid w:val="002513E2"/>
    <w:rsid w:val="00251CAE"/>
    <w:rsid w:val="00251D78"/>
    <w:rsid w:val="00251DBA"/>
    <w:rsid w:val="00252AFA"/>
    <w:rsid w:val="00252C30"/>
    <w:rsid w:val="00253612"/>
    <w:rsid w:val="00253B40"/>
    <w:rsid w:val="00253B82"/>
    <w:rsid w:val="0025416C"/>
    <w:rsid w:val="00254871"/>
    <w:rsid w:val="002548A6"/>
    <w:rsid w:val="00254B68"/>
    <w:rsid w:val="00254B70"/>
    <w:rsid w:val="00255317"/>
    <w:rsid w:val="002554AD"/>
    <w:rsid w:val="002554FF"/>
    <w:rsid w:val="002559E5"/>
    <w:rsid w:val="00255A0B"/>
    <w:rsid w:val="00255DC2"/>
    <w:rsid w:val="00256B75"/>
    <w:rsid w:val="00256DA4"/>
    <w:rsid w:val="00256EB8"/>
    <w:rsid w:val="00256FE9"/>
    <w:rsid w:val="00256FFA"/>
    <w:rsid w:val="002570D3"/>
    <w:rsid w:val="002571BA"/>
    <w:rsid w:val="00257268"/>
    <w:rsid w:val="0025769C"/>
    <w:rsid w:val="0026056F"/>
    <w:rsid w:val="002607B0"/>
    <w:rsid w:val="00261289"/>
    <w:rsid w:val="002617E3"/>
    <w:rsid w:val="00262076"/>
    <w:rsid w:val="00262224"/>
    <w:rsid w:val="00262742"/>
    <w:rsid w:val="0026289B"/>
    <w:rsid w:val="00263494"/>
    <w:rsid w:val="00263949"/>
    <w:rsid w:val="00264159"/>
    <w:rsid w:val="002642D2"/>
    <w:rsid w:val="002647DC"/>
    <w:rsid w:val="0026564C"/>
    <w:rsid w:val="00266481"/>
    <w:rsid w:val="002667DB"/>
    <w:rsid w:val="0026690E"/>
    <w:rsid w:val="00266EC7"/>
    <w:rsid w:val="00267225"/>
    <w:rsid w:val="002674AA"/>
    <w:rsid w:val="00267539"/>
    <w:rsid w:val="00267C29"/>
    <w:rsid w:val="002700FE"/>
    <w:rsid w:val="002714B9"/>
    <w:rsid w:val="00271745"/>
    <w:rsid w:val="0027177A"/>
    <w:rsid w:val="00272717"/>
    <w:rsid w:val="00272789"/>
    <w:rsid w:val="0027282F"/>
    <w:rsid w:val="002729F3"/>
    <w:rsid w:val="00272EE2"/>
    <w:rsid w:val="002737E0"/>
    <w:rsid w:val="00273D52"/>
    <w:rsid w:val="00273E61"/>
    <w:rsid w:val="002743A9"/>
    <w:rsid w:val="00274499"/>
    <w:rsid w:val="002752BF"/>
    <w:rsid w:val="002753DA"/>
    <w:rsid w:val="0027553B"/>
    <w:rsid w:val="00275B3D"/>
    <w:rsid w:val="00275EA6"/>
    <w:rsid w:val="0027609C"/>
    <w:rsid w:val="00276216"/>
    <w:rsid w:val="00276512"/>
    <w:rsid w:val="002768CD"/>
    <w:rsid w:val="0027711C"/>
    <w:rsid w:val="0027730C"/>
    <w:rsid w:val="00280150"/>
    <w:rsid w:val="002808AE"/>
    <w:rsid w:val="00280D27"/>
    <w:rsid w:val="00281072"/>
    <w:rsid w:val="002812A6"/>
    <w:rsid w:val="00281402"/>
    <w:rsid w:val="0028229B"/>
    <w:rsid w:val="002825D2"/>
    <w:rsid w:val="00282CCC"/>
    <w:rsid w:val="00282DE6"/>
    <w:rsid w:val="00283998"/>
    <w:rsid w:val="00283B2C"/>
    <w:rsid w:val="00283E10"/>
    <w:rsid w:val="00283FC0"/>
    <w:rsid w:val="00284420"/>
    <w:rsid w:val="00284575"/>
    <w:rsid w:val="00284596"/>
    <w:rsid w:val="00284667"/>
    <w:rsid w:val="00285842"/>
    <w:rsid w:val="0028591B"/>
    <w:rsid w:val="00285C88"/>
    <w:rsid w:val="00285CAA"/>
    <w:rsid w:val="00286721"/>
    <w:rsid w:val="002871B8"/>
    <w:rsid w:val="00287353"/>
    <w:rsid w:val="00287365"/>
    <w:rsid w:val="0029010F"/>
    <w:rsid w:val="0029024A"/>
    <w:rsid w:val="00290519"/>
    <w:rsid w:val="00291592"/>
    <w:rsid w:val="002917B3"/>
    <w:rsid w:val="00291D9C"/>
    <w:rsid w:val="002927C3"/>
    <w:rsid w:val="00292A8C"/>
    <w:rsid w:val="00292B90"/>
    <w:rsid w:val="00293486"/>
    <w:rsid w:val="00293F28"/>
    <w:rsid w:val="00294150"/>
    <w:rsid w:val="002954C5"/>
    <w:rsid w:val="00295567"/>
    <w:rsid w:val="00295F07"/>
    <w:rsid w:val="002962E0"/>
    <w:rsid w:val="00296B88"/>
    <w:rsid w:val="00297235"/>
    <w:rsid w:val="00297427"/>
    <w:rsid w:val="00297463"/>
    <w:rsid w:val="00297757"/>
    <w:rsid w:val="00297EEA"/>
    <w:rsid w:val="002A02E0"/>
    <w:rsid w:val="002A1320"/>
    <w:rsid w:val="002A1380"/>
    <w:rsid w:val="002A1537"/>
    <w:rsid w:val="002A162B"/>
    <w:rsid w:val="002A1A1E"/>
    <w:rsid w:val="002A1C62"/>
    <w:rsid w:val="002A1EC9"/>
    <w:rsid w:val="002A205E"/>
    <w:rsid w:val="002A20B8"/>
    <w:rsid w:val="002A229D"/>
    <w:rsid w:val="002A2306"/>
    <w:rsid w:val="002A25A0"/>
    <w:rsid w:val="002A28BB"/>
    <w:rsid w:val="002A2A1F"/>
    <w:rsid w:val="002A3073"/>
    <w:rsid w:val="002A30AB"/>
    <w:rsid w:val="002A3130"/>
    <w:rsid w:val="002A3ACA"/>
    <w:rsid w:val="002A3F23"/>
    <w:rsid w:val="002A4C83"/>
    <w:rsid w:val="002A4DD8"/>
    <w:rsid w:val="002A5110"/>
    <w:rsid w:val="002A5343"/>
    <w:rsid w:val="002A66E4"/>
    <w:rsid w:val="002A68D4"/>
    <w:rsid w:val="002A767D"/>
    <w:rsid w:val="002A7718"/>
    <w:rsid w:val="002A7875"/>
    <w:rsid w:val="002A7A16"/>
    <w:rsid w:val="002A7EDE"/>
    <w:rsid w:val="002B025C"/>
    <w:rsid w:val="002B10E4"/>
    <w:rsid w:val="002B1659"/>
    <w:rsid w:val="002B169A"/>
    <w:rsid w:val="002B197A"/>
    <w:rsid w:val="002B1B24"/>
    <w:rsid w:val="002B1C26"/>
    <w:rsid w:val="002B2A75"/>
    <w:rsid w:val="002B36AD"/>
    <w:rsid w:val="002B39FB"/>
    <w:rsid w:val="002B3F81"/>
    <w:rsid w:val="002B4023"/>
    <w:rsid w:val="002B4742"/>
    <w:rsid w:val="002B49FD"/>
    <w:rsid w:val="002B5186"/>
    <w:rsid w:val="002B539E"/>
    <w:rsid w:val="002B64F3"/>
    <w:rsid w:val="002B6B61"/>
    <w:rsid w:val="002B6C3D"/>
    <w:rsid w:val="002B6DAB"/>
    <w:rsid w:val="002B75B0"/>
    <w:rsid w:val="002B7759"/>
    <w:rsid w:val="002B7AE0"/>
    <w:rsid w:val="002B7B35"/>
    <w:rsid w:val="002B7B5E"/>
    <w:rsid w:val="002C0391"/>
    <w:rsid w:val="002C053C"/>
    <w:rsid w:val="002C06AC"/>
    <w:rsid w:val="002C06E2"/>
    <w:rsid w:val="002C0EEC"/>
    <w:rsid w:val="002C1142"/>
    <w:rsid w:val="002C163F"/>
    <w:rsid w:val="002C2632"/>
    <w:rsid w:val="002C279F"/>
    <w:rsid w:val="002C2A69"/>
    <w:rsid w:val="002C3677"/>
    <w:rsid w:val="002C3800"/>
    <w:rsid w:val="002C3ADF"/>
    <w:rsid w:val="002C3B44"/>
    <w:rsid w:val="002C3D42"/>
    <w:rsid w:val="002C3DF3"/>
    <w:rsid w:val="002C4E79"/>
    <w:rsid w:val="002C51AD"/>
    <w:rsid w:val="002C56AF"/>
    <w:rsid w:val="002C5855"/>
    <w:rsid w:val="002C6096"/>
    <w:rsid w:val="002C635D"/>
    <w:rsid w:val="002C6820"/>
    <w:rsid w:val="002C7051"/>
    <w:rsid w:val="002C72BA"/>
    <w:rsid w:val="002C75E3"/>
    <w:rsid w:val="002C7CF8"/>
    <w:rsid w:val="002C7EC9"/>
    <w:rsid w:val="002D05FC"/>
    <w:rsid w:val="002D070B"/>
    <w:rsid w:val="002D1876"/>
    <w:rsid w:val="002D19A3"/>
    <w:rsid w:val="002D2118"/>
    <w:rsid w:val="002D22BE"/>
    <w:rsid w:val="002D272A"/>
    <w:rsid w:val="002D2A06"/>
    <w:rsid w:val="002D30AE"/>
    <w:rsid w:val="002D3276"/>
    <w:rsid w:val="002D3FB3"/>
    <w:rsid w:val="002D45D4"/>
    <w:rsid w:val="002D47EF"/>
    <w:rsid w:val="002D490C"/>
    <w:rsid w:val="002D49C5"/>
    <w:rsid w:val="002D4F90"/>
    <w:rsid w:val="002D51AA"/>
    <w:rsid w:val="002D51DF"/>
    <w:rsid w:val="002D5270"/>
    <w:rsid w:val="002D54A9"/>
    <w:rsid w:val="002D5BF7"/>
    <w:rsid w:val="002D60DB"/>
    <w:rsid w:val="002D6C2F"/>
    <w:rsid w:val="002D7209"/>
    <w:rsid w:val="002D767B"/>
    <w:rsid w:val="002D77DE"/>
    <w:rsid w:val="002D7DC4"/>
    <w:rsid w:val="002E08C8"/>
    <w:rsid w:val="002E1A5E"/>
    <w:rsid w:val="002E1C6F"/>
    <w:rsid w:val="002E2A0C"/>
    <w:rsid w:val="002E2DA8"/>
    <w:rsid w:val="002E353C"/>
    <w:rsid w:val="002E37F5"/>
    <w:rsid w:val="002E3CD5"/>
    <w:rsid w:val="002E3F9F"/>
    <w:rsid w:val="002E404A"/>
    <w:rsid w:val="002E4A1C"/>
    <w:rsid w:val="002E51CD"/>
    <w:rsid w:val="002E5633"/>
    <w:rsid w:val="002E568D"/>
    <w:rsid w:val="002E5939"/>
    <w:rsid w:val="002E5EE9"/>
    <w:rsid w:val="002E6365"/>
    <w:rsid w:val="002E6932"/>
    <w:rsid w:val="002E6D4C"/>
    <w:rsid w:val="002E701F"/>
    <w:rsid w:val="002E7944"/>
    <w:rsid w:val="002F0CC5"/>
    <w:rsid w:val="002F0F71"/>
    <w:rsid w:val="002F123F"/>
    <w:rsid w:val="002F2203"/>
    <w:rsid w:val="002F29EF"/>
    <w:rsid w:val="002F2EBC"/>
    <w:rsid w:val="002F3280"/>
    <w:rsid w:val="002F34C6"/>
    <w:rsid w:val="002F3528"/>
    <w:rsid w:val="002F392E"/>
    <w:rsid w:val="002F3A9E"/>
    <w:rsid w:val="002F3C44"/>
    <w:rsid w:val="002F43C9"/>
    <w:rsid w:val="002F44D4"/>
    <w:rsid w:val="002F4A82"/>
    <w:rsid w:val="002F4E2B"/>
    <w:rsid w:val="002F511E"/>
    <w:rsid w:val="002F57FF"/>
    <w:rsid w:val="002F58AB"/>
    <w:rsid w:val="002F5A8D"/>
    <w:rsid w:val="002F68E1"/>
    <w:rsid w:val="002F693C"/>
    <w:rsid w:val="003005B2"/>
    <w:rsid w:val="00300F0D"/>
    <w:rsid w:val="0030109E"/>
    <w:rsid w:val="00301453"/>
    <w:rsid w:val="0030180D"/>
    <w:rsid w:val="00301F40"/>
    <w:rsid w:val="00301F98"/>
    <w:rsid w:val="00302587"/>
    <w:rsid w:val="00302895"/>
    <w:rsid w:val="00303110"/>
    <w:rsid w:val="0030360A"/>
    <w:rsid w:val="00303733"/>
    <w:rsid w:val="00303811"/>
    <w:rsid w:val="00303945"/>
    <w:rsid w:val="00303D77"/>
    <w:rsid w:val="0030400A"/>
    <w:rsid w:val="00304418"/>
    <w:rsid w:val="00305959"/>
    <w:rsid w:val="00305B1A"/>
    <w:rsid w:val="0030660E"/>
    <w:rsid w:val="00306A00"/>
    <w:rsid w:val="00306AC2"/>
    <w:rsid w:val="0030771B"/>
    <w:rsid w:val="00307A43"/>
    <w:rsid w:val="00307F77"/>
    <w:rsid w:val="00310604"/>
    <w:rsid w:val="00310860"/>
    <w:rsid w:val="0031089E"/>
    <w:rsid w:val="003108BD"/>
    <w:rsid w:val="00310BD1"/>
    <w:rsid w:val="00310F4F"/>
    <w:rsid w:val="003115BA"/>
    <w:rsid w:val="00311CF1"/>
    <w:rsid w:val="00312130"/>
    <w:rsid w:val="00312B6E"/>
    <w:rsid w:val="00312E48"/>
    <w:rsid w:val="0031354E"/>
    <w:rsid w:val="00313A6B"/>
    <w:rsid w:val="00313EF9"/>
    <w:rsid w:val="00314148"/>
    <w:rsid w:val="00314761"/>
    <w:rsid w:val="00315C44"/>
    <w:rsid w:val="00316727"/>
    <w:rsid w:val="00317162"/>
    <w:rsid w:val="00317660"/>
    <w:rsid w:val="00317A6B"/>
    <w:rsid w:val="00317BC8"/>
    <w:rsid w:val="00317D05"/>
    <w:rsid w:val="00317FA4"/>
    <w:rsid w:val="00317FDA"/>
    <w:rsid w:val="00320CD0"/>
    <w:rsid w:val="0032116C"/>
    <w:rsid w:val="00322181"/>
    <w:rsid w:val="00322A59"/>
    <w:rsid w:val="00322ECC"/>
    <w:rsid w:val="00323260"/>
    <w:rsid w:val="00323A24"/>
    <w:rsid w:val="00323F5A"/>
    <w:rsid w:val="003243C6"/>
    <w:rsid w:val="00324788"/>
    <w:rsid w:val="00324935"/>
    <w:rsid w:val="00324D69"/>
    <w:rsid w:val="00325F24"/>
    <w:rsid w:val="00326467"/>
    <w:rsid w:val="0032659C"/>
    <w:rsid w:val="00326990"/>
    <w:rsid w:val="00326BBD"/>
    <w:rsid w:val="00326D10"/>
    <w:rsid w:val="0032724A"/>
    <w:rsid w:val="003272FC"/>
    <w:rsid w:val="00327A24"/>
    <w:rsid w:val="00327C0D"/>
    <w:rsid w:val="003305C4"/>
    <w:rsid w:val="00331104"/>
    <w:rsid w:val="00331111"/>
    <w:rsid w:val="00331241"/>
    <w:rsid w:val="003318CF"/>
    <w:rsid w:val="0033203B"/>
    <w:rsid w:val="00332A06"/>
    <w:rsid w:val="00332B13"/>
    <w:rsid w:val="003330EC"/>
    <w:rsid w:val="00333118"/>
    <w:rsid w:val="003331E3"/>
    <w:rsid w:val="003332F7"/>
    <w:rsid w:val="003338AF"/>
    <w:rsid w:val="00333B43"/>
    <w:rsid w:val="00333CDB"/>
    <w:rsid w:val="00333ED6"/>
    <w:rsid w:val="00333F12"/>
    <w:rsid w:val="00334043"/>
    <w:rsid w:val="00334110"/>
    <w:rsid w:val="0033453C"/>
    <w:rsid w:val="00334CC7"/>
    <w:rsid w:val="00335137"/>
    <w:rsid w:val="003352E2"/>
    <w:rsid w:val="0033577B"/>
    <w:rsid w:val="003359FC"/>
    <w:rsid w:val="0033613D"/>
    <w:rsid w:val="0033673F"/>
    <w:rsid w:val="00337B72"/>
    <w:rsid w:val="00341ECB"/>
    <w:rsid w:val="0034201E"/>
    <w:rsid w:val="0034218C"/>
    <w:rsid w:val="0034245D"/>
    <w:rsid w:val="003428A7"/>
    <w:rsid w:val="0034385D"/>
    <w:rsid w:val="00343B08"/>
    <w:rsid w:val="00343F0D"/>
    <w:rsid w:val="003440AE"/>
    <w:rsid w:val="00344A99"/>
    <w:rsid w:val="00344F3B"/>
    <w:rsid w:val="00345101"/>
    <w:rsid w:val="003456CF"/>
    <w:rsid w:val="00345B14"/>
    <w:rsid w:val="00345BF2"/>
    <w:rsid w:val="00345F2B"/>
    <w:rsid w:val="003469C7"/>
    <w:rsid w:val="00346E82"/>
    <w:rsid w:val="003473BC"/>
    <w:rsid w:val="003476CD"/>
    <w:rsid w:val="00347AFA"/>
    <w:rsid w:val="0035053E"/>
    <w:rsid w:val="00350788"/>
    <w:rsid w:val="00350E37"/>
    <w:rsid w:val="00350F79"/>
    <w:rsid w:val="00351136"/>
    <w:rsid w:val="003513F8"/>
    <w:rsid w:val="003515C2"/>
    <w:rsid w:val="00351693"/>
    <w:rsid w:val="00351A7B"/>
    <w:rsid w:val="00351EAA"/>
    <w:rsid w:val="00352B48"/>
    <w:rsid w:val="003530CE"/>
    <w:rsid w:val="00353791"/>
    <w:rsid w:val="00354A84"/>
    <w:rsid w:val="00354F0C"/>
    <w:rsid w:val="003552F0"/>
    <w:rsid w:val="00355499"/>
    <w:rsid w:val="003557BF"/>
    <w:rsid w:val="00356003"/>
    <w:rsid w:val="0035602C"/>
    <w:rsid w:val="003562DA"/>
    <w:rsid w:val="0035641F"/>
    <w:rsid w:val="0035677D"/>
    <w:rsid w:val="00356813"/>
    <w:rsid w:val="003569E0"/>
    <w:rsid w:val="00357204"/>
    <w:rsid w:val="00357886"/>
    <w:rsid w:val="00357A32"/>
    <w:rsid w:val="00357D69"/>
    <w:rsid w:val="00357FAB"/>
    <w:rsid w:val="00360159"/>
    <w:rsid w:val="003602ED"/>
    <w:rsid w:val="003603B6"/>
    <w:rsid w:val="00360613"/>
    <w:rsid w:val="00360D67"/>
    <w:rsid w:val="00361464"/>
    <w:rsid w:val="003616B5"/>
    <w:rsid w:val="003616D3"/>
    <w:rsid w:val="00361A80"/>
    <w:rsid w:val="00361C93"/>
    <w:rsid w:val="00362196"/>
    <w:rsid w:val="0036363A"/>
    <w:rsid w:val="00363861"/>
    <w:rsid w:val="00363B8A"/>
    <w:rsid w:val="00363BC4"/>
    <w:rsid w:val="00364326"/>
    <w:rsid w:val="003643D4"/>
    <w:rsid w:val="00364EE2"/>
    <w:rsid w:val="0036519A"/>
    <w:rsid w:val="003656EF"/>
    <w:rsid w:val="00365A81"/>
    <w:rsid w:val="0036602B"/>
    <w:rsid w:val="003665DC"/>
    <w:rsid w:val="00366B49"/>
    <w:rsid w:val="003675A5"/>
    <w:rsid w:val="00367C6C"/>
    <w:rsid w:val="00367CFD"/>
    <w:rsid w:val="0037009F"/>
    <w:rsid w:val="00370844"/>
    <w:rsid w:val="00370E9E"/>
    <w:rsid w:val="003711D7"/>
    <w:rsid w:val="00371916"/>
    <w:rsid w:val="00371AB9"/>
    <w:rsid w:val="00371BC6"/>
    <w:rsid w:val="00371C33"/>
    <w:rsid w:val="00371FB7"/>
    <w:rsid w:val="00372120"/>
    <w:rsid w:val="00372C96"/>
    <w:rsid w:val="00372CE8"/>
    <w:rsid w:val="00373275"/>
    <w:rsid w:val="003736C6"/>
    <w:rsid w:val="00373810"/>
    <w:rsid w:val="00373DBE"/>
    <w:rsid w:val="00374824"/>
    <w:rsid w:val="0037489A"/>
    <w:rsid w:val="00374B10"/>
    <w:rsid w:val="00374DE4"/>
    <w:rsid w:val="00375472"/>
    <w:rsid w:val="00375609"/>
    <w:rsid w:val="0037579B"/>
    <w:rsid w:val="00375BFB"/>
    <w:rsid w:val="00376226"/>
    <w:rsid w:val="003769FF"/>
    <w:rsid w:val="003770A2"/>
    <w:rsid w:val="00380641"/>
    <w:rsid w:val="00380CE1"/>
    <w:rsid w:val="00381720"/>
    <w:rsid w:val="00381815"/>
    <w:rsid w:val="00381C30"/>
    <w:rsid w:val="003820C8"/>
    <w:rsid w:val="00382105"/>
    <w:rsid w:val="0038215A"/>
    <w:rsid w:val="003821A1"/>
    <w:rsid w:val="003839FC"/>
    <w:rsid w:val="00383AB0"/>
    <w:rsid w:val="003849C0"/>
    <w:rsid w:val="0038508D"/>
    <w:rsid w:val="0038560B"/>
    <w:rsid w:val="0038561F"/>
    <w:rsid w:val="00385ED6"/>
    <w:rsid w:val="003861B1"/>
    <w:rsid w:val="0038640B"/>
    <w:rsid w:val="00386496"/>
    <w:rsid w:val="0038666A"/>
    <w:rsid w:val="00386CA8"/>
    <w:rsid w:val="00386D6C"/>
    <w:rsid w:val="00386E4E"/>
    <w:rsid w:val="00387357"/>
    <w:rsid w:val="003873FC"/>
    <w:rsid w:val="0038760D"/>
    <w:rsid w:val="003906DF"/>
    <w:rsid w:val="00390F41"/>
    <w:rsid w:val="0039153E"/>
    <w:rsid w:val="00391924"/>
    <w:rsid w:val="00391E98"/>
    <w:rsid w:val="00391EED"/>
    <w:rsid w:val="0039315A"/>
    <w:rsid w:val="00394048"/>
    <w:rsid w:val="00394352"/>
    <w:rsid w:val="00394699"/>
    <w:rsid w:val="00394D67"/>
    <w:rsid w:val="00396220"/>
    <w:rsid w:val="003962B3"/>
    <w:rsid w:val="0039672C"/>
    <w:rsid w:val="00396B06"/>
    <w:rsid w:val="00396D5A"/>
    <w:rsid w:val="003972EE"/>
    <w:rsid w:val="00397A4C"/>
    <w:rsid w:val="003A04AF"/>
    <w:rsid w:val="003A05E6"/>
    <w:rsid w:val="003A0D29"/>
    <w:rsid w:val="003A18F5"/>
    <w:rsid w:val="003A1A1A"/>
    <w:rsid w:val="003A1B52"/>
    <w:rsid w:val="003A1BA9"/>
    <w:rsid w:val="003A2431"/>
    <w:rsid w:val="003A2547"/>
    <w:rsid w:val="003A2584"/>
    <w:rsid w:val="003A2A34"/>
    <w:rsid w:val="003A2A48"/>
    <w:rsid w:val="003A2D47"/>
    <w:rsid w:val="003A2E74"/>
    <w:rsid w:val="003A3135"/>
    <w:rsid w:val="003A43EE"/>
    <w:rsid w:val="003A4907"/>
    <w:rsid w:val="003A5072"/>
    <w:rsid w:val="003A529D"/>
    <w:rsid w:val="003A52BA"/>
    <w:rsid w:val="003A5EC8"/>
    <w:rsid w:val="003A60DA"/>
    <w:rsid w:val="003A6209"/>
    <w:rsid w:val="003A6321"/>
    <w:rsid w:val="003A6648"/>
    <w:rsid w:val="003A6A25"/>
    <w:rsid w:val="003A7AEC"/>
    <w:rsid w:val="003A7B73"/>
    <w:rsid w:val="003A7C6E"/>
    <w:rsid w:val="003B116C"/>
    <w:rsid w:val="003B1ADE"/>
    <w:rsid w:val="003B1E22"/>
    <w:rsid w:val="003B208F"/>
    <w:rsid w:val="003B2293"/>
    <w:rsid w:val="003B2426"/>
    <w:rsid w:val="003B2A16"/>
    <w:rsid w:val="003B2AD6"/>
    <w:rsid w:val="003B2DCE"/>
    <w:rsid w:val="003B3133"/>
    <w:rsid w:val="003B37B4"/>
    <w:rsid w:val="003B4FC0"/>
    <w:rsid w:val="003B5516"/>
    <w:rsid w:val="003B5E8E"/>
    <w:rsid w:val="003B6048"/>
    <w:rsid w:val="003B6200"/>
    <w:rsid w:val="003B626C"/>
    <w:rsid w:val="003B62BC"/>
    <w:rsid w:val="003B661B"/>
    <w:rsid w:val="003B6DA3"/>
    <w:rsid w:val="003B7A5F"/>
    <w:rsid w:val="003B7CDA"/>
    <w:rsid w:val="003C0C6E"/>
    <w:rsid w:val="003C122E"/>
    <w:rsid w:val="003C179F"/>
    <w:rsid w:val="003C18D8"/>
    <w:rsid w:val="003C199B"/>
    <w:rsid w:val="003C19EE"/>
    <w:rsid w:val="003C1A87"/>
    <w:rsid w:val="003C1B8F"/>
    <w:rsid w:val="003C25B1"/>
    <w:rsid w:val="003C270E"/>
    <w:rsid w:val="003C2AFE"/>
    <w:rsid w:val="003C2CBC"/>
    <w:rsid w:val="003C2E02"/>
    <w:rsid w:val="003C38CD"/>
    <w:rsid w:val="003C39F7"/>
    <w:rsid w:val="003C3C4F"/>
    <w:rsid w:val="003C3D89"/>
    <w:rsid w:val="003C411D"/>
    <w:rsid w:val="003C4142"/>
    <w:rsid w:val="003C41D0"/>
    <w:rsid w:val="003C4A30"/>
    <w:rsid w:val="003C4B02"/>
    <w:rsid w:val="003C5697"/>
    <w:rsid w:val="003C5726"/>
    <w:rsid w:val="003C59AF"/>
    <w:rsid w:val="003C5C1C"/>
    <w:rsid w:val="003C7003"/>
    <w:rsid w:val="003C70BE"/>
    <w:rsid w:val="003C73F3"/>
    <w:rsid w:val="003C759C"/>
    <w:rsid w:val="003C75AB"/>
    <w:rsid w:val="003C7716"/>
    <w:rsid w:val="003D009E"/>
    <w:rsid w:val="003D0597"/>
    <w:rsid w:val="003D06D4"/>
    <w:rsid w:val="003D0BA4"/>
    <w:rsid w:val="003D11D5"/>
    <w:rsid w:val="003D126B"/>
    <w:rsid w:val="003D2022"/>
    <w:rsid w:val="003D2102"/>
    <w:rsid w:val="003D2181"/>
    <w:rsid w:val="003D2961"/>
    <w:rsid w:val="003D2964"/>
    <w:rsid w:val="003D2A7C"/>
    <w:rsid w:val="003D2EE3"/>
    <w:rsid w:val="003D31CA"/>
    <w:rsid w:val="003D3432"/>
    <w:rsid w:val="003D34EC"/>
    <w:rsid w:val="003D3B88"/>
    <w:rsid w:val="003D497A"/>
    <w:rsid w:val="003D5119"/>
    <w:rsid w:val="003D522E"/>
    <w:rsid w:val="003D54E1"/>
    <w:rsid w:val="003D5625"/>
    <w:rsid w:val="003D5D3B"/>
    <w:rsid w:val="003D5EFE"/>
    <w:rsid w:val="003D61F4"/>
    <w:rsid w:val="003D6911"/>
    <w:rsid w:val="003D69E0"/>
    <w:rsid w:val="003E0902"/>
    <w:rsid w:val="003E0BC3"/>
    <w:rsid w:val="003E0C3E"/>
    <w:rsid w:val="003E0EFA"/>
    <w:rsid w:val="003E108C"/>
    <w:rsid w:val="003E21E7"/>
    <w:rsid w:val="003E397C"/>
    <w:rsid w:val="003E4169"/>
    <w:rsid w:val="003E4299"/>
    <w:rsid w:val="003E4508"/>
    <w:rsid w:val="003E45EE"/>
    <w:rsid w:val="003E5446"/>
    <w:rsid w:val="003E5B73"/>
    <w:rsid w:val="003E6493"/>
    <w:rsid w:val="003E70EA"/>
    <w:rsid w:val="003E754F"/>
    <w:rsid w:val="003E7B36"/>
    <w:rsid w:val="003E7D9E"/>
    <w:rsid w:val="003E7F16"/>
    <w:rsid w:val="003F00F5"/>
    <w:rsid w:val="003F01A6"/>
    <w:rsid w:val="003F0416"/>
    <w:rsid w:val="003F04DB"/>
    <w:rsid w:val="003F0659"/>
    <w:rsid w:val="003F0898"/>
    <w:rsid w:val="003F122C"/>
    <w:rsid w:val="003F1A34"/>
    <w:rsid w:val="003F2561"/>
    <w:rsid w:val="003F3429"/>
    <w:rsid w:val="003F3E2A"/>
    <w:rsid w:val="003F3F18"/>
    <w:rsid w:val="003F4673"/>
    <w:rsid w:val="003F4B54"/>
    <w:rsid w:val="003F4E96"/>
    <w:rsid w:val="003F4F60"/>
    <w:rsid w:val="003F5651"/>
    <w:rsid w:val="003F5A4C"/>
    <w:rsid w:val="003F63CF"/>
    <w:rsid w:val="003F64A8"/>
    <w:rsid w:val="003F6A7F"/>
    <w:rsid w:val="003F707D"/>
    <w:rsid w:val="00400CD4"/>
    <w:rsid w:val="0040172E"/>
    <w:rsid w:val="00401FE1"/>
    <w:rsid w:val="00402A32"/>
    <w:rsid w:val="0040336F"/>
    <w:rsid w:val="004034AE"/>
    <w:rsid w:val="00403864"/>
    <w:rsid w:val="00404450"/>
    <w:rsid w:val="0040455E"/>
    <w:rsid w:val="00404937"/>
    <w:rsid w:val="00404E55"/>
    <w:rsid w:val="00405259"/>
    <w:rsid w:val="004052B1"/>
    <w:rsid w:val="00405761"/>
    <w:rsid w:val="00405BC1"/>
    <w:rsid w:val="0040655C"/>
    <w:rsid w:val="00406664"/>
    <w:rsid w:val="00406E4F"/>
    <w:rsid w:val="00407445"/>
    <w:rsid w:val="00407E8D"/>
    <w:rsid w:val="00407F86"/>
    <w:rsid w:val="0041050F"/>
    <w:rsid w:val="00410583"/>
    <w:rsid w:val="00410FA4"/>
    <w:rsid w:val="00411381"/>
    <w:rsid w:val="004113EB"/>
    <w:rsid w:val="004114C4"/>
    <w:rsid w:val="00411520"/>
    <w:rsid w:val="00411ABB"/>
    <w:rsid w:val="00411B29"/>
    <w:rsid w:val="00411CC9"/>
    <w:rsid w:val="00411FD7"/>
    <w:rsid w:val="00412090"/>
    <w:rsid w:val="004128BC"/>
    <w:rsid w:val="00412AEF"/>
    <w:rsid w:val="00412B99"/>
    <w:rsid w:val="00412BAE"/>
    <w:rsid w:val="00412CD2"/>
    <w:rsid w:val="00412F0E"/>
    <w:rsid w:val="004130CF"/>
    <w:rsid w:val="00413405"/>
    <w:rsid w:val="00413598"/>
    <w:rsid w:val="00413870"/>
    <w:rsid w:val="00414AF1"/>
    <w:rsid w:val="00415310"/>
    <w:rsid w:val="00415AB4"/>
    <w:rsid w:val="00415C51"/>
    <w:rsid w:val="00415D01"/>
    <w:rsid w:val="00415EF9"/>
    <w:rsid w:val="0041613D"/>
    <w:rsid w:val="004163F1"/>
    <w:rsid w:val="004168DA"/>
    <w:rsid w:val="0041697E"/>
    <w:rsid w:val="004169B9"/>
    <w:rsid w:val="00416FE9"/>
    <w:rsid w:val="00417582"/>
    <w:rsid w:val="0041762B"/>
    <w:rsid w:val="004176EB"/>
    <w:rsid w:val="004200E9"/>
    <w:rsid w:val="004206AC"/>
    <w:rsid w:val="00420809"/>
    <w:rsid w:val="00420927"/>
    <w:rsid w:val="00422836"/>
    <w:rsid w:val="00422B89"/>
    <w:rsid w:val="00422D8D"/>
    <w:rsid w:val="00422F29"/>
    <w:rsid w:val="004234BF"/>
    <w:rsid w:val="004252B9"/>
    <w:rsid w:val="004254B2"/>
    <w:rsid w:val="00425F1D"/>
    <w:rsid w:val="004269D1"/>
    <w:rsid w:val="00426CF6"/>
    <w:rsid w:val="004270C4"/>
    <w:rsid w:val="004271EA"/>
    <w:rsid w:val="0042743A"/>
    <w:rsid w:val="004274F3"/>
    <w:rsid w:val="00427620"/>
    <w:rsid w:val="00427DA7"/>
    <w:rsid w:val="00427E5D"/>
    <w:rsid w:val="00430AA6"/>
    <w:rsid w:val="00430DC1"/>
    <w:rsid w:val="004311B2"/>
    <w:rsid w:val="004312C4"/>
    <w:rsid w:val="00431520"/>
    <w:rsid w:val="00431BD7"/>
    <w:rsid w:val="00431C31"/>
    <w:rsid w:val="00431E9C"/>
    <w:rsid w:val="004320D8"/>
    <w:rsid w:val="00432A54"/>
    <w:rsid w:val="00432C88"/>
    <w:rsid w:val="00434E6E"/>
    <w:rsid w:val="00436A02"/>
    <w:rsid w:val="00436AF8"/>
    <w:rsid w:val="00436CCA"/>
    <w:rsid w:val="00436EB7"/>
    <w:rsid w:val="00436EED"/>
    <w:rsid w:val="00436FC0"/>
    <w:rsid w:val="0043741F"/>
    <w:rsid w:val="00437776"/>
    <w:rsid w:val="00437989"/>
    <w:rsid w:val="00437BD4"/>
    <w:rsid w:val="00437C74"/>
    <w:rsid w:val="00437FC8"/>
    <w:rsid w:val="0044003E"/>
    <w:rsid w:val="00440190"/>
    <w:rsid w:val="004402C9"/>
    <w:rsid w:val="00440609"/>
    <w:rsid w:val="004409F4"/>
    <w:rsid w:val="00440F11"/>
    <w:rsid w:val="00441341"/>
    <w:rsid w:val="00441D52"/>
    <w:rsid w:val="0044297E"/>
    <w:rsid w:val="004430CB"/>
    <w:rsid w:val="0044359A"/>
    <w:rsid w:val="00443BCB"/>
    <w:rsid w:val="004446F8"/>
    <w:rsid w:val="00444739"/>
    <w:rsid w:val="00444AEB"/>
    <w:rsid w:val="00444B21"/>
    <w:rsid w:val="00445403"/>
    <w:rsid w:val="004458C5"/>
    <w:rsid w:val="00446BE0"/>
    <w:rsid w:val="00446DC9"/>
    <w:rsid w:val="004472DD"/>
    <w:rsid w:val="004473BB"/>
    <w:rsid w:val="0044746E"/>
    <w:rsid w:val="004479BE"/>
    <w:rsid w:val="00447A8A"/>
    <w:rsid w:val="00447EBE"/>
    <w:rsid w:val="00447F4C"/>
    <w:rsid w:val="00450698"/>
    <w:rsid w:val="00450746"/>
    <w:rsid w:val="00450990"/>
    <w:rsid w:val="0045130C"/>
    <w:rsid w:val="00451330"/>
    <w:rsid w:val="00451B5E"/>
    <w:rsid w:val="00452554"/>
    <w:rsid w:val="004527D1"/>
    <w:rsid w:val="0045287D"/>
    <w:rsid w:val="0045298C"/>
    <w:rsid w:val="0045436F"/>
    <w:rsid w:val="00454DA9"/>
    <w:rsid w:val="004552D9"/>
    <w:rsid w:val="0045598D"/>
    <w:rsid w:val="00455BE0"/>
    <w:rsid w:val="004560BC"/>
    <w:rsid w:val="0045665F"/>
    <w:rsid w:val="0045775D"/>
    <w:rsid w:val="0045779F"/>
    <w:rsid w:val="00457C86"/>
    <w:rsid w:val="00457F1F"/>
    <w:rsid w:val="00460491"/>
    <w:rsid w:val="00461DF8"/>
    <w:rsid w:val="00461E8D"/>
    <w:rsid w:val="004627AC"/>
    <w:rsid w:val="00462B1F"/>
    <w:rsid w:val="00462F5C"/>
    <w:rsid w:val="0046339E"/>
    <w:rsid w:val="004635DD"/>
    <w:rsid w:val="00463BA0"/>
    <w:rsid w:val="00463FAE"/>
    <w:rsid w:val="00464AA6"/>
    <w:rsid w:val="00464D96"/>
    <w:rsid w:val="00464F0A"/>
    <w:rsid w:val="0046505E"/>
    <w:rsid w:val="00465342"/>
    <w:rsid w:val="0046556F"/>
    <w:rsid w:val="0046593B"/>
    <w:rsid w:val="00465D61"/>
    <w:rsid w:val="004665FE"/>
    <w:rsid w:val="004666AB"/>
    <w:rsid w:val="00466C17"/>
    <w:rsid w:val="00466E68"/>
    <w:rsid w:val="004673B7"/>
    <w:rsid w:val="004702D1"/>
    <w:rsid w:val="004705E6"/>
    <w:rsid w:val="00471055"/>
    <w:rsid w:val="004719A0"/>
    <w:rsid w:val="004722D8"/>
    <w:rsid w:val="00472D12"/>
    <w:rsid w:val="00472E0B"/>
    <w:rsid w:val="00473181"/>
    <w:rsid w:val="0047359E"/>
    <w:rsid w:val="0047387A"/>
    <w:rsid w:val="004739CD"/>
    <w:rsid w:val="004745F1"/>
    <w:rsid w:val="00475113"/>
    <w:rsid w:val="00475424"/>
    <w:rsid w:val="00475543"/>
    <w:rsid w:val="00475AE5"/>
    <w:rsid w:val="0047627A"/>
    <w:rsid w:val="004764FF"/>
    <w:rsid w:val="00476534"/>
    <w:rsid w:val="00476B6C"/>
    <w:rsid w:val="004773D2"/>
    <w:rsid w:val="004777CF"/>
    <w:rsid w:val="00477A23"/>
    <w:rsid w:val="00477C52"/>
    <w:rsid w:val="00477D15"/>
    <w:rsid w:val="0048005D"/>
    <w:rsid w:val="004805AC"/>
    <w:rsid w:val="004806E9"/>
    <w:rsid w:val="00480AB5"/>
    <w:rsid w:val="00480F31"/>
    <w:rsid w:val="004810A1"/>
    <w:rsid w:val="004812BE"/>
    <w:rsid w:val="004814C9"/>
    <w:rsid w:val="0048158A"/>
    <w:rsid w:val="004818E2"/>
    <w:rsid w:val="00481A94"/>
    <w:rsid w:val="00481B66"/>
    <w:rsid w:val="0048200F"/>
    <w:rsid w:val="004829AC"/>
    <w:rsid w:val="00482A6F"/>
    <w:rsid w:val="00482F17"/>
    <w:rsid w:val="00483622"/>
    <w:rsid w:val="00483D65"/>
    <w:rsid w:val="00484007"/>
    <w:rsid w:val="004842A3"/>
    <w:rsid w:val="0048461C"/>
    <w:rsid w:val="00484652"/>
    <w:rsid w:val="00484A60"/>
    <w:rsid w:val="00484C09"/>
    <w:rsid w:val="00484D5E"/>
    <w:rsid w:val="0048528C"/>
    <w:rsid w:val="00485507"/>
    <w:rsid w:val="00485792"/>
    <w:rsid w:val="00487108"/>
    <w:rsid w:val="00487408"/>
    <w:rsid w:val="004874DD"/>
    <w:rsid w:val="0048791C"/>
    <w:rsid w:val="00487989"/>
    <w:rsid w:val="00487C56"/>
    <w:rsid w:val="00487E13"/>
    <w:rsid w:val="00487E9C"/>
    <w:rsid w:val="00490107"/>
    <w:rsid w:val="00490143"/>
    <w:rsid w:val="004901F0"/>
    <w:rsid w:val="00490249"/>
    <w:rsid w:val="00490824"/>
    <w:rsid w:val="004908D3"/>
    <w:rsid w:val="00491815"/>
    <w:rsid w:val="004918C9"/>
    <w:rsid w:val="00492047"/>
    <w:rsid w:val="00492641"/>
    <w:rsid w:val="00492E55"/>
    <w:rsid w:val="00492FBC"/>
    <w:rsid w:val="00493157"/>
    <w:rsid w:val="0049340D"/>
    <w:rsid w:val="0049369D"/>
    <w:rsid w:val="004939C9"/>
    <w:rsid w:val="00493E69"/>
    <w:rsid w:val="00493F87"/>
    <w:rsid w:val="00494552"/>
    <w:rsid w:val="00494D3E"/>
    <w:rsid w:val="00495510"/>
    <w:rsid w:val="00495552"/>
    <w:rsid w:val="00495832"/>
    <w:rsid w:val="00496B13"/>
    <w:rsid w:val="00496D95"/>
    <w:rsid w:val="00496FA2"/>
    <w:rsid w:val="0049733A"/>
    <w:rsid w:val="004977EC"/>
    <w:rsid w:val="004A01C9"/>
    <w:rsid w:val="004A039E"/>
    <w:rsid w:val="004A0C7C"/>
    <w:rsid w:val="004A1282"/>
    <w:rsid w:val="004A16C6"/>
    <w:rsid w:val="004A1A06"/>
    <w:rsid w:val="004A1A1E"/>
    <w:rsid w:val="004A24B5"/>
    <w:rsid w:val="004A31EE"/>
    <w:rsid w:val="004A32B9"/>
    <w:rsid w:val="004A392A"/>
    <w:rsid w:val="004A3A84"/>
    <w:rsid w:val="004A3C7D"/>
    <w:rsid w:val="004A3F91"/>
    <w:rsid w:val="004A43BB"/>
    <w:rsid w:val="004A44AB"/>
    <w:rsid w:val="004A4825"/>
    <w:rsid w:val="004A4A3B"/>
    <w:rsid w:val="004A4B6F"/>
    <w:rsid w:val="004A4C34"/>
    <w:rsid w:val="004A50ED"/>
    <w:rsid w:val="004A569C"/>
    <w:rsid w:val="004A5D21"/>
    <w:rsid w:val="004A6016"/>
    <w:rsid w:val="004A6A50"/>
    <w:rsid w:val="004A741F"/>
    <w:rsid w:val="004B0E3F"/>
    <w:rsid w:val="004B190E"/>
    <w:rsid w:val="004B19D1"/>
    <w:rsid w:val="004B2040"/>
    <w:rsid w:val="004B2289"/>
    <w:rsid w:val="004B30AE"/>
    <w:rsid w:val="004B333A"/>
    <w:rsid w:val="004B3795"/>
    <w:rsid w:val="004B3C21"/>
    <w:rsid w:val="004B3EFB"/>
    <w:rsid w:val="004B4078"/>
    <w:rsid w:val="004B489B"/>
    <w:rsid w:val="004B53ED"/>
    <w:rsid w:val="004B564F"/>
    <w:rsid w:val="004B5BCF"/>
    <w:rsid w:val="004B5BD3"/>
    <w:rsid w:val="004B5CAE"/>
    <w:rsid w:val="004B5D7D"/>
    <w:rsid w:val="004B5FF6"/>
    <w:rsid w:val="004B6371"/>
    <w:rsid w:val="004B6421"/>
    <w:rsid w:val="004B64E0"/>
    <w:rsid w:val="004B6676"/>
    <w:rsid w:val="004B6888"/>
    <w:rsid w:val="004B6909"/>
    <w:rsid w:val="004B6A23"/>
    <w:rsid w:val="004B6DFC"/>
    <w:rsid w:val="004C04F8"/>
    <w:rsid w:val="004C24C1"/>
    <w:rsid w:val="004C2CCE"/>
    <w:rsid w:val="004C2F49"/>
    <w:rsid w:val="004C2F70"/>
    <w:rsid w:val="004C2F8E"/>
    <w:rsid w:val="004C316C"/>
    <w:rsid w:val="004C3315"/>
    <w:rsid w:val="004C36BB"/>
    <w:rsid w:val="004C39EF"/>
    <w:rsid w:val="004C3ECA"/>
    <w:rsid w:val="004C3F10"/>
    <w:rsid w:val="004C4109"/>
    <w:rsid w:val="004C4111"/>
    <w:rsid w:val="004C4188"/>
    <w:rsid w:val="004C4EC6"/>
    <w:rsid w:val="004C554A"/>
    <w:rsid w:val="004C5779"/>
    <w:rsid w:val="004C5941"/>
    <w:rsid w:val="004C5A00"/>
    <w:rsid w:val="004C5E36"/>
    <w:rsid w:val="004C66EB"/>
    <w:rsid w:val="004C6A3C"/>
    <w:rsid w:val="004C6D00"/>
    <w:rsid w:val="004C6E65"/>
    <w:rsid w:val="004C701B"/>
    <w:rsid w:val="004C7D13"/>
    <w:rsid w:val="004D045D"/>
    <w:rsid w:val="004D077C"/>
    <w:rsid w:val="004D0F40"/>
    <w:rsid w:val="004D16C3"/>
    <w:rsid w:val="004D174E"/>
    <w:rsid w:val="004D1858"/>
    <w:rsid w:val="004D1BC5"/>
    <w:rsid w:val="004D1C1B"/>
    <w:rsid w:val="004D208D"/>
    <w:rsid w:val="004D25BE"/>
    <w:rsid w:val="004D26CE"/>
    <w:rsid w:val="004D29CC"/>
    <w:rsid w:val="004D37DE"/>
    <w:rsid w:val="004D48DB"/>
    <w:rsid w:val="004D4C0A"/>
    <w:rsid w:val="004D5583"/>
    <w:rsid w:val="004D5609"/>
    <w:rsid w:val="004D595E"/>
    <w:rsid w:val="004D66B1"/>
    <w:rsid w:val="004D6925"/>
    <w:rsid w:val="004D70EF"/>
    <w:rsid w:val="004D7109"/>
    <w:rsid w:val="004D780B"/>
    <w:rsid w:val="004D782E"/>
    <w:rsid w:val="004D7C1B"/>
    <w:rsid w:val="004E037E"/>
    <w:rsid w:val="004E0442"/>
    <w:rsid w:val="004E063F"/>
    <w:rsid w:val="004E11B5"/>
    <w:rsid w:val="004E12AD"/>
    <w:rsid w:val="004E185D"/>
    <w:rsid w:val="004E19DB"/>
    <w:rsid w:val="004E1D6C"/>
    <w:rsid w:val="004E22FB"/>
    <w:rsid w:val="004E2704"/>
    <w:rsid w:val="004E2912"/>
    <w:rsid w:val="004E2B20"/>
    <w:rsid w:val="004E325C"/>
    <w:rsid w:val="004E37AE"/>
    <w:rsid w:val="004E3E8C"/>
    <w:rsid w:val="004E430A"/>
    <w:rsid w:val="004E4519"/>
    <w:rsid w:val="004E4647"/>
    <w:rsid w:val="004E491F"/>
    <w:rsid w:val="004E4DDC"/>
    <w:rsid w:val="004E4F66"/>
    <w:rsid w:val="004E5014"/>
    <w:rsid w:val="004E5094"/>
    <w:rsid w:val="004E75A8"/>
    <w:rsid w:val="004E7825"/>
    <w:rsid w:val="004E7F82"/>
    <w:rsid w:val="004F01C1"/>
    <w:rsid w:val="004F0A53"/>
    <w:rsid w:val="004F0BA4"/>
    <w:rsid w:val="004F0DF9"/>
    <w:rsid w:val="004F145B"/>
    <w:rsid w:val="004F16FF"/>
    <w:rsid w:val="004F1CD7"/>
    <w:rsid w:val="004F1EB6"/>
    <w:rsid w:val="004F1F59"/>
    <w:rsid w:val="004F21C5"/>
    <w:rsid w:val="004F28C6"/>
    <w:rsid w:val="004F3177"/>
    <w:rsid w:val="004F3529"/>
    <w:rsid w:val="004F4052"/>
    <w:rsid w:val="004F40DC"/>
    <w:rsid w:val="004F465F"/>
    <w:rsid w:val="004F496E"/>
    <w:rsid w:val="004F4C0E"/>
    <w:rsid w:val="004F5C05"/>
    <w:rsid w:val="004F5ED2"/>
    <w:rsid w:val="004F6068"/>
    <w:rsid w:val="004F62F8"/>
    <w:rsid w:val="004F638C"/>
    <w:rsid w:val="004F676A"/>
    <w:rsid w:val="004F7577"/>
    <w:rsid w:val="004F7DD6"/>
    <w:rsid w:val="004F7F7C"/>
    <w:rsid w:val="00500140"/>
    <w:rsid w:val="005001BA"/>
    <w:rsid w:val="005002D4"/>
    <w:rsid w:val="005004E0"/>
    <w:rsid w:val="00500821"/>
    <w:rsid w:val="005009A9"/>
    <w:rsid w:val="00500EF0"/>
    <w:rsid w:val="00500F9B"/>
    <w:rsid w:val="00501241"/>
    <w:rsid w:val="0050128A"/>
    <w:rsid w:val="0050132F"/>
    <w:rsid w:val="005013DA"/>
    <w:rsid w:val="005017CF"/>
    <w:rsid w:val="005018AF"/>
    <w:rsid w:val="00501933"/>
    <w:rsid w:val="0050197E"/>
    <w:rsid w:val="0050214C"/>
    <w:rsid w:val="0050349E"/>
    <w:rsid w:val="00503BB6"/>
    <w:rsid w:val="00503D43"/>
    <w:rsid w:val="00503D47"/>
    <w:rsid w:val="005043DB"/>
    <w:rsid w:val="005045E8"/>
    <w:rsid w:val="005045FA"/>
    <w:rsid w:val="00505099"/>
    <w:rsid w:val="00505300"/>
    <w:rsid w:val="005066DC"/>
    <w:rsid w:val="005067CF"/>
    <w:rsid w:val="00506AE9"/>
    <w:rsid w:val="00506FA1"/>
    <w:rsid w:val="00506FE6"/>
    <w:rsid w:val="005071EF"/>
    <w:rsid w:val="0050751C"/>
    <w:rsid w:val="00507788"/>
    <w:rsid w:val="00507993"/>
    <w:rsid w:val="00507B5F"/>
    <w:rsid w:val="00507C45"/>
    <w:rsid w:val="00510F4A"/>
    <w:rsid w:val="00510F59"/>
    <w:rsid w:val="005111ED"/>
    <w:rsid w:val="005115C1"/>
    <w:rsid w:val="0051172E"/>
    <w:rsid w:val="00511AFF"/>
    <w:rsid w:val="00511C77"/>
    <w:rsid w:val="00511D2C"/>
    <w:rsid w:val="00511F3F"/>
    <w:rsid w:val="005129B8"/>
    <w:rsid w:val="00512F1A"/>
    <w:rsid w:val="00513A69"/>
    <w:rsid w:val="00513F54"/>
    <w:rsid w:val="00514569"/>
    <w:rsid w:val="00514A9E"/>
    <w:rsid w:val="00514C8A"/>
    <w:rsid w:val="00514CD5"/>
    <w:rsid w:val="00515696"/>
    <w:rsid w:val="005159C3"/>
    <w:rsid w:val="00515B76"/>
    <w:rsid w:val="005160A7"/>
    <w:rsid w:val="005162D2"/>
    <w:rsid w:val="00516756"/>
    <w:rsid w:val="00516CFA"/>
    <w:rsid w:val="00517449"/>
    <w:rsid w:val="0051777C"/>
    <w:rsid w:val="00520198"/>
    <w:rsid w:val="00520317"/>
    <w:rsid w:val="0052034F"/>
    <w:rsid w:val="005203B4"/>
    <w:rsid w:val="005204D1"/>
    <w:rsid w:val="0052071F"/>
    <w:rsid w:val="00520A4E"/>
    <w:rsid w:val="00520B7A"/>
    <w:rsid w:val="00520C1E"/>
    <w:rsid w:val="00520C62"/>
    <w:rsid w:val="00520CCB"/>
    <w:rsid w:val="0052163F"/>
    <w:rsid w:val="005216E9"/>
    <w:rsid w:val="005217F8"/>
    <w:rsid w:val="00521D12"/>
    <w:rsid w:val="00521FDD"/>
    <w:rsid w:val="005221C1"/>
    <w:rsid w:val="005221F5"/>
    <w:rsid w:val="00522A69"/>
    <w:rsid w:val="00522E4A"/>
    <w:rsid w:val="00523BB5"/>
    <w:rsid w:val="00523EF0"/>
    <w:rsid w:val="00524146"/>
    <w:rsid w:val="0052426A"/>
    <w:rsid w:val="005242E5"/>
    <w:rsid w:val="005250FA"/>
    <w:rsid w:val="00526019"/>
    <w:rsid w:val="0052615B"/>
    <w:rsid w:val="00526390"/>
    <w:rsid w:val="00526DC2"/>
    <w:rsid w:val="005277A0"/>
    <w:rsid w:val="00527C2B"/>
    <w:rsid w:val="005301BB"/>
    <w:rsid w:val="005305C4"/>
    <w:rsid w:val="00530CA3"/>
    <w:rsid w:val="00530FB2"/>
    <w:rsid w:val="005311A5"/>
    <w:rsid w:val="005315F8"/>
    <w:rsid w:val="0053212D"/>
    <w:rsid w:val="00532648"/>
    <w:rsid w:val="005330E2"/>
    <w:rsid w:val="005332F3"/>
    <w:rsid w:val="00533734"/>
    <w:rsid w:val="00533A4F"/>
    <w:rsid w:val="00533DB3"/>
    <w:rsid w:val="005340C0"/>
    <w:rsid w:val="0053454E"/>
    <w:rsid w:val="00534A6B"/>
    <w:rsid w:val="00535009"/>
    <w:rsid w:val="005351A2"/>
    <w:rsid w:val="00535B56"/>
    <w:rsid w:val="00536EBC"/>
    <w:rsid w:val="005378F7"/>
    <w:rsid w:val="005379A1"/>
    <w:rsid w:val="00537A5B"/>
    <w:rsid w:val="00537EA5"/>
    <w:rsid w:val="00537F20"/>
    <w:rsid w:val="00537F25"/>
    <w:rsid w:val="005400DA"/>
    <w:rsid w:val="005402D2"/>
    <w:rsid w:val="00540B1D"/>
    <w:rsid w:val="00540EB4"/>
    <w:rsid w:val="005412D6"/>
    <w:rsid w:val="00541B48"/>
    <w:rsid w:val="00542229"/>
    <w:rsid w:val="00542431"/>
    <w:rsid w:val="00542D42"/>
    <w:rsid w:val="00542EC3"/>
    <w:rsid w:val="00543550"/>
    <w:rsid w:val="005441B0"/>
    <w:rsid w:val="005442FE"/>
    <w:rsid w:val="00544AAC"/>
    <w:rsid w:val="00544FAB"/>
    <w:rsid w:val="005459E4"/>
    <w:rsid w:val="00545E68"/>
    <w:rsid w:val="0054605C"/>
    <w:rsid w:val="00546107"/>
    <w:rsid w:val="005462F7"/>
    <w:rsid w:val="00546B24"/>
    <w:rsid w:val="005475CF"/>
    <w:rsid w:val="00547C54"/>
    <w:rsid w:val="005500E6"/>
    <w:rsid w:val="00550A7B"/>
    <w:rsid w:val="00550CB5"/>
    <w:rsid w:val="0055160F"/>
    <w:rsid w:val="00551C08"/>
    <w:rsid w:val="005523FE"/>
    <w:rsid w:val="00552479"/>
    <w:rsid w:val="00552B35"/>
    <w:rsid w:val="00553C89"/>
    <w:rsid w:val="00553DE3"/>
    <w:rsid w:val="0055418F"/>
    <w:rsid w:val="00554294"/>
    <w:rsid w:val="0055439E"/>
    <w:rsid w:val="00554737"/>
    <w:rsid w:val="00554E6E"/>
    <w:rsid w:val="00554F08"/>
    <w:rsid w:val="00555110"/>
    <w:rsid w:val="005557DD"/>
    <w:rsid w:val="005559DA"/>
    <w:rsid w:val="0055605D"/>
    <w:rsid w:val="00556708"/>
    <w:rsid w:val="005567E8"/>
    <w:rsid w:val="00556ADA"/>
    <w:rsid w:val="00556C7F"/>
    <w:rsid w:val="005570D9"/>
    <w:rsid w:val="005577C9"/>
    <w:rsid w:val="0055786E"/>
    <w:rsid w:val="00557935"/>
    <w:rsid w:val="00557E17"/>
    <w:rsid w:val="00560508"/>
    <w:rsid w:val="00560871"/>
    <w:rsid w:val="00561119"/>
    <w:rsid w:val="00561ADE"/>
    <w:rsid w:val="00561F65"/>
    <w:rsid w:val="005622C6"/>
    <w:rsid w:val="00562935"/>
    <w:rsid w:val="005629DE"/>
    <w:rsid w:val="00563E25"/>
    <w:rsid w:val="00563FA5"/>
    <w:rsid w:val="0056406E"/>
    <w:rsid w:val="00564475"/>
    <w:rsid w:val="005646DE"/>
    <w:rsid w:val="005649E3"/>
    <w:rsid w:val="00564CE4"/>
    <w:rsid w:val="00565430"/>
    <w:rsid w:val="0056549A"/>
    <w:rsid w:val="00565A6E"/>
    <w:rsid w:val="00566270"/>
    <w:rsid w:val="00566B60"/>
    <w:rsid w:val="00566E14"/>
    <w:rsid w:val="00566FFF"/>
    <w:rsid w:val="005671D2"/>
    <w:rsid w:val="00567636"/>
    <w:rsid w:val="00567F17"/>
    <w:rsid w:val="005707C9"/>
    <w:rsid w:val="00570C65"/>
    <w:rsid w:val="005710F6"/>
    <w:rsid w:val="0057130D"/>
    <w:rsid w:val="00571C2A"/>
    <w:rsid w:val="00571EA3"/>
    <w:rsid w:val="00572D19"/>
    <w:rsid w:val="005732C8"/>
    <w:rsid w:val="005736E4"/>
    <w:rsid w:val="00574135"/>
    <w:rsid w:val="00574272"/>
    <w:rsid w:val="0057525A"/>
    <w:rsid w:val="00575871"/>
    <w:rsid w:val="00575946"/>
    <w:rsid w:val="00575E40"/>
    <w:rsid w:val="0057651B"/>
    <w:rsid w:val="0057686E"/>
    <w:rsid w:val="00576B2F"/>
    <w:rsid w:val="00577118"/>
    <w:rsid w:val="005773B8"/>
    <w:rsid w:val="00577763"/>
    <w:rsid w:val="005777F5"/>
    <w:rsid w:val="0057799F"/>
    <w:rsid w:val="00577D15"/>
    <w:rsid w:val="0058030A"/>
    <w:rsid w:val="005806B8"/>
    <w:rsid w:val="0058132B"/>
    <w:rsid w:val="00581E3C"/>
    <w:rsid w:val="005820F0"/>
    <w:rsid w:val="00582AB9"/>
    <w:rsid w:val="00582EC4"/>
    <w:rsid w:val="00583697"/>
    <w:rsid w:val="00583B36"/>
    <w:rsid w:val="0058496F"/>
    <w:rsid w:val="00584BA2"/>
    <w:rsid w:val="0058523E"/>
    <w:rsid w:val="00585B46"/>
    <w:rsid w:val="0058679D"/>
    <w:rsid w:val="00586BC2"/>
    <w:rsid w:val="00586C09"/>
    <w:rsid w:val="00586F27"/>
    <w:rsid w:val="005872DC"/>
    <w:rsid w:val="00587409"/>
    <w:rsid w:val="00587AC9"/>
    <w:rsid w:val="0059013E"/>
    <w:rsid w:val="005905CF"/>
    <w:rsid w:val="00590BDA"/>
    <w:rsid w:val="0059168C"/>
    <w:rsid w:val="0059172C"/>
    <w:rsid w:val="00591C68"/>
    <w:rsid w:val="00591CF2"/>
    <w:rsid w:val="00591FA9"/>
    <w:rsid w:val="005924E1"/>
    <w:rsid w:val="005927BC"/>
    <w:rsid w:val="00592AD5"/>
    <w:rsid w:val="00592BD3"/>
    <w:rsid w:val="00592BF2"/>
    <w:rsid w:val="005934F2"/>
    <w:rsid w:val="00594A81"/>
    <w:rsid w:val="00594CC2"/>
    <w:rsid w:val="00594E59"/>
    <w:rsid w:val="00594F4E"/>
    <w:rsid w:val="00595066"/>
    <w:rsid w:val="00595734"/>
    <w:rsid w:val="00595D46"/>
    <w:rsid w:val="00595E70"/>
    <w:rsid w:val="00596348"/>
    <w:rsid w:val="00596693"/>
    <w:rsid w:val="0059749C"/>
    <w:rsid w:val="00597568"/>
    <w:rsid w:val="00597D93"/>
    <w:rsid w:val="005A02A7"/>
    <w:rsid w:val="005A0B00"/>
    <w:rsid w:val="005A14B9"/>
    <w:rsid w:val="005A1CB5"/>
    <w:rsid w:val="005A1E8F"/>
    <w:rsid w:val="005A22FB"/>
    <w:rsid w:val="005A2DB4"/>
    <w:rsid w:val="005A2FD6"/>
    <w:rsid w:val="005A344F"/>
    <w:rsid w:val="005A3DF4"/>
    <w:rsid w:val="005A45BA"/>
    <w:rsid w:val="005A4C9A"/>
    <w:rsid w:val="005A4E7B"/>
    <w:rsid w:val="005A51C1"/>
    <w:rsid w:val="005A5793"/>
    <w:rsid w:val="005A5DDD"/>
    <w:rsid w:val="005A62F8"/>
    <w:rsid w:val="005A6D1E"/>
    <w:rsid w:val="005A71E9"/>
    <w:rsid w:val="005A732A"/>
    <w:rsid w:val="005A7376"/>
    <w:rsid w:val="005A76B3"/>
    <w:rsid w:val="005A76FE"/>
    <w:rsid w:val="005A78B1"/>
    <w:rsid w:val="005B0795"/>
    <w:rsid w:val="005B0B6B"/>
    <w:rsid w:val="005B13A5"/>
    <w:rsid w:val="005B14E5"/>
    <w:rsid w:val="005B14FC"/>
    <w:rsid w:val="005B1C5B"/>
    <w:rsid w:val="005B1EAF"/>
    <w:rsid w:val="005B1EC5"/>
    <w:rsid w:val="005B2629"/>
    <w:rsid w:val="005B288A"/>
    <w:rsid w:val="005B2E68"/>
    <w:rsid w:val="005B3429"/>
    <w:rsid w:val="005B381C"/>
    <w:rsid w:val="005B4C6F"/>
    <w:rsid w:val="005B5929"/>
    <w:rsid w:val="005B6257"/>
    <w:rsid w:val="005B662F"/>
    <w:rsid w:val="005B7320"/>
    <w:rsid w:val="005B7617"/>
    <w:rsid w:val="005C03EE"/>
    <w:rsid w:val="005C045F"/>
    <w:rsid w:val="005C0887"/>
    <w:rsid w:val="005C0C05"/>
    <w:rsid w:val="005C0D5F"/>
    <w:rsid w:val="005C0FA6"/>
    <w:rsid w:val="005C1990"/>
    <w:rsid w:val="005C1EC0"/>
    <w:rsid w:val="005C20A3"/>
    <w:rsid w:val="005C22C4"/>
    <w:rsid w:val="005C298E"/>
    <w:rsid w:val="005C3CF9"/>
    <w:rsid w:val="005C3FB5"/>
    <w:rsid w:val="005C464F"/>
    <w:rsid w:val="005C4B19"/>
    <w:rsid w:val="005C520B"/>
    <w:rsid w:val="005C522C"/>
    <w:rsid w:val="005C59EF"/>
    <w:rsid w:val="005C5ABA"/>
    <w:rsid w:val="005C627D"/>
    <w:rsid w:val="005C6CC0"/>
    <w:rsid w:val="005C6D50"/>
    <w:rsid w:val="005C6FDD"/>
    <w:rsid w:val="005C738B"/>
    <w:rsid w:val="005C73DF"/>
    <w:rsid w:val="005C7D84"/>
    <w:rsid w:val="005C7D98"/>
    <w:rsid w:val="005C7E2E"/>
    <w:rsid w:val="005C7F6C"/>
    <w:rsid w:val="005D0E0D"/>
    <w:rsid w:val="005D0E46"/>
    <w:rsid w:val="005D13ED"/>
    <w:rsid w:val="005D2248"/>
    <w:rsid w:val="005D308A"/>
    <w:rsid w:val="005D3205"/>
    <w:rsid w:val="005D3F57"/>
    <w:rsid w:val="005D4803"/>
    <w:rsid w:val="005D4C33"/>
    <w:rsid w:val="005D5009"/>
    <w:rsid w:val="005D5EA4"/>
    <w:rsid w:val="005D60DB"/>
    <w:rsid w:val="005D62A5"/>
    <w:rsid w:val="005D6AAC"/>
    <w:rsid w:val="005D6DC4"/>
    <w:rsid w:val="005D75BF"/>
    <w:rsid w:val="005D7974"/>
    <w:rsid w:val="005D79B9"/>
    <w:rsid w:val="005E08BB"/>
    <w:rsid w:val="005E0C49"/>
    <w:rsid w:val="005E1156"/>
    <w:rsid w:val="005E17E2"/>
    <w:rsid w:val="005E1A2A"/>
    <w:rsid w:val="005E1A65"/>
    <w:rsid w:val="005E1B9B"/>
    <w:rsid w:val="005E2281"/>
    <w:rsid w:val="005E233C"/>
    <w:rsid w:val="005E296E"/>
    <w:rsid w:val="005E2DB9"/>
    <w:rsid w:val="005E429E"/>
    <w:rsid w:val="005E42B4"/>
    <w:rsid w:val="005E50A4"/>
    <w:rsid w:val="005E563B"/>
    <w:rsid w:val="005E5E7B"/>
    <w:rsid w:val="005E695F"/>
    <w:rsid w:val="005E6CA4"/>
    <w:rsid w:val="005E6FE9"/>
    <w:rsid w:val="005E70B0"/>
    <w:rsid w:val="005E7170"/>
    <w:rsid w:val="005E7984"/>
    <w:rsid w:val="005F0D55"/>
    <w:rsid w:val="005F1038"/>
    <w:rsid w:val="005F1218"/>
    <w:rsid w:val="005F1D52"/>
    <w:rsid w:val="005F20C1"/>
    <w:rsid w:val="005F21F5"/>
    <w:rsid w:val="005F266F"/>
    <w:rsid w:val="005F2683"/>
    <w:rsid w:val="005F26C8"/>
    <w:rsid w:val="005F29F8"/>
    <w:rsid w:val="005F2AC2"/>
    <w:rsid w:val="005F350D"/>
    <w:rsid w:val="005F3BA7"/>
    <w:rsid w:val="005F46CD"/>
    <w:rsid w:val="005F4863"/>
    <w:rsid w:val="005F5558"/>
    <w:rsid w:val="005F557F"/>
    <w:rsid w:val="005F56CF"/>
    <w:rsid w:val="005F580C"/>
    <w:rsid w:val="005F5D13"/>
    <w:rsid w:val="005F7FF4"/>
    <w:rsid w:val="0060060E"/>
    <w:rsid w:val="006007C2"/>
    <w:rsid w:val="00600CCF"/>
    <w:rsid w:val="00601917"/>
    <w:rsid w:val="00601B00"/>
    <w:rsid w:val="00601ED2"/>
    <w:rsid w:val="00602C91"/>
    <w:rsid w:val="00603287"/>
    <w:rsid w:val="0060331F"/>
    <w:rsid w:val="00604D34"/>
    <w:rsid w:val="00605BC6"/>
    <w:rsid w:val="00605CD3"/>
    <w:rsid w:val="00605D83"/>
    <w:rsid w:val="00605E2C"/>
    <w:rsid w:val="00606057"/>
    <w:rsid w:val="00606DEF"/>
    <w:rsid w:val="00606E77"/>
    <w:rsid w:val="0060766B"/>
    <w:rsid w:val="00607C96"/>
    <w:rsid w:val="00607CA9"/>
    <w:rsid w:val="00607F36"/>
    <w:rsid w:val="0061017A"/>
    <w:rsid w:val="00610BAF"/>
    <w:rsid w:val="006111E2"/>
    <w:rsid w:val="006113C5"/>
    <w:rsid w:val="006116B2"/>
    <w:rsid w:val="00611723"/>
    <w:rsid w:val="00611743"/>
    <w:rsid w:val="006118DE"/>
    <w:rsid w:val="00611F73"/>
    <w:rsid w:val="0061262E"/>
    <w:rsid w:val="00612842"/>
    <w:rsid w:val="00612A9A"/>
    <w:rsid w:val="006130F1"/>
    <w:rsid w:val="0061366E"/>
    <w:rsid w:val="00613707"/>
    <w:rsid w:val="006137EB"/>
    <w:rsid w:val="006140B3"/>
    <w:rsid w:val="00614C91"/>
    <w:rsid w:val="006154C2"/>
    <w:rsid w:val="0061585C"/>
    <w:rsid w:val="00615F71"/>
    <w:rsid w:val="006164AF"/>
    <w:rsid w:val="006167EF"/>
    <w:rsid w:val="00616F00"/>
    <w:rsid w:val="006170CB"/>
    <w:rsid w:val="006173C2"/>
    <w:rsid w:val="00617B6E"/>
    <w:rsid w:val="006204D2"/>
    <w:rsid w:val="00620847"/>
    <w:rsid w:val="00620894"/>
    <w:rsid w:val="00620BC0"/>
    <w:rsid w:val="00620EBA"/>
    <w:rsid w:val="00621495"/>
    <w:rsid w:val="0062150C"/>
    <w:rsid w:val="006218E0"/>
    <w:rsid w:val="00621DB2"/>
    <w:rsid w:val="00622348"/>
    <w:rsid w:val="00623DCA"/>
    <w:rsid w:val="0062470A"/>
    <w:rsid w:val="00624B62"/>
    <w:rsid w:val="006250B1"/>
    <w:rsid w:val="0062521D"/>
    <w:rsid w:val="006255D0"/>
    <w:rsid w:val="0062567A"/>
    <w:rsid w:val="00625BE8"/>
    <w:rsid w:val="00626100"/>
    <w:rsid w:val="00626166"/>
    <w:rsid w:val="00626266"/>
    <w:rsid w:val="006262E6"/>
    <w:rsid w:val="00626C4E"/>
    <w:rsid w:val="00626EFB"/>
    <w:rsid w:val="00627208"/>
    <w:rsid w:val="006272FF"/>
    <w:rsid w:val="00630D20"/>
    <w:rsid w:val="00631EF4"/>
    <w:rsid w:val="00632048"/>
    <w:rsid w:val="006324B3"/>
    <w:rsid w:val="006324D0"/>
    <w:rsid w:val="00632741"/>
    <w:rsid w:val="006328E4"/>
    <w:rsid w:val="00632986"/>
    <w:rsid w:val="00632D99"/>
    <w:rsid w:val="006332A3"/>
    <w:rsid w:val="00633A8E"/>
    <w:rsid w:val="00633B25"/>
    <w:rsid w:val="00634390"/>
    <w:rsid w:val="00634719"/>
    <w:rsid w:val="00634A99"/>
    <w:rsid w:val="00634ED1"/>
    <w:rsid w:val="0063520C"/>
    <w:rsid w:val="006358D9"/>
    <w:rsid w:val="006358F2"/>
    <w:rsid w:val="006359EF"/>
    <w:rsid w:val="00635B61"/>
    <w:rsid w:val="00635F65"/>
    <w:rsid w:val="00636A2E"/>
    <w:rsid w:val="00636D01"/>
    <w:rsid w:val="006378A9"/>
    <w:rsid w:val="00640140"/>
    <w:rsid w:val="00640809"/>
    <w:rsid w:val="00640E51"/>
    <w:rsid w:val="00640F41"/>
    <w:rsid w:val="006419C7"/>
    <w:rsid w:val="00641A01"/>
    <w:rsid w:val="00641F6B"/>
    <w:rsid w:val="0064210E"/>
    <w:rsid w:val="0064327A"/>
    <w:rsid w:val="00643C27"/>
    <w:rsid w:val="00643E17"/>
    <w:rsid w:val="00643FB5"/>
    <w:rsid w:val="0064404E"/>
    <w:rsid w:val="0064405B"/>
    <w:rsid w:val="00644425"/>
    <w:rsid w:val="0064519B"/>
    <w:rsid w:val="006452C7"/>
    <w:rsid w:val="00646415"/>
    <w:rsid w:val="00646604"/>
    <w:rsid w:val="00650099"/>
    <w:rsid w:val="0065091E"/>
    <w:rsid w:val="00651DAD"/>
    <w:rsid w:val="00651DB9"/>
    <w:rsid w:val="00652CA6"/>
    <w:rsid w:val="00653362"/>
    <w:rsid w:val="006536FE"/>
    <w:rsid w:val="0065438F"/>
    <w:rsid w:val="00654772"/>
    <w:rsid w:val="006555A2"/>
    <w:rsid w:val="006556E4"/>
    <w:rsid w:val="00655ABF"/>
    <w:rsid w:val="00655B60"/>
    <w:rsid w:val="006560A4"/>
    <w:rsid w:val="006571E8"/>
    <w:rsid w:val="006578DC"/>
    <w:rsid w:val="00657F34"/>
    <w:rsid w:val="006601AE"/>
    <w:rsid w:val="00660912"/>
    <w:rsid w:val="006610B4"/>
    <w:rsid w:val="00661133"/>
    <w:rsid w:val="0066147D"/>
    <w:rsid w:val="00661A89"/>
    <w:rsid w:val="00661F0F"/>
    <w:rsid w:val="00662296"/>
    <w:rsid w:val="00662402"/>
    <w:rsid w:val="00662822"/>
    <w:rsid w:val="006639F4"/>
    <w:rsid w:val="00664A1C"/>
    <w:rsid w:val="00664F18"/>
    <w:rsid w:val="0066582A"/>
    <w:rsid w:val="0066585E"/>
    <w:rsid w:val="00665D56"/>
    <w:rsid w:val="0066736F"/>
    <w:rsid w:val="00667961"/>
    <w:rsid w:val="00667C89"/>
    <w:rsid w:val="00667E75"/>
    <w:rsid w:val="00670C5E"/>
    <w:rsid w:val="00671FD1"/>
    <w:rsid w:val="00671FDD"/>
    <w:rsid w:val="006725BF"/>
    <w:rsid w:val="006729E6"/>
    <w:rsid w:val="00672C1A"/>
    <w:rsid w:val="00673722"/>
    <w:rsid w:val="0067394A"/>
    <w:rsid w:val="00674114"/>
    <w:rsid w:val="00674B51"/>
    <w:rsid w:val="0067516A"/>
    <w:rsid w:val="00675C91"/>
    <w:rsid w:val="00675F69"/>
    <w:rsid w:val="0067634F"/>
    <w:rsid w:val="006764DD"/>
    <w:rsid w:val="006765E2"/>
    <w:rsid w:val="00676883"/>
    <w:rsid w:val="00676908"/>
    <w:rsid w:val="00676969"/>
    <w:rsid w:val="00676FF8"/>
    <w:rsid w:val="00676FFA"/>
    <w:rsid w:val="0068020D"/>
    <w:rsid w:val="00680CA4"/>
    <w:rsid w:val="006811B7"/>
    <w:rsid w:val="006819D7"/>
    <w:rsid w:val="00681B4E"/>
    <w:rsid w:val="00681DCF"/>
    <w:rsid w:val="00681EE0"/>
    <w:rsid w:val="0068230F"/>
    <w:rsid w:val="0068244F"/>
    <w:rsid w:val="0068248C"/>
    <w:rsid w:val="00682733"/>
    <w:rsid w:val="00682F78"/>
    <w:rsid w:val="00683074"/>
    <w:rsid w:val="006833A3"/>
    <w:rsid w:val="006834E1"/>
    <w:rsid w:val="00683B4F"/>
    <w:rsid w:val="00684252"/>
    <w:rsid w:val="0068427C"/>
    <w:rsid w:val="00684D98"/>
    <w:rsid w:val="00685959"/>
    <w:rsid w:val="00685E09"/>
    <w:rsid w:val="00686367"/>
    <w:rsid w:val="006865D1"/>
    <w:rsid w:val="00686A5E"/>
    <w:rsid w:val="006872B6"/>
    <w:rsid w:val="0068773B"/>
    <w:rsid w:val="00687B97"/>
    <w:rsid w:val="00687C1C"/>
    <w:rsid w:val="006904D7"/>
    <w:rsid w:val="006906EE"/>
    <w:rsid w:val="00690D0F"/>
    <w:rsid w:val="0069109E"/>
    <w:rsid w:val="00691DB2"/>
    <w:rsid w:val="00691F61"/>
    <w:rsid w:val="00692B46"/>
    <w:rsid w:val="00692BDF"/>
    <w:rsid w:val="0069331B"/>
    <w:rsid w:val="006938F5"/>
    <w:rsid w:val="00693DD8"/>
    <w:rsid w:val="006946A4"/>
    <w:rsid w:val="006947A3"/>
    <w:rsid w:val="006948F8"/>
    <w:rsid w:val="00694912"/>
    <w:rsid w:val="0069492F"/>
    <w:rsid w:val="00694942"/>
    <w:rsid w:val="006949B9"/>
    <w:rsid w:val="00694DE1"/>
    <w:rsid w:val="00696484"/>
    <w:rsid w:val="0069721B"/>
    <w:rsid w:val="0069767B"/>
    <w:rsid w:val="00697884"/>
    <w:rsid w:val="00697A17"/>
    <w:rsid w:val="00697ADB"/>
    <w:rsid w:val="00697D38"/>
    <w:rsid w:val="006A0307"/>
    <w:rsid w:val="006A035A"/>
    <w:rsid w:val="006A0BE4"/>
    <w:rsid w:val="006A150D"/>
    <w:rsid w:val="006A2452"/>
    <w:rsid w:val="006A27B2"/>
    <w:rsid w:val="006A2882"/>
    <w:rsid w:val="006A33C5"/>
    <w:rsid w:val="006A3BE8"/>
    <w:rsid w:val="006A3F8B"/>
    <w:rsid w:val="006A406F"/>
    <w:rsid w:val="006A411C"/>
    <w:rsid w:val="006A4162"/>
    <w:rsid w:val="006A429F"/>
    <w:rsid w:val="006A475C"/>
    <w:rsid w:val="006A4B2B"/>
    <w:rsid w:val="006A4CC7"/>
    <w:rsid w:val="006A4DA3"/>
    <w:rsid w:val="006A4EC4"/>
    <w:rsid w:val="006A5023"/>
    <w:rsid w:val="006A5370"/>
    <w:rsid w:val="006A54E7"/>
    <w:rsid w:val="006A55EA"/>
    <w:rsid w:val="006A5630"/>
    <w:rsid w:val="006A5AC5"/>
    <w:rsid w:val="006A6513"/>
    <w:rsid w:val="006A6556"/>
    <w:rsid w:val="006A69F8"/>
    <w:rsid w:val="006A6A83"/>
    <w:rsid w:val="006A7492"/>
    <w:rsid w:val="006A74B6"/>
    <w:rsid w:val="006A790B"/>
    <w:rsid w:val="006B010B"/>
    <w:rsid w:val="006B0BC4"/>
    <w:rsid w:val="006B0BE1"/>
    <w:rsid w:val="006B0C38"/>
    <w:rsid w:val="006B1208"/>
    <w:rsid w:val="006B1476"/>
    <w:rsid w:val="006B19BF"/>
    <w:rsid w:val="006B1A06"/>
    <w:rsid w:val="006B1F02"/>
    <w:rsid w:val="006B218B"/>
    <w:rsid w:val="006B2E84"/>
    <w:rsid w:val="006B3122"/>
    <w:rsid w:val="006B3127"/>
    <w:rsid w:val="006B3D3F"/>
    <w:rsid w:val="006B55B6"/>
    <w:rsid w:val="006B55D1"/>
    <w:rsid w:val="006B6153"/>
    <w:rsid w:val="006B63C9"/>
    <w:rsid w:val="006B6644"/>
    <w:rsid w:val="006B69EB"/>
    <w:rsid w:val="006B72A5"/>
    <w:rsid w:val="006B7571"/>
    <w:rsid w:val="006B7947"/>
    <w:rsid w:val="006B7B63"/>
    <w:rsid w:val="006B7F29"/>
    <w:rsid w:val="006C05C1"/>
    <w:rsid w:val="006C09FF"/>
    <w:rsid w:val="006C0AF9"/>
    <w:rsid w:val="006C0EE5"/>
    <w:rsid w:val="006C193B"/>
    <w:rsid w:val="006C1BBF"/>
    <w:rsid w:val="006C1C40"/>
    <w:rsid w:val="006C25C7"/>
    <w:rsid w:val="006C2655"/>
    <w:rsid w:val="006C36A7"/>
    <w:rsid w:val="006C3864"/>
    <w:rsid w:val="006C3899"/>
    <w:rsid w:val="006C3AA7"/>
    <w:rsid w:val="006C3BE1"/>
    <w:rsid w:val="006C4459"/>
    <w:rsid w:val="006C44E9"/>
    <w:rsid w:val="006C458B"/>
    <w:rsid w:val="006C660E"/>
    <w:rsid w:val="006C69F3"/>
    <w:rsid w:val="006C6AD6"/>
    <w:rsid w:val="006C6F4E"/>
    <w:rsid w:val="006C76F3"/>
    <w:rsid w:val="006C7754"/>
    <w:rsid w:val="006C780D"/>
    <w:rsid w:val="006C7AB0"/>
    <w:rsid w:val="006C7D01"/>
    <w:rsid w:val="006D0409"/>
    <w:rsid w:val="006D0580"/>
    <w:rsid w:val="006D097A"/>
    <w:rsid w:val="006D0AB2"/>
    <w:rsid w:val="006D1375"/>
    <w:rsid w:val="006D17F5"/>
    <w:rsid w:val="006D18FE"/>
    <w:rsid w:val="006D1F5A"/>
    <w:rsid w:val="006D2E4C"/>
    <w:rsid w:val="006D40FF"/>
    <w:rsid w:val="006D4447"/>
    <w:rsid w:val="006D48FC"/>
    <w:rsid w:val="006D49AC"/>
    <w:rsid w:val="006D4DC2"/>
    <w:rsid w:val="006D4F13"/>
    <w:rsid w:val="006D546C"/>
    <w:rsid w:val="006D55E3"/>
    <w:rsid w:val="006D578A"/>
    <w:rsid w:val="006D5981"/>
    <w:rsid w:val="006D5BF0"/>
    <w:rsid w:val="006D5D3B"/>
    <w:rsid w:val="006D5DF4"/>
    <w:rsid w:val="006D5E1C"/>
    <w:rsid w:val="006D6FC7"/>
    <w:rsid w:val="006D700F"/>
    <w:rsid w:val="006D7E48"/>
    <w:rsid w:val="006D7FE0"/>
    <w:rsid w:val="006E0A7E"/>
    <w:rsid w:val="006E0AAD"/>
    <w:rsid w:val="006E1421"/>
    <w:rsid w:val="006E17AF"/>
    <w:rsid w:val="006E1A96"/>
    <w:rsid w:val="006E1CF6"/>
    <w:rsid w:val="006E212A"/>
    <w:rsid w:val="006E2296"/>
    <w:rsid w:val="006E2322"/>
    <w:rsid w:val="006E2449"/>
    <w:rsid w:val="006E278B"/>
    <w:rsid w:val="006E3A64"/>
    <w:rsid w:val="006E3C4B"/>
    <w:rsid w:val="006E3E27"/>
    <w:rsid w:val="006E3E57"/>
    <w:rsid w:val="006E4331"/>
    <w:rsid w:val="006E516F"/>
    <w:rsid w:val="006E51E8"/>
    <w:rsid w:val="006E51F4"/>
    <w:rsid w:val="006E5278"/>
    <w:rsid w:val="006E52D3"/>
    <w:rsid w:val="006E709E"/>
    <w:rsid w:val="006E710A"/>
    <w:rsid w:val="006E7C90"/>
    <w:rsid w:val="006E7D41"/>
    <w:rsid w:val="006E7DA2"/>
    <w:rsid w:val="006E7FB7"/>
    <w:rsid w:val="006F033D"/>
    <w:rsid w:val="006F09F7"/>
    <w:rsid w:val="006F0A4F"/>
    <w:rsid w:val="006F0FE1"/>
    <w:rsid w:val="006F12BC"/>
    <w:rsid w:val="006F167A"/>
    <w:rsid w:val="006F16B9"/>
    <w:rsid w:val="006F19E0"/>
    <w:rsid w:val="006F1A29"/>
    <w:rsid w:val="006F1DD2"/>
    <w:rsid w:val="006F2772"/>
    <w:rsid w:val="006F2860"/>
    <w:rsid w:val="006F2F6E"/>
    <w:rsid w:val="006F33AD"/>
    <w:rsid w:val="006F345D"/>
    <w:rsid w:val="006F3629"/>
    <w:rsid w:val="006F39FA"/>
    <w:rsid w:val="006F3C23"/>
    <w:rsid w:val="006F3D88"/>
    <w:rsid w:val="006F471F"/>
    <w:rsid w:val="006F485D"/>
    <w:rsid w:val="006F6171"/>
    <w:rsid w:val="006F636E"/>
    <w:rsid w:val="006F650D"/>
    <w:rsid w:val="006F6748"/>
    <w:rsid w:val="006F6E01"/>
    <w:rsid w:val="006F711B"/>
    <w:rsid w:val="006F79BF"/>
    <w:rsid w:val="006F7BE5"/>
    <w:rsid w:val="006F7CED"/>
    <w:rsid w:val="006F7D8C"/>
    <w:rsid w:val="006F7DF3"/>
    <w:rsid w:val="006F7E6F"/>
    <w:rsid w:val="007000D9"/>
    <w:rsid w:val="00700583"/>
    <w:rsid w:val="00700A33"/>
    <w:rsid w:val="00700BF8"/>
    <w:rsid w:val="00700C1B"/>
    <w:rsid w:val="0070130E"/>
    <w:rsid w:val="00701D21"/>
    <w:rsid w:val="0070247A"/>
    <w:rsid w:val="007031AA"/>
    <w:rsid w:val="00703319"/>
    <w:rsid w:val="0070365C"/>
    <w:rsid w:val="007036F8"/>
    <w:rsid w:val="007039CA"/>
    <w:rsid w:val="00703FC7"/>
    <w:rsid w:val="0070414A"/>
    <w:rsid w:val="0070414B"/>
    <w:rsid w:val="007041B0"/>
    <w:rsid w:val="0070493D"/>
    <w:rsid w:val="00704CFE"/>
    <w:rsid w:val="007051FB"/>
    <w:rsid w:val="007057FA"/>
    <w:rsid w:val="007059AC"/>
    <w:rsid w:val="00705C05"/>
    <w:rsid w:val="00705D1F"/>
    <w:rsid w:val="00705E0E"/>
    <w:rsid w:val="007065CC"/>
    <w:rsid w:val="0070747A"/>
    <w:rsid w:val="00707B13"/>
    <w:rsid w:val="0071028F"/>
    <w:rsid w:val="0071062B"/>
    <w:rsid w:val="00710D4E"/>
    <w:rsid w:val="007118FD"/>
    <w:rsid w:val="0071195C"/>
    <w:rsid w:val="00712011"/>
    <w:rsid w:val="00712327"/>
    <w:rsid w:val="007123CE"/>
    <w:rsid w:val="00712BD7"/>
    <w:rsid w:val="00712DE9"/>
    <w:rsid w:val="00712E56"/>
    <w:rsid w:val="00712EE4"/>
    <w:rsid w:val="00713087"/>
    <w:rsid w:val="007130AF"/>
    <w:rsid w:val="0071390A"/>
    <w:rsid w:val="007139A1"/>
    <w:rsid w:val="00713A99"/>
    <w:rsid w:val="0071435E"/>
    <w:rsid w:val="007143CF"/>
    <w:rsid w:val="00715479"/>
    <w:rsid w:val="0071581F"/>
    <w:rsid w:val="00715AB4"/>
    <w:rsid w:val="00715BC1"/>
    <w:rsid w:val="00715CC9"/>
    <w:rsid w:val="00715CD6"/>
    <w:rsid w:val="00715DE0"/>
    <w:rsid w:val="00716014"/>
    <w:rsid w:val="007163E9"/>
    <w:rsid w:val="0071659F"/>
    <w:rsid w:val="00716A33"/>
    <w:rsid w:val="00716EBD"/>
    <w:rsid w:val="007176B8"/>
    <w:rsid w:val="00717747"/>
    <w:rsid w:val="00717D96"/>
    <w:rsid w:val="0072078C"/>
    <w:rsid w:val="00720D95"/>
    <w:rsid w:val="00721633"/>
    <w:rsid w:val="00721B7A"/>
    <w:rsid w:val="0072213D"/>
    <w:rsid w:val="007223A4"/>
    <w:rsid w:val="0072264D"/>
    <w:rsid w:val="00724641"/>
    <w:rsid w:val="007247E1"/>
    <w:rsid w:val="00724A81"/>
    <w:rsid w:val="00724B8F"/>
    <w:rsid w:val="00724E10"/>
    <w:rsid w:val="00724E33"/>
    <w:rsid w:val="00725249"/>
    <w:rsid w:val="00725873"/>
    <w:rsid w:val="00725ABB"/>
    <w:rsid w:val="007267F4"/>
    <w:rsid w:val="00726D19"/>
    <w:rsid w:val="00726F9A"/>
    <w:rsid w:val="00726FD2"/>
    <w:rsid w:val="007270F9"/>
    <w:rsid w:val="00727770"/>
    <w:rsid w:val="00730AED"/>
    <w:rsid w:val="00731090"/>
    <w:rsid w:val="00731266"/>
    <w:rsid w:val="007312FE"/>
    <w:rsid w:val="007316CD"/>
    <w:rsid w:val="00731BF1"/>
    <w:rsid w:val="00732078"/>
    <w:rsid w:val="007320E9"/>
    <w:rsid w:val="00732592"/>
    <w:rsid w:val="00732629"/>
    <w:rsid w:val="007329A7"/>
    <w:rsid w:val="007329FF"/>
    <w:rsid w:val="00732FB3"/>
    <w:rsid w:val="0073358A"/>
    <w:rsid w:val="00733ACD"/>
    <w:rsid w:val="007346AF"/>
    <w:rsid w:val="007346C0"/>
    <w:rsid w:val="00734E0E"/>
    <w:rsid w:val="00734F48"/>
    <w:rsid w:val="007350C5"/>
    <w:rsid w:val="00735139"/>
    <w:rsid w:val="0073587C"/>
    <w:rsid w:val="0073590F"/>
    <w:rsid w:val="00735940"/>
    <w:rsid w:val="00735D15"/>
    <w:rsid w:val="007361BC"/>
    <w:rsid w:val="00736584"/>
    <w:rsid w:val="00736873"/>
    <w:rsid w:val="00736924"/>
    <w:rsid w:val="00736DC6"/>
    <w:rsid w:val="00736F6C"/>
    <w:rsid w:val="00737423"/>
    <w:rsid w:val="00740591"/>
    <w:rsid w:val="00740795"/>
    <w:rsid w:val="007408E7"/>
    <w:rsid w:val="00740BBB"/>
    <w:rsid w:val="00740D10"/>
    <w:rsid w:val="00741177"/>
    <w:rsid w:val="00741E55"/>
    <w:rsid w:val="00742C8E"/>
    <w:rsid w:val="00742D4A"/>
    <w:rsid w:val="00743231"/>
    <w:rsid w:val="007434BD"/>
    <w:rsid w:val="0074380C"/>
    <w:rsid w:val="00743985"/>
    <w:rsid w:val="00743B4F"/>
    <w:rsid w:val="007441A8"/>
    <w:rsid w:val="0074577B"/>
    <w:rsid w:val="007457B2"/>
    <w:rsid w:val="00745C9D"/>
    <w:rsid w:val="00747005"/>
    <w:rsid w:val="0074770A"/>
    <w:rsid w:val="00747B51"/>
    <w:rsid w:val="007502ED"/>
    <w:rsid w:val="00750598"/>
    <w:rsid w:val="007505B5"/>
    <w:rsid w:val="007505FD"/>
    <w:rsid w:val="0075086F"/>
    <w:rsid w:val="00750B49"/>
    <w:rsid w:val="00750CD1"/>
    <w:rsid w:val="00750FE9"/>
    <w:rsid w:val="007514E3"/>
    <w:rsid w:val="00752238"/>
    <w:rsid w:val="0075262A"/>
    <w:rsid w:val="00752E8F"/>
    <w:rsid w:val="00753886"/>
    <w:rsid w:val="0075398E"/>
    <w:rsid w:val="007539D0"/>
    <w:rsid w:val="0075428A"/>
    <w:rsid w:val="00754951"/>
    <w:rsid w:val="00754EBF"/>
    <w:rsid w:val="007555B3"/>
    <w:rsid w:val="007559C5"/>
    <w:rsid w:val="007563A6"/>
    <w:rsid w:val="007566E6"/>
    <w:rsid w:val="007567AA"/>
    <w:rsid w:val="00756E03"/>
    <w:rsid w:val="00756EDF"/>
    <w:rsid w:val="00757B9A"/>
    <w:rsid w:val="00760461"/>
    <w:rsid w:val="0076179C"/>
    <w:rsid w:val="007619B6"/>
    <w:rsid w:val="00761F46"/>
    <w:rsid w:val="00762D0B"/>
    <w:rsid w:val="007632DD"/>
    <w:rsid w:val="00763637"/>
    <w:rsid w:val="00764438"/>
    <w:rsid w:val="0076472C"/>
    <w:rsid w:val="00764745"/>
    <w:rsid w:val="00764C28"/>
    <w:rsid w:val="00764EF4"/>
    <w:rsid w:val="00765925"/>
    <w:rsid w:val="00765D2D"/>
    <w:rsid w:val="00765E6B"/>
    <w:rsid w:val="00767774"/>
    <w:rsid w:val="00767DEE"/>
    <w:rsid w:val="00767E4F"/>
    <w:rsid w:val="007701EC"/>
    <w:rsid w:val="007706A9"/>
    <w:rsid w:val="00771C82"/>
    <w:rsid w:val="00771EC1"/>
    <w:rsid w:val="00772BAD"/>
    <w:rsid w:val="00773031"/>
    <w:rsid w:val="00773136"/>
    <w:rsid w:val="00773D71"/>
    <w:rsid w:val="007743C6"/>
    <w:rsid w:val="007746EA"/>
    <w:rsid w:val="00774F80"/>
    <w:rsid w:val="0077567A"/>
    <w:rsid w:val="00775B35"/>
    <w:rsid w:val="00775EA1"/>
    <w:rsid w:val="00776188"/>
    <w:rsid w:val="0077623F"/>
    <w:rsid w:val="007763BA"/>
    <w:rsid w:val="00776853"/>
    <w:rsid w:val="007769C2"/>
    <w:rsid w:val="007778EF"/>
    <w:rsid w:val="007803C2"/>
    <w:rsid w:val="0078048F"/>
    <w:rsid w:val="00780A90"/>
    <w:rsid w:val="00780E00"/>
    <w:rsid w:val="0078197E"/>
    <w:rsid w:val="00781EEB"/>
    <w:rsid w:val="0078201F"/>
    <w:rsid w:val="0078278E"/>
    <w:rsid w:val="00782CE5"/>
    <w:rsid w:val="00782F0C"/>
    <w:rsid w:val="007839BE"/>
    <w:rsid w:val="0078404C"/>
    <w:rsid w:val="00784272"/>
    <w:rsid w:val="007849B0"/>
    <w:rsid w:val="00784A02"/>
    <w:rsid w:val="00785403"/>
    <w:rsid w:val="0078548D"/>
    <w:rsid w:val="00786392"/>
    <w:rsid w:val="00786398"/>
    <w:rsid w:val="0078659E"/>
    <w:rsid w:val="00787133"/>
    <w:rsid w:val="00790447"/>
    <w:rsid w:val="00791C9E"/>
    <w:rsid w:val="00791CB4"/>
    <w:rsid w:val="00791D20"/>
    <w:rsid w:val="00792913"/>
    <w:rsid w:val="00793004"/>
    <w:rsid w:val="00793402"/>
    <w:rsid w:val="00793CE2"/>
    <w:rsid w:val="00793FE4"/>
    <w:rsid w:val="00794193"/>
    <w:rsid w:val="007941CD"/>
    <w:rsid w:val="007943AA"/>
    <w:rsid w:val="0079446C"/>
    <w:rsid w:val="007949DA"/>
    <w:rsid w:val="00794AEE"/>
    <w:rsid w:val="0079552B"/>
    <w:rsid w:val="00795718"/>
    <w:rsid w:val="00796013"/>
    <w:rsid w:val="00796962"/>
    <w:rsid w:val="0079721E"/>
    <w:rsid w:val="007979EE"/>
    <w:rsid w:val="007A0F01"/>
    <w:rsid w:val="007A1030"/>
    <w:rsid w:val="007A1378"/>
    <w:rsid w:val="007A18CE"/>
    <w:rsid w:val="007A1E49"/>
    <w:rsid w:val="007A2442"/>
    <w:rsid w:val="007A2A5C"/>
    <w:rsid w:val="007A345B"/>
    <w:rsid w:val="007A35DE"/>
    <w:rsid w:val="007A363C"/>
    <w:rsid w:val="007A3969"/>
    <w:rsid w:val="007A4061"/>
    <w:rsid w:val="007A40B1"/>
    <w:rsid w:val="007A4530"/>
    <w:rsid w:val="007A482F"/>
    <w:rsid w:val="007A4931"/>
    <w:rsid w:val="007A496E"/>
    <w:rsid w:val="007A559D"/>
    <w:rsid w:val="007A5A7A"/>
    <w:rsid w:val="007A5D66"/>
    <w:rsid w:val="007A622C"/>
    <w:rsid w:val="007A68C7"/>
    <w:rsid w:val="007A6D82"/>
    <w:rsid w:val="007A75A3"/>
    <w:rsid w:val="007A79EA"/>
    <w:rsid w:val="007A7E02"/>
    <w:rsid w:val="007B0D01"/>
    <w:rsid w:val="007B0FB3"/>
    <w:rsid w:val="007B165D"/>
    <w:rsid w:val="007B182E"/>
    <w:rsid w:val="007B1F3A"/>
    <w:rsid w:val="007B21DF"/>
    <w:rsid w:val="007B2231"/>
    <w:rsid w:val="007B2664"/>
    <w:rsid w:val="007B28DC"/>
    <w:rsid w:val="007B30D7"/>
    <w:rsid w:val="007B3F94"/>
    <w:rsid w:val="007B4401"/>
    <w:rsid w:val="007B44B1"/>
    <w:rsid w:val="007B4B04"/>
    <w:rsid w:val="007B4E8C"/>
    <w:rsid w:val="007B54EB"/>
    <w:rsid w:val="007B5A11"/>
    <w:rsid w:val="007B5B1A"/>
    <w:rsid w:val="007B5B79"/>
    <w:rsid w:val="007B5DC5"/>
    <w:rsid w:val="007B6BD2"/>
    <w:rsid w:val="007B71CE"/>
    <w:rsid w:val="007B72F0"/>
    <w:rsid w:val="007B7914"/>
    <w:rsid w:val="007B7D83"/>
    <w:rsid w:val="007C0FBD"/>
    <w:rsid w:val="007C11DB"/>
    <w:rsid w:val="007C1FEA"/>
    <w:rsid w:val="007C207C"/>
    <w:rsid w:val="007C2E35"/>
    <w:rsid w:val="007C2E6D"/>
    <w:rsid w:val="007C2EE8"/>
    <w:rsid w:val="007C316F"/>
    <w:rsid w:val="007C3385"/>
    <w:rsid w:val="007C38BB"/>
    <w:rsid w:val="007C38F2"/>
    <w:rsid w:val="007C3DF5"/>
    <w:rsid w:val="007C480D"/>
    <w:rsid w:val="007C4D5C"/>
    <w:rsid w:val="007C54C6"/>
    <w:rsid w:val="007C579D"/>
    <w:rsid w:val="007C5DC0"/>
    <w:rsid w:val="007C66F7"/>
    <w:rsid w:val="007C74D8"/>
    <w:rsid w:val="007C7C38"/>
    <w:rsid w:val="007C7E38"/>
    <w:rsid w:val="007C7E84"/>
    <w:rsid w:val="007D0333"/>
    <w:rsid w:val="007D0C93"/>
    <w:rsid w:val="007D1233"/>
    <w:rsid w:val="007D142C"/>
    <w:rsid w:val="007D18C3"/>
    <w:rsid w:val="007D1DA7"/>
    <w:rsid w:val="007D2786"/>
    <w:rsid w:val="007D28D9"/>
    <w:rsid w:val="007D293F"/>
    <w:rsid w:val="007D29DA"/>
    <w:rsid w:val="007D3079"/>
    <w:rsid w:val="007D372E"/>
    <w:rsid w:val="007D429C"/>
    <w:rsid w:val="007D430E"/>
    <w:rsid w:val="007D460D"/>
    <w:rsid w:val="007D4D56"/>
    <w:rsid w:val="007D4E25"/>
    <w:rsid w:val="007D56A2"/>
    <w:rsid w:val="007D5817"/>
    <w:rsid w:val="007D5A9C"/>
    <w:rsid w:val="007D6496"/>
    <w:rsid w:val="007D652B"/>
    <w:rsid w:val="007E0107"/>
    <w:rsid w:val="007E0220"/>
    <w:rsid w:val="007E07C3"/>
    <w:rsid w:val="007E09D7"/>
    <w:rsid w:val="007E0C0A"/>
    <w:rsid w:val="007E1692"/>
    <w:rsid w:val="007E1956"/>
    <w:rsid w:val="007E1FAF"/>
    <w:rsid w:val="007E29A3"/>
    <w:rsid w:val="007E2AA5"/>
    <w:rsid w:val="007E2BD2"/>
    <w:rsid w:val="007E2D09"/>
    <w:rsid w:val="007E2E76"/>
    <w:rsid w:val="007E30A2"/>
    <w:rsid w:val="007E3279"/>
    <w:rsid w:val="007E338C"/>
    <w:rsid w:val="007E399F"/>
    <w:rsid w:val="007E41C1"/>
    <w:rsid w:val="007E4B8B"/>
    <w:rsid w:val="007E4BA4"/>
    <w:rsid w:val="007E53DD"/>
    <w:rsid w:val="007E542B"/>
    <w:rsid w:val="007E54C7"/>
    <w:rsid w:val="007E585A"/>
    <w:rsid w:val="007E5977"/>
    <w:rsid w:val="007E620D"/>
    <w:rsid w:val="007E6287"/>
    <w:rsid w:val="007E631A"/>
    <w:rsid w:val="007E73D7"/>
    <w:rsid w:val="007F0016"/>
    <w:rsid w:val="007F005E"/>
    <w:rsid w:val="007F03D7"/>
    <w:rsid w:val="007F069F"/>
    <w:rsid w:val="007F0B20"/>
    <w:rsid w:val="007F0DCB"/>
    <w:rsid w:val="007F0DD7"/>
    <w:rsid w:val="007F0E7B"/>
    <w:rsid w:val="007F11E9"/>
    <w:rsid w:val="007F155E"/>
    <w:rsid w:val="007F158F"/>
    <w:rsid w:val="007F15A4"/>
    <w:rsid w:val="007F1A26"/>
    <w:rsid w:val="007F1C9C"/>
    <w:rsid w:val="007F1D92"/>
    <w:rsid w:val="007F1E91"/>
    <w:rsid w:val="007F3416"/>
    <w:rsid w:val="007F341A"/>
    <w:rsid w:val="007F3841"/>
    <w:rsid w:val="007F3861"/>
    <w:rsid w:val="007F3E6C"/>
    <w:rsid w:val="007F4469"/>
    <w:rsid w:val="007F4C2D"/>
    <w:rsid w:val="007F4FD6"/>
    <w:rsid w:val="007F563D"/>
    <w:rsid w:val="007F5DDF"/>
    <w:rsid w:val="007F605F"/>
    <w:rsid w:val="007F68DF"/>
    <w:rsid w:val="007F6BB6"/>
    <w:rsid w:val="007F6BD1"/>
    <w:rsid w:val="007F6C1B"/>
    <w:rsid w:val="007F6F6C"/>
    <w:rsid w:val="007F7131"/>
    <w:rsid w:val="007F7134"/>
    <w:rsid w:val="007F72C1"/>
    <w:rsid w:val="007F78AB"/>
    <w:rsid w:val="008000C8"/>
    <w:rsid w:val="00800388"/>
    <w:rsid w:val="00800A20"/>
    <w:rsid w:val="00800B11"/>
    <w:rsid w:val="00800E1F"/>
    <w:rsid w:val="00801151"/>
    <w:rsid w:val="00801279"/>
    <w:rsid w:val="008013E8"/>
    <w:rsid w:val="008016A9"/>
    <w:rsid w:val="00801B5C"/>
    <w:rsid w:val="00802DAF"/>
    <w:rsid w:val="00803627"/>
    <w:rsid w:val="0080369E"/>
    <w:rsid w:val="00804329"/>
    <w:rsid w:val="008051B9"/>
    <w:rsid w:val="008058E9"/>
    <w:rsid w:val="00805DA7"/>
    <w:rsid w:val="00806222"/>
    <w:rsid w:val="0080628B"/>
    <w:rsid w:val="008063A2"/>
    <w:rsid w:val="008068F9"/>
    <w:rsid w:val="00806C14"/>
    <w:rsid w:val="0080704C"/>
    <w:rsid w:val="00810464"/>
    <w:rsid w:val="0081075D"/>
    <w:rsid w:val="00810D55"/>
    <w:rsid w:val="00810DAE"/>
    <w:rsid w:val="00810DBC"/>
    <w:rsid w:val="0081142A"/>
    <w:rsid w:val="00811738"/>
    <w:rsid w:val="0081244D"/>
    <w:rsid w:val="0081273A"/>
    <w:rsid w:val="008129A2"/>
    <w:rsid w:val="0081337F"/>
    <w:rsid w:val="00813D4E"/>
    <w:rsid w:val="00813D84"/>
    <w:rsid w:val="00813E45"/>
    <w:rsid w:val="00813EEC"/>
    <w:rsid w:val="00814496"/>
    <w:rsid w:val="008145F2"/>
    <w:rsid w:val="00814B92"/>
    <w:rsid w:val="00815651"/>
    <w:rsid w:val="00815D54"/>
    <w:rsid w:val="00815F43"/>
    <w:rsid w:val="0081634B"/>
    <w:rsid w:val="0081653C"/>
    <w:rsid w:val="00816BF0"/>
    <w:rsid w:val="00817132"/>
    <w:rsid w:val="00820271"/>
    <w:rsid w:val="00820384"/>
    <w:rsid w:val="00821E6E"/>
    <w:rsid w:val="008222E1"/>
    <w:rsid w:val="00822C52"/>
    <w:rsid w:val="00822E01"/>
    <w:rsid w:val="00823F7B"/>
    <w:rsid w:val="00823FFA"/>
    <w:rsid w:val="00824004"/>
    <w:rsid w:val="00824D56"/>
    <w:rsid w:val="00824EFB"/>
    <w:rsid w:val="00826062"/>
    <w:rsid w:val="008266AD"/>
    <w:rsid w:val="0082673B"/>
    <w:rsid w:val="00827329"/>
    <w:rsid w:val="00827344"/>
    <w:rsid w:val="00827BFD"/>
    <w:rsid w:val="00827F22"/>
    <w:rsid w:val="00830036"/>
    <w:rsid w:val="00830D50"/>
    <w:rsid w:val="008311C8"/>
    <w:rsid w:val="00831513"/>
    <w:rsid w:val="00831DC7"/>
    <w:rsid w:val="00831DD9"/>
    <w:rsid w:val="00832609"/>
    <w:rsid w:val="008328EF"/>
    <w:rsid w:val="00832CEA"/>
    <w:rsid w:val="00832D81"/>
    <w:rsid w:val="0083336D"/>
    <w:rsid w:val="008333E9"/>
    <w:rsid w:val="008336FD"/>
    <w:rsid w:val="00834395"/>
    <w:rsid w:val="00834F6A"/>
    <w:rsid w:val="0083535E"/>
    <w:rsid w:val="00835AC4"/>
    <w:rsid w:val="008362B2"/>
    <w:rsid w:val="008367E0"/>
    <w:rsid w:val="0083690E"/>
    <w:rsid w:val="00836A74"/>
    <w:rsid w:val="0083710D"/>
    <w:rsid w:val="0083758B"/>
    <w:rsid w:val="00837B56"/>
    <w:rsid w:val="00837E5A"/>
    <w:rsid w:val="0084058A"/>
    <w:rsid w:val="0084073C"/>
    <w:rsid w:val="00840DAE"/>
    <w:rsid w:val="00841111"/>
    <w:rsid w:val="00841E00"/>
    <w:rsid w:val="008425A0"/>
    <w:rsid w:val="00842765"/>
    <w:rsid w:val="00842981"/>
    <w:rsid w:val="008433D9"/>
    <w:rsid w:val="0084380A"/>
    <w:rsid w:val="008438A5"/>
    <w:rsid w:val="008438EE"/>
    <w:rsid w:val="00843C67"/>
    <w:rsid w:val="00843EB7"/>
    <w:rsid w:val="008440A2"/>
    <w:rsid w:val="008447A5"/>
    <w:rsid w:val="008448B0"/>
    <w:rsid w:val="00844B7B"/>
    <w:rsid w:val="00844DF7"/>
    <w:rsid w:val="00845478"/>
    <w:rsid w:val="00845A40"/>
    <w:rsid w:val="00845B2A"/>
    <w:rsid w:val="00845BF1"/>
    <w:rsid w:val="0084605C"/>
    <w:rsid w:val="0084691C"/>
    <w:rsid w:val="00846B30"/>
    <w:rsid w:val="00846CD3"/>
    <w:rsid w:val="00846F89"/>
    <w:rsid w:val="0084787F"/>
    <w:rsid w:val="00847A36"/>
    <w:rsid w:val="0085012B"/>
    <w:rsid w:val="00850D46"/>
    <w:rsid w:val="00850DDE"/>
    <w:rsid w:val="00850DE5"/>
    <w:rsid w:val="008512EB"/>
    <w:rsid w:val="00851387"/>
    <w:rsid w:val="008515B0"/>
    <w:rsid w:val="00851C23"/>
    <w:rsid w:val="00851FD8"/>
    <w:rsid w:val="008528FC"/>
    <w:rsid w:val="00852B92"/>
    <w:rsid w:val="00853621"/>
    <w:rsid w:val="0085379C"/>
    <w:rsid w:val="00853E56"/>
    <w:rsid w:val="00853F7C"/>
    <w:rsid w:val="008547AB"/>
    <w:rsid w:val="00854A81"/>
    <w:rsid w:val="00854F0E"/>
    <w:rsid w:val="00855009"/>
    <w:rsid w:val="0085506B"/>
    <w:rsid w:val="00855090"/>
    <w:rsid w:val="008554CF"/>
    <w:rsid w:val="00855F41"/>
    <w:rsid w:val="00856047"/>
    <w:rsid w:val="0085733B"/>
    <w:rsid w:val="00857476"/>
    <w:rsid w:val="00857903"/>
    <w:rsid w:val="00857AC3"/>
    <w:rsid w:val="00857D66"/>
    <w:rsid w:val="00857EBC"/>
    <w:rsid w:val="0086019D"/>
    <w:rsid w:val="008602F5"/>
    <w:rsid w:val="008604FF"/>
    <w:rsid w:val="00860519"/>
    <w:rsid w:val="008606A5"/>
    <w:rsid w:val="00860C94"/>
    <w:rsid w:val="008615D8"/>
    <w:rsid w:val="00861A14"/>
    <w:rsid w:val="00861D91"/>
    <w:rsid w:val="008622C3"/>
    <w:rsid w:val="00862574"/>
    <w:rsid w:val="00862775"/>
    <w:rsid w:val="00862855"/>
    <w:rsid w:val="0086354C"/>
    <w:rsid w:val="00863BC9"/>
    <w:rsid w:val="00863D90"/>
    <w:rsid w:val="00863DE8"/>
    <w:rsid w:val="008642A4"/>
    <w:rsid w:val="0086433D"/>
    <w:rsid w:val="00864925"/>
    <w:rsid w:val="00864C7B"/>
    <w:rsid w:val="00864E35"/>
    <w:rsid w:val="00865B18"/>
    <w:rsid w:val="00865F93"/>
    <w:rsid w:val="00866661"/>
    <w:rsid w:val="00867096"/>
    <w:rsid w:val="00870324"/>
    <w:rsid w:val="008704AE"/>
    <w:rsid w:val="008708E4"/>
    <w:rsid w:val="00870B58"/>
    <w:rsid w:val="008713FE"/>
    <w:rsid w:val="00871544"/>
    <w:rsid w:val="00871735"/>
    <w:rsid w:val="0087194F"/>
    <w:rsid w:val="00871A4B"/>
    <w:rsid w:val="00872313"/>
    <w:rsid w:val="008723FA"/>
    <w:rsid w:val="00872442"/>
    <w:rsid w:val="00872A23"/>
    <w:rsid w:val="00872D8C"/>
    <w:rsid w:val="00873B9E"/>
    <w:rsid w:val="00873CF2"/>
    <w:rsid w:val="00873E3B"/>
    <w:rsid w:val="00874B98"/>
    <w:rsid w:val="00874DBC"/>
    <w:rsid w:val="008757F1"/>
    <w:rsid w:val="00875810"/>
    <w:rsid w:val="00875880"/>
    <w:rsid w:val="00876041"/>
    <w:rsid w:val="00876053"/>
    <w:rsid w:val="00876263"/>
    <w:rsid w:val="00876BD3"/>
    <w:rsid w:val="00877D2C"/>
    <w:rsid w:val="00880067"/>
    <w:rsid w:val="0088044D"/>
    <w:rsid w:val="00880690"/>
    <w:rsid w:val="008806FD"/>
    <w:rsid w:val="00880E9A"/>
    <w:rsid w:val="00880F13"/>
    <w:rsid w:val="00881171"/>
    <w:rsid w:val="0088163E"/>
    <w:rsid w:val="00881AD7"/>
    <w:rsid w:val="00882219"/>
    <w:rsid w:val="008827B7"/>
    <w:rsid w:val="008831DA"/>
    <w:rsid w:val="008832E3"/>
    <w:rsid w:val="00883567"/>
    <w:rsid w:val="0088388D"/>
    <w:rsid w:val="00883C9F"/>
    <w:rsid w:val="00884098"/>
    <w:rsid w:val="008840D2"/>
    <w:rsid w:val="008844A1"/>
    <w:rsid w:val="0088479F"/>
    <w:rsid w:val="00885A3F"/>
    <w:rsid w:val="00885E96"/>
    <w:rsid w:val="008862AC"/>
    <w:rsid w:val="008863CF"/>
    <w:rsid w:val="008864C2"/>
    <w:rsid w:val="00886857"/>
    <w:rsid w:val="00886971"/>
    <w:rsid w:val="008870F0"/>
    <w:rsid w:val="00887614"/>
    <w:rsid w:val="00887AAE"/>
    <w:rsid w:val="00887BF3"/>
    <w:rsid w:val="00890294"/>
    <w:rsid w:val="008903F9"/>
    <w:rsid w:val="008907C1"/>
    <w:rsid w:val="008908D4"/>
    <w:rsid w:val="008917EE"/>
    <w:rsid w:val="00891D05"/>
    <w:rsid w:val="00891F85"/>
    <w:rsid w:val="0089215A"/>
    <w:rsid w:val="00892281"/>
    <w:rsid w:val="00892945"/>
    <w:rsid w:val="00892DDE"/>
    <w:rsid w:val="0089322F"/>
    <w:rsid w:val="0089356C"/>
    <w:rsid w:val="00893913"/>
    <w:rsid w:val="008940F5"/>
    <w:rsid w:val="0089429E"/>
    <w:rsid w:val="008942A1"/>
    <w:rsid w:val="00894968"/>
    <w:rsid w:val="00895B56"/>
    <w:rsid w:val="008960A4"/>
    <w:rsid w:val="00896294"/>
    <w:rsid w:val="0089744E"/>
    <w:rsid w:val="00897F5C"/>
    <w:rsid w:val="008A0682"/>
    <w:rsid w:val="008A1591"/>
    <w:rsid w:val="008A1FB9"/>
    <w:rsid w:val="008A3313"/>
    <w:rsid w:val="008A374E"/>
    <w:rsid w:val="008A385C"/>
    <w:rsid w:val="008A4055"/>
    <w:rsid w:val="008A5414"/>
    <w:rsid w:val="008A573F"/>
    <w:rsid w:val="008A5883"/>
    <w:rsid w:val="008A5EE8"/>
    <w:rsid w:val="008A73C7"/>
    <w:rsid w:val="008A7549"/>
    <w:rsid w:val="008A796E"/>
    <w:rsid w:val="008A7BB2"/>
    <w:rsid w:val="008A7C85"/>
    <w:rsid w:val="008B014D"/>
    <w:rsid w:val="008B05EF"/>
    <w:rsid w:val="008B0B45"/>
    <w:rsid w:val="008B0BD1"/>
    <w:rsid w:val="008B0DDF"/>
    <w:rsid w:val="008B15D9"/>
    <w:rsid w:val="008B177E"/>
    <w:rsid w:val="008B210C"/>
    <w:rsid w:val="008B2A9B"/>
    <w:rsid w:val="008B2C9E"/>
    <w:rsid w:val="008B2F81"/>
    <w:rsid w:val="008B341F"/>
    <w:rsid w:val="008B3D16"/>
    <w:rsid w:val="008B3D5E"/>
    <w:rsid w:val="008B3D82"/>
    <w:rsid w:val="008B5561"/>
    <w:rsid w:val="008B5583"/>
    <w:rsid w:val="008B56AB"/>
    <w:rsid w:val="008B5B62"/>
    <w:rsid w:val="008B6306"/>
    <w:rsid w:val="008B642B"/>
    <w:rsid w:val="008B6D62"/>
    <w:rsid w:val="008B6DBA"/>
    <w:rsid w:val="008B7302"/>
    <w:rsid w:val="008B7AB6"/>
    <w:rsid w:val="008B7CF0"/>
    <w:rsid w:val="008C027C"/>
    <w:rsid w:val="008C06EE"/>
    <w:rsid w:val="008C0AD2"/>
    <w:rsid w:val="008C0B11"/>
    <w:rsid w:val="008C20B0"/>
    <w:rsid w:val="008C27CE"/>
    <w:rsid w:val="008C2868"/>
    <w:rsid w:val="008C2C32"/>
    <w:rsid w:val="008C2CFB"/>
    <w:rsid w:val="008C2DFC"/>
    <w:rsid w:val="008C314E"/>
    <w:rsid w:val="008C3419"/>
    <w:rsid w:val="008C348F"/>
    <w:rsid w:val="008C3EA5"/>
    <w:rsid w:val="008C4620"/>
    <w:rsid w:val="008C4BEA"/>
    <w:rsid w:val="008C4D5C"/>
    <w:rsid w:val="008C4E12"/>
    <w:rsid w:val="008C5248"/>
    <w:rsid w:val="008C531C"/>
    <w:rsid w:val="008C6262"/>
    <w:rsid w:val="008C65DC"/>
    <w:rsid w:val="008C6B9B"/>
    <w:rsid w:val="008C6EAC"/>
    <w:rsid w:val="008C7179"/>
    <w:rsid w:val="008C7421"/>
    <w:rsid w:val="008C7921"/>
    <w:rsid w:val="008C7B49"/>
    <w:rsid w:val="008D0105"/>
    <w:rsid w:val="008D0315"/>
    <w:rsid w:val="008D0F69"/>
    <w:rsid w:val="008D0FA0"/>
    <w:rsid w:val="008D12D8"/>
    <w:rsid w:val="008D16A6"/>
    <w:rsid w:val="008D1870"/>
    <w:rsid w:val="008D1C33"/>
    <w:rsid w:val="008D1CB8"/>
    <w:rsid w:val="008D217A"/>
    <w:rsid w:val="008D2ED0"/>
    <w:rsid w:val="008D2F8A"/>
    <w:rsid w:val="008D34AB"/>
    <w:rsid w:val="008D3564"/>
    <w:rsid w:val="008D37B9"/>
    <w:rsid w:val="008D3F07"/>
    <w:rsid w:val="008D436D"/>
    <w:rsid w:val="008D4642"/>
    <w:rsid w:val="008D471E"/>
    <w:rsid w:val="008D5551"/>
    <w:rsid w:val="008D73F0"/>
    <w:rsid w:val="008E0374"/>
    <w:rsid w:val="008E0663"/>
    <w:rsid w:val="008E089C"/>
    <w:rsid w:val="008E0A6A"/>
    <w:rsid w:val="008E0B95"/>
    <w:rsid w:val="008E0D4C"/>
    <w:rsid w:val="008E1806"/>
    <w:rsid w:val="008E210F"/>
    <w:rsid w:val="008E299B"/>
    <w:rsid w:val="008E39E1"/>
    <w:rsid w:val="008E3DB8"/>
    <w:rsid w:val="008E4045"/>
    <w:rsid w:val="008E45B9"/>
    <w:rsid w:val="008E4D14"/>
    <w:rsid w:val="008E4ED9"/>
    <w:rsid w:val="008E64C8"/>
    <w:rsid w:val="008E66A4"/>
    <w:rsid w:val="008E682C"/>
    <w:rsid w:val="008E6C04"/>
    <w:rsid w:val="008E70A2"/>
    <w:rsid w:val="008E733A"/>
    <w:rsid w:val="008E752C"/>
    <w:rsid w:val="008F0B4E"/>
    <w:rsid w:val="008F0CC4"/>
    <w:rsid w:val="008F0F87"/>
    <w:rsid w:val="008F12F6"/>
    <w:rsid w:val="008F1B23"/>
    <w:rsid w:val="008F2273"/>
    <w:rsid w:val="008F231B"/>
    <w:rsid w:val="008F2533"/>
    <w:rsid w:val="008F2740"/>
    <w:rsid w:val="008F2924"/>
    <w:rsid w:val="008F3104"/>
    <w:rsid w:val="008F341A"/>
    <w:rsid w:val="008F383D"/>
    <w:rsid w:val="008F408B"/>
    <w:rsid w:val="008F42DC"/>
    <w:rsid w:val="008F478C"/>
    <w:rsid w:val="008F4E8B"/>
    <w:rsid w:val="008F5095"/>
    <w:rsid w:val="008F52B7"/>
    <w:rsid w:val="008F6413"/>
    <w:rsid w:val="008F6B30"/>
    <w:rsid w:val="008F6BF4"/>
    <w:rsid w:val="008F78EA"/>
    <w:rsid w:val="008F791C"/>
    <w:rsid w:val="008F7BA6"/>
    <w:rsid w:val="008F7D57"/>
    <w:rsid w:val="00900ED7"/>
    <w:rsid w:val="009012A9"/>
    <w:rsid w:val="00901670"/>
    <w:rsid w:val="00901977"/>
    <w:rsid w:val="00901A9B"/>
    <w:rsid w:val="0090214C"/>
    <w:rsid w:val="00902913"/>
    <w:rsid w:val="00903040"/>
    <w:rsid w:val="009037C1"/>
    <w:rsid w:val="00903C22"/>
    <w:rsid w:val="00903CDA"/>
    <w:rsid w:val="00903D7B"/>
    <w:rsid w:val="0090493E"/>
    <w:rsid w:val="0090544B"/>
    <w:rsid w:val="009055BD"/>
    <w:rsid w:val="00905A29"/>
    <w:rsid w:val="00905D69"/>
    <w:rsid w:val="00905DFB"/>
    <w:rsid w:val="00906ADE"/>
    <w:rsid w:val="00906F6A"/>
    <w:rsid w:val="0090720F"/>
    <w:rsid w:val="00907364"/>
    <w:rsid w:val="00907437"/>
    <w:rsid w:val="00907818"/>
    <w:rsid w:val="00910416"/>
    <w:rsid w:val="00910665"/>
    <w:rsid w:val="0091102A"/>
    <w:rsid w:val="00911114"/>
    <w:rsid w:val="009115B1"/>
    <w:rsid w:val="00911BD1"/>
    <w:rsid w:val="00912133"/>
    <w:rsid w:val="00912B3C"/>
    <w:rsid w:val="00912E66"/>
    <w:rsid w:val="0091341C"/>
    <w:rsid w:val="009142EC"/>
    <w:rsid w:val="00914311"/>
    <w:rsid w:val="0091441C"/>
    <w:rsid w:val="00914840"/>
    <w:rsid w:val="00915046"/>
    <w:rsid w:val="009165AF"/>
    <w:rsid w:val="009167A2"/>
    <w:rsid w:val="00917720"/>
    <w:rsid w:val="009204FA"/>
    <w:rsid w:val="00920684"/>
    <w:rsid w:val="00920CF3"/>
    <w:rsid w:val="00922312"/>
    <w:rsid w:val="009224C3"/>
    <w:rsid w:val="009227AC"/>
    <w:rsid w:val="00922A11"/>
    <w:rsid w:val="00922D61"/>
    <w:rsid w:val="00922E16"/>
    <w:rsid w:val="0092380C"/>
    <w:rsid w:val="009239C2"/>
    <w:rsid w:val="00923ABC"/>
    <w:rsid w:val="009243AE"/>
    <w:rsid w:val="009245B2"/>
    <w:rsid w:val="0092495E"/>
    <w:rsid w:val="0092510E"/>
    <w:rsid w:val="009251A4"/>
    <w:rsid w:val="00925AD0"/>
    <w:rsid w:val="00925BA5"/>
    <w:rsid w:val="00926186"/>
    <w:rsid w:val="00926295"/>
    <w:rsid w:val="009265D9"/>
    <w:rsid w:val="0092702D"/>
    <w:rsid w:val="00927A20"/>
    <w:rsid w:val="00927F16"/>
    <w:rsid w:val="0093001F"/>
    <w:rsid w:val="00930361"/>
    <w:rsid w:val="00930387"/>
    <w:rsid w:val="00930B34"/>
    <w:rsid w:val="00930E52"/>
    <w:rsid w:val="0093160F"/>
    <w:rsid w:val="0093192F"/>
    <w:rsid w:val="00932002"/>
    <w:rsid w:val="00932422"/>
    <w:rsid w:val="009328B8"/>
    <w:rsid w:val="009333FF"/>
    <w:rsid w:val="00933658"/>
    <w:rsid w:val="00933B08"/>
    <w:rsid w:val="009341F7"/>
    <w:rsid w:val="0093447A"/>
    <w:rsid w:val="00934E86"/>
    <w:rsid w:val="00935ACC"/>
    <w:rsid w:val="00935ADA"/>
    <w:rsid w:val="00935FD5"/>
    <w:rsid w:val="00936006"/>
    <w:rsid w:val="00936117"/>
    <w:rsid w:val="0093657E"/>
    <w:rsid w:val="009367A5"/>
    <w:rsid w:val="00936A15"/>
    <w:rsid w:val="00936CB3"/>
    <w:rsid w:val="009373AD"/>
    <w:rsid w:val="0093746D"/>
    <w:rsid w:val="009375A6"/>
    <w:rsid w:val="009377B2"/>
    <w:rsid w:val="00937CE8"/>
    <w:rsid w:val="009409C6"/>
    <w:rsid w:val="00940EE6"/>
    <w:rsid w:val="00941118"/>
    <w:rsid w:val="009412DA"/>
    <w:rsid w:val="009414FB"/>
    <w:rsid w:val="0094170D"/>
    <w:rsid w:val="00941E6F"/>
    <w:rsid w:val="009422CA"/>
    <w:rsid w:val="009426EA"/>
    <w:rsid w:val="00942778"/>
    <w:rsid w:val="00942875"/>
    <w:rsid w:val="00942A52"/>
    <w:rsid w:val="00942F63"/>
    <w:rsid w:val="00943D84"/>
    <w:rsid w:val="009444C4"/>
    <w:rsid w:val="009449AE"/>
    <w:rsid w:val="009449DB"/>
    <w:rsid w:val="00944CBC"/>
    <w:rsid w:val="0094507C"/>
    <w:rsid w:val="0094527F"/>
    <w:rsid w:val="009455AA"/>
    <w:rsid w:val="009455BF"/>
    <w:rsid w:val="00945767"/>
    <w:rsid w:val="00945C57"/>
    <w:rsid w:val="00946BA8"/>
    <w:rsid w:val="0094741B"/>
    <w:rsid w:val="00947455"/>
    <w:rsid w:val="00947558"/>
    <w:rsid w:val="00950621"/>
    <w:rsid w:val="00950C30"/>
    <w:rsid w:val="009512C7"/>
    <w:rsid w:val="0095174F"/>
    <w:rsid w:val="009522F0"/>
    <w:rsid w:val="00952414"/>
    <w:rsid w:val="00952647"/>
    <w:rsid w:val="00952C90"/>
    <w:rsid w:val="009541FB"/>
    <w:rsid w:val="0095462D"/>
    <w:rsid w:val="009548AB"/>
    <w:rsid w:val="00955073"/>
    <w:rsid w:val="00955579"/>
    <w:rsid w:val="00955A0C"/>
    <w:rsid w:val="009560CD"/>
    <w:rsid w:val="009566FD"/>
    <w:rsid w:val="00956B54"/>
    <w:rsid w:val="00956EC0"/>
    <w:rsid w:val="00957076"/>
    <w:rsid w:val="009571B9"/>
    <w:rsid w:val="0095750F"/>
    <w:rsid w:val="00957748"/>
    <w:rsid w:val="00957B94"/>
    <w:rsid w:val="00957FB6"/>
    <w:rsid w:val="009607FD"/>
    <w:rsid w:val="00960A00"/>
    <w:rsid w:val="00960A03"/>
    <w:rsid w:val="00960FC1"/>
    <w:rsid w:val="00960FF6"/>
    <w:rsid w:val="0096143B"/>
    <w:rsid w:val="009615EC"/>
    <w:rsid w:val="009618BD"/>
    <w:rsid w:val="00962056"/>
    <w:rsid w:val="0096271F"/>
    <w:rsid w:val="00963163"/>
    <w:rsid w:val="0096327C"/>
    <w:rsid w:val="00963542"/>
    <w:rsid w:val="00964525"/>
    <w:rsid w:val="009649DE"/>
    <w:rsid w:val="00964D74"/>
    <w:rsid w:val="00965636"/>
    <w:rsid w:val="00965940"/>
    <w:rsid w:val="00966390"/>
    <w:rsid w:val="00966A24"/>
    <w:rsid w:val="00967078"/>
    <w:rsid w:val="0096740F"/>
    <w:rsid w:val="0096767D"/>
    <w:rsid w:val="00967901"/>
    <w:rsid w:val="00967BD3"/>
    <w:rsid w:val="00970025"/>
    <w:rsid w:val="00970056"/>
    <w:rsid w:val="00970740"/>
    <w:rsid w:val="009708D3"/>
    <w:rsid w:val="00970F35"/>
    <w:rsid w:val="00971067"/>
    <w:rsid w:val="00971123"/>
    <w:rsid w:val="00971185"/>
    <w:rsid w:val="009714AA"/>
    <w:rsid w:val="00971B0D"/>
    <w:rsid w:val="00971FD7"/>
    <w:rsid w:val="009721B0"/>
    <w:rsid w:val="009721D0"/>
    <w:rsid w:val="0097260D"/>
    <w:rsid w:val="00972CA0"/>
    <w:rsid w:val="00972E5E"/>
    <w:rsid w:val="00972EE3"/>
    <w:rsid w:val="00973185"/>
    <w:rsid w:val="00973262"/>
    <w:rsid w:val="0097384A"/>
    <w:rsid w:val="00973AE2"/>
    <w:rsid w:val="00974136"/>
    <w:rsid w:val="00974711"/>
    <w:rsid w:val="00974AED"/>
    <w:rsid w:val="00974BF9"/>
    <w:rsid w:val="00974F56"/>
    <w:rsid w:val="009752E1"/>
    <w:rsid w:val="0097531E"/>
    <w:rsid w:val="00975E0A"/>
    <w:rsid w:val="00975FA5"/>
    <w:rsid w:val="00976111"/>
    <w:rsid w:val="00976664"/>
    <w:rsid w:val="00976926"/>
    <w:rsid w:val="00976BE6"/>
    <w:rsid w:val="00976C4E"/>
    <w:rsid w:val="009771AB"/>
    <w:rsid w:val="00977A30"/>
    <w:rsid w:val="00977E6C"/>
    <w:rsid w:val="00977FD7"/>
    <w:rsid w:val="009804EB"/>
    <w:rsid w:val="009811C6"/>
    <w:rsid w:val="009811DA"/>
    <w:rsid w:val="00981F79"/>
    <w:rsid w:val="009824FA"/>
    <w:rsid w:val="00982A6C"/>
    <w:rsid w:val="00982B5C"/>
    <w:rsid w:val="0098397F"/>
    <w:rsid w:val="0098423D"/>
    <w:rsid w:val="009844E8"/>
    <w:rsid w:val="00984B71"/>
    <w:rsid w:val="009851E4"/>
    <w:rsid w:val="00985923"/>
    <w:rsid w:val="00985D2D"/>
    <w:rsid w:val="00985E7E"/>
    <w:rsid w:val="00985ECF"/>
    <w:rsid w:val="00985EF7"/>
    <w:rsid w:val="0098609C"/>
    <w:rsid w:val="00986601"/>
    <w:rsid w:val="009867A7"/>
    <w:rsid w:val="00986935"/>
    <w:rsid w:val="009869D3"/>
    <w:rsid w:val="00986B7B"/>
    <w:rsid w:val="0098735A"/>
    <w:rsid w:val="0098765A"/>
    <w:rsid w:val="00990050"/>
    <w:rsid w:val="0099007A"/>
    <w:rsid w:val="009904A5"/>
    <w:rsid w:val="009909A5"/>
    <w:rsid w:val="00990AA7"/>
    <w:rsid w:val="009911BC"/>
    <w:rsid w:val="00991436"/>
    <w:rsid w:val="00991443"/>
    <w:rsid w:val="00992008"/>
    <w:rsid w:val="00992936"/>
    <w:rsid w:val="00992BE9"/>
    <w:rsid w:val="00992E05"/>
    <w:rsid w:val="00992E3A"/>
    <w:rsid w:val="00993039"/>
    <w:rsid w:val="00993543"/>
    <w:rsid w:val="00993617"/>
    <w:rsid w:val="00993762"/>
    <w:rsid w:val="00993C4B"/>
    <w:rsid w:val="00993E9E"/>
    <w:rsid w:val="009947BD"/>
    <w:rsid w:val="00994A19"/>
    <w:rsid w:val="00994C42"/>
    <w:rsid w:val="00995565"/>
    <w:rsid w:val="009955BF"/>
    <w:rsid w:val="00995B07"/>
    <w:rsid w:val="00995FF4"/>
    <w:rsid w:val="0099693D"/>
    <w:rsid w:val="00997358"/>
    <w:rsid w:val="00997758"/>
    <w:rsid w:val="00997759"/>
    <w:rsid w:val="00997894"/>
    <w:rsid w:val="00997FED"/>
    <w:rsid w:val="009A030C"/>
    <w:rsid w:val="009A08FB"/>
    <w:rsid w:val="009A0A2C"/>
    <w:rsid w:val="009A0D88"/>
    <w:rsid w:val="009A13CA"/>
    <w:rsid w:val="009A1AA6"/>
    <w:rsid w:val="009A1B9A"/>
    <w:rsid w:val="009A2059"/>
    <w:rsid w:val="009A2396"/>
    <w:rsid w:val="009A2795"/>
    <w:rsid w:val="009A2A85"/>
    <w:rsid w:val="009A3173"/>
    <w:rsid w:val="009A3E42"/>
    <w:rsid w:val="009A4435"/>
    <w:rsid w:val="009A4594"/>
    <w:rsid w:val="009A486E"/>
    <w:rsid w:val="009A4AB9"/>
    <w:rsid w:val="009A4F3B"/>
    <w:rsid w:val="009A5D76"/>
    <w:rsid w:val="009A61BD"/>
    <w:rsid w:val="009A6357"/>
    <w:rsid w:val="009A77A0"/>
    <w:rsid w:val="009A77FA"/>
    <w:rsid w:val="009A793E"/>
    <w:rsid w:val="009A7C2D"/>
    <w:rsid w:val="009A7C51"/>
    <w:rsid w:val="009A7D6C"/>
    <w:rsid w:val="009B001C"/>
    <w:rsid w:val="009B00AE"/>
    <w:rsid w:val="009B0931"/>
    <w:rsid w:val="009B0D26"/>
    <w:rsid w:val="009B1102"/>
    <w:rsid w:val="009B1845"/>
    <w:rsid w:val="009B25B5"/>
    <w:rsid w:val="009B2AB9"/>
    <w:rsid w:val="009B307B"/>
    <w:rsid w:val="009B335C"/>
    <w:rsid w:val="009B3D00"/>
    <w:rsid w:val="009B3FAF"/>
    <w:rsid w:val="009B4A7B"/>
    <w:rsid w:val="009B4BCE"/>
    <w:rsid w:val="009B4D2A"/>
    <w:rsid w:val="009B590E"/>
    <w:rsid w:val="009B5AEC"/>
    <w:rsid w:val="009B64E8"/>
    <w:rsid w:val="009B64F7"/>
    <w:rsid w:val="009B666E"/>
    <w:rsid w:val="009B671E"/>
    <w:rsid w:val="009B75C2"/>
    <w:rsid w:val="009C0BB0"/>
    <w:rsid w:val="009C0DB9"/>
    <w:rsid w:val="009C0FC7"/>
    <w:rsid w:val="009C1106"/>
    <w:rsid w:val="009C2164"/>
    <w:rsid w:val="009C26E8"/>
    <w:rsid w:val="009C285B"/>
    <w:rsid w:val="009C39FF"/>
    <w:rsid w:val="009C3A5C"/>
    <w:rsid w:val="009C4613"/>
    <w:rsid w:val="009C475B"/>
    <w:rsid w:val="009C4C93"/>
    <w:rsid w:val="009C518D"/>
    <w:rsid w:val="009C5232"/>
    <w:rsid w:val="009C52DB"/>
    <w:rsid w:val="009C56A3"/>
    <w:rsid w:val="009C588A"/>
    <w:rsid w:val="009C58F4"/>
    <w:rsid w:val="009C59E4"/>
    <w:rsid w:val="009C6992"/>
    <w:rsid w:val="009C6FB0"/>
    <w:rsid w:val="009C711D"/>
    <w:rsid w:val="009C742F"/>
    <w:rsid w:val="009C776F"/>
    <w:rsid w:val="009C7869"/>
    <w:rsid w:val="009C7A5B"/>
    <w:rsid w:val="009D0A8B"/>
    <w:rsid w:val="009D0E1C"/>
    <w:rsid w:val="009D0E5C"/>
    <w:rsid w:val="009D1038"/>
    <w:rsid w:val="009D1702"/>
    <w:rsid w:val="009D1B75"/>
    <w:rsid w:val="009D1E4C"/>
    <w:rsid w:val="009D1FA7"/>
    <w:rsid w:val="009D22DA"/>
    <w:rsid w:val="009D27DF"/>
    <w:rsid w:val="009D2A7D"/>
    <w:rsid w:val="009D2C78"/>
    <w:rsid w:val="009D2F32"/>
    <w:rsid w:val="009D3BF4"/>
    <w:rsid w:val="009D41D7"/>
    <w:rsid w:val="009D4E2F"/>
    <w:rsid w:val="009D59F2"/>
    <w:rsid w:val="009D5B2E"/>
    <w:rsid w:val="009D5EEE"/>
    <w:rsid w:val="009D5F13"/>
    <w:rsid w:val="009D60A3"/>
    <w:rsid w:val="009D63DD"/>
    <w:rsid w:val="009D6518"/>
    <w:rsid w:val="009D6BF8"/>
    <w:rsid w:val="009D6D71"/>
    <w:rsid w:val="009D7839"/>
    <w:rsid w:val="009D7B74"/>
    <w:rsid w:val="009E0371"/>
    <w:rsid w:val="009E0449"/>
    <w:rsid w:val="009E05BD"/>
    <w:rsid w:val="009E12CC"/>
    <w:rsid w:val="009E138B"/>
    <w:rsid w:val="009E1482"/>
    <w:rsid w:val="009E1628"/>
    <w:rsid w:val="009E2351"/>
    <w:rsid w:val="009E2484"/>
    <w:rsid w:val="009E274D"/>
    <w:rsid w:val="009E382A"/>
    <w:rsid w:val="009E3927"/>
    <w:rsid w:val="009E474A"/>
    <w:rsid w:val="009E4BBD"/>
    <w:rsid w:val="009E540A"/>
    <w:rsid w:val="009E559D"/>
    <w:rsid w:val="009E5937"/>
    <w:rsid w:val="009E5C93"/>
    <w:rsid w:val="009E5CF3"/>
    <w:rsid w:val="009E5D2F"/>
    <w:rsid w:val="009E5D99"/>
    <w:rsid w:val="009E5F27"/>
    <w:rsid w:val="009E6452"/>
    <w:rsid w:val="009E68F6"/>
    <w:rsid w:val="009E7215"/>
    <w:rsid w:val="009E73CB"/>
    <w:rsid w:val="009E77BD"/>
    <w:rsid w:val="009F1B48"/>
    <w:rsid w:val="009F1D9A"/>
    <w:rsid w:val="009F2599"/>
    <w:rsid w:val="009F2715"/>
    <w:rsid w:val="009F29DE"/>
    <w:rsid w:val="009F2D6D"/>
    <w:rsid w:val="009F2F20"/>
    <w:rsid w:val="009F2F71"/>
    <w:rsid w:val="009F33B5"/>
    <w:rsid w:val="009F3709"/>
    <w:rsid w:val="009F3996"/>
    <w:rsid w:val="009F3F39"/>
    <w:rsid w:val="009F4960"/>
    <w:rsid w:val="009F4DD7"/>
    <w:rsid w:val="009F527C"/>
    <w:rsid w:val="009F5C8D"/>
    <w:rsid w:val="009F64C2"/>
    <w:rsid w:val="009F6992"/>
    <w:rsid w:val="009F7006"/>
    <w:rsid w:val="009F75E6"/>
    <w:rsid w:val="009F7AA8"/>
    <w:rsid w:val="009F7EE2"/>
    <w:rsid w:val="00A00A29"/>
    <w:rsid w:val="00A0128A"/>
    <w:rsid w:val="00A01532"/>
    <w:rsid w:val="00A01537"/>
    <w:rsid w:val="00A01667"/>
    <w:rsid w:val="00A017AB"/>
    <w:rsid w:val="00A01A7D"/>
    <w:rsid w:val="00A01AF7"/>
    <w:rsid w:val="00A02112"/>
    <w:rsid w:val="00A029B1"/>
    <w:rsid w:val="00A02AD0"/>
    <w:rsid w:val="00A032C1"/>
    <w:rsid w:val="00A03DF6"/>
    <w:rsid w:val="00A04303"/>
    <w:rsid w:val="00A0433D"/>
    <w:rsid w:val="00A05173"/>
    <w:rsid w:val="00A05A24"/>
    <w:rsid w:val="00A1078D"/>
    <w:rsid w:val="00A10EB9"/>
    <w:rsid w:val="00A10F5C"/>
    <w:rsid w:val="00A113BC"/>
    <w:rsid w:val="00A117F3"/>
    <w:rsid w:val="00A11804"/>
    <w:rsid w:val="00A11E69"/>
    <w:rsid w:val="00A134F9"/>
    <w:rsid w:val="00A13D4C"/>
    <w:rsid w:val="00A14490"/>
    <w:rsid w:val="00A15028"/>
    <w:rsid w:val="00A15364"/>
    <w:rsid w:val="00A15A34"/>
    <w:rsid w:val="00A15AC8"/>
    <w:rsid w:val="00A1601B"/>
    <w:rsid w:val="00A16245"/>
    <w:rsid w:val="00A1675C"/>
    <w:rsid w:val="00A173EC"/>
    <w:rsid w:val="00A17F04"/>
    <w:rsid w:val="00A208B6"/>
    <w:rsid w:val="00A21598"/>
    <w:rsid w:val="00A219B7"/>
    <w:rsid w:val="00A22523"/>
    <w:rsid w:val="00A22950"/>
    <w:rsid w:val="00A22DF4"/>
    <w:rsid w:val="00A23472"/>
    <w:rsid w:val="00A23542"/>
    <w:rsid w:val="00A23AF6"/>
    <w:rsid w:val="00A23F51"/>
    <w:rsid w:val="00A245B8"/>
    <w:rsid w:val="00A24FEA"/>
    <w:rsid w:val="00A258EF"/>
    <w:rsid w:val="00A260AA"/>
    <w:rsid w:val="00A260B4"/>
    <w:rsid w:val="00A266E2"/>
    <w:rsid w:val="00A26927"/>
    <w:rsid w:val="00A26C95"/>
    <w:rsid w:val="00A27936"/>
    <w:rsid w:val="00A27C85"/>
    <w:rsid w:val="00A27F1B"/>
    <w:rsid w:val="00A30513"/>
    <w:rsid w:val="00A3082C"/>
    <w:rsid w:val="00A30ACB"/>
    <w:rsid w:val="00A30D36"/>
    <w:rsid w:val="00A30EF1"/>
    <w:rsid w:val="00A314DB"/>
    <w:rsid w:val="00A3248D"/>
    <w:rsid w:val="00A327E2"/>
    <w:rsid w:val="00A32DA1"/>
    <w:rsid w:val="00A33290"/>
    <w:rsid w:val="00A33C7D"/>
    <w:rsid w:val="00A34568"/>
    <w:rsid w:val="00A346DA"/>
    <w:rsid w:val="00A3480E"/>
    <w:rsid w:val="00A352E3"/>
    <w:rsid w:val="00A35CF0"/>
    <w:rsid w:val="00A35FAC"/>
    <w:rsid w:val="00A3611D"/>
    <w:rsid w:val="00A362D4"/>
    <w:rsid w:val="00A3744C"/>
    <w:rsid w:val="00A378E4"/>
    <w:rsid w:val="00A37D1A"/>
    <w:rsid w:val="00A405CA"/>
    <w:rsid w:val="00A40A55"/>
    <w:rsid w:val="00A4122E"/>
    <w:rsid w:val="00A4166F"/>
    <w:rsid w:val="00A41991"/>
    <w:rsid w:val="00A41DB1"/>
    <w:rsid w:val="00A4215C"/>
    <w:rsid w:val="00A4215E"/>
    <w:rsid w:val="00A42355"/>
    <w:rsid w:val="00A425EF"/>
    <w:rsid w:val="00A42C10"/>
    <w:rsid w:val="00A42CF9"/>
    <w:rsid w:val="00A4300B"/>
    <w:rsid w:val="00A43336"/>
    <w:rsid w:val="00A4397C"/>
    <w:rsid w:val="00A43A05"/>
    <w:rsid w:val="00A43AC7"/>
    <w:rsid w:val="00A43C21"/>
    <w:rsid w:val="00A43FAD"/>
    <w:rsid w:val="00A44149"/>
    <w:rsid w:val="00A44B69"/>
    <w:rsid w:val="00A44DDF"/>
    <w:rsid w:val="00A44E7F"/>
    <w:rsid w:val="00A450E6"/>
    <w:rsid w:val="00A45953"/>
    <w:rsid w:val="00A459A6"/>
    <w:rsid w:val="00A45D57"/>
    <w:rsid w:val="00A45FEB"/>
    <w:rsid w:val="00A46808"/>
    <w:rsid w:val="00A469FC"/>
    <w:rsid w:val="00A46B53"/>
    <w:rsid w:val="00A46B87"/>
    <w:rsid w:val="00A475B7"/>
    <w:rsid w:val="00A47924"/>
    <w:rsid w:val="00A47B31"/>
    <w:rsid w:val="00A50364"/>
    <w:rsid w:val="00A50DF5"/>
    <w:rsid w:val="00A50EA9"/>
    <w:rsid w:val="00A51825"/>
    <w:rsid w:val="00A51A5F"/>
    <w:rsid w:val="00A51BA7"/>
    <w:rsid w:val="00A52530"/>
    <w:rsid w:val="00A52545"/>
    <w:rsid w:val="00A529A3"/>
    <w:rsid w:val="00A52A1B"/>
    <w:rsid w:val="00A52B21"/>
    <w:rsid w:val="00A53257"/>
    <w:rsid w:val="00A533F7"/>
    <w:rsid w:val="00A5360D"/>
    <w:rsid w:val="00A536B4"/>
    <w:rsid w:val="00A537B9"/>
    <w:rsid w:val="00A53910"/>
    <w:rsid w:val="00A53DCD"/>
    <w:rsid w:val="00A53F01"/>
    <w:rsid w:val="00A53F91"/>
    <w:rsid w:val="00A541A8"/>
    <w:rsid w:val="00A5521C"/>
    <w:rsid w:val="00A55736"/>
    <w:rsid w:val="00A55954"/>
    <w:rsid w:val="00A55BE5"/>
    <w:rsid w:val="00A55C39"/>
    <w:rsid w:val="00A55F2D"/>
    <w:rsid w:val="00A562C6"/>
    <w:rsid w:val="00A56438"/>
    <w:rsid w:val="00A5655F"/>
    <w:rsid w:val="00A56675"/>
    <w:rsid w:val="00A5715E"/>
    <w:rsid w:val="00A57382"/>
    <w:rsid w:val="00A57450"/>
    <w:rsid w:val="00A57971"/>
    <w:rsid w:val="00A57989"/>
    <w:rsid w:val="00A57F55"/>
    <w:rsid w:val="00A600D4"/>
    <w:rsid w:val="00A606C0"/>
    <w:rsid w:val="00A60735"/>
    <w:rsid w:val="00A60806"/>
    <w:rsid w:val="00A62061"/>
    <w:rsid w:val="00A62368"/>
    <w:rsid w:val="00A62B29"/>
    <w:rsid w:val="00A62D54"/>
    <w:rsid w:val="00A63326"/>
    <w:rsid w:val="00A633F8"/>
    <w:rsid w:val="00A63545"/>
    <w:rsid w:val="00A63571"/>
    <w:rsid w:val="00A6372D"/>
    <w:rsid w:val="00A63A74"/>
    <w:rsid w:val="00A646C9"/>
    <w:rsid w:val="00A64744"/>
    <w:rsid w:val="00A6528B"/>
    <w:rsid w:val="00A65F3B"/>
    <w:rsid w:val="00A66A10"/>
    <w:rsid w:val="00A67147"/>
    <w:rsid w:val="00A67948"/>
    <w:rsid w:val="00A67D59"/>
    <w:rsid w:val="00A70136"/>
    <w:rsid w:val="00A70460"/>
    <w:rsid w:val="00A709B4"/>
    <w:rsid w:val="00A711B9"/>
    <w:rsid w:val="00A71750"/>
    <w:rsid w:val="00A71B9F"/>
    <w:rsid w:val="00A72738"/>
    <w:rsid w:val="00A72BA9"/>
    <w:rsid w:val="00A730BA"/>
    <w:rsid w:val="00A7347C"/>
    <w:rsid w:val="00A7410C"/>
    <w:rsid w:val="00A74DF4"/>
    <w:rsid w:val="00A74E62"/>
    <w:rsid w:val="00A7515C"/>
    <w:rsid w:val="00A751E9"/>
    <w:rsid w:val="00A75A8A"/>
    <w:rsid w:val="00A76019"/>
    <w:rsid w:val="00A760ED"/>
    <w:rsid w:val="00A76340"/>
    <w:rsid w:val="00A768AE"/>
    <w:rsid w:val="00A76A54"/>
    <w:rsid w:val="00A76A79"/>
    <w:rsid w:val="00A7729A"/>
    <w:rsid w:val="00A77409"/>
    <w:rsid w:val="00A77B4D"/>
    <w:rsid w:val="00A77B5E"/>
    <w:rsid w:val="00A80119"/>
    <w:rsid w:val="00A801C6"/>
    <w:rsid w:val="00A80221"/>
    <w:rsid w:val="00A803EB"/>
    <w:rsid w:val="00A806DB"/>
    <w:rsid w:val="00A80EFA"/>
    <w:rsid w:val="00A80F82"/>
    <w:rsid w:val="00A80FD7"/>
    <w:rsid w:val="00A83578"/>
    <w:rsid w:val="00A83659"/>
    <w:rsid w:val="00A83EAE"/>
    <w:rsid w:val="00A846C9"/>
    <w:rsid w:val="00A846FF"/>
    <w:rsid w:val="00A84CEE"/>
    <w:rsid w:val="00A85595"/>
    <w:rsid w:val="00A856AA"/>
    <w:rsid w:val="00A8585F"/>
    <w:rsid w:val="00A85A08"/>
    <w:rsid w:val="00A860E5"/>
    <w:rsid w:val="00A86D06"/>
    <w:rsid w:val="00A86EAB"/>
    <w:rsid w:val="00A87600"/>
    <w:rsid w:val="00A90434"/>
    <w:rsid w:val="00A908E8"/>
    <w:rsid w:val="00A90F0F"/>
    <w:rsid w:val="00A91190"/>
    <w:rsid w:val="00A925C4"/>
    <w:rsid w:val="00A9269A"/>
    <w:rsid w:val="00A92F26"/>
    <w:rsid w:val="00A93146"/>
    <w:rsid w:val="00A934BB"/>
    <w:rsid w:val="00A934F4"/>
    <w:rsid w:val="00A939CE"/>
    <w:rsid w:val="00A939DA"/>
    <w:rsid w:val="00A94DC2"/>
    <w:rsid w:val="00A94ED5"/>
    <w:rsid w:val="00A958C8"/>
    <w:rsid w:val="00A95D66"/>
    <w:rsid w:val="00A95E2E"/>
    <w:rsid w:val="00A9665B"/>
    <w:rsid w:val="00A96785"/>
    <w:rsid w:val="00A96874"/>
    <w:rsid w:val="00A96910"/>
    <w:rsid w:val="00A96AD0"/>
    <w:rsid w:val="00A96F14"/>
    <w:rsid w:val="00A9745D"/>
    <w:rsid w:val="00A97491"/>
    <w:rsid w:val="00A97712"/>
    <w:rsid w:val="00A977C9"/>
    <w:rsid w:val="00A979CD"/>
    <w:rsid w:val="00A97A04"/>
    <w:rsid w:val="00A97AF7"/>
    <w:rsid w:val="00AA0389"/>
    <w:rsid w:val="00AA08A2"/>
    <w:rsid w:val="00AA0D28"/>
    <w:rsid w:val="00AA1244"/>
    <w:rsid w:val="00AA1451"/>
    <w:rsid w:val="00AA15F8"/>
    <w:rsid w:val="00AA175D"/>
    <w:rsid w:val="00AA1845"/>
    <w:rsid w:val="00AA1BD7"/>
    <w:rsid w:val="00AA27F5"/>
    <w:rsid w:val="00AA291E"/>
    <w:rsid w:val="00AA295D"/>
    <w:rsid w:val="00AA48C3"/>
    <w:rsid w:val="00AA4BFA"/>
    <w:rsid w:val="00AA4FE8"/>
    <w:rsid w:val="00AA582F"/>
    <w:rsid w:val="00AA6672"/>
    <w:rsid w:val="00AA6E86"/>
    <w:rsid w:val="00AA6F9D"/>
    <w:rsid w:val="00AA6FF1"/>
    <w:rsid w:val="00AB0102"/>
    <w:rsid w:val="00AB015F"/>
    <w:rsid w:val="00AB029E"/>
    <w:rsid w:val="00AB0CE4"/>
    <w:rsid w:val="00AB0D9E"/>
    <w:rsid w:val="00AB1808"/>
    <w:rsid w:val="00AB1B85"/>
    <w:rsid w:val="00AB1BC2"/>
    <w:rsid w:val="00AB1D10"/>
    <w:rsid w:val="00AB2212"/>
    <w:rsid w:val="00AB34A5"/>
    <w:rsid w:val="00AB42F4"/>
    <w:rsid w:val="00AB452E"/>
    <w:rsid w:val="00AB48E0"/>
    <w:rsid w:val="00AB4D54"/>
    <w:rsid w:val="00AB5757"/>
    <w:rsid w:val="00AB57DC"/>
    <w:rsid w:val="00AB5946"/>
    <w:rsid w:val="00AB6DDB"/>
    <w:rsid w:val="00AB70AF"/>
    <w:rsid w:val="00AB7699"/>
    <w:rsid w:val="00AB787B"/>
    <w:rsid w:val="00AB7B63"/>
    <w:rsid w:val="00AC19F1"/>
    <w:rsid w:val="00AC20A6"/>
    <w:rsid w:val="00AC25F6"/>
    <w:rsid w:val="00AC2CD4"/>
    <w:rsid w:val="00AC3753"/>
    <w:rsid w:val="00AC3D3E"/>
    <w:rsid w:val="00AC41E7"/>
    <w:rsid w:val="00AC4825"/>
    <w:rsid w:val="00AC4BE8"/>
    <w:rsid w:val="00AC4F57"/>
    <w:rsid w:val="00AC5210"/>
    <w:rsid w:val="00AC5BA1"/>
    <w:rsid w:val="00AC5D36"/>
    <w:rsid w:val="00AC5FE2"/>
    <w:rsid w:val="00AC64DB"/>
    <w:rsid w:val="00AC77D3"/>
    <w:rsid w:val="00AD031B"/>
    <w:rsid w:val="00AD07A9"/>
    <w:rsid w:val="00AD07B2"/>
    <w:rsid w:val="00AD0AB7"/>
    <w:rsid w:val="00AD0C0C"/>
    <w:rsid w:val="00AD0CC9"/>
    <w:rsid w:val="00AD0EBA"/>
    <w:rsid w:val="00AD1337"/>
    <w:rsid w:val="00AD1482"/>
    <w:rsid w:val="00AD152E"/>
    <w:rsid w:val="00AD15D4"/>
    <w:rsid w:val="00AD19E2"/>
    <w:rsid w:val="00AD24E1"/>
    <w:rsid w:val="00AD2DA4"/>
    <w:rsid w:val="00AD2DE5"/>
    <w:rsid w:val="00AD4BD1"/>
    <w:rsid w:val="00AD5224"/>
    <w:rsid w:val="00AD567C"/>
    <w:rsid w:val="00AD58F8"/>
    <w:rsid w:val="00AD67E0"/>
    <w:rsid w:val="00AD6F7E"/>
    <w:rsid w:val="00AD79C9"/>
    <w:rsid w:val="00AD7BE6"/>
    <w:rsid w:val="00AD7C14"/>
    <w:rsid w:val="00AD7EF3"/>
    <w:rsid w:val="00AE0078"/>
    <w:rsid w:val="00AE0C6B"/>
    <w:rsid w:val="00AE1B12"/>
    <w:rsid w:val="00AE1FF5"/>
    <w:rsid w:val="00AE277C"/>
    <w:rsid w:val="00AE2908"/>
    <w:rsid w:val="00AE29A4"/>
    <w:rsid w:val="00AE2B18"/>
    <w:rsid w:val="00AE2EF4"/>
    <w:rsid w:val="00AE38DE"/>
    <w:rsid w:val="00AE3BE5"/>
    <w:rsid w:val="00AE45E3"/>
    <w:rsid w:val="00AE4848"/>
    <w:rsid w:val="00AE4BA8"/>
    <w:rsid w:val="00AE5028"/>
    <w:rsid w:val="00AE51AE"/>
    <w:rsid w:val="00AE5AB4"/>
    <w:rsid w:val="00AE5F42"/>
    <w:rsid w:val="00AE67D0"/>
    <w:rsid w:val="00AE6FE5"/>
    <w:rsid w:val="00AE7111"/>
    <w:rsid w:val="00AE769B"/>
    <w:rsid w:val="00AE7B13"/>
    <w:rsid w:val="00AE7BF9"/>
    <w:rsid w:val="00AE7F7F"/>
    <w:rsid w:val="00AF04F4"/>
    <w:rsid w:val="00AF0617"/>
    <w:rsid w:val="00AF07F7"/>
    <w:rsid w:val="00AF0AD7"/>
    <w:rsid w:val="00AF0CD0"/>
    <w:rsid w:val="00AF167D"/>
    <w:rsid w:val="00AF25D0"/>
    <w:rsid w:val="00AF2A4E"/>
    <w:rsid w:val="00AF2F83"/>
    <w:rsid w:val="00AF3521"/>
    <w:rsid w:val="00AF3747"/>
    <w:rsid w:val="00AF37C4"/>
    <w:rsid w:val="00AF4363"/>
    <w:rsid w:val="00AF4B28"/>
    <w:rsid w:val="00AF50DF"/>
    <w:rsid w:val="00AF5354"/>
    <w:rsid w:val="00AF5489"/>
    <w:rsid w:val="00AF576F"/>
    <w:rsid w:val="00AF5B58"/>
    <w:rsid w:val="00AF6BB6"/>
    <w:rsid w:val="00AF6E44"/>
    <w:rsid w:val="00AF70AC"/>
    <w:rsid w:val="00AF76DD"/>
    <w:rsid w:val="00AF7872"/>
    <w:rsid w:val="00AF7A61"/>
    <w:rsid w:val="00B004A6"/>
    <w:rsid w:val="00B0057F"/>
    <w:rsid w:val="00B005E7"/>
    <w:rsid w:val="00B007FE"/>
    <w:rsid w:val="00B00F81"/>
    <w:rsid w:val="00B017E4"/>
    <w:rsid w:val="00B01D9C"/>
    <w:rsid w:val="00B01DFC"/>
    <w:rsid w:val="00B02578"/>
    <w:rsid w:val="00B025B4"/>
    <w:rsid w:val="00B02972"/>
    <w:rsid w:val="00B02A9F"/>
    <w:rsid w:val="00B043E6"/>
    <w:rsid w:val="00B04552"/>
    <w:rsid w:val="00B04D13"/>
    <w:rsid w:val="00B04F89"/>
    <w:rsid w:val="00B05134"/>
    <w:rsid w:val="00B05434"/>
    <w:rsid w:val="00B05A1D"/>
    <w:rsid w:val="00B06398"/>
    <w:rsid w:val="00B06415"/>
    <w:rsid w:val="00B067AC"/>
    <w:rsid w:val="00B06C5C"/>
    <w:rsid w:val="00B06C77"/>
    <w:rsid w:val="00B06C96"/>
    <w:rsid w:val="00B077A4"/>
    <w:rsid w:val="00B077B5"/>
    <w:rsid w:val="00B077EC"/>
    <w:rsid w:val="00B07AB6"/>
    <w:rsid w:val="00B07C61"/>
    <w:rsid w:val="00B10477"/>
    <w:rsid w:val="00B106E0"/>
    <w:rsid w:val="00B10A20"/>
    <w:rsid w:val="00B10C86"/>
    <w:rsid w:val="00B10D6F"/>
    <w:rsid w:val="00B11318"/>
    <w:rsid w:val="00B11D30"/>
    <w:rsid w:val="00B121CD"/>
    <w:rsid w:val="00B12764"/>
    <w:rsid w:val="00B127AA"/>
    <w:rsid w:val="00B12DA4"/>
    <w:rsid w:val="00B12F8C"/>
    <w:rsid w:val="00B134D6"/>
    <w:rsid w:val="00B1398D"/>
    <w:rsid w:val="00B13E72"/>
    <w:rsid w:val="00B13E93"/>
    <w:rsid w:val="00B1493B"/>
    <w:rsid w:val="00B14B84"/>
    <w:rsid w:val="00B15032"/>
    <w:rsid w:val="00B15835"/>
    <w:rsid w:val="00B15BD3"/>
    <w:rsid w:val="00B15E18"/>
    <w:rsid w:val="00B16755"/>
    <w:rsid w:val="00B1684B"/>
    <w:rsid w:val="00B169A6"/>
    <w:rsid w:val="00B16E94"/>
    <w:rsid w:val="00B16F47"/>
    <w:rsid w:val="00B17177"/>
    <w:rsid w:val="00B1760D"/>
    <w:rsid w:val="00B17A0C"/>
    <w:rsid w:val="00B17C1D"/>
    <w:rsid w:val="00B203BF"/>
    <w:rsid w:val="00B20541"/>
    <w:rsid w:val="00B20599"/>
    <w:rsid w:val="00B20C42"/>
    <w:rsid w:val="00B20D8F"/>
    <w:rsid w:val="00B21411"/>
    <w:rsid w:val="00B21541"/>
    <w:rsid w:val="00B21825"/>
    <w:rsid w:val="00B222AE"/>
    <w:rsid w:val="00B2293E"/>
    <w:rsid w:val="00B22A05"/>
    <w:rsid w:val="00B22FDC"/>
    <w:rsid w:val="00B2331B"/>
    <w:rsid w:val="00B23455"/>
    <w:rsid w:val="00B23B7F"/>
    <w:rsid w:val="00B24279"/>
    <w:rsid w:val="00B249FE"/>
    <w:rsid w:val="00B24D5F"/>
    <w:rsid w:val="00B25587"/>
    <w:rsid w:val="00B25595"/>
    <w:rsid w:val="00B26486"/>
    <w:rsid w:val="00B26D20"/>
    <w:rsid w:val="00B27365"/>
    <w:rsid w:val="00B278DD"/>
    <w:rsid w:val="00B27954"/>
    <w:rsid w:val="00B27A71"/>
    <w:rsid w:val="00B27CF3"/>
    <w:rsid w:val="00B302EB"/>
    <w:rsid w:val="00B3089E"/>
    <w:rsid w:val="00B30BFA"/>
    <w:rsid w:val="00B30C85"/>
    <w:rsid w:val="00B30F35"/>
    <w:rsid w:val="00B31063"/>
    <w:rsid w:val="00B31B92"/>
    <w:rsid w:val="00B32FC0"/>
    <w:rsid w:val="00B33443"/>
    <w:rsid w:val="00B33711"/>
    <w:rsid w:val="00B33BF6"/>
    <w:rsid w:val="00B33D30"/>
    <w:rsid w:val="00B34232"/>
    <w:rsid w:val="00B346CC"/>
    <w:rsid w:val="00B349C7"/>
    <w:rsid w:val="00B34A32"/>
    <w:rsid w:val="00B34CAC"/>
    <w:rsid w:val="00B357DF"/>
    <w:rsid w:val="00B361D1"/>
    <w:rsid w:val="00B37062"/>
    <w:rsid w:val="00B37108"/>
    <w:rsid w:val="00B37581"/>
    <w:rsid w:val="00B4080B"/>
    <w:rsid w:val="00B40876"/>
    <w:rsid w:val="00B40FDC"/>
    <w:rsid w:val="00B42001"/>
    <w:rsid w:val="00B434F0"/>
    <w:rsid w:val="00B437E7"/>
    <w:rsid w:val="00B43996"/>
    <w:rsid w:val="00B43AFB"/>
    <w:rsid w:val="00B43D59"/>
    <w:rsid w:val="00B44105"/>
    <w:rsid w:val="00B4433E"/>
    <w:rsid w:val="00B44A56"/>
    <w:rsid w:val="00B4500A"/>
    <w:rsid w:val="00B45295"/>
    <w:rsid w:val="00B4590B"/>
    <w:rsid w:val="00B45973"/>
    <w:rsid w:val="00B459F3"/>
    <w:rsid w:val="00B45AA6"/>
    <w:rsid w:val="00B45ACE"/>
    <w:rsid w:val="00B45C4D"/>
    <w:rsid w:val="00B45F12"/>
    <w:rsid w:val="00B4607F"/>
    <w:rsid w:val="00B46818"/>
    <w:rsid w:val="00B46FD8"/>
    <w:rsid w:val="00B472DA"/>
    <w:rsid w:val="00B4781A"/>
    <w:rsid w:val="00B47AF3"/>
    <w:rsid w:val="00B50061"/>
    <w:rsid w:val="00B503B7"/>
    <w:rsid w:val="00B5083D"/>
    <w:rsid w:val="00B51AE0"/>
    <w:rsid w:val="00B51CA0"/>
    <w:rsid w:val="00B51EE9"/>
    <w:rsid w:val="00B526ED"/>
    <w:rsid w:val="00B52B28"/>
    <w:rsid w:val="00B52F98"/>
    <w:rsid w:val="00B5349A"/>
    <w:rsid w:val="00B536AB"/>
    <w:rsid w:val="00B53B56"/>
    <w:rsid w:val="00B54232"/>
    <w:rsid w:val="00B54BD4"/>
    <w:rsid w:val="00B5519E"/>
    <w:rsid w:val="00B55474"/>
    <w:rsid w:val="00B556CF"/>
    <w:rsid w:val="00B55764"/>
    <w:rsid w:val="00B557A5"/>
    <w:rsid w:val="00B560E1"/>
    <w:rsid w:val="00B56124"/>
    <w:rsid w:val="00B56408"/>
    <w:rsid w:val="00B56830"/>
    <w:rsid w:val="00B57393"/>
    <w:rsid w:val="00B57624"/>
    <w:rsid w:val="00B57E18"/>
    <w:rsid w:val="00B57EA6"/>
    <w:rsid w:val="00B601A3"/>
    <w:rsid w:val="00B60E22"/>
    <w:rsid w:val="00B61191"/>
    <w:rsid w:val="00B6184A"/>
    <w:rsid w:val="00B618A8"/>
    <w:rsid w:val="00B61BB5"/>
    <w:rsid w:val="00B62075"/>
    <w:rsid w:val="00B620AF"/>
    <w:rsid w:val="00B62134"/>
    <w:rsid w:val="00B622F1"/>
    <w:rsid w:val="00B6249F"/>
    <w:rsid w:val="00B62ECB"/>
    <w:rsid w:val="00B63713"/>
    <w:rsid w:val="00B638AE"/>
    <w:rsid w:val="00B64242"/>
    <w:rsid w:val="00B6460B"/>
    <w:rsid w:val="00B653C7"/>
    <w:rsid w:val="00B655B0"/>
    <w:rsid w:val="00B656EE"/>
    <w:rsid w:val="00B65835"/>
    <w:rsid w:val="00B6794B"/>
    <w:rsid w:val="00B67D80"/>
    <w:rsid w:val="00B703D0"/>
    <w:rsid w:val="00B70866"/>
    <w:rsid w:val="00B709F7"/>
    <w:rsid w:val="00B7124F"/>
    <w:rsid w:val="00B717B4"/>
    <w:rsid w:val="00B7185F"/>
    <w:rsid w:val="00B72181"/>
    <w:rsid w:val="00B723AA"/>
    <w:rsid w:val="00B72D55"/>
    <w:rsid w:val="00B72FF6"/>
    <w:rsid w:val="00B73B62"/>
    <w:rsid w:val="00B743AE"/>
    <w:rsid w:val="00B74CFE"/>
    <w:rsid w:val="00B74DEA"/>
    <w:rsid w:val="00B751E0"/>
    <w:rsid w:val="00B75829"/>
    <w:rsid w:val="00B75C01"/>
    <w:rsid w:val="00B7670A"/>
    <w:rsid w:val="00B76794"/>
    <w:rsid w:val="00B76ABF"/>
    <w:rsid w:val="00B76BAE"/>
    <w:rsid w:val="00B7708C"/>
    <w:rsid w:val="00B77296"/>
    <w:rsid w:val="00B77544"/>
    <w:rsid w:val="00B7754F"/>
    <w:rsid w:val="00B80264"/>
    <w:rsid w:val="00B806F3"/>
    <w:rsid w:val="00B80EF4"/>
    <w:rsid w:val="00B80F52"/>
    <w:rsid w:val="00B8147C"/>
    <w:rsid w:val="00B81796"/>
    <w:rsid w:val="00B818FC"/>
    <w:rsid w:val="00B81DDA"/>
    <w:rsid w:val="00B820FE"/>
    <w:rsid w:val="00B8237B"/>
    <w:rsid w:val="00B8249B"/>
    <w:rsid w:val="00B8265F"/>
    <w:rsid w:val="00B827B7"/>
    <w:rsid w:val="00B8341B"/>
    <w:rsid w:val="00B83AD5"/>
    <w:rsid w:val="00B83F47"/>
    <w:rsid w:val="00B84136"/>
    <w:rsid w:val="00B84B0E"/>
    <w:rsid w:val="00B85051"/>
    <w:rsid w:val="00B85665"/>
    <w:rsid w:val="00B85CF9"/>
    <w:rsid w:val="00B86B01"/>
    <w:rsid w:val="00B86B99"/>
    <w:rsid w:val="00B86BB7"/>
    <w:rsid w:val="00B86F65"/>
    <w:rsid w:val="00B87354"/>
    <w:rsid w:val="00B8742B"/>
    <w:rsid w:val="00B87B66"/>
    <w:rsid w:val="00B87D96"/>
    <w:rsid w:val="00B90233"/>
    <w:rsid w:val="00B90A97"/>
    <w:rsid w:val="00B91469"/>
    <w:rsid w:val="00B916F8"/>
    <w:rsid w:val="00B92988"/>
    <w:rsid w:val="00B93137"/>
    <w:rsid w:val="00B934B9"/>
    <w:rsid w:val="00B93D2C"/>
    <w:rsid w:val="00B940B1"/>
    <w:rsid w:val="00B9414D"/>
    <w:rsid w:val="00B94AC9"/>
    <w:rsid w:val="00B94D1B"/>
    <w:rsid w:val="00B952D0"/>
    <w:rsid w:val="00B95B9B"/>
    <w:rsid w:val="00B9628E"/>
    <w:rsid w:val="00B96D1C"/>
    <w:rsid w:val="00B971BA"/>
    <w:rsid w:val="00B97228"/>
    <w:rsid w:val="00B97BD3"/>
    <w:rsid w:val="00BA0157"/>
    <w:rsid w:val="00BA05E0"/>
    <w:rsid w:val="00BA077E"/>
    <w:rsid w:val="00BA0898"/>
    <w:rsid w:val="00BA0C85"/>
    <w:rsid w:val="00BA2EB6"/>
    <w:rsid w:val="00BA3214"/>
    <w:rsid w:val="00BA42D2"/>
    <w:rsid w:val="00BA4C2F"/>
    <w:rsid w:val="00BA522B"/>
    <w:rsid w:val="00BA52CF"/>
    <w:rsid w:val="00BA5510"/>
    <w:rsid w:val="00BA5620"/>
    <w:rsid w:val="00BA594B"/>
    <w:rsid w:val="00BA59E8"/>
    <w:rsid w:val="00BA6BCE"/>
    <w:rsid w:val="00BA6CCD"/>
    <w:rsid w:val="00BA6D47"/>
    <w:rsid w:val="00BA6E83"/>
    <w:rsid w:val="00BA6F0C"/>
    <w:rsid w:val="00BA732D"/>
    <w:rsid w:val="00BB0070"/>
    <w:rsid w:val="00BB0146"/>
    <w:rsid w:val="00BB0415"/>
    <w:rsid w:val="00BB05FF"/>
    <w:rsid w:val="00BB0EE6"/>
    <w:rsid w:val="00BB0F74"/>
    <w:rsid w:val="00BB14CE"/>
    <w:rsid w:val="00BB1526"/>
    <w:rsid w:val="00BB15A8"/>
    <w:rsid w:val="00BB19B4"/>
    <w:rsid w:val="00BB28D7"/>
    <w:rsid w:val="00BB2923"/>
    <w:rsid w:val="00BB2D72"/>
    <w:rsid w:val="00BB2F5F"/>
    <w:rsid w:val="00BB31F5"/>
    <w:rsid w:val="00BB3522"/>
    <w:rsid w:val="00BB38C1"/>
    <w:rsid w:val="00BB3C53"/>
    <w:rsid w:val="00BB3D79"/>
    <w:rsid w:val="00BB4180"/>
    <w:rsid w:val="00BB4353"/>
    <w:rsid w:val="00BB4829"/>
    <w:rsid w:val="00BB49FD"/>
    <w:rsid w:val="00BB5662"/>
    <w:rsid w:val="00BB6727"/>
    <w:rsid w:val="00BB6A22"/>
    <w:rsid w:val="00BB6EC3"/>
    <w:rsid w:val="00BB6EF2"/>
    <w:rsid w:val="00BB6FD3"/>
    <w:rsid w:val="00BB712B"/>
    <w:rsid w:val="00BB78ED"/>
    <w:rsid w:val="00BB7B3D"/>
    <w:rsid w:val="00BC006E"/>
    <w:rsid w:val="00BC0107"/>
    <w:rsid w:val="00BC02FC"/>
    <w:rsid w:val="00BC031A"/>
    <w:rsid w:val="00BC0375"/>
    <w:rsid w:val="00BC0BE3"/>
    <w:rsid w:val="00BC12BE"/>
    <w:rsid w:val="00BC1403"/>
    <w:rsid w:val="00BC15B1"/>
    <w:rsid w:val="00BC1956"/>
    <w:rsid w:val="00BC1DEF"/>
    <w:rsid w:val="00BC2560"/>
    <w:rsid w:val="00BC2571"/>
    <w:rsid w:val="00BC2AB9"/>
    <w:rsid w:val="00BC2ACD"/>
    <w:rsid w:val="00BC2C7B"/>
    <w:rsid w:val="00BC2E44"/>
    <w:rsid w:val="00BC3361"/>
    <w:rsid w:val="00BC385C"/>
    <w:rsid w:val="00BC38B1"/>
    <w:rsid w:val="00BC39BC"/>
    <w:rsid w:val="00BC3BB8"/>
    <w:rsid w:val="00BC3F00"/>
    <w:rsid w:val="00BC4618"/>
    <w:rsid w:val="00BC471A"/>
    <w:rsid w:val="00BC47FB"/>
    <w:rsid w:val="00BC513E"/>
    <w:rsid w:val="00BC564D"/>
    <w:rsid w:val="00BC5C78"/>
    <w:rsid w:val="00BC6283"/>
    <w:rsid w:val="00BC663B"/>
    <w:rsid w:val="00BC6D5A"/>
    <w:rsid w:val="00BD0F51"/>
    <w:rsid w:val="00BD1423"/>
    <w:rsid w:val="00BD1594"/>
    <w:rsid w:val="00BD2213"/>
    <w:rsid w:val="00BD244A"/>
    <w:rsid w:val="00BD390A"/>
    <w:rsid w:val="00BD3D34"/>
    <w:rsid w:val="00BD44DF"/>
    <w:rsid w:val="00BD4616"/>
    <w:rsid w:val="00BD491D"/>
    <w:rsid w:val="00BD5D74"/>
    <w:rsid w:val="00BD765F"/>
    <w:rsid w:val="00BD7AB9"/>
    <w:rsid w:val="00BE006C"/>
    <w:rsid w:val="00BE072C"/>
    <w:rsid w:val="00BE0788"/>
    <w:rsid w:val="00BE0E8E"/>
    <w:rsid w:val="00BE1263"/>
    <w:rsid w:val="00BE1A4D"/>
    <w:rsid w:val="00BE1F3F"/>
    <w:rsid w:val="00BE232E"/>
    <w:rsid w:val="00BE3FF4"/>
    <w:rsid w:val="00BE411E"/>
    <w:rsid w:val="00BE478F"/>
    <w:rsid w:val="00BE48B3"/>
    <w:rsid w:val="00BE4982"/>
    <w:rsid w:val="00BE5063"/>
    <w:rsid w:val="00BE530C"/>
    <w:rsid w:val="00BE5310"/>
    <w:rsid w:val="00BE5C57"/>
    <w:rsid w:val="00BE66C0"/>
    <w:rsid w:val="00BE68F7"/>
    <w:rsid w:val="00BE6AA1"/>
    <w:rsid w:val="00BE6F83"/>
    <w:rsid w:val="00BE71A3"/>
    <w:rsid w:val="00BE737D"/>
    <w:rsid w:val="00BE7D81"/>
    <w:rsid w:val="00BF006E"/>
    <w:rsid w:val="00BF0193"/>
    <w:rsid w:val="00BF06BF"/>
    <w:rsid w:val="00BF09C3"/>
    <w:rsid w:val="00BF0F0B"/>
    <w:rsid w:val="00BF14B7"/>
    <w:rsid w:val="00BF14C6"/>
    <w:rsid w:val="00BF17A0"/>
    <w:rsid w:val="00BF1BD9"/>
    <w:rsid w:val="00BF23A8"/>
    <w:rsid w:val="00BF26EC"/>
    <w:rsid w:val="00BF29B8"/>
    <w:rsid w:val="00BF32A4"/>
    <w:rsid w:val="00BF339E"/>
    <w:rsid w:val="00BF34E3"/>
    <w:rsid w:val="00BF36D4"/>
    <w:rsid w:val="00BF3709"/>
    <w:rsid w:val="00BF40C0"/>
    <w:rsid w:val="00BF45A5"/>
    <w:rsid w:val="00BF47FE"/>
    <w:rsid w:val="00BF4C0E"/>
    <w:rsid w:val="00BF5449"/>
    <w:rsid w:val="00BF6250"/>
    <w:rsid w:val="00BF6DD0"/>
    <w:rsid w:val="00BF7C28"/>
    <w:rsid w:val="00BF7D60"/>
    <w:rsid w:val="00BF7F0B"/>
    <w:rsid w:val="00C003C2"/>
    <w:rsid w:val="00C008D9"/>
    <w:rsid w:val="00C00A7A"/>
    <w:rsid w:val="00C00B39"/>
    <w:rsid w:val="00C0131C"/>
    <w:rsid w:val="00C01A2B"/>
    <w:rsid w:val="00C01E71"/>
    <w:rsid w:val="00C027AF"/>
    <w:rsid w:val="00C029D2"/>
    <w:rsid w:val="00C02DB2"/>
    <w:rsid w:val="00C0378F"/>
    <w:rsid w:val="00C04102"/>
    <w:rsid w:val="00C041C8"/>
    <w:rsid w:val="00C04561"/>
    <w:rsid w:val="00C0506E"/>
    <w:rsid w:val="00C0529F"/>
    <w:rsid w:val="00C057E4"/>
    <w:rsid w:val="00C06511"/>
    <w:rsid w:val="00C06C6E"/>
    <w:rsid w:val="00C06D2E"/>
    <w:rsid w:val="00C071F4"/>
    <w:rsid w:val="00C0733B"/>
    <w:rsid w:val="00C07AC9"/>
    <w:rsid w:val="00C07D43"/>
    <w:rsid w:val="00C07DBD"/>
    <w:rsid w:val="00C07F85"/>
    <w:rsid w:val="00C10276"/>
    <w:rsid w:val="00C1054D"/>
    <w:rsid w:val="00C1063A"/>
    <w:rsid w:val="00C108A6"/>
    <w:rsid w:val="00C10BF0"/>
    <w:rsid w:val="00C11587"/>
    <w:rsid w:val="00C11C8A"/>
    <w:rsid w:val="00C12C12"/>
    <w:rsid w:val="00C13C01"/>
    <w:rsid w:val="00C14320"/>
    <w:rsid w:val="00C1434E"/>
    <w:rsid w:val="00C14B5F"/>
    <w:rsid w:val="00C14F65"/>
    <w:rsid w:val="00C15620"/>
    <w:rsid w:val="00C15A77"/>
    <w:rsid w:val="00C15C41"/>
    <w:rsid w:val="00C162AC"/>
    <w:rsid w:val="00C162DB"/>
    <w:rsid w:val="00C16E9B"/>
    <w:rsid w:val="00C17DE1"/>
    <w:rsid w:val="00C17EF7"/>
    <w:rsid w:val="00C20FC9"/>
    <w:rsid w:val="00C211BD"/>
    <w:rsid w:val="00C2141D"/>
    <w:rsid w:val="00C2251F"/>
    <w:rsid w:val="00C229D7"/>
    <w:rsid w:val="00C22A44"/>
    <w:rsid w:val="00C23598"/>
    <w:rsid w:val="00C236CF"/>
    <w:rsid w:val="00C236FF"/>
    <w:rsid w:val="00C23C52"/>
    <w:rsid w:val="00C23E14"/>
    <w:rsid w:val="00C243F5"/>
    <w:rsid w:val="00C24673"/>
    <w:rsid w:val="00C24F56"/>
    <w:rsid w:val="00C2502B"/>
    <w:rsid w:val="00C2560A"/>
    <w:rsid w:val="00C2568C"/>
    <w:rsid w:val="00C25749"/>
    <w:rsid w:val="00C26034"/>
    <w:rsid w:val="00C26526"/>
    <w:rsid w:val="00C2665F"/>
    <w:rsid w:val="00C26773"/>
    <w:rsid w:val="00C269F4"/>
    <w:rsid w:val="00C26B59"/>
    <w:rsid w:val="00C26CEB"/>
    <w:rsid w:val="00C26E18"/>
    <w:rsid w:val="00C27778"/>
    <w:rsid w:val="00C2796E"/>
    <w:rsid w:val="00C27BF3"/>
    <w:rsid w:val="00C27E37"/>
    <w:rsid w:val="00C27E6D"/>
    <w:rsid w:val="00C30066"/>
    <w:rsid w:val="00C301B5"/>
    <w:rsid w:val="00C305B2"/>
    <w:rsid w:val="00C306E2"/>
    <w:rsid w:val="00C30752"/>
    <w:rsid w:val="00C31326"/>
    <w:rsid w:val="00C31875"/>
    <w:rsid w:val="00C31EC2"/>
    <w:rsid w:val="00C31F8B"/>
    <w:rsid w:val="00C31FE1"/>
    <w:rsid w:val="00C32677"/>
    <w:rsid w:val="00C32B09"/>
    <w:rsid w:val="00C32D56"/>
    <w:rsid w:val="00C33B87"/>
    <w:rsid w:val="00C340A2"/>
    <w:rsid w:val="00C343D7"/>
    <w:rsid w:val="00C3471F"/>
    <w:rsid w:val="00C347C2"/>
    <w:rsid w:val="00C34FC9"/>
    <w:rsid w:val="00C3533B"/>
    <w:rsid w:val="00C36039"/>
    <w:rsid w:val="00C3604E"/>
    <w:rsid w:val="00C36B3D"/>
    <w:rsid w:val="00C36D54"/>
    <w:rsid w:val="00C37445"/>
    <w:rsid w:val="00C40645"/>
    <w:rsid w:val="00C40F89"/>
    <w:rsid w:val="00C4102C"/>
    <w:rsid w:val="00C41240"/>
    <w:rsid w:val="00C4267D"/>
    <w:rsid w:val="00C42707"/>
    <w:rsid w:val="00C42894"/>
    <w:rsid w:val="00C43727"/>
    <w:rsid w:val="00C448D9"/>
    <w:rsid w:val="00C4527F"/>
    <w:rsid w:val="00C456A5"/>
    <w:rsid w:val="00C4572E"/>
    <w:rsid w:val="00C45E9A"/>
    <w:rsid w:val="00C463E2"/>
    <w:rsid w:val="00C464D2"/>
    <w:rsid w:val="00C4651A"/>
    <w:rsid w:val="00C46830"/>
    <w:rsid w:val="00C468A4"/>
    <w:rsid w:val="00C46B2E"/>
    <w:rsid w:val="00C46BCF"/>
    <w:rsid w:val="00C476D7"/>
    <w:rsid w:val="00C47874"/>
    <w:rsid w:val="00C50CBA"/>
    <w:rsid w:val="00C51105"/>
    <w:rsid w:val="00C5207C"/>
    <w:rsid w:val="00C523D9"/>
    <w:rsid w:val="00C527FC"/>
    <w:rsid w:val="00C528DD"/>
    <w:rsid w:val="00C52952"/>
    <w:rsid w:val="00C52D5D"/>
    <w:rsid w:val="00C5358D"/>
    <w:rsid w:val="00C537E7"/>
    <w:rsid w:val="00C53E67"/>
    <w:rsid w:val="00C54891"/>
    <w:rsid w:val="00C548B1"/>
    <w:rsid w:val="00C54B31"/>
    <w:rsid w:val="00C54BC3"/>
    <w:rsid w:val="00C54C89"/>
    <w:rsid w:val="00C54D92"/>
    <w:rsid w:val="00C54FB0"/>
    <w:rsid w:val="00C552C3"/>
    <w:rsid w:val="00C564A3"/>
    <w:rsid w:val="00C56597"/>
    <w:rsid w:val="00C56A2E"/>
    <w:rsid w:val="00C56B65"/>
    <w:rsid w:val="00C56C11"/>
    <w:rsid w:val="00C56C6F"/>
    <w:rsid w:val="00C56CF4"/>
    <w:rsid w:val="00C573B6"/>
    <w:rsid w:val="00C57710"/>
    <w:rsid w:val="00C5783C"/>
    <w:rsid w:val="00C57BEC"/>
    <w:rsid w:val="00C57DD5"/>
    <w:rsid w:val="00C60021"/>
    <w:rsid w:val="00C60283"/>
    <w:rsid w:val="00C60896"/>
    <w:rsid w:val="00C60D0B"/>
    <w:rsid w:val="00C60D6B"/>
    <w:rsid w:val="00C60FE9"/>
    <w:rsid w:val="00C613D7"/>
    <w:rsid w:val="00C616A6"/>
    <w:rsid w:val="00C6299C"/>
    <w:rsid w:val="00C63121"/>
    <w:rsid w:val="00C63A8C"/>
    <w:rsid w:val="00C6405B"/>
    <w:rsid w:val="00C6446A"/>
    <w:rsid w:val="00C64591"/>
    <w:rsid w:val="00C64D45"/>
    <w:rsid w:val="00C651E0"/>
    <w:rsid w:val="00C652F8"/>
    <w:rsid w:val="00C656FD"/>
    <w:rsid w:val="00C65975"/>
    <w:rsid w:val="00C65E69"/>
    <w:rsid w:val="00C66173"/>
    <w:rsid w:val="00C661AC"/>
    <w:rsid w:val="00C6673F"/>
    <w:rsid w:val="00C6674E"/>
    <w:rsid w:val="00C671F4"/>
    <w:rsid w:val="00C67327"/>
    <w:rsid w:val="00C67D77"/>
    <w:rsid w:val="00C7144E"/>
    <w:rsid w:val="00C71D1F"/>
    <w:rsid w:val="00C72200"/>
    <w:rsid w:val="00C733FF"/>
    <w:rsid w:val="00C734C2"/>
    <w:rsid w:val="00C73E32"/>
    <w:rsid w:val="00C73FE3"/>
    <w:rsid w:val="00C74282"/>
    <w:rsid w:val="00C74785"/>
    <w:rsid w:val="00C74804"/>
    <w:rsid w:val="00C7496D"/>
    <w:rsid w:val="00C750DE"/>
    <w:rsid w:val="00C7579C"/>
    <w:rsid w:val="00C758FA"/>
    <w:rsid w:val="00C75BA9"/>
    <w:rsid w:val="00C75D05"/>
    <w:rsid w:val="00C764E1"/>
    <w:rsid w:val="00C765BE"/>
    <w:rsid w:val="00C7691C"/>
    <w:rsid w:val="00C76BCC"/>
    <w:rsid w:val="00C771A2"/>
    <w:rsid w:val="00C7729E"/>
    <w:rsid w:val="00C774A3"/>
    <w:rsid w:val="00C7796F"/>
    <w:rsid w:val="00C77981"/>
    <w:rsid w:val="00C77987"/>
    <w:rsid w:val="00C779D7"/>
    <w:rsid w:val="00C77E38"/>
    <w:rsid w:val="00C77FFA"/>
    <w:rsid w:val="00C81048"/>
    <w:rsid w:val="00C81229"/>
    <w:rsid w:val="00C81E94"/>
    <w:rsid w:val="00C82265"/>
    <w:rsid w:val="00C82DD8"/>
    <w:rsid w:val="00C82EEF"/>
    <w:rsid w:val="00C83232"/>
    <w:rsid w:val="00C83D49"/>
    <w:rsid w:val="00C83D66"/>
    <w:rsid w:val="00C83D8D"/>
    <w:rsid w:val="00C83D9D"/>
    <w:rsid w:val="00C8469B"/>
    <w:rsid w:val="00C84D47"/>
    <w:rsid w:val="00C84E8D"/>
    <w:rsid w:val="00C854D8"/>
    <w:rsid w:val="00C85582"/>
    <w:rsid w:val="00C858C2"/>
    <w:rsid w:val="00C86C38"/>
    <w:rsid w:val="00C86FDB"/>
    <w:rsid w:val="00C87427"/>
    <w:rsid w:val="00C87FB4"/>
    <w:rsid w:val="00C9025D"/>
    <w:rsid w:val="00C90631"/>
    <w:rsid w:val="00C9077D"/>
    <w:rsid w:val="00C90AE5"/>
    <w:rsid w:val="00C90C9B"/>
    <w:rsid w:val="00C91179"/>
    <w:rsid w:val="00C916CE"/>
    <w:rsid w:val="00C918BC"/>
    <w:rsid w:val="00C91E5B"/>
    <w:rsid w:val="00C92764"/>
    <w:rsid w:val="00C938BF"/>
    <w:rsid w:val="00C93BDF"/>
    <w:rsid w:val="00C93D8A"/>
    <w:rsid w:val="00C940F7"/>
    <w:rsid w:val="00C94264"/>
    <w:rsid w:val="00C9451A"/>
    <w:rsid w:val="00C9477C"/>
    <w:rsid w:val="00C94D18"/>
    <w:rsid w:val="00C959F4"/>
    <w:rsid w:val="00C9615B"/>
    <w:rsid w:val="00C96566"/>
    <w:rsid w:val="00C97739"/>
    <w:rsid w:val="00C97868"/>
    <w:rsid w:val="00CA01FE"/>
    <w:rsid w:val="00CA08CF"/>
    <w:rsid w:val="00CA09D6"/>
    <w:rsid w:val="00CA0AA8"/>
    <w:rsid w:val="00CA1285"/>
    <w:rsid w:val="00CA18EF"/>
    <w:rsid w:val="00CA1CFB"/>
    <w:rsid w:val="00CA20D9"/>
    <w:rsid w:val="00CA2204"/>
    <w:rsid w:val="00CA24D1"/>
    <w:rsid w:val="00CA28FB"/>
    <w:rsid w:val="00CA2AB7"/>
    <w:rsid w:val="00CA2C82"/>
    <w:rsid w:val="00CA2D14"/>
    <w:rsid w:val="00CA2F74"/>
    <w:rsid w:val="00CA3084"/>
    <w:rsid w:val="00CA3451"/>
    <w:rsid w:val="00CA3555"/>
    <w:rsid w:val="00CA39BF"/>
    <w:rsid w:val="00CA413E"/>
    <w:rsid w:val="00CA465E"/>
    <w:rsid w:val="00CA4C75"/>
    <w:rsid w:val="00CA4C7B"/>
    <w:rsid w:val="00CA5821"/>
    <w:rsid w:val="00CA5A4D"/>
    <w:rsid w:val="00CA6165"/>
    <w:rsid w:val="00CA6F16"/>
    <w:rsid w:val="00CA7104"/>
    <w:rsid w:val="00CA7559"/>
    <w:rsid w:val="00CA76EB"/>
    <w:rsid w:val="00CA7833"/>
    <w:rsid w:val="00CB0014"/>
    <w:rsid w:val="00CB04CC"/>
    <w:rsid w:val="00CB09E7"/>
    <w:rsid w:val="00CB0FCA"/>
    <w:rsid w:val="00CB0FF6"/>
    <w:rsid w:val="00CB1CB8"/>
    <w:rsid w:val="00CB1CD6"/>
    <w:rsid w:val="00CB1EDF"/>
    <w:rsid w:val="00CB2048"/>
    <w:rsid w:val="00CB24A1"/>
    <w:rsid w:val="00CB26AE"/>
    <w:rsid w:val="00CB29A2"/>
    <w:rsid w:val="00CB30DA"/>
    <w:rsid w:val="00CB398A"/>
    <w:rsid w:val="00CB3BC0"/>
    <w:rsid w:val="00CB3F9C"/>
    <w:rsid w:val="00CB41BF"/>
    <w:rsid w:val="00CB4D80"/>
    <w:rsid w:val="00CB558B"/>
    <w:rsid w:val="00CB56A3"/>
    <w:rsid w:val="00CB5DD7"/>
    <w:rsid w:val="00CB60B2"/>
    <w:rsid w:val="00CB6288"/>
    <w:rsid w:val="00CB628B"/>
    <w:rsid w:val="00CB6421"/>
    <w:rsid w:val="00CB6609"/>
    <w:rsid w:val="00CB6632"/>
    <w:rsid w:val="00CB6DE3"/>
    <w:rsid w:val="00CB76AC"/>
    <w:rsid w:val="00CB7B56"/>
    <w:rsid w:val="00CC0A7B"/>
    <w:rsid w:val="00CC1B54"/>
    <w:rsid w:val="00CC1C73"/>
    <w:rsid w:val="00CC2443"/>
    <w:rsid w:val="00CC2659"/>
    <w:rsid w:val="00CC2A61"/>
    <w:rsid w:val="00CC2DCB"/>
    <w:rsid w:val="00CC2F3E"/>
    <w:rsid w:val="00CC2F51"/>
    <w:rsid w:val="00CC2FDA"/>
    <w:rsid w:val="00CC3019"/>
    <w:rsid w:val="00CC48C4"/>
    <w:rsid w:val="00CC4AEA"/>
    <w:rsid w:val="00CC5021"/>
    <w:rsid w:val="00CC50F3"/>
    <w:rsid w:val="00CC525C"/>
    <w:rsid w:val="00CC55A6"/>
    <w:rsid w:val="00CC5DD7"/>
    <w:rsid w:val="00CC626D"/>
    <w:rsid w:val="00CC69BB"/>
    <w:rsid w:val="00CC6A03"/>
    <w:rsid w:val="00CC70C7"/>
    <w:rsid w:val="00CC71BA"/>
    <w:rsid w:val="00CC74F8"/>
    <w:rsid w:val="00CC7CED"/>
    <w:rsid w:val="00CC7FAD"/>
    <w:rsid w:val="00CD04CD"/>
    <w:rsid w:val="00CD050E"/>
    <w:rsid w:val="00CD0D44"/>
    <w:rsid w:val="00CD0FAD"/>
    <w:rsid w:val="00CD0FF7"/>
    <w:rsid w:val="00CD1141"/>
    <w:rsid w:val="00CD11CB"/>
    <w:rsid w:val="00CD1FBE"/>
    <w:rsid w:val="00CD285F"/>
    <w:rsid w:val="00CD2EBC"/>
    <w:rsid w:val="00CD30C9"/>
    <w:rsid w:val="00CD3210"/>
    <w:rsid w:val="00CD35BA"/>
    <w:rsid w:val="00CD3E24"/>
    <w:rsid w:val="00CD3F9E"/>
    <w:rsid w:val="00CD434C"/>
    <w:rsid w:val="00CD4908"/>
    <w:rsid w:val="00CD55D9"/>
    <w:rsid w:val="00CD5A40"/>
    <w:rsid w:val="00CD60C8"/>
    <w:rsid w:val="00CD633D"/>
    <w:rsid w:val="00CD68F7"/>
    <w:rsid w:val="00CD6961"/>
    <w:rsid w:val="00CD7383"/>
    <w:rsid w:val="00CD73A8"/>
    <w:rsid w:val="00CD77BF"/>
    <w:rsid w:val="00CE0850"/>
    <w:rsid w:val="00CE0AE1"/>
    <w:rsid w:val="00CE0C58"/>
    <w:rsid w:val="00CE1143"/>
    <w:rsid w:val="00CE144F"/>
    <w:rsid w:val="00CE1542"/>
    <w:rsid w:val="00CE1BF5"/>
    <w:rsid w:val="00CE2006"/>
    <w:rsid w:val="00CE225B"/>
    <w:rsid w:val="00CE2448"/>
    <w:rsid w:val="00CE2545"/>
    <w:rsid w:val="00CE2875"/>
    <w:rsid w:val="00CE2A98"/>
    <w:rsid w:val="00CE34C9"/>
    <w:rsid w:val="00CE379B"/>
    <w:rsid w:val="00CE3995"/>
    <w:rsid w:val="00CE3E41"/>
    <w:rsid w:val="00CE4673"/>
    <w:rsid w:val="00CE52B1"/>
    <w:rsid w:val="00CE540E"/>
    <w:rsid w:val="00CE5D05"/>
    <w:rsid w:val="00CE63CE"/>
    <w:rsid w:val="00CE6823"/>
    <w:rsid w:val="00CE6CD1"/>
    <w:rsid w:val="00CE6E93"/>
    <w:rsid w:val="00CE759A"/>
    <w:rsid w:val="00CE765E"/>
    <w:rsid w:val="00CE7F7A"/>
    <w:rsid w:val="00CF1784"/>
    <w:rsid w:val="00CF1D55"/>
    <w:rsid w:val="00CF1D66"/>
    <w:rsid w:val="00CF1F33"/>
    <w:rsid w:val="00CF201F"/>
    <w:rsid w:val="00CF21DB"/>
    <w:rsid w:val="00CF30EC"/>
    <w:rsid w:val="00CF32D9"/>
    <w:rsid w:val="00CF3C00"/>
    <w:rsid w:val="00CF3FAA"/>
    <w:rsid w:val="00CF3FFF"/>
    <w:rsid w:val="00CF4082"/>
    <w:rsid w:val="00CF43C6"/>
    <w:rsid w:val="00CF43F6"/>
    <w:rsid w:val="00CF44B6"/>
    <w:rsid w:val="00CF4EC7"/>
    <w:rsid w:val="00CF4F09"/>
    <w:rsid w:val="00CF4F63"/>
    <w:rsid w:val="00CF52E9"/>
    <w:rsid w:val="00CF56D6"/>
    <w:rsid w:val="00CF580E"/>
    <w:rsid w:val="00CF65E8"/>
    <w:rsid w:val="00CF6697"/>
    <w:rsid w:val="00CF66B3"/>
    <w:rsid w:val="00CF67B2"/>
    <w:rsid w:val="00CF6882"/>
    <w:rsid w:val="00CF6B30"/>
    <w:rsid w:val="00D00376"/>
    <w:rsid w:val="00D00500"/>
    <w:rsid w:val="00D00B52"/>
    <w:rsid w:val="00D00BD9"/>
    <w:rsid w:val="00D0109A"/>
    <w:rsid w:val="00D01130"/>
    <w:rsid w:val="00D0126F"/>
    <w:rsid w:val="00D018B0"/>
    <w:rsid w:val="00D0269C"/>
    <w:rsid w:val="00D028CE"/>
    <w:rsid w:val="00D02B59"/>
    <w:rsid w:val="00D032FB"/>
    <w:rsid w:val="00D0332E"/>
    <w:rsid w:val="00D0470F"/>
    <w:rsid w:val="00D04975"/>
    <w:rsid w:val="00D04A0D"/>
    <w:rsid w:val="00D04A61"/>
    <w:rsid w:val="00D05231"/>
    <w:rsid w:val="00D05710"/>
    <w:rsid w:val="00D057DC"/>
    <w:rsid w:val="00D06422"/>
    <w:rsid w:val="00D069DE"/>
    <w:rsid w:val="00D06A8A"/>
    <w:rsid w:val="00D06D8F"/>
    <w:rsid w:val="00D06FEA"/>
    <w:rsid w:val="00D07051"/>
    <w:rsid w:val="00D1010F"/>
    <w:rsid w:val="00D10247"/>
    <w:rsid w:val="00D10398"/>
    <w:rsid w:val="00D1047C"/>
    <w:rsid w:val="00D119FC"/>
    <w:rsid w:val="00D11A49"/>
    <w:rsid w:val="00D11E1D"/>
    <w:rsid w:val="00D1220F"/>
    <w:rsid w:val="00D128D5"/>
    <w:rsid w:val="00D12E19"/>
    <w:rsid w:val="00D1353D"/>
    <w:rsid w:val="00D14242"/>
    <w:rsid w:val="00D1478B"/>
    <w:rsid w:val="00D15B73"/>
    <w:rsid w:val="00D15D5A"/>
    <w:rsid w:val="00D165CA"/>
    <w:rsid w:val="00D16B6B"/>
    <w:rsid w:val="00D16BA3"/>
    <w:rsid w:val="00D16C9B"/>
    <w:rsid w:val="00D170E3"/>
    <w:rsid w:val="00D17169"/>
    <w:rsid w:val="00D1793D"/>
    <w:rsid w:val="00D20299"/>
    <w:rsid w:val="00D2045A"/>
    <w:rsid w:val="00D20C5D"/>
    <w:rsid w:val="00D21124"/>
    <w:rsid w:val="00D2126D"/>
    <w:rsid w:val="00D21D68"/>
    <w:rsid w:val="00D222DB"/>
    <w:rsid w:val="00D225CA"/>
    <w:rsid w:val="00D22711"/>
    <w:rsid w:val="00D2297F"/>
    <w:rsid w:val="00D229EE"/>
    <w:rsid w:val="00D22C69"/>
    <w:rsid w:val="00D22D94"/>
    <w:rsid w:val="00D23004"/>
    <w:rsid w:val="00D232D6"/>
    <w:rsid w:val="00D23C89"/>
    <w:rsid w:val="00D23EF4"/>
    <w:rsid w:val="00D2475B"/>
    <w:rsid w:val="00D248AE"/>
    <w:rsid w:val="00D24ABD"/>
    <w:rsid w:val="00D2509B"/>
    <w:rsid w:val="00D2576D"/>
    <w:rsid w:val="00D26344"/>
    <w:rsid w:val="00D2651D"/>
    <w:rsid w:val="00D27122"/>
    <w:rsid w:val="00D27369"/>
    <w:rsid w:val="00D27830"/>
    <w:rsid w:val="00D27AFC"/>
    <w:rsid w:val="00D27B68"/>
    <w:rsid w:val="00D27E2C"/>
    <w:rsid w:val="00D27E3D"/>
    <w:rsid w:val="00D27E62"/>
    <w:rsid w:val="00D30172"/>
    <w:rsid w:val="00D30667"/>
    <w:rsid w:val="00D310C1"/>
    <w:rsid w:val="00D31315"/>
    <w:rsid w:val="00D313BA"/>
    <w:rsid w:val="00D31E08"/>
    <w:rsid w:val="00D321B7"/>
    <w:rsid w:val="00D3237D"/>
    <w:rsid w:val="00D32A6C"/>
    <w:rsid w:val="00D32BBA"/>
    <w:rsid w:val="00D33F53"/>
    <w:rsid w:val="00D343AC"/>
    <w:rsid w:val="00D3453F"/>
    <w:rsid w:val="00D34F29"/>
    <w:rsid w:val="00D34FA6"/>
    <w:rsid w:val="00D353C4"/>
    <w:rsid w:val="00D3549B"/>
    <w:rsid w:val="00D35544"/>
    <w:rsid w:val="00D35AAC"/>
    <w:rsid w:val="00D35CC1"/>
    <w:rsid w:val="00D36814"/>
    <w:rsid w:val="00D36E1D"/>
    <w:rsid w:val="00D36E4E"/>
    <w:rsid w:val="00D373CD"/>
    <w:rsid w:val="00D37B57"/>
    <w:rsid w:val="00D40520"/>
    <w:rsid w:val="00D40BDE"/>
    <w:rsid w:val="00D40C48"/>
    <w:rsid w:val="00D41407"/>
    <w:rsid w:val="00D41496"/>
    <w:rsid w:val="00D41D35"/>
    <w:rsid w:val="00D41F22"/>
    <w:rsid w:val="00D4226B"/>
    <w:rsid w:val="00D425D7"/>
    <w:rsid w:val="00D4327A"/>
    <w:rsid w:val="00D4359F"/>
    <w:rsid w:val="00D43661"/>
    <w:rsid w:val="00D445AA"/>
    <w:rsid w:val="00D44636"/>
    <w:rsid w:val="00D4476D"/>
    <w:rsid w:val="00D44880"/>
    <w:rsid w:val="00D449CE"/>
    <w:rsid w:val="00D44F45"/>
    <w:rsid w:val="00D44FB7"/>
    <w:rsid w:val="00D44FCC"/>
    <w:rsid w:val="00D44FF7"/>
    <w:rsid w:val="00D4532C"/>
    <w:rsid w:val="00D457C6"/>
    <w:rsid w:val="00D46300"/>
    <w:rsid w:val="00D4653D"/>
    <w:rsid w:val="00D46DE3"/>
    <w:rsid w:val="00D46EF5"/>
    <w:rsid w:val="00D47223"/>
    <w:rsid w:val="00D4748D"/>
    <w:rsid w:val="00D47997"/>
    <w:rsid w:val="00D47D90"/>
    <w:rsid w:val="00D47F94"/>
    <w:rsid w:val="00D507F2"/>
    <w:rsid w:val="00D51224"/>
    <w:rsid w:val="00D51DEC"/>
    <w:rsid w:val="00D52008"/>
    <w:rsid w:val="00D5243E"/>
    <w:rsid w:val="00D5316E"/>
    <w:rsid w:val="00D533E2"/>
    <w:rsid w:val="00D535DD"/>
    <w:rsid w:val="00D53A25"/>
    <w:rsid w:val="00D53C5E"/>
    <w:rsid w:val="00D53F1E"/>
    <w:rsid w:val="00D53F4B"/>
    <w:rsid w:val="00D54009"/>
    <w:rsid w:val="00D54261"/>
    <w:rsid w:val="00D54FDF"/>
    <w:rsid w:val="00D551C3"/>
    <w:rsid w:val="00D5543B"/>
    <w:rsid w:val="00D55E25"/>
    <w:rsid w:val="00D56372"/>
    <w:rsid w:val="00D56483"/>
    <w:rsid w:val="00D567DD"/>
    <w:rsid w:val="00D57428"/>
    <w:rsid w:val="00D579F3"/>
    <w:rsid w:val="00D57D5C"/>
    <w:rsid w:val="00D60193"/>
    <w:rsid w:val="00D605E8"/>
    <w:rsid w:val="00D6084C"/>
    <w:rsid w:val="00D60C2E"/>
    <w:rsid w:val="00D60FE0"/>
    <w:rsid w:val="00D61100"/>
    <w:rsid w:val="00D61765"/>
    <w:rsid w:val="00D61B19"/>
    <w:rsid w:val="00D61C9D"/>
    <w:rsid w:val="00D61E9E"/>
    <w:rsid w:val="00D61F66"/>
    <w:rsid w:val="00D620D6"/>
    <w:rsid w:val="00D62894"/>
    <w:rsid w:val="00D62AFF"/>
    <w:rsid w:val="00D62B3F"/>
    <w:rsid w:val="00D62CC7"/>
    <w:rsid w:val="00D62F4E"/>
    <w:rsid w:val="00D6332F"/>
    <w:rsid w:val="00D637B6"/>
    <w:rsid w:val="00D64028"/>
    <w:rsid w:val="00D6451B"/>
    <w:rsid w:val="00D645B6"/>
    <w:rsid w:val="00D64BCE"/>
    <w:rsid w:val="00D65539"/>
    <w:rsid w:val="00D658E6"/>
    <w:rsid w:val="00D6595A"/>
    <w:rsid w:val="00D66320"/>
    <w:rsid w:val="00D67174"/>
    <w:rsid w:val="00D67193"/>
    <w:rsid w:val="00D672D4"/>
    <w:rsid w:val="00D6733B"/>
    <w:rsid w:val="00D70032"/>
    <w:rsid w:val="00D702D4"/>
    <w:rsid w:val="00D7059C"/>
    <w:rsid w:val="00D70CB6"/>
    <w:rsid w:val="00D71271"/>
    <w:rsid w:val="00D7182A"/>
    <w:rsid w:val="00D71901"/>
    <w:rsid w:val="00D71ABC"/>
    <w:rsid w:val="00D72771"/>
    <w:rsid w:val="00D72B1A"/>
    <w:rsid w:val="00D731D9"/>
    <w:rsid w:val="00D732A9"/>
    <w:rsid w:val="00D7374F"/>
    <w:rsid w:val="00D73947"/>
    <w:rsid w:val="00D73B75"/>
    <w:rsid w:val="00D74A6C"/>
    <w:rsid w:val="00D7506B"/>
    <w:rsid w:val="00D75157"/>
    <w:rsid w:val="00D75703"/>
    <w:rsid w:val="00D7573E"/>
    <w:rsid w:val="00D770B0"/>
    <w:rsid w:val="00D770E0"/>
    <w:rsid w:val="00D7762B"/>
    <w:rsid w:val="00D776DE"/>
    <w:rsid w:val="00D77C1F"/>
    <w:rsid w:val="00D80129"/>
    <w:rsid w:val="00D80ABC"/>
    <w:rsid w:val="00D80C98"/>
    <w:rsid w:val="00D80FE1"/>
    <w:rsid w:val="00D8134B"/>
    <w:rsid w:val="00D8142C"/>
    <w:rsid w:val="00D81561"/>
    <w:rsid w:val="00D81833"/>
    <w:rsid w:val="00D818DA"/>
    <w:rsid w:val="00D8224B"/>
    <w:rsid w:val="00D82829"/>
    <w:rsid w:val="00D839CE"/>
    <w:rsid w:val="00D843E4"/>
    <w:rsid w:val="00D85967"/>
    <w:rsid w:val="00D85AAD"/>
    <w:rsid w:val="00D85DC8"/>
    <w:rsid w:val="00D85DF7"/>
    <w:rsid w:val="00D86083"/>
    <w:rsid w:val="00D86174"/>
    <w:rsid w:val="00D86C66"/>
    <w:rsid w:val="00D86EC7"/>
    <w:rsid w:val="00D8702E"/>
    <w:rsid w:val="00D874CD"/>
    <w:rsid w:val="00D876AC"/>
    <w:rsid w:val="00D877ED"/>
    <w:rsid w:val="00D87A90"/>
    <w:rsid w:val="00D87AC6"/>
    <w:rsid w:val="00D87B48"/>
    <w:rsid w:val="00D87FC2"/>
    <w:rsid w:val="00D90031"/>
    <w:rsid w:val="00D90032"/>
    <w:rsid w:val="00D905E3"/>
    <w:rsid w:val="00D90BC2"/>
    <w:rsid w:val="00D90DA9"/>
    <w:rsid w:val="00D91176"/>
    <w:rsid w:val="00D91434"/>
    <w:rsid w:val="00D92218"/>
    <w:rsid w:val="00D922DA"/>
    <w:rsid w:val="00D9241F"/>
    <w:rsid w:val="00D92962"/>
    <w:rsid w:val="00D929F4"/>
    <w:rsid w:val="00D92C15"/>
    <w:rsid w:val="00D9306E"/>
    <w:rsid w:val="00D9358C"/>
    <w:rsid w:val="00D93694"/>
    <w:rsid w:val="00D939A7"/>
    <w:rsid w:val="00D94A8E"/>
    <w:rsid w:val="00D94E74"/>
    <w:rsid w:val="00D94F11"/>
    <w:rsid w:val="00D94F2C"/>
    <w:rsid w:val="00D957AA"/>
    <w:rsid w:val="00D95CFE"/>
    <w:rsid w:val="00D95E1D"/>
    <w:rsid w:val="00D968D8"/>
    <w:rsid w:val="00D968D9"/>
    <w:rsid w:val="00D96B09"/>
    <w:rsid w:val="00D96EC4"/>
    <w:rsid w:val="00D975E1"/>
    <w:rsid w:val="00D978FA"/>
    <w:rsid w:val="00DA0286"/>
    <w:rsid w:val="00DA03A8"/>
    <w:rsid w:val="00DA05C5"/>
    <w:rsid w:val="00DA08A9"/>
    <w:rsid w:val="00DA09CA"/>
    <w:rsid w:val="00DA0D77"/>
    <w:rsid w:val="00DA166D"/>
    <w:rsid w:val="00DA17BF"/>
    <w:rsid w:val="00DA18A5"/>
    <w:rsid w:val="00DA1B6E"/>
    <w:rsid w:val="00DA1BE5"/>
    <w:rsid w:val="00DA1D33"/>
    <w:rsid w:val="00DA20C3"/>
    <w:rsid w:val="00DA2182"/>
    <w:rsid w:val="00DA24A2"/>
    <w:rsid w:val="00DA27B3"/>
    <w:rsid w:val="00DA2841"/>
    <w:rsid w:val="00DA2A14"/>
    <w:rsid w:val="00DA3004"/>
    <w:rsid w:val="00DA3896"/>
    <w:rsid w:val="00DA3C42"/>
    <w:rsid w:val="00DA4B63"/>
    <w:rsid w:val="00DA4F23"/>
    <w:rsid w:val="00DA52B6"/>
    <w:rsid w:val="00DA5451"/>
    <w:rsid w:val="00DA5B64"/>
    <w:rsid w:val="00DA62BB"/>
    <w:rsid w:val="00DA6441"/>
    <w:rsid w:val="00DA6E22"/>
    <w:rsid w:val="00DA7061"/>
    <w:rsid w:val="00DB00C2"/>
    <w:rsid w:val="00DB0176"/>
    <w:rsid w:val="00DB01CD"/>
    <w:rsid w:val="00DB02B2"/>
    <w:rsid w:val="00DB0917"/>
    <w:rsid w:val="00DB1051"/>
    <w:rsid w:val="00DB11C1"/>
    <w:rsid w:val="00DB12D0"/>
    <w:rsid w:val="00DB141E"/>
    <w:rsid w:val="00DB1C90"/>
    <w:rsid w:val="00DB1F1B"/>
    <w:rsid w:val="00DB2283"/>
    <w:rsid w:val="00DB2322"/>
    <w:rsid w:val="00DB2A4E"/>
    <w:rsid w:val="00DB2F77"/>
    <w:rsid w:val="00DB37C2"/>
    <w:rsid w:val="00DB3D98"/>
    <w:rsid w:val="00DB400F"/>
    <w:rsid w:val="00DB454B"/>
    <w:rsid w:val="00DB489E"/>
    <w:rsid w:val="00DB4F99"/>
    <w:rsid w:val="00DB56D8"/>
    <w:rsid w:val="00DB5CB4"/>
    <w:rsid w:val="00DB6413"/>
    <w:rsid w:val="00DB6B41"/>
    <w:rsid w:val="00DB6D4D"/>
    <w:rsid w:val="00DC0688"/>
    <w:rsid w:val="00DC07E0"/>
    <w:rsid w:val="00DC143A"/>
    <w:rsid w:val="00DC1686"/>
    <w:rsid w:val="00DC1865"/>
    <w:rsid w:val="00DC1A5E"/>
    <w:rsid w:val="00DC1FD4"/>
    <w:rsid w:val="00DC209C"/>
    <w:rsid w:val="00DC271C"/>
    <w:rsid w:val="00DC2C3D"/>
    <w:rsid w:val="00DC2D76"/>
    <w:rsid w:val="00DC39D0"/>
    <w:rsid w:val="00DC40E0"/>
    <w:rsid w:val="00DC41AC"/>
    <w:rsid w:val="00DC4635"/>
    <w:rsid w:val="00DC4890"/>
    <w:rsid w:val="00DC48D4"/>
    <w:rsid w:val="00DC5082"/>
    <w:rsid w:val="00DC563B"/>
    <w:rsid w:val="00DC5868"/>
    <w:rsid w:val="00DC60DD"/>
    <w:rsid w:val="00DC63CD"/>
    <w:rsid w:val="00DC662A"/>
    <w:rsid w:val="00DC7272"/>
    <w:rsid w:val="00DC7A58"/>
    <w:rsid w:val="00DC7CE0"/>
    <w:rsid w:val="00DD00C6"/>
    <w:rsid w:val="00DD03C2"/>
    <w:rsid w:val="00DD08D4"/>
    <w:rsid w:val="00DD0AE0"/>
    <w:rsid w:val="00DD11D2"/>
    <w:rsid w:val="00DD144E"/>
    <w:rsid w:val="00DD17DC"/>
    <w:rsid w:val="00DD1B37"/>
    <w:rsid w:val="00DD1B9F"/>
    <w:rsid w:val="00DD2543"/>
    <w:rsid w:val="00DD26D9"/>
    <w:rsid w:val="00DD2D0A"/>
    <w:rsid w:val="00DD39D3"/>
    <w:rsid w:val="00DD3B0C"/>
    <w:rsid w:val="00DD450F"/>
    <w:rsid w:val="00DD48E6"/>
    <w:rsid w:val="00DD4C4A"/>
    <w:rsid w:val="00DD4F0B"/>
    <w:rsid w:val="00DD5359"/>
    <w:rsid w:val="00DD5A60"/>
    <w:rsid w:val="00DD69A5"/>
    <w:rsid w:val="00DD6B51"/>
    <w:rsid w:val="00DD6FB1"/>
    <w:rsid w:val="00DD737E"/>
    <w:rsid w:val="00DD7ABD"/>
    <w:rsid w:val="00DE037A"/>
    <w:rsid w:val="00DE0C1D"/>
    <w:rsid w:val="00DE1EC7"/>
    <w:rsid w:val="00DE2B35"/>
    <w:rsid w:val="00DE2E57"/>
    <w:rsid w:val="00DE30E1"/>
    <w:rsid w:val="00DE31E1"/>
    <w:rsid w:val="00DE3716"/>
    <w:rsid w:val="00DE3F9C"/>
    <w:rsid w:val="00DE466E"/>
    <w:rsid w:val="00DE4B60"/>
    <w:rsid w:val="00DE5101"/>
    <w:rsid w:val="00DE55F1"/>
    <w:rsid w:val="00DE5DE7"/>
    <w:rsid w:val="00DE615A"/>
    <w:rsid w:val="00DE6C9E"/>
    <w:rsid w:val="00DE7280"/>
    <w:rsid w:val="00DE75B5"/>
    <w:rsid w:val="00DE7A0D"/>
    <w:rsid w:val="00DF07F4"/>
    <w:rsid w:val="00DF0C78"/>
    <w:rsid w:val="00DF10FF"/>
    <w:rsid w:val="00DF19EB"/>
    <w:rsid w:val="00DF1A29"/>
    <w:rsid w:val="00DF21FA"/>
    <w:rsid w:val="00DF258B"/>
    <w:rsid w:val="00DF27E3"/>
    <w:rsid w:val="00DF2E6C"/>
    <w:rsid w:val="00DF3102"/>
    <w:rsid w:val="00DF3C47"/>
    <w:rsid w:val="00DF4130"/>
    <w:rsid w:val="00DF479C"/>
    <w:rsid w:val="00DF4827"/>
    <w:rsid w:val="00DF4F36"/>
    <w:rsid w:val="00DF5818"/>
    <w:rsid w:val="00DF5C1D"/>
    <w:rsid w:val="00DF6100"/>
    <w:rsid w:val="00DF66D1"/>
    <w:rsid w:val="00DF6925"/>
    <w:rsid w:val="00DF6F13"/>
    <w:rsid w:val="00DF7213"/>
    <w:rsid w:val="00DF7324"/>
    <w:rsid w:val="00DF7617"/>
    <w:rsid w:val="00DF7735"/>
    <w:rsid w:val="00DF7BAD"/>
    <w:rsid w:val="00E003D9"/>
    <w:rsid w:val="00E00A0B"/>
    <w:rsid w:val="00E00C61"/>
    <w:rsid w:val="00E01019"/>
    <w:rsid w:val="00E0185A"/>
    <w:rsid w:val="00E01FB7"/>
    <w:rsid w:val="00E021DB"/>
    <w:rsid w:val="00E0233E"/>
    <w:rsid w:val="00E024D4"/>
    <w:rsid w:val="00E026C0"/>
    <w:rsid w:val="00E02A4C"/>
    <w:rsid w:val="00E03F1F"/>
    <w:rsid w:val="00E04E14"/>
    <w:rsid w:val="00E051BA"/>
    <w:rsid w:val="00E05307"/>
    <w:rsid w:val="00E0544F"/>
    <w:rsid w:val="00E05FB0"/>
    <w:rsid w:val="00E062C0"/>
    <w:rsid w:val="00E065B8"/>
    <w:rsid w:val="00E1091F"/>
    <w:rsid w:val="00E1095D"/>
    <w:rsid w:val="00E109B6"/>
    <w:rsid w:val="00E11BE9"/>
    <w:rsid w:val="00E12074"/>
    <w:rsid w:val="00E1228D"/>
    <w:rsid w:val="00E123A3"/>
    <w:rsid w:val="00E12DC1"/>
    <w:rsid w:val="00E12E1C"/>
    <w:rsid w:val="00E13D5E"/>
    <w:rsid w:val="00E145E4"/>
    <w:rsid w:val="00E14B3D"/>
    <w:rsid w:val="00E14C3A"/>
    <w:rsid w:val="00E15918"/>
    <w:rsid w:val="00E169C3"/>
    <w:rsid w:val="00E16D2C"/>
    <w:rsid w:val="00E16D64"/>
    <w:rsid w:val="00E171F0"/>
    <w:rsid w:val="00E178D9"/>
    <w:rsid w:val="00E17CA8"/>
    <w:rsid w:val="00E200F0"/>
    <w:rsid w:val="00E20437"/>
    <w:rsid w:val="00E205A2"/>
    <w:rsid w:val="00E206D7"/>
    <w:rsid w:val="00E2105C"/>
    <w:rsid w:val="00E2107C"/>
    <w:rsid w:val="00E21730"/>
    <w:rsid w:val="00E217F4"/>
    <w:rsid w:val="00E21EC4"/>
    <w:rsid w:val="00E223B8"/>
    <w:rsid w:val="00E223E2"/>
    <w:rsid w:val="00E226FD"/>
    <w:rsid w:val="00E229E0"/>
    <w:rsid w:val="00E2313C"/>
    <w:rsid w:val="00E234FA"/>
    <w:rsid w:val="00E23817"/>
    <w:rsid w:val="00E238D0"/>
    <w:rsid w:val="00E2448D"/>
    <w:rsid w:val="00E252B7"/>
    <w:rsid w:val="00E2533B"/>
    <w:rsid w:val="00E2537B"/>
    <w:rsid w:val="00E2555C"/>
    <w:rsid w:val="00E25623"/>
    <w:rsid w:val="00E256D7"/>
    <w:rsid w:val="00E259CD"/>
    <w:rsid w:val="00E25CC6"/>
    <w:rsid w:val="00E267B6"/>
    <w:rsid w:val="00E26EC8"/>
    <w:rsid w:val="00E26F78"/>
    <w:rsid w:val="00E2715D"/>
    <w:rsid w:val="00E2769D"/>
    <w:rsid w:val="00E27820"/>
    <w:rsid w:val="00E27930"/>
    <w:rsid w:val="00E27DEE"/>
    <w:rsid w:val="00E30268"/>
    <w:rsid w:val="00E30D18"/>
    <w:rsid w:val="00E30D5E"/>
    <w:rsid w:val="00E3140F"/>
    <w:rsid w:val="00E31490"/>
    <w:rsid w:val="00E31546"/>
    <w:rsid w:val="00E3181A"/>
    <w:rsid w:val="00E326B6"/>
    <w:rsid w:val="00E328EE"/>
    <w:rsid w:val="00E3358E"/>
    <w:rsid w:val="00E3359D"/>
    <w:rsid w:val="00E3371B"/>
    <w:rsid w:val="00E33978"/>
    <w:rsid w:val="00E34092"/>
    <w:rsid w:val="00E34397"/>
    <w:rsid w:val="00E34414"/>
    <w:rsid w:val="00E34807"/>
    <w:rsid w:val="00E358BF"/>
    <w:rsid w:val="00E35DF2"/>
    <w:rsid w:val="00E36021"/>
    <w:rsid w:val="00E36A53"/>
    <w:rsid w:val="00E36BD4"/>
    <w:rsid w:val="00E36BE9"/>
    <w:rsid w:val="00E36CE3"/>
    <w:rsid w:val="00E36E48"/>
    <w:rsid w:val="00E36FB6"/>
    <w:rsid w:val="00E370A5"/>
    <w:rsid w:val="00E37314"/>
    <w:rsid w:val="00E3790F"/>
    <w:rsid w:val="00E4055A"/>
    <w:rsid w:val="00E418A8"/>
    <w:rsid w:val="00E41AC4"/>
    <w:rsid w:val="00E41FB3"/>
    <w:rsid w:val="00E429ED"/>
    <w:rsid w:val="00E43185"/>
    <w:rsid w:val="00E43229"/>
    <w:rsid w:val="00E43536"/>
    <w:rsid w:val="00E435EF"/>
    <w:rsid w:val="00E44395"/>
    <w:rsid w:val="00E444C6"/>
    <w:rsid w:val="00E450A1"/>
    <w:rsid w:val="00E45C89"/>
    <w:rsid w:val="00E461D6"/>
    <w:rsid w:val="00E47824"/>
    <w:rsid w:val="00E47B89"/>
    <w:rsid w:val="00E501D5"/>
    <w:rsid w:val="00E5033B"/>
    <w:rsid w:val="00E510B1"/>
    <w:rsid w:val="00E51A94"/>
    <w:rsid w:val="00E5238A"/>
    <w:rsid w:val="00E529E3"/>
    <w:rsid w:val="00E52BCC"/>
    <w:rsid w:val="00E52E6F"/>
    <w:rsid w:val="00E5390E"/>
    <w:rsid w:val="00E54A32"/>
    <w:rsid w:val="00E550C5"/>
    <w:rsid w:val="00E552F1"/>
    <w:rsid w:val="00E558EA"/>
    <w:rsid w:val="00E56196"/>
    <w:rsid w:val="00E56D99"/>
    <w:rsid w:val="00E56E9C"/>
    <w:rsid w:val="00E57348"/>
    <w:rsid w:val="00E57D45"/>
    <w:rsid w:val="00E57FB9"/>
    <w:rsid w:val="00E60205"/>
    <w:rsid w:val="00E602F6"/>
    <w:rsid w:val="00E608C6"/>
    <w:rsid w:val="00E608DD"/>
    <w:rsid w:val="00E60AC4"/>
    <w:rsid w:val="00E60B13"/>
    <w:rsid w:val="00E614E4"/>
    <w:rsid w:val="00E61D44"/>
    <w:rsid w:val="00E61D67"/>
    <w:rsid w:val="00E61DCD"/>
    <w:rsid w:val="00E61FE1"/>
    <w:rsid w:val="00E622DB"/>
    <w:rsid w:val="00E62344"/>
    <w:rsid w:val="00E62C9A"/>
    <w:rsid w:val="00E62D5F"/>
    <w:rsid w:val="00E62FC5"/>
    <w:rsid w:val="00E631A0"/>
    <w:rsid w:val="00E63B45"/>
    <w:rsid w:val="00E654C9"/>
    <w:rsid w:val="00E658FE"/>
    <w:rsid w:val="00E65C63"/>
    <w:rsid w:val="00E65F10"/>
    <w:rsid w:val="00E67583"/>
    <w:rsid w:val="00E70252"/>
    <w:rsid w:val="00E70270"/>
    <w:rsid w:val="00E704E9"/>
    <w:rsid w:val="00E70741"/>
    <w:rsid w:val="00E708C8"/>
    <w:rsid w:val="00E70B10"/>
    <w:rsid w:val="00E70C20"/>
    <w:rsid w:val="00E71163"/>
    <w:rsid w:val="00E71B35"/>
    <w:rsid w:val="00E71B42"/>
    <w:rsid w:val="00E71C94"/>
    <w:rsid w:val="00E723FD"/>
    <w:rsid w:val="00E72883"/>
    <w:rsid w:val="00E72D0F"/>
    <w:rsid w:val="00E72F69"/>
    <w:rsid w:val="00E73FEF"/>
    <w:rsid w:val="00E741CA"/>
    <w:rsid w:val="00E747BC"/>
    <w:rsid w:val="00E748DF"/>
    <w:rsid w:val="00E74A7F"/>
    <w:rsid w:val="00E74CDA"/>
    <w:rsid w:val="00E754D3"/>
    <w:rsid w:val="00E75CA9"/>
    <w:rsid w:val="00E75DCA"/>
    <w:rsid w:val="00E76395"/>
    <w:rsid w:val="00E764FD"/>
    <w:rsid w:val="00E76678"/>
    <w:rsid w:val="00E76969"/>
    <w:rsid w:val="00E769BF"/>
    <w:rsid w:val="00E76B1F"/>
    <w:rsid w:val="00E76B40"/>
    <w:rsid w:val="00E76E7E"/>
    <w:rsid w:val="00E76EBF"/>
    <w:rsid w:val="00E77204"/>
    <w:rsid w:val="00E77F36"/>
    <w:rsid w:val="00E80036"/>
    <w:rsid w:val="00E811DF"/>
    <w:rsid w:val="00E825AC"/>
    <w:rsid w:val="00E82950"/>
    <w:rsid w:val="00E83346"/>
    <w:rsid w:val="00E83A9A"/>
    <w:rsid w:val="00E8436A"/>
    <w:rsid w:val="00E84CEE"/>
    <w:rsid w:val="00E84FF0"/>
    <w:rsid w:val="00E85721"/>
    <w:rsid w:val="00E857F6"/>
    <w:rsid w:val="00E85A4C"/>
    <w:rsid w:val="00E85B9A"/>
    <w:rsid w:val="00E85D2E"/>
    <w:rsid w:val="00E86031"/>
    <w:rsid w:val="00E86704"/>
    <w:rsid w:val="00E872B4"/>
    <w:rsid w:val="00E87B23"/>
    <w:rsid w:val="00E902A3"/>
    <w:rsid w:val="00E90390"/>
    <w:rsid w:val="00E9052B"/>
    <w:rsid w:val="00E907E5"/>
    <w:rsid w:val="00E915B7"/>
    <w:rsid w:val="00E91867"/>
    <w:rsid w:val="00E923F5"/>
    <w:rsid w:val="00E92456"/>
    <w:rsid w:val="00E93142"/>
    <w:rsid w:val="00E93203"/>
    <w:rsid w:val="00E94A86"/>
    <w:rsid w:val="00E95092"/>
    <w:rsid w:val="00E95C70"/>
    <w:rsid w:val="00E95E47"/>
    <w:rsid w:val="00E96090"/>
    <w:rsid w:val="00E96096"/>
    <w:rsid w:val="00E96148"/>
    <w:rsid w:val="00E965AF"/>
    <w:rsid w:val="00E968D1"/>
    <w:rsid w:val="00E96AB2"/>
    <w:rsid w:val="00E96BEF"/>
    <w:rsid w:val="00E96CFD"/>
    <w:rsid w:val="00E96FF4"/>
    <w:rsid w:val="00E97532"/>
    <w:rsid w:val="00E975BA"/>
    <w:rsid w:val="00E97DA6"/>
    <w:rsid w:val="00EA0695"/>
    <w:rsid w:val="00EA0A79"/>
    <w:rsid w:val="00EA11B5"/>
    <w:rsid w:val="00EA178E"/>
    <w:rsid w:val="00EA182D"/>
    <w:rsid w:val="00EA1C94"/>
    <w:rsid w:val="00EA222E"/>
    <w:rsid w:val="00EA28AD"/>
    <w:rsid w:val="00EA3B07"/>
    <w:rsid w:val="00EA46B0"/>
    <w:rsid w:val="00EA4F09"/>
    <w:rsid w:val="00EA52D1"/>
    <w:rsid w:val="00EA570D"/>
    <w:rsid w:val="00EA5A9F"/>
    <w:rsid w:val="00EA5D09"/>
    <w:rsid w:val="00EA5E65"/>
    <w:rsid w:val="00EA757B"/>
    <w:rsid w:val="00EB0124"/>
    <w:rsid w:val="00EB0C99"/>
    <w:rsid w:val="00EB0E5F"/>
    <w:rsid w:val="00EB0FBD"/>
    <w:rsid w:val="00EB128E"/>
    <w:rsid w:val="00EB1D94"/>
    <w:rsid w:val="00EB1E87"/>
    <w:rsid w:val="00EB2DAF"/>
    <w:rsid w:val="00EB3153"/>
    <w:rsid w:val="00EB31F4"/>
    <w:rsid w:val="00EB3513"/>
    <w:rsid w:val="00EB3B20"/>
    <w:rsid w:val="00EB4040"/>
    <w:rsid w:val="00EB4138"/>
    <w:rsid w:val="00EB4344"/>
    <w:rsid w:val="00EB4B8D"/>
    <w:rsid w:val="00EB5BF5"/>
    <w:rsid w:val="00EB6156"/>
    <w:rsid w:val="00EB6286"/>
    <w:rsid w:val="00EB6BDA"/>
    <w:rsid w:val="00EB7D38"/>
    <w:rsid w:val="00EC0781"/>
    <w:rsid w:val="00EC098A"/>
    <w:rsid w:val="00EC0E06"/>
    <w:rsid w:val="00EC0F67"/>
    <w:rsid w:val="00EC12B9"/>
    <w:rsid w:val="00EC168B"/>
    <w:rsid w:val="00EC192F"/>
    <w:rsid w:val="00EC19A7"/>
    <w:rsid w:val="00EC223A"/>
    <w:rsid w:val="00EC27D3"/>
    <w:rsid w:val="00EC295F"/>
    <w:rsid w:val="00EC3045"/>
    <w:rsid w:val="00EC3248"/>
    <w:rsid w:val="00EC334A"/>
    <w:rsid w:val="00EC39C9"/>
    <w:rsid w:val="00EC39D9"/>
    <w:rsid w:val="00EC4002"/>
    <w:rsid w:val="00EC5708"/>
    <w:rsid w:val="00EC657D"/>
    <w:rsid w:val="00EC73D9"/>
    <w:rsid w:val="00EC7B7A"/>
    <w:rsid w:val="00EC7E39"/>
    <w:rsid w:val="00ED03A2"/>
    <w:rsid w:val="00ED0A28"/>
    <w:rsid w:val="00ED10D2"/>
    <w:rsid w:val="00ED1540"/>
    <w:rsid w:val="00ED1766"/>
    <w:rsid w:val="00ED1A7E"/>
    <w:rsid w:val="00ED1AF8"/>
    <w:rsid w:val="00ED1BEF"/>
    <w:rsid w:val="00ED1EE1"/>
    <w:rsid w:val="00ED2706"/>
    <w:rsid w:val="00ED2777"/>
    <w:rsid w:val="00ED2813"/>
    <w:rsid w:val="00ED2C70"/>
    <w:rsid w:val="00ED2D4B"/>
    <w:rsid w:val="00ED3020"/>
    <w:rsid w:val="00ED3267"/>
    <w:rsid w:val="00ED337D"/>
    <w:rsid w:val="00ED3398"/>
    <w:rsid w:val="00ED3D55"/>
    <w:rsid w:val="00ED438E"/>
    <w:rsid w:val="00ED46C0"/>
    <w:rsid w:val="00ED4918"/>
    <w:rsid w:val="00ED49A5"/>
    <w:rsid w:val="00ED6228"/>
    <w:rsid w:val="00ED7305"/>
    <w:rsid w:val="00ED7907"/>
    <w:rsid w:val="00ED7DE5"/>
    <w:rsid w:val="00ED7E6F"/>
    <w:rsid w:val="00EE0007"/>
    <w:rsid w:val="00EE0234"/>
    <w:rsid w:val="00EE0BDA"/>
    <w:rsid w:val="00EE0C20"/>
    <w:rsid w:val="00EE111C"/>
    <w:rsid w:val="00EE143E"/>
    <w:rsid w:val="00EE311F"/>
    <w:rsid w:val="00EE3462"/>
    <w:rsid w:val="00EE3545"/>
    <w:rsid w:val="00EE36EB"/>
    <w:rsid w:val="00EE37BC"/>
    <w:rsid w:val="00EE3E17"/>
    <w:rsid w:val="00EE3E70"/>
    <w:rsid w:val="00EE3FC4"/>
    <w:rsid w:val="00EE4336"/>
    <w:rsid w:val="00EE43F3"/>
    <w:rsid w:val="00EE45BB"/>
    <w:rsid w:val="00EE5756"/>
    <w:rsid w:val="00EE57ED"/>
    <w:rsid w:val="00EE5F72"/>
    <w:rsid w:val="00EE67DE"/>
    <w:rsid w:val="00EE6C96"/>
    <w:rsid w:val="00EE6CAF"/>
    <w:rsid w:val="00EE727D"/>
    <w:rsid w:val="00EE7A3B"/>
    <w:rsid w:val="00EE7B3F"/>
    <w:rsid w:val="00EF0B41"/>
    <w:rsid w:val="00EF1469"/>
    <w:rsid w:val="00EF19FC"/>
    <w:rsid w:val="00EF266D"/>
    <w:rsid w:val="00EF2C3F"/>
    <w:rsid w:val="00EF3206"/>
    <w:rsid w:val="00EF38DD"/>
    <w:rsid w:val="00EF3971"/>
    <w:rsid w:val="00EF442A"/>
    <w:rsid w:val="00EF460C"/>
    <w:rsid w:val="00EF543F"/>
    <w:rsid w:val="00EF56E5"/>
    <w:rsid w:val="00EF582C"/>
    <w:rsid w:val="00EF6025"/>
    <w:rsid w:val="00EF611D"/>
    <w:rsid w:val="00EF6C7E"/>
    <w:rsid w:val="00EF6CC2"/>
    <w:rsid w:val="00EF71DB"/>
    <w:rsid w:val="00EF729F"/>
    <w:rsid w:val="00F000D6"/>
    <w:rsid w:val="00F000E0"/>
    <w:rsid w:val="00F00420"/>
    <w:rsid w:val="00F00EB8"/>
    <w:rsid w:val="00F01237"/>
    <w:rsid w:val="00F01477"/>
    <w:rsid w:val="00F0240E"/>
    <w:rsid w:val="00F02E4F"/>
    <w:rsid w:val="00F03C9E"/>
    <w:rsid w:val="00F03CE0"/>
    <w:rsid w:val="00F0435C"/>
    <w:rsid w:val="00F045F7"/>
    <w:rsid w:val="00F04FFF"/>
    <w:rsid w:val="00F05104"/>
    <w:rsid w:val="00F05682"/>
    <w:rsid w:val="00F059FE"/>
    <w:rsid w:val="00F05E28"/>
    <w:rsid w:val="00F06105"/>
    <w:rsid w:val="00F06557"/>
    <w:rsid w:val="00F06668"/>
    <w:rsid w:val="00F07B06"/>
    <w:rsid w:val="00F07CC3"/>
    <w:rsid w:val="00F07DD7"/>
    <w:rsid w:val="00F07ECA"/>
    <w:rsid w:val="00F10891"/>
    <w:rsid w:val="00F10A2B"/>
    <w:rsid w:val="00F10E36"/>
    <w:rsid w:val="00F11A78"/>
    <w:rsid w:val="00F11C2A"/>
    <w:rsid w:val="00F12753"/>
    <w:rsid w:val="00F12A36"/>
    <w:rsid w:val="00F12F55"/>
    <w:rsid w:val="00F12FE7"/>
    <w:rsid w:val="00F13444"/>
    <w:rsid w:val="00F13680"/>
    <w:rsid w:val="00F13B7F"/>
    <w:rsid w:val="00F1430D"/>
    <w:rsid w:val="00F1471E"/>
    <w:rsid w:val="00F152EF"/>
    <w:rsid w:val="00F1532B"/>
    <w:rsid w:val="00F153C9"/>
    <w:rsid w:val="00F1574E"/>
    <w:rsid w:val="00F15F67"/>
    <w:rsid w:val="00F1687D"/>
    <w:rsid w:val="00F16BAA"/>
    <w:rsid w:val="00F1748C"/>
    <w:rsid w:val="00F17BD2"/>
    <w:rsid w:val="00F20074"/>
    <w:rsid w:val="00F20EB5"/>
    <w:rsid w:val="00F211BF"/>
    <w:rsid w:val="00F214A4"/>
    <w:rsid w:val="00F21502"/>
    <w:rsid w:val="00F21CA7"/>
    <w:rsid w:val="00F222CE"/>
    <w:rsid w:val="00F22437"/>
    <w:rsid w:val="00F22778"/>
    <w:rsid w:val="00F22856"/>
    <w:rsid w:val="00F22873"/>
    <w:rsid w:val="00F2289F"/>
    <w:rsid w:val="00F22AD7"/>
    <w:rsid w:val="00F22C4D"/>
    <w:rsid w:val="00F23493"/>
    <w:rsid w:val="00F2357B"/>
    <w:rsid w:val="00F239DB"/>
    <w:rsid w:val="00F244C1"/>
    <w:rsid w:val="00F24EF3"/>
    <w:rsid w:val="00F2503A"/>
    <w:rsid w:val="00F25A33"/>
    <w:rsid w:val="00F25ED5"/>
    <w:rsid w:val="00F25EDD"/>
    <w:rsid w:val="00F26C3B"/>
    <w:rsid w:val="00F27B8D"/>
    <w:rsid w:val="00F30853"/>
    <w:rsid w:val="00F30D78"/>
    <w:rsid w:val="00F314B5"/>
    <w:rsid w:val="00F315A9"/>
    <w:rsid w:val="00F31796"/>
    <w:rsid w:val="00F319BB"/>
    <w:rsid w:val="00F3261F"/>
    <w:rsid w:val="00F32CCF"/>
    <w:rsid w:val="00F33247"/>
    <w:rsid w:val="00F334E9"/>
    <w:rsid w:val="00F33635"/>
    <w:rsid w:val="00F33AE0"/>
    <w:rsid w:val="00F344E8"/>
    <w:rsid w:val="00F34627"/>
    <w:rsid w:val="00F34905"/>
    <w:rsid w:val="00F3560B"/>
    <w:rsid w:val="00F3577B"/>
    <w:rsid w:val="00F35B22"/>
    <w:rsid w:val="00F35B94"/>
    <w:rsid w:val="00F35F7B"/>
    <w:rsid w:val="00F36039"/>
    <w:rsid w:val="00F3790A"/>
    <w:rsid w:val="00F3795F"/>
    <w:rsid w:val="00F412DD"/>
    <w:rsid w:val="00F41AEE"/>
    <w:rsid w:val="00F41F25"/>
    <w:rsid w:val="00F41F86"/>
    <w:rsid w:val="00F41F89"/>
    <w:rsid w:val="00F423EC"/>
    <w:rsid w:val="00F4257D"/>
    <w:rsid w:val="00F42684"/>
    <w:rsid w:val="00F42C46"/>
    <w:rsid w:val="00F42CAC"/>
    <w:rsid w:val="00F42FA1"/>
    <w:rsid w:val="00F43525"/>
    <w:rsid w:val="00F43933"/>
    <w:rsid w:val="00F43A82"/>
    <w:rsid w:val="00F43BFD"/>
    <w:rsid w:val="00F44111"/>
    <w:rsid w:val="00F4476C"/>
    <w:rsid w:val="00F45585"/>
    <w:rsid w:val="00F459C0"/>
    <w:rsid w:val="00F45D7F"/>
    <w:rsid w:val="00F460B1"/>
    <w:rsid w:val="00F465AC"/>
    <w:rsid w:val="00F466D8"/>
    <w:rsid w:val="00F479FC"/>
    <w:rsid w:val="00F47B8A"/>
    <w:rsid w:val="00F47CB7"/>
    <w:rsid w:val="00F47FEC"/>
    <w:rsid w:val="00F500A8"/>
    <w:rsid w:val="00F5019C"/>
    <w:rsid w:val="00F50401"/>
    <w:rsid w:val="00F505B6"/>
    <w:rsid w:val="00F50723"/>
    <w:rsid w:val="00F51433"/>
    <w:rsid w:val="00F51614"/>
    <w:rsid w:val="00F51848"/>
    <w:rsid w:val="00F5213C"/>
    <w:rsid w:val="00F52176"/>
    <w:rsid w:val="00F5244C"/>
    <w:rsid w:val="00F52532"/>
    <w:rsid w:val="00F52945"/>
    <w:rsid w:val="00F529FB"/>
    <w:rsid w:val="00F52B8E"/>
    <w:rsid w:val="00F53793"/>
    <w:rsid w:val="00F53997"/>
    <w:rsid w:val="00F54130"/>
    <w:rsid w:val="00F544EB"/>
    <w:rsid w:val="00F54AF9"/>
    <w:rsid w:val="00F55A03"/>
    <w:rsid w:val="00F55FDF"/>
    <w:rsid w:val="00F55FF9"/>
    <w:rsid w:val="00F56108"/>
    <w:rsid w:val="00F56386"/>
    <w:rsid w:val="00F56713"/>
    <w:rsid w:val="00F569E7"/>
    <w:rsid w:val="00F56A58"/>
    <w:rsid w:val="00F57468"/>
    <w:rsid w:val="00F57671"/>
    <w:rsid w:val="00F57B52"/>
    <w:rsid w:val="00F57C77"/>
    <w:rsid w:val="00F57DFC"/>
    <w:rsid w:val="00F601DC"/>
    <w:rsid w:val="00F607EB"/>
    <w:rsid w:val="00F60849"/>
    <w:rsid w:val="00F60A72"/>
    <w:rsid w:val="00F611AD"/>
    <w:rsid w:val="00F61499"/>
    <w:rsid w:val="00F616AD"/>
    <w:rsid w:val="00F61A45"/>
    <w:rsid w:val="00F62146"/>
    <w:rsid w:val="00F6227F"/>
    <w:rsid w:val="00F624EA"/>
    <w:rsid w:val="00F6282B"/>
    <w:rsid w:val="00F628BE"/>
    <w:rsid w:val="00F63A09"/>
    <w:rsid w:val="00F63F93"/>
    <w:rsid w:val="00F63FA2"/>
    <w:rsid w:val="00F6478F"/>
    <w:rsid w:val="00F64AF5"/>
    <w:rsid w:val="00F64D71"/>
    <w:rsid w:val="00F652E2"/>
    <w:rsid w:val="00F6540C"/>
    <w:rsid w:val="00F65517"/>
    <w:rsid w:val="00F6552F"/>
    <w:rsid w:val="00F655CE"/>
    <w:rsid w:val="00F6728F"/>
    <w:rsid w:val="00F675E6"/>
    <w:rsid w:val="00F675F4"/>
    <w:rsid w:val="00F6770D"/>
    <w:rsid w:val="00F700C1"/>
    <w:rsid w:val="00F7063B"/>
    <w:rsid w:val="00F70E78"/>
    <w:rsid w:val="00F71415"/>
    <w:rsid w:val="00F71A3C"/>
    <w:rsid w:val="00F71CEF"/>
    <w:rsid w:val="00F72103"/>
    <w:rsid w:val="00F72315"/>
    <w:rsid w:val="00F72567"/>
    <w:rsid w:val="00F72DA3"/>
    <w:rsid w:val="00F7331E"/>
    <w:rsid w:val="00F738A7"/>
    <w:rsid w:val="00F738C0"/>
    <w:rsid w:val="00F73D50"/>
    <w:rsid w:val="00F741FF"/>
    <w:rsid w:val="00F746B9"/>
    <w:rsid w:val="00F747C8"/>
    <w:rsid w:val="00F74A0B"/>
    <w:rsid w:val="00F74AB2"/>
    <w:rsid w:val="00F74BA2"/>
    <w:rsid w:val="00F75C44"/>
    <w:rsid w:val="00F76193"/>
    <w:rsid w:val="00F7696F"/>
    <w:rsid w:val="00F76A11"/>
    <w:rsid w:val="00F776F7"/>
    <w:rsid w:val="00F77754"/>
    <w:rsid w:val="00F77F28"/>
    <w:rsid w:val="00F8058B"/>
    <w:rsid w:val="00F805CA"/>
    <w:rsid w:val="00F8078A"/>
    <w:rsid w:val="00F80A9C"/>
    <w:rsid w:val="00F80ECA"/>
    <w:rsid w:val="00F810BB"/>
    <w:rsid w:val="00F811DD"/>
    <w:rsid w:val="00F8162D"/>
    <w:rsid w:val="00F817DB"/>
    <w:rsid w:val="00F818DF"/>
    <w:rsid w:val="00F82552"/>
    <w:rsid w:val="00F825FD"/>
    <w:rsid w:val="00F82AEF"/>
    <w:rsid w:val="00F82C24"/>
    <w:rsid w:val="00F82DF1"/>
    <w:rsid w:val="00F82FA2"/>
    <w:rsid w:val="00F83043"/>
    <w:rsid w:val="00F832C2"/>
    <w:rsid w:val="00F83BA2"/>
    <w:rsid w:val="00F84500"/>
    <w:rsid w:val="00F8476E"/>
    <w:rsid w:val="00F85106"/>
    <w:rsid w:val="00F856D7"/>
    <w:rsid w:val="00F85B02"/>
    <w:rsid w:val="00F86229"/>
    <w:rsid w:val="00F8683B"/>
    <w:rsid w:val="00F86CC4"/>
    <w:rsid w:val="00F86DED"/>
    <w:rsid w:val="00F87453"/>
    <w:rsid w:val="00F874E7"/>
    <w:rsid w:val="00F876E5"/>
    <w:rsid w:val="00F87A37"/>
    <w:rsid w:val="00F87AE6"/>
    <w:rsid w:val="00F87F3F"/>
    <w:rsid w:val="00F900E4"/>
    <w:rsid w:val="00F901D5"/>
    <w:rsid w:val="00F9059E"/>
    <w:rsid w:val="00F9060F"/>
    <w:rsid w:val="00F9075E"/>
    <w:rsid w:val="00F90908"/>
    <w:rsid w:val="00F90950"/>
    <w:rsid w:val="00F90AAE"/>
    <w:rsid w:val="00F90D1C"/>
    <w:rsid w:val="00F91019"/>
    <w:rsid w:val="00F91693"/>
    <w:rsid w:val="00F91897"/>
    <w:rsid w:val="00F91ADB"/>
    <w:rsid w:val="00F91C4F"/>
    <w:rsid w:val="00F92418"/>
    <w:rsid w:val="00F9288E"/>
    <w:rsid w:val="00F92E34"/>
    <w:rsid w:val="00F93174"/>
    <w:rsid w:val="00F93587"/>
    <w:rsid w:val="00F937C0"/>
    <w:rsid w:val="00F93998"/>
    <w:rsid w:val="00F93A62"/>
    <w:rsid w:val="00F93DE7"/>
    <w:rsid w:val="00F93FA2"/>
    <w:rsid w:val="00F94124"/>
    <w:rsid w:val="00F94302"/>
    <w:rsid w:val="00F94BEC"/>
    <w:rsid w:val="00F95644"/>
    <w:rsid w:val="00F95776"/>
    <w:rsid w:val="00F95AA4"/>
    <w:rsid w:val="00F967D6"/>
    <w:rsid w:val="00F9684A"/>
    <w:rsid w:val="00F9744D"/>
    <w:rsid w:val="00F97CB6"/>
    <w:rsid w:val="00FA1232"/>
    <w:rsid w:val="00FA1350"/>
    <w:rsid w:val="00FA156B"/>
    <w:rsid w:val="00FA1845"/>
    <w:rsid w:val="00FA1C04"/>
    <w:rsid w:val="00FA1CAE"/>
    <w:rsid w:val="00FA2275"/>
    <w:rsid w:val="00FA290E"/>
    <w:rsid w:val="00FA2CFB"/>
    <w:rsid w:val="00FA2D92"/>
    <w:rsid w:val="00FA34BE"/>
    <w:rsid w:val="00FA3A66"/>
    <w:rsid w:val="00FA4353"/>
    <w:rsid w:val="00FA48CD"/>
    <w:rsid w:val="00FA4A2B"/>
    <w:rsid w:val="00FA4AB2"/>
    <w:rsid w:val="00FA5227"/>
    <w:rsid w:val="00FA553D"/>
    <w:rsid w:val="00FA5989"/>
    <w:rsid w:val="00FA5BC6"/>
    <w:rsid w:val="00FA61C1"/>
    <w:rsid w:val="00FA64D4"/>
    <w:rsid w:val="00FA6582"/>
    <w:rsid w:val="00FA66BC"/>
    <w:rsid w:val="00FA777B"/>
    <w:rsid w:val="00FA7DFF"/>
    <w:rsid w:val="00FA7F85"/>
    <w:rsid w:val="00FB0005"/>
    <w:rsid w:val="00FB04A4"/>
    <w:rsid w:val="00FB10EE"/>
    <w:rsid w:val="00FB1750"/>
    <w:rsid w:val="00FB1D7B"/>
    <w:rsid w:val="00FB24FE"/>
    <w:rsid w:val="00FB2761"/>
    <w:rsid w:val="00FB2AAF"/>
    <w:rsid w:val="00FB2DA0"/>
    <w:rsid w:val="00FB38DB"/>
    <w:rsid w:val="00FB406E"/>
    <w:rsid w:val="00FB48F1"/>
    <w:rsid w:val="00FB5008"/>
    <w:rsid w:val="00FB5956"/>
    <w:rsid w:val="00FB59BC"/>
    <w:rsid w:val="00FB5FCC"/>
    <w:rsid w:val="00FB62C7"/>
    <w:rsid w:val="00FB7884"/>
    <w:rsid w:val="00FB7A19"/>
    <w:rsid w:val="00FB7CE6"/>
    <w:rsid w:val="00FC0024"/>
    <w:rsid w:val="00FC02AF"/>
    <w:rsid w:val="00FC14E3"/>
    <w:rsid w:val="00FC1890"/>
    <w:rsid w:val="00FC1CBA"/>
    <w:rsid w:val="00FC1DC8"/>
    <w:rsid w:val="00FC2487"/>
    <w:rsid w:val="00FC3393"/>
    <w:rsid w:val="00FC3561"/>
    <w:rsid w:val="00FC3B64"/>
    <w:rsid w:val="00FC3BA4"/>
    <w:rsid w:val="00FC48A6"/>
    <w:rsid w:val="00FC4A5B"/>
    <w:rsid w:val="00FC4A8A"/>
    <w:rsid w:val="00FC4AFF"/>
    <w:rsid w:val="00FC5785"/>
    <w:rsid w:val="00FC5AFD"/>
    <w:rsid w:val="00FC5B96"/>
    <w:rsid w:val="00FC62ED"/>
    <w:rsid w:val="00FC6D80"/>
    <w:rsid w:val="00FC6DB6"/>
    <w:rsid w:val="00FC6EB3"/>
    <w:rsid w:val="00FC6EE3"/>
    <w:rsid w:val="00FC7A6B"/>
    <w:rsid w:val="00FD03DE"/>
    <w:rsid w:val="00FD04AE"/>
    <w:rsid w:val="00FD0A48"/>
    <w:rsid w:val="00FD0DF5"/>
    <w:rsid w:val="00FD0FBF"/>
    <w:rsid w:val="00FD1276"/>
    <w:rsid w:val="00FD19C0"/>
    <w:rsid w:val="00FD23A2"/>
    <w:rsid w:val="00FD2444"/>
    <w:rsid w:val="00FD2DB9"/>
    <w:rsid w:val="00FD3C24"/>
    <w:rsid w:val="00FD3ECE"/>
    <w:rsid w:val="00FD43DB"/>
    <w:rsid w:val="00FD50A2"/>
    <w:rsid w:val="00FD55B8"/>
    <w:rsid w:val="00FD5F50"/>
    <w:rsid w:val="00FD65B3"/>
    <w:rsid w:val="00FD74B7"/>
    <w:rsid w:val="00FD7BA4"/>
    <w:rsid w:val="00FE044F"/>
    <w:rsid w:val="00FE093C"/>
    <w:rsid w:val="00FE0D87"/>
    <w:rsid w:val="00FE1300"/>
    <w:rsid w:val="00FE14ED"/>
    <w:rsid w:val="00FE1719"/>
    <w:rsid w:val="00FE1C51"/>
    <w:rsid w:val="00FE1D28"/>
    <w:rsid w:val="00FE1D56"/>
    <w:rsid w:val="00FE1EFE"/>
    <w:rsid w:val="00FE2294"/>
    <w:rsid w:val="00FE2882"/>
    <w:rsid w:val="00FE2C20"/>
    <w:rsid w:val="00FE31B0"/>
    <w:rsid w:val="00FE320D"/>
    <w:rsid w:val="00FE3329"/>
    <w:rsid w:val="00FE34D5"/>
    <w:rsid w:val="00FE3558"/>
    <w:rsid w:val="00FE3820"/>
    <w:rsid w:val="00FE398E"/>
    <w:rsid w:val="00FE39C9"/>
    <w:rsid w:val="00FE3CF3"/>
    <w:rsid w:val="00FE3F6A"/>
    <w:rsid w:val="00FE403E"/>
    <w:rsid w:val="00FE405E"/>
    <w:rsid w:val="00FE44D3"/>
    <w:rsid w:val="00FE518C"/>
    <w:rsid w:val="00FE6C93"/>
    <w:rsid w:val="00FE7709"/>
    <w:rsid w:val="00FE777D"/>
    <w:rsid w:val="00FE7BEE"/>
    <w:rsid w:val="00FF055C"/>
    <w:rsid w:val="00FF0C6A"/>
    <w:rsid w:val="00FF0C70"/>
    <w:rsid w:val="00FF0E0C"/>
    <w:rsid w:val="00FF11EE"/>
    <w:rsid w:val="00FF130F"/>
    <w:rsid w:val="00FF138F"/>
    <w:rsid w:val="00FF198C"/>
    <w:rsid w:val="00FF1AB1"/>
    <w:rsid w:val="00FF1CFA"/>
    <w:rsid w:val="00FF1FA8"/>
    <w:rsid w:val="00FF1FF6"/>
    <w:rsid w:val="00FF2448"/>
    <w:rsid w:val="00FF25F2"/>
    <w:rsid w:val="00FF2701"/>
    <w:rsid w:val="00FF3111"/>
    <w:rsid w:val="00FF33F4"/>
    <w:rsid w:val="00FF42AD"/>
    <w:rsid w:val="00FF4A73"/>
    <w:rsid w:val="00FF5029"/>
    <w:rsid w:val="00FF510F"/>
    <w:rsid w:val="00FF52B2"/>
    <w:rsid w:val="00FF52BA"/>
    <w:rsid w:val="00FF5748"/>
    <w:rsid w:val="00FF59B8"/>
    <w:rsid w:val="00FF60E8"/>
    <w:rsid w:val="00FF62A0"/>
    <w:rsid w:val="00FF62DD"/>
    <w:rsid w:val="00FF73B0"/>
    <w:rsid w:val="00FF74F8"/>
    <w:rsid w:val="00FF762D"/>
    <w:rsid w:val="00FF7E5D"/>
    <w:rsid w:val="01023C0A"/>
    <w:rsid w:val="01056B32"/>
    <w:rsid w:val="01161381"/>
    <w:rsid w:val="011D5EEA"/>
    <w:rsid w:val="011E3D92"/>
    <w:rsid w:val="0129769C"/>
    <w:rsid w:val="01374E54"/>
    <w:rsid w:val="013E4434"/>
    <w:rsid w:val="01490977"/>
    <w:rsid w:val="018E545E"/>
    <w:rsid w:val="01974BE0"/>
    <w:rsid w:val="01B3325D"/>
    <w:rsid w:val="01C81F50"/>
    <w:rsid w:val="01D1053D"/>
    <w:rsid w:val="01D5444A"/>
    <w:rsid w:val="01D648C9"/>
    <w:rsid w:val="01DC2EB6"/>
    <w:rsid w:val="01E4322D"/>
    <w:rsid w:val="01F91603"/>
    <w:rsid w:val="021F025B"/>
    <w:rsid w:val="023D6395"/>
    <w:rsid w:val="02493B04"/>
    <w:rsid w:val="025F4662"/>
    <w:rsid w:val="027808F5"/>
    <w:rsid w:val="02810C60"/>
    <w:rsid w:val="02902398"/>
    <w:rsid w:val="02A57FD3"/>
    <w:rsid w:val="02AC1724"/>
    <w:rsid w:val="02C52FC1"/>
    <w:rsid w:val="02C810A5"/>
    <w:rsid w:val="02D30CBC"/>
    <w:rsid w:val="02D73CF1"/>
    <w:rsid w:val="02E47645"/>
    <w:rsid w:val="02EB5091"/>
    <w:rsid w:val="02F626EF"/>
    <w:rsid w:val="03083E07"/>
    <w:rsid w:val="030C4404"/>
    <w:rsid w:val="031B384B"/>
    <w:rsid w:val="035142B3"/>
    <w:rsid w:val="0355309C"/>
    <w:rsid w:val="035E61CA"/>
    <w:rsid w:val="035F1431"/>
    <w:rsid w:val="03877CF5"/>
    <w:rsid w:val="038B6C5D"/>
    <w:rsid w:val="03917372"/>
    <w:rsid w:val="039765C2"/>
    <w:rsid w:val="03A045CE"/>
    <w:rsid w:val="03AF786B"/>
    <w:rsid w:val="03DA12CB"/>
    <w:rsid w:val="03F21641"/>
    <w:rsid w:val="040066B1"/>
    <w:rsid w:val="04097864"/>
    <w:rsid w:val="0420349D"/>
    <w:rsid w:val="04441D61"/>
    <w:rsid w:val="045859A6"/>
    <w:rsid w:val="046256D3"/>
    <w:rsid w:val="04712B43"/>
    <w:rsid w:val="047A53E7"/>
    <w:rsid w:val="04A91DF8"/>
    <w:rsid w:val="04B3799C"/>
    <w:rsid w:val="04BE06F5"/>
    <w:rsid w:val="04D368FA"/>
    <w:rsid w:val="04D771EE"/>
    <w:rsid w:val="04E62991"/>
    <w:rsid w:val="04F364F4"/>
    <w:rsid w:val="04F819BB"/>
    <w:rsid w:val="04F96FF0"/>
    <w:rsid w:val="050E411D"/>
    <w:rsid w:val="05131BF7"/>
    <w:rsid w:val="051536FE"/>
    <w:rsid w:val="05161271"/>
    <w:rsid w:val="051E66FF"/>
    <w:rsid w:val="05362C10"/>
    <w:rsid w:val="055204AE"/>
    <w:rsid w:val="057B15AE"/>
    <w:rsid w:val="059C521F"/>
    <w:rsid w:val="05AC5251"/>
    <w:rsid w:val="05BF0D3B"/>
    <w:rsid w:val="05C179DF"/>
    <w:rsid w:val="05C313AC"/>
    <w:rsid w:val="05CE4F99"/>
    <w:rsid w:val="05D82137"/>
    <w:rsid w:val="05EF2814"/>
    <w:rsid w:val="05F30F69"/>
    <w:rsid w:val="05F72E03"/>
    <w:rsid w:val="0612598B"/>
    <w:rsid w:val="062475C6"/>
    <w:rsid w:val="063B0BFD"/>
    <w:rsid w:val="063E21EE"/>
    <w:rsid w:val="06401C47"/>
    <w:rsid w:val="06474199"/>
    <w:rsid w:val="06474B4F"/>
    <w:rsid w:val="06486FD7"/>
    <w:rsid w:val="065F4F27"/>
    <w:rsid w:val="06620BC5"/>
    <w:rsid w:val="066258C6"/>
    <w:rsid w:val="0668393D"/>
    <w:rsid w:val="06827C5D"/>
    <w:rsid w:val="068E6238"/>
    <w:rsid w:val="06A55C96"/>
    <w:rsid w:val="06A82783"/>
    <w:rsid w:val="06AC79AC"/>
    <w:rsid w:val="06CC7AF0"/>
    <w:rsid w:val="06D63D60"/>
    <w:rsid w:val="06F301D4"/>
    <w:rsid w:val="06FE391C"/>
    <w:rsid w:val="070D5869"/>
    <w:rsid w:val="07220345"/>
    <w:rsid w:val="07274686"/>
    <w:rsid w:val="07423636"/>
    <w:rsid w:val="07532634"/>
    <w:rsid w:val="0757624F"/>
    <w:rsid w:val="075F5E99"/>
    <w:rsid w:val="076170CE"/>
    <w:rsid w:val="077474B2"/>
    <w:rsid w:val="07856F6D"/>
    <w:rsid w:val="078B2F60"/>
    <w:rsid w:val="078C2C90"/>
    <w:rsid w:val="07921345"/>
    <w:rsid w:val="07966D78"/>
    <w:rsid w:val="07A33542"/>
    <w:rsid w:val="07E721CE"/>
    <w:rsid w:val="07F15D46"/>
    <w:rsid w:val="07F55370"/>
    <w:rsid w:val="080644BA"/>
    <w:rsid w:val="081F3479"/>
    <w:rsid w:val="08206DDD"/>
    <w:rsid w:val="084112F5"/>
    <w:rsid w:val="084D699F"/>
    <w:rsid w:val="085F410B"/>
    <w:rsid w:val="08756A20"/>
    <w:rsid w:val="0889699D"/>
    <w:rsid w:val="08A56173"/>
    <w:rsid w:val="08AA1CC9"/>
    <w:rsid w:val="08B3497F"/>
    <w:rsid w:val="08CA0DEA"/>
    <w:rsid w:val="08DD233C"/>
    <w:rsid w:val="08E96177"/>
    <w:rsid w:val="08FD6BEC"/>
    <w:rsid w:val="09063AA6"/>
    <w:rsid w:val="091B1B2D"/>
    <w:rsid w:val="09200755"/>
    <w:rsid w:val="09212738"/>
    <w:rsid w:val="09217EC2"/>
    <w:rsid w:val="092B2BA9"/>
    <w:rsid w:val="09324367"/>
    <w:rsid w:val="0932456E"/>
    <w:rsid w:val="09336848"/>
    <w:rsid w:val="094438F9"/>
    <w:rsid w:val="097035F9"/>
    <w:rsid w:val="097D1872"/>
    <w:rsid w:val="09801C33"/>
    <w:rsid w:val="09867D7A"/>
    <w:rsid w:val="098E7E82"/>
    <w:rsid w:val="09922DFB"/>
    <w:rsid w:val="09976AC8"/>
    <w:rsid w:val="09A84396"/>
    <w:rsid w:val="09B43EFB"/>
    <w:rsid w:val="09B53889"/>
    <w:rsid w:val="09C3209E"/>
    <w:rsid w:val="09C52FBE"/>
    <w:rsid w:val="09CF2F41"/>
    <w:rsid w:val="09DD4EF6"/>
    <w:rsid w:val="09F17E93"/>
    <w:rsid w:val="09F96BC8"/>
    <w:rsid w:val="09FB55B8"/>
    <w:rsid w:val="0A0C1573"/>
    <w:rsid w:val="0A16127B"/>
    <w:rsid w:val="0A186517"/>
    <w:rsid w:val="0A333C50"/>
    <w:rsid w:val="0A504CF3"/>
    <w:rsid w:val="0A521B15"/>
    <w:rsid w:val="0A526C4B"/>
    <w:rsid w:val="0A5A31A0"/>
    <w:rsid w:val="0A707F8A"/>
    <w:rsid w:val="0A7535DE"/>
    <w:rsid w:val="0A754685"/>
    <w:rsid w:val="0A8351AC"/>
    <w:rsid w:val="0A894080"/>
    <w:rsid w:val="0A976FE6"/>
    <w:rsid w:val="0AA17EFA"/>
    <w:rsid w:val="0AAB0D8C"/>
    <w:rsid w:val="0ACF3EFF"/>
    <w:rsid w:val="0AFF1244"/>
    <w:rsid w:val="0B0100E0"/>
    <w:rsid w:val="0B1647AC"/>
    <w:rsid w:val="0B500EF8"/>
    <w:rsid w:val="0B591741"/>
    <w:rsid w:val="0B6C372D"/>
    <w:rsid w:val="0B6C7F01"/>
    <w:rsid w:val="0B745622"/>
    <w:rsid w:val="0B977263"/>
    <w:rsid w:val="0BB835FC"/>
    <w:rsid w:val="0BDE75A2"/>
    <w:rsid w:val="0BE43E2A"/>
    <w:rsid w:val="0BF21DA7"/>
    <w:rsid w:val="0C046CE1"/>
    <w:rsid w:val="0C08388E"/>
    <w:rsid w:val="0C1419D9"/>
    <w:rsid w:val="0C245294"/>
    <w:rsid w:val="0C443C2B"/>
    <w:rsid w:val="0C6D616F"/>
    <w:rsid w:val="0C8B1228"/>
    <w:rsid w:val="0C996AAA"/>
    <w:rsid w:val="0CA5033D"/>
    <w:rsid w:val="0CA51ED6"/>
    <w:rsid w:val="0CA942A2"/>
    <w:rsid w:val="0CB11F5E"/>
    <w:rsid w:val="0CB21906"/>
    <w:rsid w:val="0CB55775"/>
    <w:rsid w:val="0CCD70F8"/>
    <w:rsid w:val="0CCE14A7"/>
    <w:rsid w:val="0CD763CA"/>
    <w:rsid w:val="0CE7460E"/>
    <w:rsid w:val="0CF02CE1"/>
    <w:rsid w:val="0CFC6ED9"/>
    <w:rsid w:val="0D0212A0"/>
    <w:rsid w:val="0D0339F2"/>
    <w:rsid w:val="0D043B1E"/>
    <w:rsid w:val="0D0522AA"/>
    <w:rsid w:val="0D0F0D21"/>
    <w:rsid w:val="0D1B36B3"/>
    <w:rsid w:val="0D2766C4"/>
    <w:rsid w:val="0D3B16E2"/>
    <w:rsid w:val="0D422CC9"/>
    <w:rsid w:val="0D4370AD"/>
    <w:rsid w:val="0D4C53BC"/>
    <w:rsid w:val="0D547F5D"/>
    <w:rsid w:val="0D6D4B83"/>
    <w:rsid w:val="0D8C024E"/>
    <w:rsid w:val="0D9376CD"/>
    <w:rsid w:val="0DD14A0B"/>
    <w:rsid w:val="0DD15A4B"/>
    <w:rsid w:val="0DF24DAF"/>
    <w:rsid w:val="0DF26CD2"/>
    <w:rsid w:val="0E14377D"/>
    <w:rsid w:val="0E211169"/>
    <w:rsid w:val="0E25576D"/>
    <w:rsid w:val="0E3260B2"/>
    <w:rsid w:val="0E3B41C3"/>
    <w:rsid w:val="0E3F6C4D"/>
    <w:rsid w:val="0E4F198B"/>
    <w:rsid w:val="0E617BDE"/>
    <w:rsid w:val="0E70046E"/>
    <w:rsid w:val="0E725DEC"/>
    <w:rsid w:val="0E807B27"/>
    <w:rsid w:val="0E8D1BAF"/>
    <w:rsid w:val="0E963B01"/>
    <w:rsid w:val="0EA11875"/>
    <w:rsid w:val="0EA23AB9"/>
    <w:rsid w:val="0EB339EC"/>
    <w:rsid w:val="0EB42506"/>
    <w:rsid w:val="0ED174EF"/>
    <w:rsid w:val="0EDB3719"/>
    <w:rsid w:val="0EEF1C94"/>
    <w:rsid w:val="0EF86674"/>
    <w:rsid w:val="0EF87FE7"/>
    <w:rsid w:val="0F135152"/>
    <w:rsid w:val="0F291509"/>
    <w:rsid w:val="0F460BDA"/>
    <w:rsid w:val="0F5B09B3"/>
    <w:rsid w:val="0F655282"/>
    <w:rsid w:val="0F7A0F81"/>
    <w:rsid w:val="0F942ADE"/>
    <w:rsid w:val="0F9C5A34"/>
    <w:rsid w:val="0F9F3B9F"/>
    <w:rsid w:val="0FB24043"/>
    <w:rsid w:val="0FBD5D08"/>
    <w:rsid w:val="0FCF4B94"/>
    <w:rsid w:val="0FCF5473"/>
    <w:rsid w:val="0FD25C06"/>
    <w:rsid w:val="0FEA6CFB"/>
    <w:rsid w:val="0FEC7704"/>
    <w:rsid w:val="0FEE634E"/>
    <w:rsid w:val="100351CF"/>
    <w:rsid w:val="10560ACB"/>
    <w:rsid w:val="10703270"/>
    <w:rsid w:val="1071611F"/>
    <w:rsid w:val="107952A5"/>
    <w:rsid w:val="10912CC7"/>
    <w:rsid w:val="10915724"/>
    <w:rsid w:val="10A0554D"/>
    <w:rsid w:val="10A342B4"/>
    <w:rsid w:val="10CD3B0D"/>
    <w:rsid w:val="10D95AAF"/>
    <w:rsid w:val="10E54A15"/>
    <w:rsid w:val="10F308E2"/>
    <w:rsid w:val="10F808A7"/>
    <w:rsid w:val="10FF6E60"/>
    <w:rsid w:val="112733D1"/>
    <w:rsid w:val="112D7974"/>
    <w:rsid w:val="1135225B"/>
    <w:rsid w:val="113820C5"/>
    <w:rsid w:val="11651CBC"/>
    <w:rsid w:val="116972AB"/>
    <w:rsid w:val="11743D41"/>
    <w:rsid w:val="11A0261C"/>
    <w:rsid w:val="11A93139"/>
    <w:rsid w:val="11AE74B8"/>
    <w:rsid w:val="11B04A90"/>
    <w:rsid w:val="11BA1437"/>
    <w:rsid w:val="11BC5F34"/>
    <w:rsid w:val="11C6574D"/>
    <w:rsid w:val="11CF4039"/>
    <w:rsid w:val="11EE03DD"/>
    <w:rsid w:val="11F72B09"/>
    <w:rsid w:val="120B3EBE"/>
    <w:rsid w:val="12156159"/>
    <w:rsid w:val="121E62E8"/>
    <w:rsid w:val="122B1D02"/>
    <w:rsid w:val="123211CE"/>
    <w:rsid w:val="1237541B"/>
    <w:rsid w:val="12486EC1"/>
    <w:rsid w:val="124E39B9"/>
    <w:rsid w:val="12525F91"/>
    <w:rsid w:val="127561F8"/>
    <w:rsid w:val="12AC77C5"/>
    <w:rsid w:val="12B83667"/>
    <w:rsid w:val="12D629E6"/>
    <w:rsid w:val="12D93FBD"/>
    <w:rsid w:val="12E812D2"/>
    <w:rsid w:val="12F928B1"/>
    <w:rsid w:val="12FF1116"/>
    <w:rsid w:val="130149E4"/>
    <w:rsid w:val="130D0966"/>
    <w:rsid w:val="13153CAF"/>
    <w:rsid w:val="131C0DA6"/>
    <w:rsid w:val="13272B60"/>
    <w:rsid w:val="1364495E"/>
    <w:rsid w:val="136E2E4B"/>
    <w:rsid w:val="137C70D0"/>
    <w:rsid w:val="137E6912"/>
    <w:rsid w:val="13842983"/>
    <w:rsid w:val="13902EFA"/>
    <w:rsid w:val="13C25C15"/>
    <w:rsid w:val="13C702B9"/>
    <w:rsid w:val="13CD105D"/>
    <w:rsid w:val="13DC4BBC"/>
    <w:rsid w:val="13E37621"/>
    <w:rsid w:val="13E71480"/>
    <w:rsid w:val="13E71B82"/>
    <w:rsid w:val="13F35552"/>
    <w:rsid w:val="14440BAB"/>
    <w:rsid w:val="144E2A86"/>
    <w:rsid w:val="145527A1"/>
    <w:rsid w:val="14751297"/>
    <w:rsid w:val="1487151D"/>
    <w:rsid w:val="148B01C1"/>
    <w:rsid w:val="14C36E7B"/>
    <w:rsid w:val="14CA1FFE"/>
    <w:rsid w:val="14D969CE"/>
    <w:rsid w:val="14EF2109"/>
    <w:rsid w:val="14FA086A"/>
    <w:rsid w:val="15240DA5"/>
    <w:rsid w:val="1527272C"/>
    <w:rsid w:val="15284D87"/>
    <w:rsid w:val="1540151E"/>
    <w:rsid w:val="15452F0F"/>
    <w:rsid w:val="1563166D"/>
    <w:rsid w:val="15680815"/>
    <w:rsid w:val="1573633C"/>
    <w:rsid w:val="157A4AC0"/>
    <w:rsid w:val="158F0D36"/>
    <w:rsid w:val="15A678EF"/>
    <w:rsid w:val="15AB3890"/>
    <w:rsid w:val="15B66808"/>
    <w:rsid w:val="15B9425E"/>
    <w:rsid w:val="15BB3AEC"/>
    <w:rsid w:val="15CC7E09"/>
    <w:rsid w:val="15EF674F"/>
    <w:rsid w:val="15F83D38"/>
    <w:rsid w:val="161D2412"/>
    <w:rsid w:val="161E6B84"/>
    <w:rsid w:val="162E7982"/>
    <w:rsid w:val="163B47C0"/>
    <w:rsid w:val="163E2256"/>
    <w:rsid w:val="163F5395"/>
    <w:rsid w:val="164A5D86"/>
    <w:rsid w:val="16591047"/>
    <w:rsid w:val="166459A6"/>
    <w:rsid w:val="166D05E0"/>
    <w:rsid w:val="168813EF"/>
    <w:rsid w:val="168D7D37"/>
    <w:rsid w:val="16914599"/>
    <w:rsid w:val="16BB4B73"/>
    <w:rsid w:val="16C0151F"/>
    <w:rsid w:val="16C86822"/>
    <w:rsid w:val="16C93AE0"/>
    <w:rsid w:val="16D7087C"/>
    <w:rsid w:val="16E1620A"/>
    <w:rsid w:val="16E932DB"/>
    <w:rsid w:val="17080A44"/>
    <w:rsid w:val="170A0BE8"/>
    <w:rsid w:val="17302C5A"/>
    <w:rsid w:val="17357DEA"/>
    <w:rsid w:val="17487963"/>
    <w:rsid w:val="17752453"/>
    <w:rsid w:val="17774005"/>
    <w:rsid w:val="1780534F"/>
    <w:rsid w:val="178F5533"/>
    <w:rsid w:val="17D631C0"/>
    <w:rsid w:val="17EA2017"/>
    <w:rsid w:val="18066A2A"/>
    <w:rsid w:val="18133C2B"/>
    <w:rsid w:val="18166A6B"/>
    <w:rsid w:val="182B7B51"/>
    <w:rsid w:val="183701D9"/>
    <w:rsid w:val="18372B6F"/>
    <w:rsid w:val="183832A0"/>
    <w:rsid w:val="18422948"/>
    <w:rsid w:val="184974F3"/>
    <w:rsid w:val="184E3B2A"/>
    <w:rsid w:val="18695E08"/>
    <w:rsid w:val="187B1294"/>
    <w:rsid w:val="187E2872"/>
    <w:rsid w:val="188A3281"/>
    <w:rsid w:val="1890511D"/>
    <w:rsid w:val="189B0E56"/>
    <w:rsid w:val="189C1D14"/>
    <w:rsid w:val="18CD417F"/>
    <w:rsid w:val="18D91D7D"/>
    <w:rsid w:val="18EE7A07"/>
    <w:rsid w:val="18F5313E"/>
    <w:rsid w:val="18F845CE"/>
    <w:rsid w:val="18FC60CF"/>
    <w:rsid w:val="19026ECE"/>
    <w:rsid w:val="190F163A"/>
    <w:rsid w:val="19565EE9"/>
    <w:rsid w:val="19662B50"/>
    <w:rsid w:val="198858C4"/>
    <w:rsid w:val="198D5B01"/>
    <w:rsid w:val="198F4717"/>
    <w:rsid w:val="19924EC5"/>
    <w:rsid w:val="199F377A"/>
    <w:rsid w:val="19A841A0"/>
    <w:rsid w:val="19B16EF2"/>
    <w:rsid w:val="19BD3F5C"/>
    <w:rsid w:val="19ED0F24"/>
    <w:rsid w:val="19F26403"/>
    <w:rsid w:val="19F62DCC"/>
    <w:rsid w:val="1A0126AB"/>
    <w:rsid w:val="1A090EB3"/>
    <w:rsid w:val="1A134D66"/>
    <w:rsid w:val="1A3328C2"/>
    <w:rsid w:val="1A352420"/>
    <w:rsid w:val="1A365CE1"/>
    <w:rsid w:val="1A450189"/>
    <w:rsid w:val="1A5D1977"/>
    <w:rsid w:val="1A86787B"/>
    <w:rsid w:val="1AA23047"/>
    <w:rsid w:val="1ABF7EAB"/>
    <w:rsid w:val="1AC47300"/>
    <w:rsid w:val="1AF65C5F"/>
    <w:rsid w:val="1AFF2A2E"/>
    <w:rsid w:val="1B0D7A0B"/>
    <w:rsid w:val="1B111B27"/>
    <w:rsid w:val="1B134D15"/>
    <w:rsid w:val="1B1575CF"/>
    <w:rsid w:val="1B36396C"/>
    <w:rsid w:val="1B3945FE"/>
    <w:rsid w:val="1B3D2B75"/>
    <w:rsid w:val="1B5413C0"/>
    <w:rsid w:val="1B56146E"/>
    <w:rsid w:val="1B666391"/>
    <w:rsid w:val="1B8E1251"/>
    <w:rsid w:val="1BAC70AD"/>
    <w:rsid w:val="1BD22E7A"/>
    <w:rsid w:val="1BF27EB6"/>
    <w:rsid w:val="1C272EA8"/>
    <w:rsid w:val="1C314147"/>
    <w:rsid w:val="1C317F35"/>
    <w:rsid w:val="1C345CD5"/>
    <w:rsid w:val="1C561ED7"/>
    <w:rsid w:val="1C972D18"/>
    <w:rsid w:val="1C9E5042"/>
    <w:rsid w:val="1CA67B3D"/>
    <w:rsid w:val="1CB47B1D"/>
    <w:rsid w:val="1CB73151"/>
    <w:rsid w:val="1CBA09BB"/>
    <w:rsid w:val="1CC26B08"/>
    <w:rsid w:val="1CC929E6"/>
    <w:rsid w:val="1CD64E0A"/>
    <w:rsid w:val="1CD70AE4"/>
    <w:rsid w:val="1CE834F3"/>
    <w:rsid w:val="1CEE132F"/>
    <w:rsid w:val="1D0205B4"/>
    <w:rsid w:val="1D022D74"/>
    <w:rsid w:val="1D27001C"/>
    <w:rsid w:val="1D2B2CC9"/>
    <w:rsid w:val="1D2C570B"/>
    <w:rsid w:val="1D3639A1"/>
    <w:rsid w:val="1D3C1D18"/>
    <w:rsid w:val="1D592DD3"/>
    <w:rsid w:val="1D5A67F3"/>
    <w:rsid w:val="1D65781A"/>
    <w:rsid w:val="1D694CE0"/>
    <w:rsid w:val="1D6A5EB8"/>
    <w:rsid w:val="1D836BFB"/>
    <w:rsid w:val="1D903472"/>
    <w:rsid w:val="1D96665E"/>
    <w:rsid w:val="1D97321C"/>
    <w:rsid w:val="1DBE7AFA"/>
    <w:rsid w:val="1DCF054A"/>
    <w:rsid w:val="1DD94C53"/>
    <w:rsid w:val="1DF60118"/>
    <w:rsid w:val="1DFE2220"/>
    <w:rsid w:val="1E0E24C4"/>
    <w:rsid w:val="1E125EF4"/>
    <w:rsid w:val="1E2849B3"/>
    <w:rsid w:val="1E2D548D"/>
    <w:rsid w:val="1E33175F"/>
    <w:rsid w:val="1E4B14BA"/>
    <w:rsid w:val="1E57144E"/>
    <w:rsid w:val="1E6730B2"/>
    <w:rsid w:val="1E724A4A"/>
    <w:rsid w:val="1E7763D6"/>
    <w:rsid w:val="1E7777B5"/>
    <w:rsid w:val="1E807C8B"/>
    <w:rsid w:val="1EC02CB4"/>
    <w:rsid w:val="1EC032CC"/>
    <w:rsid w:val="1EC513B6"/>
    <w:rsid w:val="1EC53B59"/>
    <w:rsid w:val="1ECE318A"/>
    <w:rsid w:val="1ED547E8"/>
    <w:rsid w:val="1EE2244B"/>
    <w:rsid w:val="1EE83F44"/>
    <w:rsid w:val="1EEB0EEB"/>
    <w:rsid w:val="1F073C5F"/>
    <w:rsid w:val="1F101C86"/>
    <w:rsid w:val="1F1A7FFF"/>
    <w:rsid w:val="1F214E54"/>
    <w:rsid w:val="1F32763C"/>
    <w:rsid w:val="1F460557"/>
    <w:rsid w:val="1F5C044F"/>
    <w:rsid w:val="1F5D717C"/>
    <w:rsid w:val="1F68635F"/>
    <w:rsid w:val="1F6B005B"/>
    <w:rsid w:val="1F7C464D"/>
    <w:rsid w:val="1F8A635F"/>
    <w:rsid w:val="1F974FE3"/>
    <w:rsid w:val="1F993672"/>
    <w:rsid w:val="1FB20158"/>
    <w:rsid w:val="1FBF453A"/>
    <w:rsid w:val="1FD51C3E"/>
    <w:rsid w:val="1FE217EC"/>
    <w:rsid w:val="1FF40126"/>
    <w:rsid w:val="1FF57F5C"/>
    <w:rsid w:val="1FF70178"/>
    <w:rsid w:val="1FF7463F"/>
    <w:rsid w:val="1FF94084"/>
    <w:rsid w:val="1FFB7C68"/>
    <w:rsid w:val="200B5DA4"/>
    <w:rsid w:val="20152538"/>
    <w:rsid w:val="201A1932"/>
    <w:rsid w:val="2025594B"/>
    <w:rsid w:val="2028243E"/>
    <w:rsid w:val="202F16C0"/>
    <w:rsid w:val="20393384"/>
    <w:rsid w:val="20415C9B"/>
    <w:rsid w:val="204C136C"/>
    <w:rsid w:val="206C021E"/>
    <w:rsid w:val="206D0183"/>
    <w:rsid w:val="208873A6"/>
    <w:rsid w:val="2094518C"/>
    <w:rsid w:val="20994D8B"/>
    <w:rsid w:val="20FE491E"/>
    <w:rsid w:val="21000089"/>
    <w:rsid w:val="21094920"/>
    <w:rsid w:val="210C1E8A"/>
    <w:rsid w:val="211672EE"/>
    <w:rsid w:val="21183D16"/>
    <w:rsid w:val="212208A6"/>
    <w:rsid w:val="21296A7D"/>
    <w:rsid w:val="212E73A1"/>
    <w:rsid w:val="21511A08"/>
    <w:rsid w:val="21521E4A"/>
    <w:rsid w:val="2177613C"/>
    <w:rsid w:val="2178610F"/>
    <w:rsid w:val="217867F6"/>
    <w:rsid w:val="21917137"/>
    <w:rsid w:val="21922B34"/>
    <w:rsid w:val="219F63D1"/>
    <w:rsid w:val="21B655D7"/>
    <w:rsid w:val="21BD0D36"/>
    <w:rsid w:val="21CB63AD"/>
    <w:rsid w:val="21CD2AD5"/>
    <w:rsid w:val="21DC0295"/>
    <w:rsid w:val="21DC7C61"/>
    <w:rsid w:val="21DE339D"/>
    <w:rsid w:val="21F53430"/>
    <w:rsid w:val="220516E6"/>
    <w:rsid w:val="2210273D"/>
    <w:rsid w:val="22121299"/>
    <w:rsid w:val="223631D9"/>
    <w:rsid w:val="224424C7"/>
    <w:rsid w:val="22487A02"/>
    <w:rsid w:val="22680E2A"/>
    <w:rsid w:val="22707FC0"/>
    <w:rsid w:val="2271606C"/>
    <w:rsid w:val="2279256C"/>
    <w:rsid w:val="227C4434"/>
    <w:rsid w:val="22B43D82"/>
    <w:rsid w:val="22D31A31"/>
    <w:rsid w:val="22FC058E"/>
    <w:rsid w:val="22FC0D1E"/>
    <w:rsid w:val="22FC20F4"/>
    <w:rsid w:val="230506A3"/>
    <w:rsid w:val="23112A6E"/>
    <w:rsid w:val="232057A9"/>
    <w:rsid w:val="232142F5"/>
    <w:rsid w:val="232B6073"/>
    <w:rsid w:val="23357350"/>
    <w:rsid w:val="233F4DF7"/>
    <w:rsid w:val="235A4CA6"/>
    <w:rsid w:val="23662E6A"/>
    <w:rsid w:val="23711A21"/>
    <w:rsid w:val="23737FB1"/>
    <w:rsid w:val="23805082"/>
    <w:rsid w:val="23B25D98"/>
    <w:rsid w:val="23B33591"/>
    <w:rsid w:val="23BA4281"/>
    <w:rsid w:val="23C07A23"/>
    <w:rsid w:val="23CA0143"/>
    <w:rsid w:val="23E64A01"/>
    <w:rsid w:val="23EF2565"/>
    <w:rsid w:val="24067058"/>
    <w:rsid w:val="24247062"/>
    <w:rsid w:val="242513DE"/>
    <w:rsid w:val="24525549"/>
    <w:rsid w:val="245B7251"/>
    <w:rsid w:val="24806ABB"/>
    <w:rsid w:val="24892B89"/>
    <w:rsid w:val="249F0CD5"/>
    <w:rsid w:val="24C9184E"/>
    <w:rsid w:val="24CF5E97"/>
    <w:rsid w:val="24D46854"/>
    <w:rsid w:val="24DD2E2A"/>
    <w:rsid w:val="24E90DF3"/>
    <w:rsid w:val="2500362B"/>
    <w:rsid w:val="250D3E54"/>
    <w:rsid w:val="25455653"/>
    <w:rsid w:val="25565941"/>
    <w:rsid w:val="25655E09"/>
    <w:rsid w:val="25665544"/>
    <w:rsid w:val="25746ED7"/>
    <w:rsid w:val="25876F55"/>
    <w:rsid w:val="25934334"/>
    <w:rsid w:val="259D322F"/>
    <w:rsid w:val="25B42ED2"/>
    <w:rsid w:val="25DF56C4"/>
    <w:rsid w:val="25FE4476"/>
    <w:rsid w:val="2605063E"/>
    <w:rsid w:val="260643CF"/>
    <w:rsid w:val="263D4028"/>
    <w:rsid w:val="26695200"/>
    <w:rsid w:val="266D6A9E"/>
    <w:rsid w:val="268564DD"/>
    <w:rsid w:val="26AB0E96"/>
    <w:rsid w:val="26AB4E4F"/>
    <w:rsid w:val="26F15262"/>
    <w:rsid w:val="27000A12"/>
    <w:rsid w:val="27082072"/>
    <w:rsid w:val="271A152A"/>
    <w:rsid w:val="272F6449"/>
    <w:rsid w:val="273253EF"/>
    <w:rsid w:val="27357FAF"/>
    <w:rsid w:val="27375B8A"/>
    <w:rsid w:val="273E1691"/>
    <w:rsid w:val="27455C6D"/>
    <w:rsid w:val="274B7459"/>
    <w:rsid w:val="27597653"/>
    <w:rsid w:val="2763666F"/>
    <w:rsid w:val="276D7EE8"/>
    <w:rsid w:val="277C1DB2"/>
    <w:rsid w:val="278B2152"/>
    <w:rsid w:val="279B5CD4"/>
    <w:rsid w:val="27A862E0"/>
    <w:rsid w:val="27C53EF6"/>
    <w:rsid w:val="27EB5007"/>
    <w:rsid w:val="27FC1C60"/>
    <w:rsid w:val="28001CAA"/>
    <w:rsid w:val="2818768A"/>
    <w:rsid w:val="281D6E8C"/>
    <w:rsid w:val="284F0D4C"/>
    <w:rsid w:val="286227AB"/>
    <w:rsid w:val="287D4431"/>
    <w:rsid w:val="288261C3"/>
    <w:rsid w:val="28B5472C"/>
    <w:rsid w:val="28BA5CB1"/>
    <w:rsid w:val="28C11E12"/>
    <w:rsid w:val="28D420CF"/>
    <w:rsid w:val="28D52F34"/>
    <w:rsid w:val="28E22D21"/>
    <w:rsid w:val="290A1366"/>
    <w:rsid w:val="29197F9A"/>
    <w:rsid w:val="293577FA"/>
    <w:rsid w:val="2951757E"/>
    <w:rsid w:val="29647452"/>
    <w:rsid w:val="298B46A0"/>
    <w:rsid w:val="29934A6D"/>
    <w:rsid w:val="29B81F5A"/>
    <w:rsid w:val="29CE53D0"/>
    <w:rsid w:val="29E81572"/>
    <w:rsid w:val="29F67F29"/>
    <w:rsid w:val="2A097F55"/>
    <w:rsid w:val="2A0A1F7F"/>
    <w:rsid w:val="2A0C4820"/>
    <w:rsid w:val="2A104310"/>
    <w:rsid w:val="2A1B7B5C"/>
    <w:rsid w:val="2A2069B6"/>
    <w:rsid w:val="2A344D51"/>
    <w:rsid w:val="2A377AEF"/>
    <w:rsid w:val="2A3F4F1C"/>
    <w:rsid w:val="2A482032"/>
    <w:rsid w:val="2A4915D0"/>
    <w:rsid w:val="2A4B491B"/>
    <w:rsid w:val="2A541A82"/>
    <w:rsid w:val="2A717C53"/>
    <w:rsid w:val="2A7768C7"/>
    <w:rsid w:val="2A812D8F"/>
    <w:rsid w:val="2A862824"/>
    <w:rsid w:val="2A8E5B5E"/>
    <w:rsid w:val="2AA47384"/>
    <w:rsid w:val="2AA5536F"/>
    <w:rsid w:val="2AA66241"/>
    <w:rsid w:val="2AAB2CB8"/>
    <w:rsid w:val="2AAD1B5F"/>
    <w:rsid w:val="2AB95C6A"/>
    <w:rsid w:val="2AD51B60"/>
    <w:rsid w:val="2AD90BA6"/>
    <w:rsid w:val="2AE57D07"/>
    <w:rsid w:val="2AF65A06"/>
    <w:rsid w:val="2AFE4EBC"/>
    <w:rsid w:val="2B0D6AA1"/>
    <w:rsid w:val="2B19021A"/>
    <w:rsid w:val="2B270026"/>
    <w:rsid w:val="2B4A6A01"/>
    <w:rsid w:val="2B4E3D82"/>
    <w:rsid w:val="2B51481F"/>
    <w:rsid w:val="2B535E11"/>
    <w:rsid w:val="2B5A50E3"/>
    <w:rsid w:val="2B700ECA"/>
    <w:rsid w:val="2B94440D"/>
    <w:rsid w:val="2B9B0B1D"/>
    <w:rsid w:val="2B9E0CBD"/>
    <w:rsid w:val="2BAB4854"/>
    <w:rsid w:val="2BB62322"/>
    <w:rsid w:val="2BC1369A"/>
    <w:rsid w:val="2BE37660"/>
    <w:rsid w:val="2BE37DC6"/>
    <w:rsid w:val="2C0724A9"/>
    <w:rsid w:val="2C133DA5"/>
    <w:rsid w:val="2C171305"/>
    <w:rsid w:val="2C3303C0"/>
    <w:rsid w:val="2C444C3C"/>
    <w:rsid w:val="2C473920"/>
    <w:rsid w:val="2C571085"/>
    <w:rsid w:val="2C664B54"/>
    <w:rsid w:val="2C672EBF"/>
    <w:rsid w:val="2C686D2C"/>
    <w:rsid w:val="2C77112E"/>
    <w:rsid w:val="2C8E2D1A"/>
    <w:rsid w:val="2C8E6BD9"/>
    <w:rsid w:val="2C9C1E8B"/>
    <w:rsid w:val="2CB22850"/>
    <w:rsid w:val="2CB472E0"/>
    <w:rsid w:val="2CBF3DCB"/>
    <w:rsid w:val="2CC87124"/>
    <w:rsid w:val="2CD7624A"/>
    <w:rsid w:val="2CDE1BF4"/>
    <w:rsid w:val="2CEE4AB3"/>
    <w:rsid w:val="2CF35677"/>
    <w:rsid w:val="2D0A627B"/>
    <w:rsid w:val="2D1D0281"/>
    <w:rsid w:val="2D565838"/>
    <w:rsid w:val="2D652F41"/>
    <w:rsid w:val="2D701119"/>
    <w:rsid w:val="2D71156A"/>
    <w:rsid w:val="2D720E3E"/>
    <w:rsid w:val="2D825525"/>
    <w:rsid w:val="2D8D6D83"/>
    <w:rsid w:val="2DE6048E"/>
    <w:rsid w:val="2DF239A9"/>
    <w:rsid w:val="2DFC3000"/>
    <w:rsid w:val="2E271314"/>
    <w:rsid w:val="2E2F24F7"/>
    <w:rsid w:val="2E3938E9"/>
    <w:rsid w:val="2E404FC4"/>
    <w:rsid w:val="2E48330B"/>
    <w:rsid w:val="2E4C78E1"/>
    <w:rsid w:val="2E690493"/>
    <w:rsid w:val="2E691E65"/>
    <w:rsid w:val="2E836670"/>
    <w:rsid w:val="2EA339A5"/>
    <w:rsid w:val="2EA970E9"/>
    <w:rsid w:val="2EAC4024"/>
    <w:rsid w:val="2EB6468E"/>
    <w:rsid w:val="2EC37E28"/>
    <w:rsid w:val="2EC42A1F"/>
    <w:rsid w:val="2ECB049F"/>
    <w:rsid w:val="2ECF5F9A"/>
    <w:rsid w:val="2F126434"/>
    <w:rsid w:val="2F206885"/>
    <w:rsid w:val="2F2A1A4E"/>
    <w:rsid w:val="2F2F67EE"/>
    <w:rsid w:val="2F372D57"/>
    <w:rsid w:val="2F48280C"/>
    <w:rsid w:val="2F683242"/>
    <w:rsid w:val="2F6C139A"/>
    <w:rsid w:val="2F7B237E"/>
    <w:rsid w:val="2F8569EB"/>
    <w:rsid w:val="2F860BB2"/>
    <w:rsid w:val="2F93510B"/>
    <w:rsid w:val="2F946548"/>
    <w:rsid w:val="2FA2585A"/>
    <w:rsid w:val="2FC900ED"/>
    <w:rsid w:val="2FEE50F3"/>
    <w:rsid w:val="2FF81405"/>
    <w:rsid w:val="2FFD0462"/>
    <w:rsid w:val="30082EE7"/>
    <w:rsid w:val="301E4652"/>
    <w:rsid w:val="302C3AD1"/>
    <w:rsid w:val="302D5E30"/>
    <w:rsid w:val="30370454"/>
    <w:rsid w:val="30480C70"/>
    <w:rsid w:val="30491410"/>
    <w:rsid w:val="30657773"/>
    <w:rsid w:val="308B5652"/>
    <w:rsid w:val="30A23DFA"/>
    <w:rsid w:val="30A71BC6"/>
    <w:rsid w:val="30B1658B"/>
    <w:rsid w:val="30B576DA"/>
    <w:rsid w:val="30D030E3"/>
    <w:rsid w:val="30E76DCE"/>
    <w:rsid w:val="30E95BA0"/>
    <w:rsid w:val="30F263B6"/>
    <w:rsid w:val="312A1B32"/>
    <w:rsid w:val="312B1E28"/>
    <w:rsid w:val="31321AC2"/>
    <w:rsid w:val="31516A29"/>
    <w:rsid w:val="315419EB"/>
    <w:rsid w:val="316005FD"/>
    <w:rsid w:val="3163566D"/>
    <w:rsid w:val="318F6060"/>
    <w:rsid w:val="31A112A9"/>
    <w:rsid w:val="31C20FA8"/>
    <w:rsid w:val="31CD6048"/>
    <w:rsid w:val="31D94030"/>
    <w:rsid w:val="31E513C0"/>
    <w:rsid w:val="31E55BBB"/>
    <w:rsid w:val="31F818AF"/>
    <w:rsid w:val="31FB7654"/>
    <w:rsid w:val="320D6BDD"/>
    <w:rsid w:val="321B38AD"/>
    <w:rsid w:val="32223C86"/>
    <w:rsid w:val="322B6530"/>
    <w:rsid w:val="32480D0A"/>
    <w:rsid w:val="32642098"/>
    <w:rsid w:val="328A08B6"/>
    <w:rsid w:val="32A221C5"/>
    <w:rsid w:val="32BB2FEA"/>
    <w:rsid w:val="32BD03B4"/>
    <w:rsid w:val="32C27054"/>
    <w:rsid w:val="32C638D0"/>
    <w:rsid w:val="32D14E1E"/>
    <w:rsid w:val="33082987"/>
    <w:rsid w:val="332346E5"/>
    <w:rsid w:val="332537A4"/>
    <w:rsid w:val="333625CB"/>
    <w:rsid w:val="333D41C6"/>
    <w:rsid w:val="33516F80"/>
    <w:rsid w:val="335219BB"/>
    <w:rsid w:val="33642ECA"/>
    <w:rsid w:val="3382510A"/>
    <w:rsid w:val="33825C38"/>
    <w:rsid w:val="33955886"/>
    <w:rsid w:val="33997993"/>
    <w:rsid w:val="33A04957"/>
    <w:rsid w:val="33A94375"/>
    <w:rsid w:val="33B76847"/>
    <w:rsid w:val="33BB5540"/>
    <w:rsid w:val="33BE1E38"/>
    <w:rsid w:val="33C83040"/>
    <w:rsid w:val="33D62126"/>
    <w:rsid w:val="33FB342C"/>
    <w:rsid w:val="34347CAF"/>
    <w:rsid w:val="34526A88"/>
    <w:rsid w:val="346B6C5F"/>
    <w:rsid w:val="346E5008"/>
    <w:rsid w:val="34781D42"/>
    <w:rsid w:val="34BD6EA9"/>
    <w:rsid w:val="34CE1B31"/>
    <w:rsid w:val="34F22ED0"/>
    <w:rsid w:val="34F9077B"/>
    <w:rsid w:val="350B2119"/>
    <w:rsid w:val="350F53C2"/>
    <w:rsid w:val="35335357"/>
    <w:rsid w:val="355B0817"/>
    <w:rsid w:val="35760DB8"/>
    <w:rsid w:val="358B0E43"/>
    <w:rsid w:val="358D024F"/>
    <w:rsid w:val="35B41FED"/>
    <w:rsid w:val="35C365E6"/>
    <w:rsid w:val="35C93BAF"/>
    <w:rsid w:val="35DC779C"/>
    <w:rsid w:val="35E12108"/>
    <w:rsid w:val="35E3539F"/>
    <w:rsid w:val="35E3670D"/>
    <w:rsid w:val="35EC3831"/>
    <w:rsid w:val="35FE0875"/>
    <w:rsid w:val="36070EC7"/>
    <w:rsid w:val="360D65A8"/>
    <w:rsid w:val="362C6252"/>
    <w:rsid w:val="36315173"/>
    <w:rsid w:val="363B44C3"/>
    <w:rsid w:val="3654298C"/>
    <w:rsid w:val="36571E58"/>
    <w:rsid w:val="36796E6F"/>
    <w:rsid w:val="36801F4A"/>
    <w:rsid w:val="369232D3"/>
    <w:rsid w:val="36956978"/>
    <w:rsid w:val="36997355"/>
    <w:rsid w:val="36BB1AA7"/>
    <w:rsid w:val="36C61727"/>
    <w:rsid w:val="36D5373F"/>
    <w:rsid w:val="36DB7A64"/>
    <w:rsid w:val="36E50C95"/>
    <w:rsid w:val="3702210D"/>
    <w:rsid w:val="37167D4B"/>
    <w:rsid w:val="372413FB"/>
    <w:rsid w:val="375A366E"/>
    <w:rsid w:val="376D2DA2"/>
    <w:rsid w:val="37714591"/>
    <w:rsid w:val="377D4027"/>
    <w:rsid w:val="37B475B2"/>
    <w:rsid w:val="37B71AB5"/>
    <w:rsid w:val="37BA25FF"/>
    <w:rsid w:val="37C62FFE"/>
    <w:rsid w:val="37CD3840"/>
    <w:rsid w:val="37EB2DC8"/>
    <w:rsid w:val="37F069F3"/>
    <w:rsid w:val="37F53AA2"/>
    <w:rsid w:val="38216C04"/>
    <w:rsid w:val="38710EE9"/>
    <w:rsid w:val="387C7918"/>
    <w:rsid w:val="38917735"/>
    <w:rsid w:val="38C26E19"/>
    <w:rsid w:val="38F54A2E"/>
    <w:rsid w:val="38FF5FAB"/>
    <w:rsid w:val="39080C7A"/>
    <w:rsid w:val="390824A4"/>
    <w:rsid w:val="392D262D"/>
    <w:rsid w:val="392F25DD"/>
    <w:rsid w:val="39357695"/>
    <w:rsid w:val="39401CEA"/>
    <w:rsid w:val="39496187"/>
    <w:rsid w:val="39686F6B"/>
    <w:rsid w:val="396A50BF"/>
    <w:rsid w:val="397228F1"/>
    <w:rsid w:val="39D27CC4"/>
    <w:rsid w:val="39DC5FBD"/>
    <w:rsid w:val="39EC4FBD"/>
    <w:rsid w:val="39FC553E"/>
    <w:rsid w:val="39FF074D"/>
    <w:rsid w:val="3A14476B"/>
    <w:rsid w:val="3A16604D"/>
    <w:rsid w:val="3A190900"/>
    <w:rsid w:val="3A270D37"/>
    <w:rsid w:val="3A4A17C3"/>
    <w:rsid w:val="3A4D0C85"/>
    <w:rsid w:val="3A5B2E80"/>
    <w:rsid w:val="3A63726D"/>
    <w:rsid w:val="3A7E3187"/>
    <w:rsid w:val="3A940C98"/>
    <w:rsid w:val="3AA94ED5"/>
    <w:rsid w:val="3AAA1A20"/>
    <w:rsid w:val="3AAC06C8"/>
    <w:rsid w:val="3AB1036B"/>
    <w:rsid w:val="3AB97DCF"/>
    <w:rsid w:val="3ACD0609"/>
    <w:rsid w:val="3AFC5225"/>
    <w:rsid w:val="3B0306C3"/>
    <w:rsid w:val="3B0D1B30"/>
    <w:rsid w:val="3B0D3647"/>
    <w:rsid w:val="3B144ED1"/>
    <w:rsid w:val="3B5B5B36"/>
    <w:rsid w:val="3B5F0C53"/>
    <w:rsid w:val="3B703286"/>
    <w:rsid w:val="3B7D4C92"/>
    <w:rsid w:val="3B7F31CE"/>
    <w:rsid w:val="3BB547BF"/>
    <w:rsid w:val="3BBB26C5"/>
    <w:rsid w:val="3BC85961"/>
    <w:rsid w:val="3BD61A4B"/>
    <w:rsid w:val="3BF8593F"/>
    <w:rsid w:val="3BFD37FB"/>
    <w:rsid w:val="3C386ED0"/>
    <w:rsid w:val="3C3A29F5"/>
    <w:rsid w:val="3C3F1E1E"/>
    <w:rsid w:val="3C4464D0"/>
    <w:rsid w:val="3C57391A"/>
    <w:rsid w:val="3C5D7E02"/>
    <w:rsid w:val="3C7819C5"/>
    <w:rsid w:val="3C7E15AD"/>
    <w:rsid w:val="3C9C38C8"/>
    <w:rsid w:val="3C9D7B27"/>
    <w:rsid w:val="3C9F46EF"/>
    <w:rsid w:val="3CC66D60"/>
    <w:rsid w:val="3CC86905"/>
    <w:rsid w:val="3CCA2254"/>
    <w:rsid w:val="3CD65B66"/>
    <w:rsid w:val="3CDE7BDB"/>
    <w:rsid w:val="3CE86A81"/>
    <w:rsid w:val="3CF33D49"/>
    <w:rsid w:val="3D072717"/>
    <w:rsid w:val="3D131103"/>
    <w:rsid w:val="3D142525"/>
    <w:rsid w:val="3D1848E7"/>
    <w:rsid w:val="3D24714F"/>
    <w:rsid w:val="3D341AAF"/>
    <w:rsid w:val="3D495902"/>
    <w:rsid w:val="3D5516FC"/>
    <w:rsid w:val="3D563D1D"/>
    <w:rsid w:val="3D6C6248"/>
    <w:rsid w:val="3D74273F"/>
    <w:rsid w:val="3D7B4634"/>
    <w:rsid w:val="3D923075"/>
    <w:rsid w:val="3D9916CC"/>
    <w:rsid w:val="3DBD4546"/>
    <w:rsid w:val="3DBF6634"/>
    <w:rsid w:val="3DD822B3"/>
    <w:rsid w:val="3E075EA8"/>
    <w:rsid w:val="3E0A0769"/>
    <w:rsid w:val="3E3944A5"/>
    <w:rsid w:val="3E3B6BD8"/>
    <w:rsid w:val="3E480565"/>
    <w:rsid w:val="3E692909"/>
    <w:rsid w:val="3E6959B2"/>
    <w:rsid w:val="3E9068AF"/>
    <w:rsid w:val="3E9A7A65"/>
    <w:rsid w:val="3E9C6581"/>
    <w:rsid w:val="3EA66B99"/>
    <w:rsid w:val="3EAD7FF1"/>
    <w:rsid w:val="3EB012F2"/>
    <w:rsid w:val="3EC75A1F"/>
    <w:rsid w:val="3ED96698"/>
    <w:rsid w:val="3EF93BFB"/>
    <w:rsid w:val="3F131962"/>
    <w:rsid w:val="3F3E3276"/>
    <w:rsid w:val="3F484F1B"/>
    <w:rsid w:val="3F4F5483"/>
    <w:rsid w:val="3F5E56C6"/>
    <w:rsid w:val="3F651DF2"/>
    <w:rsid w:val="3F6C4449"/>
    <w:rsid w:val="3F890FF1"/>
    <w:rsid w:val="3F8B4E11"/>
    <w:rsid w:val="3F8F33EA"/>
    <w:rsid w:val="3F931875"/>
    <w:rsid w:val="3F95183D"/>
    <w:rsid w:val="3F9C0A07"/>
    <w:rsid w:val="3FB01180"/>
    <w:rsid w:val="3FBA6DA0"/>
    <w:rsid w:val="3FBE4E07"/>
    <w:rsid w:val="3FC956A5"/>
    <w:rsid w:val="3FCC4C0B"/>
    <w:rsid w:val="3FDD78E9"/>
    <w:rsid w:val="40143816"/>
    <w:rsid w:val="401A15ED"/>
    <w:rsid w:val="40273D0A"/>
    <w:rsid w:val="403501D5"/>
    <w:rsid w:val="4050500F"/>
    <w:rsid w:val="40684E42"/>
    <w:rsid w:val="406B238B"/>
    <w:rsid w:val="40754A75"/>
    <w:rsid w:val="408326AE"/>
    <w:rsid w:val="408914BC"/>
    <w:rsid w:val="409368D1"/>
    <w:rsid w:val="409713EB"/>
    <w:rsid w:val="409865AB"/>
    <w:rsid w:val="409F0F72"/>
    <w:rsid w:val="40A44B1E"/>
    <w:rsid w:val="40A53F42"/>
    <w:rsid w:val="40A57B89"/>
    <w:rsid w:val="40B6345F"/>
    <w:rsid w:val="40D968BD"/>
    <w:rsid w:val="40DD0AB7"/>
    <w:rsid w:val="40F32354"/>
    <w:rsid w:val="40FF7830"/>
    <w:rsid w:val="41080853"/>
    <w:rsid w:val="41083122"/>
    <w:rsid w:val="411257E0"/>
    <w:rsid w:val="4123763E"/>
    <w:rsid w:val="412D2C8C"/>
    <w:rsid w:val="413E2CCE"/>
    <w:rsid w:val="414521F5"/>
    <w:rsid w:val="414B7444"/>
    <w:rsid w:val="4174388F"/>
    <w:rsid w:val="417E3DFD"/>
    <w:rsid w:val="41AE4DF0"/>
    <w:rsid w:val="41BC49B5"/>
    <w:rsid w:val="41C61231"/>
    <w:rsid w:val="41E136B5"/>
    <w:rsid w:val="41E47912"/>
    <w:rsid w:val="41F66126"/>
    <w:rsid w:val="41FC2790"/>
    <w:rsid w:val="423D12F2"/>
    <w:rsid w:val="425154DF"/>
    <w:rsid w:val="425A7BD8"/>
    <w:rsid w:val="425B7ADB"/>
    <w:rsid w:val="426E749D"/>
    <w:rsid w:val="42736E47"/>
    <w:rsid w:val="42761A02"/>
    <w:rsid w:val="4287046C"/>
    <w:rsid w:val="428C69C1"/>
    <w:rsid w:val="42A529FF"/>
    <w:rsid w:val="42A6285D"/>
    <w:rsid w:val="42B37AD7"/>
    <w:rsid w:val="42BC115C"/>
    <w:rsid w:val="42D2539B"/>
    <w:rsid w:val="42DF6BC1"/>
    <w:rsid w:val="42E926B0"/>
    <w:rsid w:val="42FC7830"/>
    <w:rsid w:val="42FE0D52"/>
    <w:rsid w:val="43010842"/>
    <w:rsid w:val="432B3B11"/>
    <w:rsid w:val="433A746A"/>
    <w:rsid w:val="433F0692"/>
    <w:rsid w:val="434D14D6"/>
    <w:rsid w:val="437429D1"/>
    <w:rsid w:val="439430B2"/>
    <w:rsid w:val="43A0005B"/>
    <w:rsid w:val="43AE3256"/>
    <w:rsid w:val="43B2057F"/>
    <w:rsid w:val="43B57504"/>
    <w:rsid w:val="43DD3D7E"/>
    <w:rsid w:val="440F0173"/>
    <w:rsid w:val="441501B4"/>
    <w:rsid w:val="44236925"/>
    <w:rsid w:val="4426529E"/>
    <w:rsid w:val="443920AB"/>
    <w:rsid w:val="44406A3F"/>
    <w:rsid w:val="445F249A"/>
    <w:rsid w:val="44684D84"/>
    <w:rsid w:val="44685FE3"/>
    <w:rsid w:val="446A256A"/>
    <w:rsid w:val="446E1F07"/>
    <w:rsid w:val="447107AE"/>
    <w:rsid w:val="44AB7B96"/>
    <w:rsid w:val="44BB0A4F"/>
    <w:rsid w:val="44C25DEF"/>
    <w:rsid w:val="44DC0A55"/>
    <w:rsid w:val="4520754B"/>
    <w:rsid w:val="45247337"/>
    <w:rsid w:val="454E3E63"/>
    <w:rsid w:val="455620B2"/>
    <w:rsid w:val="45865831"/>
    <w:rsid w:val="45886FD9"/>
    <w:rsid w:val="45901A8F"/>
    <w:rsid w:val="459A73B8"/>
    <w:rsid w:val="459F24CB"/>
    <w:rsid w:val="45A068A1"/>
    <w:rsid w:val="45E83F3B"/>
    <w:rsid w:val="45EE1552"/>
    <w:rsid w:val="45F06E2E"/>
    <w:rsid w:val="46164604"/>
    <w:rsid w:val="462555FD"/>
    <w:rsid w:val="462B51A7"/>
    <w:rsid w:val="46357180"/>
    <w:rsid w:val="464255A3"/>
    <w:rsid w:val="46455E95"/>
    <w:rsid w:val="4646116B"/>
    <w:rsid w:val="464B148E"/>
    <w:rsid w:val="46553899"/>
    <w:rsid w:val="465D2233"/>
    <w:rsid w:val="465E203D"/>
    <w:rsid w:val="466A4904"/>
    <w:rsid w:val="46803D3A"/>
    <w:rsid w:val="46851876"/>
    <w:rsid w:val="46C11728"/>
    <w:rsid w:val="46C40B3B"/>
    <w:rsid w:val="46CF7B75"/>
    <w:rsid w:val="46EA4F65"/>
    <w:rsid w:val="470E4413"/>
    <w:rsid w:val="4723522B"/>
    <w:rsid w:val="472B2D2B"/>
    <w:rsid w:val="4736166F"/>
    <w:rsid w:val="474A00D9"/>
    <w:rsid w:val="474A1054"/>
    <w:rsid w:val="474A3544"/>
    <w:rsid w:val="475047F2"/>
    <w:rsid w:val="477B13FA"/>
    <w:rsid w:val="478328D8"/>
    <w:rsid w:val="4785401E"/>
    <w:rsid w:val="47941C85"/>
    <w:rsid w:val="47A0643A"/>
    <w:rsid w:val="47C10898"/>
    <w:rsid w:val="47F474C4"/>
    <w:rsid w:val="480628E5"/>
    <w:rsid w:val="480A63EB"/>
    <w:rsid w:val="481F6699"/>
    <w:rsid w:val="483B4C48"/>
    <w:rsid w:val="484A3E21"/>
    <w:rsid w:val="48534603"/>
    <w:rsid w:val="4859289D"/>
    <w:rsid w:val="486C6593"/>
    <w:rsid w:val="48733F90"/>
    <w:rsid w:val="489220FE"/>
    <w:rsid w:val="48A1181C"/>
    <w:rsid w:val="48B23E0F"/>
    <w:rsid w:val="48BD5DB5"/>
    <w:rsid w:val="48C7319D"/>
    <w:rsid w:val="48E938AF"/>
    <w:rsid w:val="48F66C08"/>
    <w:rsid w:val="48FB6428"/>
    <w:rsid w:val="48FD5D7A"/>
    <w:rsid w:val="48FF6C4B"/>
    <w:rsid w:val="49323AC9"/>
    <w:rsid w:val="4933467B"/>
    <w:rsid w:val="49451D24"/>
    <w:rsid w:val="4961719A"/>
    <w:rsid w:val="496A3C7A"/>
    <w:rsid w:val="496E6198"/>
    <w:rsid w:val="497946DF"/>
    <w:rsid w:val="497A478D"/>
    <w:rsid w:val="49940B3C"/>
    <w:rsid w:val="49B52386"/>
    <w:rsid w:val="49BE1C2C"/>
    <w:rsid w:val="49BE6419"/>
    <w:rsid w:val="49C371CF"/>
    <w:rsid w:val="49C52C31"/>
    <w:rsid w:val="4A170F65"/>
    <w:rsid w:val="4A1737E4"/>
    <w:rsid w:val="4A1C41B3"/>
    <w:rsid w:val="4A2161B8"/>
    <w:rsid w:val="4A2169D3"/>
    <w:rsid w:val="4A34584B"/>
    <w:rsid w:val="4A480E63"/>
    <w:rsid w:val="4A500598"/>
    <w:rsid w:val="4A5052A8"/>
    <w:rsid w:val="4A587821"/>
    <w:rsid w:val="4A65246B"/>
    <w:rsid w:val="4A7B3101"/>
    <w:rsid w:val="4A7C35E1"/>
    <w:rsid w:val="4A8D0B35"/>
    <w:rsid w:val="4AB617D8"/>
    <w:rsid w:val="4AD131F0"/>
    <w:rsid w:val="4AD53F43"/>
    <w:rsid w:val="4AE41175"/>
    <w:rsid w:val="4AF1201A"/>
    <w:rsid w:val="4AF81B75"/>
    <w:rsid w:val="4B225D30"/>
    <w:rsid w:val="4B320132"/>
    <w:rsid w:val="4B5D1F6C"/>
    <w:rsid w:val="4B64570A"/>
    <w:rsid w:val="4B666119"/>
    <w:rsid w:val="4B9366F7"/>
    <w:rsid w:val="4B9C65D7"/>
    <w:rsid w:val="4BA70821"/>
    <w:rsid w:val="4BC20289"/>
    <w:rsid w:val="4BC36FDC"/>
    <w:rsid w:val="4BC6087B"/>
    <w:rsid w:val="4BDD08F5"/>
    <w:rsid w:val="4BE746C6"/>
    <w:rsid w:val="4BEC3C85"/>
    <w:rsid w:val="4BF9117E"/>
    <w:rsid w:val="4C0908CE"/>
    <w:rsid w:val="4C10457C"/>
    <w:rsid w:val="4C341C88"/>
    <w:rsid w:val="4C403837"/>
    <w:rsid w:val="4C6A76CD"/>
    <w:rsid w:val="4C6F4A6E"/>
    <w:rsid w:val="4C7413EA"/>
    <w:rsid w:val="4C7516EA"/>
    <w:rsid w:val="4C7841EE"/>
    <w:rsid w:val="4C856040"/>
    <w:rsid w:val="4C903BD6"/>
    <w:rsid w:val="4CB255E8"/>
    <w:rsid w:val="4CCE1CCF"/>
    <w:rsid w:val="4CD05719"/>
    <w:rsid w:val="4CD35A81"/>
    <w:rsid w:val="4CD41E5B"/>
    <w:rsid w:val="4CD83E1E"/>
    <w:rsid w:val="4CEE0137"/>
    <w:rsid w:val="4CEE52C1"/>
    <w:rsid w:val="4CF5766A"/>
    <w:rsid w:val="4CF73218"/>
    <w:rsid w:val="4D205169"/>
    <w:rsid w:val="4D2C2E96"/>
    <w:rsid w:val="4D5B6D33"/>
    <w:rsid w:val="4D65545D"/>
    <w:rsid w:val="4D755924"/>
    <w:rsid w:val="4D79005E"/>
    <w:rsid w:val="4D8542E0"/>
    <w:rsid w:val="4D992947"/>
    <w:rsid w:val="4DA056EF"/>
    <w:rsid w:val="4DA578D7"/>
    <w:rsid w:val="4DB261BC"/>
    <w:rsid w:val="4DB56DF9"/>
    <w:rsid w:val="4DC173C4"/>
    <w:rsid w:val="4DC57886"/>
    <w:rsid w:val="4DCA28A4"/>
    <w:rsid w:val="4DED3E7A"/>
    <w:rsid w:val="4E1C172B"/>
    <w:rsid w:val="4E41068C"/>
    <w:rsid w:val="4E4818A3"/>
    <w:rsid w:val="4E555644"/>
    <w:rsid w:val="4E6B254F"/>
    <w:rsid w:val="4E6F51FA"/>
    <w:rsid w:val="4E6F57EF"/>
    <w:rsid w:val="4E7718D7"/>
    <w:rsid w:val="4E8110C5"/>
    <w:rsid w:val="4E871754"/>
    <w:rsid w:val="4E8A28C8"/>
    <w:rsid w:val="4E943FD3"/>
    <w:rsid w:val="4E987FD2"/>
    <w:rsid w:val="4E992277"/>
    <w:rsid w:val="4EA5021E"/>
    <w:rsid w:val="4EAA6E74"/>
    <w:rsid w:val="4EC36BCA"/>
    <w:rsid w:val="4EC5306C"/>
    <w:rsid w:val="4ECF7449"/>
    <w:rsid w:val="4EEA0AA1"/>
    <w:rsid w:val="4EFA50B3"/>
    <w:rsid w:val="4F1C4432"/>
    <w:rsid w:val="4F2E5EAA"/>
    <w:rsid w:val="4F4257F6"/>
    <w:rsid w:val="4F4E407A"/>
    <w:rsid w:val="4F6613DE"/>
    <w:rsid w:val="4F673AA4"/>
    <w:rsid w:val="4FA20552"/>
    <w:rsid w:val="4FB57CD1"/>
    <w:rsid w:val="4FB62CEB"/>
    <w:rsid w:val="4FBA392F"/>
    <w:rsid w:val="4FD41F40"/>
    <w:rsid w:val="500E0EBA"/>
    <w:rsid w:val="500F2DC6"/>
    <w:rsid w:val="501212F5"/>
    <w:rsid w:val="50212524"/>
    <w:rsid w:val="50275003"/>
    <w:rsid w:val="502C787F"/>
    <w:rsid w:val="502E0428"/>
    <w:rsid w:val="503710C8"/>
    <w:rsid w:val="50383F54"/>
    <w:rsid w:val="5041759F"/>
    <w:rsid w:val="50530531"/>
    <w:rsid w:val="50747794"/>
    <w:rsid w:val="508551C2"/>
    <w:rsid w:val="50A000E2"/>
    <w:rsid w:val="50A01365"/>
    <w:rsid w:val="50A32F39"/>
    <w:rsid w:val="50BB0140"/>
    <w:rsid w:val="50CA6717"/>
    <w:rsid w:val="50CB5845"/>
    <w:rsid w:val="50CD0D54"/>
    <w:rsid w:val="50F82E12"/>
    <w:rsid w:val="51031BD4"/>
    <w:rsid w:val="510A6024"/>
    <w:rsid w:val="51142E3C"/>
    <w:rsid w:val="51185C83"/>
    <w:rsid w:val="511A7DB1"/>
    <w:rsid w:val="512B3D7F"/>
    <w:rsid w:val="5145538B"/>
    <w:rsid w:val="514D510E"/>
    <w:rsid w:val="51512279"/>
    <w:rsid w:val="516A7EFA"/>
    <w:rsid w:val="51826132"/>
    <w:rsid w:val="518C5EE4"/>
    <w:rsid w:val="518D3477"/>
    <w:rsid w:val="518D6803"/>
    <w:rsid w:val="51AA1464"/>
    <w:rsid w:val="51C2195A"/>
    <w:rsid w:val="51ED330D"/>
    <w:rsid w:val="52031FEC"/>
    <w:rsid w:val="5217069C"/>
    <w:rsid w:val="522830A0"/>
    <w:rsid w:val="522E16E3"/>
    <w:rsid w:val="523E5AEA"/>
    <w:rsid w:val="524B748B"/>
    <w:rsid w:val="525F751E"/>
    <w:rsid w:val="52786EBE"/>
    <w:rsid w:val="528774B7"/>
    <w:rsid w:val="52AD4542"/>
    <w:rsid w:val="52BA2187"/>
    <w:rsid w:val="52C732EA"/>
    <w:rsid w:val="52D90E94"/>
    <w:rsid w:val="52E33B76"/>
    <w:rsid w:val="52F50EF1"/>
    <w:rsid w:val="53017303"/>
    <w:rsid w:val="53110183"/>
    <w:rsid w:val="53165C44"/>
    <w:rsid w:val="533105D5"/>
    <w:rsid w:val="53381012"/>
    <w:rsid w:val="534E26D0"/>
    <w:rsid w:val="535E27B7"/>
    <w:rsid w:val="536972DE"/>
    <w:rsid w:val="537833E5"/>
    <w:rsid w:val="537E3565"/>
    <w:rsid w:val="53910E22"/>
    <w:rsid w:val="53953DB6"/>
    <w:rsid w:val="53DD300E"/>
    <w:rsid w:val="53DE3680"/>
    <w:rsid w:val="53E2021C"/>
    <w:rsid w:val="53EA546B"/>
    <w:rsid w:val="54265B80"/>
    <w:rsid w:val="54297BF9"/>
    <w:rsid w:val="54337968"/>
    <w:rsid w:val="543640C4"/>
    <w:rsid w:val="545A24FE"/>
    <w:rsid w:val="547370C6"/>
    <w:rsid w:val="548B2661"/>
    <w:rsid w:val="549E5886"/>
    <w:rsid w:val="54A31759"/>
    <w:rsid w:val="54A66C28"/>
    <w:rsid w:val="54BF0508"/>
    <w:rsid w:val="54C321CA"/>
    <w:rsid w:val="54C83E97"/>
    <w:rsid w:val="54E16CC0"/>
    <w:rsid w:val="54ED0C26"/>
    <w:rsid w:val="54F23719"/>
    <w:rsid w:val="550622CB"/>
    <w:rsid w:val="5513742F"/>
    <w:rsid w:val="55202DAA"/>
    <w:rsid w:val="55227760"/>
    <w:rsid w:val="55313209"/>
    <w:rsid w:val="55482ADB"/>
    <w:rsid w:val="555459D2"/>
    <w:rsid w:val="555D3FFE"/>
    <w:rsid w:val="55663BEE"/>
    <w:rsid w:val="556A2173"/>
    <w:rsid w:val="55806523"/>
    <w:rsid w:val="55857E6E"/>
    <w:rsid w:val="55860E65"/>
    <w:rsid w:val="559C3FDB"/>
    <w:rsid w:val="55B31E70"/>
    <w:rsid w:val="55C1196E"/>
    <w:rsid w:val="55C1477F"/>
    <w:rsid w:val="55C565B2"/>
    <w:rsid w:val="55D24E7D"/>
    <w:rsid w:val="55EE105A"/>
    <w:rsid w:val="56044821"/>
    <w:rsid w:val="56101070"/>
    <w:rsid w:val="56171BE6"/>
    <w:rsid w:val="56215531"/>
    <w:rsid w:val="563B2375"/>
    <w:rsid w:val="56772E9D"/>
    <w:rsid w:val="568B06F7"/>
    <w:rsid w:val="568D26C1"/>
    <w:rsid w:val="569F764D"/>
    <w:rsid w:val="56AD1D7C"/>
    <w:rsid w:val="56D5318A"/>
    <w:rsid w:val="56E36785"/>
    <w:rsid w:val="56EE7F06"/>
    <w:rsid w:val="56FD6D06"/>
    <w:rsid w:val="5705692C"/>
    <w:rsid w:val="57074E0E"/>
    <w:rsid w:val="5726583A"/>
    <w:rsid w:val="57340467"/>
    <w:rsid w:val="574053D9"/>
    <w:rsid w:val="57435475"/>
    <w:rsid w:val="57607DD5"/>
    <w:rsid w:val="57652449"/>
    <w:rsid w:val="576D223A"/>
    <w:rsid w:val="57782D31"/>
    <w:rsid w:val="579554C6"/>
    <w:rsid w:val="579B503B"/>
    <w:rsid w:val="57B27F05"/>
    <w:rsid w:val="57B83050"/>
    <w:rsid w:val="57C2639A"/>
    <w:rsid w:val="57CC546B"/>
    <w:rsid w:val="580E5273"/>
    <w:rsid w:val="5827444F"/>
    <w:rsid w:val="58276B45"/>
    <w:rsid w:val="5828647F"/>
    <w:rsid w:val="583247BA"/>
    <w:rsid w:val="584B60C7"/>
    <w:rsid w:val="5855292A"/>
    <w:rsid w:val="585A6E5D"/>
    <w:rsid w:val="585A71CC"/>
    <w:rsid w:val="58984BC0"/>
    <w:rsid w:val="589E6E07"/>
    <w:rsid w:val="58AE4A6D"/>
    <w:rsid w:val="58FA5DED"/>
    <w:rsid w:val="591F781C"/>
    <w:rsid w:val="592B03F7"/>
    <w:rsid w:val="593734E5"/>
    <w:rsid w:val="5954396A"/>
    <w:rsid w:val="59572904"/>
    <w:rsid w:val="596F0BCA"/>
    <w:rsid w:val="59712D5D"/>
    <w:rsid w:val="598C4EB2"/>
    <w:rsid w:val="59901372"/>
    <w:rsid w:val="59981986"/>
    <w:rsid w:val="59A42F23"/>
    <w:rsid w:val="59AF246A"/>
    <w:rsid w:val="59D222D0"/>
    <w:rsid w:val="59E92820"/>
    <w:rsid w:val="59FD57A4"/>
    <w:rsid w:val="59FE485A"/>
    <w:rsid w:val="5A2405C6"/>
    <w:rsid w:val="5A370451"/>
    <w:rsid w:val="5A3C4119"/>
    <w:rsid w:val="5A587E18"/>
    <w:rsid w:val="5A5B4D2C"/>
    <w:rsid w:val="5A5C3CF9"/>
    <w:rsid w:val="5A5D2A51"/>
    <w:rsid w:val="5A69491A"/>
    <w:rsid w:val="5A865A62"/>
    <w:rsid w:val="5A8C0EE1"/>
    <w:rsid w:val="5AA40FEB"/>
    <w:rsid w:val="5AB971E8"/>
    <w:rsid w:val="5AD832D3"/>
    <w:rsid w:val="5AF832EE"/>
    <w:rsid w:val="5B2A5F09"/>
    <w:rsid w:val="5B445318"/>
    <w:rsid w:val="5B491F2D"/>
    <w:rsid w:val="5B667984"/>
    <w:rsid w:val="5B6854AA"/>
    <w:rsid w:val="5B6C5FFD"/>
    <w:rsid w:val="5BAD7C98"/>
    <w:rsid w:val="5BD569A4"/>
    <w:rsid w:val="5BE4732E"/>
    <w:rsid w:val="5BEA7872"/>
    <w:rsid w:val="5C091BEF"/>
    <w:rsid w:val="5C0A47B4"/>
    <w:rsid w:val="5C14786D"/>
    <w:rsid w:val="5C212EBA"/>
    <w:rsid w:val="5C267E9B"/>
    <w:rsid w:val="5C322107"/>
    <w:rsid w:val="5C3315BA"/>
    <w:rsid w:val="5C447473"/>
    <w:rsid w:val="5C971E37"/>
    <w:rsid w:val="5CA44BD0"/>
    <w:rsid w:val="5CBA42DC"/>
    <w:rsid w:val="5CBC327C"/>
    <w:rsid w:val="5CE95016"/>
    <w:rsid w:val="5CF272CF"/>
    <w:rsid w:val="5CFF084C"/>
    <w:rsid w:val="5D036414"/>
    <w:rsid w:val="5D200674"/>
    <w:rsid w:val="5D236951"/>
    <w:rsid w:val="5D2B6C07"/>
    <w:rsid w:val="5D3D632A"/>
    <w:rsid w:val="5D447317"/>
    <w:rsid w:val="5D64082D"/>
    <w:rsid w:val="5D6A4D53"/>
    <w:rsid w:val="5D6E78AE"/>
    <w:rsid w:val="5D7A7717"/>
    <w:rsid w:val="5D7E5BC5"/>
    <w:rsid w:val="5D8359A3"/>
    <w:rsid w:val="5D8365CC"/>
    <w:rsid w:val="5D99680D"/>
    <w:rsid w:val="5DAF3BB5"/>
    <w:rsid w:val="5DCB356A"/>
    <w:rsid w:val="5DD3025B"/>
    <w:rsid w:val="5DDC0510"/>
    <w:rsid w:val="5DE264DA"/>
    <w:rsid w:val="5DEB3E48"/>
    <w:rsid w:val="5DFA49EF"/>
    <w:rsid w:val="5E3A7034"/>
    <w:rsid w:val="5E52287B"/>
    <w:rsid w:val="5E546319"/>
    <w:rsid w:val="5E6C7C3B"/>
    <w:rsid w:val="5E873B25"/>
    <w:rsid w:val="5E893065"/>
    <w:rsid w:val="5E9D5BCE"/>
    <w:rsid w:val="5EA30801"/>
    <w:rsid w:val="5EBE53E1"/>
    <w:rsid w:val="5ECC3B09"/>
    <w:rsid w:val="5EE17A4E"/>
    <w:rsid w:val="5EF87854"/>
    <w:rsid w:val="5F450B5B"/>
    <w:rsid w:val="5F574894"/>
    <w:rsid w:val="5F5A274A"/>
    <w:rsid w:val="5F6256F9"/>
    <w:rsid w:val="5F8153DB"/>
    <w:rsid w:val="5FD01875"/>
    <w:rsid w:val="5FF35CB9"/>
    <w:rsid w:val="60023F09"/>
    <w:rsid w:val="60036AC3"/>
    <w:rsid w:val="60070740"/>
    <w:rsid w:val="600759EC"/>
    <w:rsid w:val="6010702C"/>
    <w:rsid w:val="601D7C74"/>
    <w:rsid w:val="601F33F8"/>
    <w:rsid w:val="60213E7A"/>
    <w:rsid w:val="602B5019"/>
    <w:rsid w:val="603A0715"/>
    <w:rsid w:val="60416B9B"/>
    <w:rsid w:val="6051489F"/>
    <w:rsid w:val="60675917"/>
    <w:rsid w:val="60683F66"/>
    <w:rsid w:val="608C037A"/>
    <w:rsid w:val="608C7173"/>
    <w:rsid w:val="608D246F"/>
    <w:rsid w:val="609F0B34"/>
    <w:rsid w:val="60AA51FA"/>
    <w:rsid w:val="60AB692A"/>
    <w:rsid w:val="60B91212"/>
    <w:rsid w:val="60C24B70"/>
    <w:rsid w:val="60C62898"/>
    <w:rsid w:val="60CE5DB0"/>
    <w:rsid w:val="60D12A29"/>
    <w:rsid w:val="60D1591B"/>
    <w:rsid w:val="60D70261"/>
    <w:rsid w:val="61057EDF"/>
    <w:rsid w:val="61116DED"/>
    <w:rsid w:val="61195B45"/>
    <w:rsid w:val="61283090"/>
    <w:rsid w:val="612C5238"/>
    <w:rsid w:val="61364510"/>
    <w:rsid w:val="613E0962"/>
    <w:rsid w:val="616F4921"/>
    <w:rsid w:val="6170260D"/>
    <w:rsid w:val="619012B7"/>
    <w:rsid w:val="6195444F"/>
    <w:rsid w:val="61B748FA"/>
    <w:rsid w:val="61C94F96"/>
    <w:rsid w:val="61C97B8D"/>
    <w:rsid w:val="61D9642F"/>
    <w:rsid w:val="61DC2E93"/>
    <w:rsid w:val="61FE5CD9"/>
    <w:rsid w:val="62022F83"/>
    <w:rsid w:val="620F0B35"/>
    <w:rsid w:val="62150114"/>
    <w:rsid w:val="622C5157"/>
    <w:rsid w:val="62355B14"/>
    <w:rsid w:val="62534662"/>
    <w:rsid w:val="628C5F22"/>
    <w:rsid w:val="629152E7"/>
    <w:rsid w:val="6293740C"/>
    <w:rsid w:val="62976EF5"/>
    <w:rsid w:val="62B36F66"/>
    <w:rsid w:val="62B7741F"/>
    <w:rsid w:val="62BE396B"/>
    <w:rsid w:val="62D8742A"/>
    <w:rsid w:val="62DA29DD"/>
    <w:rsid w:val="62DF4C78"/>
    <w:rsid w:val="62E21FE6"/>
    <w:rsid w:val="62ED0F6C"/>
    <w:rsid w:val="62F33523"/>
    <w:rsid w:val="630C7F18"/>
    <w:rsid w:val="632A0902"/>
    <w:rsid w:val="634D566E"/>
    <w:rsid w:val="63517C1D"/>
    <w:rsid w:val="63543E6F"/>
    <w:rsid w:val="636230F7"/>
    <w:rsid w:val="639D2FDC"/>
    <w:rsid w:val="63B65C4B"/>
    <w:rsid w:val="63BE7116"/>
    <w:rsid w:val="63C73952"/>
    <w:rsid w:val="63CB2A7A"/>
    <w:rsid w:val="63D166C7"/>
    <w:rsid w:val="63D87EC8"/>
    <w:rsid w:val="63EC3E3A"/>
    <w:rsid w:val="63F1133C"/>
    <w:rsid w:val="63FA07BB"/>
    <w:rsid w:val="64144896"/>
    <w:rsid w:val="642C2817"/>
    <w:rsid w:val="6433193E"/>
    <w:rsid w:val="64753F00"/>
    <w:rsid w:val="6479613D"/>
    <w:rsid w:val="648C7337"/>
    <w:rsid w:val="64A3123D"/>
    <w:rsid w:val="64A81A2F"/>
    <w:rsid w:val="64B001E7"/>
    <w:rsid w:val="64BD3DFC"/>
    <w:rsid w:val="64CD2361"/>
    <w:rsid w:val="64DB673E"/>
    <w:rsid w:val="64F13CF3"/>
    <w:rsid w:val="652A0B82"/>
    <w:rsid w:val="653C3E4C"/>
    <w:rsid w:val="656A6FD9"/>
    <w:rsid w:val="658C5E2D"/>
    <w:rsid w:val="65911757"/>
    <w:rsid w:val="65964F2C"/>
    <w:rsid w:val="659C19F1"/>
    <w:rsid w:val="65B24927"/>
    <w:rsid w:val="65B969D8"/>
    <w:rsid w:val="65BB7588"/>
    <w:rsid w:val="65E027B3"/>
    <w:rsid w:val="660B7912"/>
    <w:rsid w:val="661C336D"/>
    <w:rsid w:val="66282CE0"/>
    <w:rsid w:val="662F5CA4"/>
    <w:rsid w:val="663E5299"/>
    <w:rsid w:val="664933EB"/>
    <w:rsid w:val="664B2AD7"/>
    <w:rsid w:val="66515450"/>
    <w:rsid w:val="66575D03"/>
    <w:rsid w:val="665F49C8"/>
    <w:rsid w:val="666E7677"/>
    <w:rsid w:val="6675128B"/>
    <w:rsid w:val="667733BA"/>
    <w:rsid w:val="667A3816"/>
    <w:rsid w:val="668523FC"/>
    <w:rsid w:val="668D73BF"/>
    <w:rsid w:val="668E4B55"/>
    <w:rsid w:val="669039A2"/>
    <w:rsid w:val="66992156"/>
    <w:rsid w:val="66A95B53"/>
    <w:rsid w:val="66B5531C"/>
    <w:rsid w:val="66BD25F4"/>
    <w:rsid w:val="66FC2171"/>
    <w:rsid w:val="6708580E"/>
    <w:rsid w:val="67186BC8"/>
    <w:rsid w:val="671B02A7"/>
    <w:rsid w:val="6735657C"/>
    <w:rsid w:val="67356C43"/>
    <w:rsid w:val="67411BE1"/>
    <w:rsid w:val="674571EC"/>
    <w:rsid w:val="67471CB3"/>
    <w:rsid w:val="674C5C80"/>
    <w:rsid w:val="674D5350"/>
    <w:rsid w:val="67583AA0"/>
    <w:rsid w:val="6771694B"/>
    <w:rsid w:val="677F46F4"/>
    <w:rsid w:val="6785012A"/>
    <w:rsid w:val="67B111F6"/>
    <w:rsid w:val="67B70D7F"/>
    <w:rsid w:val="67BD372F"/>
    <w:rsid w:val="67C119BF"/>
    <w:rsid w:val="67C851EC"/>
    <w:rsid w:val="68313AB2"/>
    <w:rsid w:val="683142D2"/>
    <w:rsid w:val="6837248C"/>
    <w:rsid w:val="68506071"/>
    <w:rsid w:val="68525518"/>
    <w:rsid w:val="68626249"/>
    <w:rsid w:val="686E77A2"/>
    <w:rsid w:val="68750492"/>
    <w:rsid w:val="689443A6"/>
    <w:rsid w:val="68965212"/>
    <w:rsid w:val="689A550D"/>
    <w:rsid w:val="68C56EA3"/>
    <w:rsid w:val="68CA50AF"/>
    <w:rsid w:val="68EF720B"/>
    <w:rsid w:val="68F25221"/>
    <w:rsid w:val="69086E40"/>
    <w:rsid w:val="6909560C"/>
    <w:rsid w:val="691307B8"/>
    <w:rsid w:val="691401BE"/>
    <w:rsid w:val="691456D8"/>
    <w:rsid w:val="691B3274"/>
    <w:rsid w:val="692C4A93"/>
    <w:rsid w:val="692F585A"/>
    <w:rsid w:val="6937336A"/>
    <w:rsid w:val="69584FB5"/>
    <w:rsid w:val="69651A69"/>
    <w:rsid w:val="6971278E"/>
    <w:rsid w:val="69791E44"/>
    <w:rsid w:val="69865774"/>
    <w:rsid w:val="69985CE1"/>
    <w:rsid w:val="69A403EB"/>
    <w:rsid w:val="69A53002"/>
    <w:rsid w:val="69AE3818"/>
    <w:rsid w:val="69B82547"/>
    <w:rsid w:val="69BE2739"/>
    <w:rsid w:val="69C71A0E"/>
    <w:rsid w:val="69CC39AD"/>
    <w:rsid w:val="69E037AF"/>
    <w:rsid w:val="6A12768F"/>
    <w:rsid w:val="6A1F373D"/>
    <w:rsid w:val="6A2E61FD"/>
    <w:rsid w:val="6A2E78BF"/>
    <w:rsid w:val="6A304D63"/>
    <w:rsid w:val="6A4946F9"/>
    <w:rsid w:val="6A500CC2"/>
    <w:rsid w:val="6A560196"/>
    <w:rsid w:val="6A5A38EA"/>
    <w:rsid w:val="6A6030FE"/>
    <w:rsid w:val="6A6263DF"/>
    <w:rsid w:val="6A6266C1"/>
    <w:rsid w:val="6A6A6CEF"/>
    <w:rsid w:val="6A7505E7"/>
    <w:rsid w:val="6A827048"/>
    <w:rsid w:val="6A9C49AE"/>
    <w:rsid w:val="6AB0007B"/>
    <w:rsid w:val="6AC20B92"/>
    <w:rsid w:val="6ACD366A"/>
    <w:rsid w:val="6ACE510D"/>
    <w:rsid w:val="6AF04C0A"/>
    <w:rsid w:val="6B474ACD"/>
    <w:rsid w:val="6B4F3E1E"/>
    <w:rsid w:val="6B5878FC"/>
    <w:rsid w:val="6B8C797A"/>
    <w:rsid w:val="6BAA11C7"/>
    <w:rsid w:val="6BC32289"/>
    <w:rsid w:val="6BC82250"/>
    <w:rsid w:val="6BE51F16"/>
    <w:rsid w:val="6BF30DC0"/>
    <w:rsid w:val="6BF53F6B"/>
    <w:rsid w:val="6BFC3DC3"/>
    <w:rsid w:val="6C2F520D"/>
    <w:rsid w:val="6C3741C9"/>
    <w:rsid w:val="6C383396"/>
    <w:rsid w:val="6C386930"/>
    <w:rsid w:val="6C577E76"/>
    <w:rsid w:val="6C731F01"/>
    <w:rsid w:val="6C7B5217"/>
    <w:rsid w:val="6C9C7E51"/>
    <w:rsid w:val="6CAA4CD7"/>
    <w:rsid w:val="6CB319C6"/>
    <w:rsid w:val="6CC07D5A"/>
    <w:rsid w:val="6CE57209"/>
    <w:rsid w:val="6CF342DB"/>
    <w:rsid w:val="6D2E5879"/>
    <w:rsid w:val="6D3B6429"/>
    <w:rsid w:val="6D4F10E6"/>
    <w:rsid w:val="6D5835D1"/>
    <w:rsid w:val="6D6F4F3D"/>
    <w:rsid w:val="6D8819DC"/>
    <w:rsid w:val="6D8D1494"/>
    <w:rsid w:val="6D8E3E4F"/>
    <w:rsid w:val="6DB239F8"/>
    <w:rsid w:val="6DB36A59"/>
    <w:rsid w:val="6DBA27A1"/>
    <w:rsid w:val="6DC118A2"/>
    <w:rsid w:val="6DC1501B"/>
    <w:rsid w:val="6DCC4E3E"/>
    <w:rsid w:val="6DCC7D69"/>
    <w:rsid w:val="6DCD23BB"/>
    <w:rsid w:val="6DDC39E4"/>
    <w:rsid w:val="6DDE47E3"/>
    <w:rsid w:val="6DF0715B"/>
    <w:rsid w:val="6DFB70B6"/>
    <w:rsid w:val="6E000FFB"/>
    <w:rsid w:val="6E0634CE"/>
    <w:rsid w:val="6E184F1A"/>
    <w:rsid w:val="6E2D6CBE"/>
    <w:rsid w:val="6E3B537A"/>
    <w:rsid w:val="6E5C4580"/>
    <w:rsid w:val="6E637175"/>
    <w:rsid w:val="6E700D14"/>
    <w:rsid w:val="6E811839"/>
    <w:rsid w:val="6E881BCA"/>
    <w:rsid w:val="6E915A95"/>
    <w:rsid w:val="6EA36659"/>
    <w:rsid w:val="6EAE0E64"/>
    <w:rsid w:val="6EAF1774"/>
    <w:rsid w:val="6EBA5CDD"/>
    <w:rsid w:val="6ECF7CC3"/>
    <w:rsid w:val="6EE40640"/>
    <w:rsid w:val="6F186A48"/>
    <w:rsid w:val="6F246AEA"/>
    <w:rsid w:val="6F2C5FF8"/>
    <w:rsid w:val="6F3A4F0D"/>
    <w:rsid w:val="6F503A01"/>
    <w:rsid w:val="6F557F25"/>
    <w:rsid w:val="6FA879BB"/>
    <w:rsid w:val="6FAF5625"/>
    <w:rsid w:val="6FB10D76"/>
    <w:rsid w:val="6FC211D5"/>
    <w:rsid w:val="6FC91D3A"/>
    <w:rsid w:val="6FD47D29"/>
    <w:rsid w:val="6FE80AA5"/>
    <w:rsid w:val="6FF37056"/>
    <w:rsid w:val="701959A7"/>
    <w:rsid w:val="701D107A"/>
    <w:rsid w:val="701F5AB8"/>
    <w:rsid w:val="7023218C"/>
    <w:rsid w:val="70295269"/>
    <w:rsid w:val="702A0BE5"/>
    <w:rsid w:val="702F5021"/>
    <w:rsid w:val="70462D13"/>
    <w:rsid w:val="70593DEA"/>
    <w:rsid w:val="705E3CF3"/>
    <w:rsid w:val="705E7F97"/>
    <w:rsid w:val="70665BE8"/>
    <w:rsid w:val="706A56EE"/>
    <w:rsid w:val="70885BB4"/>
    <w:rsid w:val="70A03752"/>
    <w:rsid w:val="70B0701B"/>
    <w:rsid w:val="70B65408"/>
    <w:rsid w:val="70CA1542"/>
    <w:rsid w:val="70CE7A18"/>
    <w:rsid w:val="70DE203F"/>
    <w:rsid w:val="70E168E9"/>
    <w:rsid w:val="70FD13AF"/>
    <w:rsid w:val="710475CC"/>
    <w:rsid w:val="7122615F"/>
    <w:rsid w:val="71424429"/>
    <w:rsid w:val="71453E6C"/>
    <w:rsid w:val="7166430D"/>
    <w:rsid w:val="71744751"/>
    <w:rsid w:val="719A2D69"/>
    <w:rsid w:val="71A1424E"/>
    <w:rsid w:val="71B521A3"/>
    <w:rsid w:val="71BC3A02"/>
    <w:rsid w:val="71F92EA9"/>
    <w:rsid w:val="720D60C9"/>
    <w:rsid w:val="720F7FD6"/>
    <w:rsid w:val="72425216"/>
    <w:rsid w:val="72A4345C"/>
    <w:rsid w:val="72C42735"/>
    <w:rsid w:val="72CA5CE1"/>
    <w:rsid w:val="72DD65F9"/>
    <w:rsid w:val="72EC19ED"/>
    <w:rsid w:val="72F1797E"/>
    <w:rsid w:val="72F42C8C"/>
    <w:rsid w:val="72F93C56"/>
    <w:rsid w:val="72FB73A1"/>
    <w:rsid w:val="732121D1"/>
    <w:rsid w:val="73301F43"/>
    <w:rsid w:val="734955B2"/>
    <w:rsid w:val="737C4456"/>
    <w:rsid w:val="73806233"/>
    <w:rsid w:val="73946263"/>
    <w:rsid w:val="73A04278"/>
    <w:rsid w:val="73C40D60"/>
    <w:rsid w:val="73C54662"/>
    <w:rsid w:val="73D36B35"/>
    <w:rsid w:val="73D876D3"/>
    <w:rsid w:val="73FD2823"/>
    <w:rsid w:val="74054A1F"/>
    <w:rsid w:val="740E69B7"/>
    <w:rsid w:val="74150907"/>
    <w:rsid w:val="743548C3"/>
    <w:rsid w:val="743C2AC1"/>
    <w:rsid w:val="743F32F3"/>
    <w:rsid w:val="74490D25"/>
    <w:rsid w:val="74492E01"/>
    <w:rsid w:val="744C0E7E"/>
    <w:rsid w:val="744F7652"/>
    <w:rsid w:val="745528D9"/>
    <w:rsid w:val="745605E0"/>
    <w:rsid w:val="748051BB"/>
    <w:rsid w:val="74831515"/>
    <w:rsid w:val="74847BFC"/>
    <w:rsid w:val="748C4AB3"/>
    <w:rsid w:val="749C3157"/>
    <w:rsid w:val="749D5D6D"/>
    <w:rsid w:val="74A5565C"/>
    <w:rsid w:val="74AC45D9"/>
    <w:rsid w:val="74BE5872"/>
    <w:rsid w:val="74C4324F"/>
    <w:rsid w:val="74E2513B"/>
    <w:rsid w:val="74F6713C"/>
    <w:rsid w:val="750F3DE0"/>
    <w:rsid w:val="752D03A6"/>
    <w:rsid w:val="75331A44"/>
    <w:rsid w:val="754E301E"/>
    <w:rsid w:val="75646839"/>
    <w:rsid w:val="756E0BBA"/>
    <w:rsid w:val="758F4CF1"/>
    <w:rsid w:val="75BF5706"/>
    <w:rsid w:val="75CA65C9"/>
    <w:rsid w:val="75FA6535"/>
    <w:rsid w:val="75FF1E43"/>
    <w:rsid w:val="760D5C25"/>
    <w:rsid w:val="761626AD"/>
    <w:rsid w:val="76255B97"/>
    <w:rsid w:val="76407F67"/>
    <w:rsid w:val="765C3674"/>
    <w:rsid w:val="766B3B31"/>
    <w:rsid w:val="76843B07"/>
    <w:rsid w:val="76854BDF"/>
    <w:rsid w:val="768935E1"/>
    <w:rsid w:val="76BF05FE"/>
    <w:rsid w:val="76D11CFE"/>
    <w:rsid w:val="76D27ADF"/>
    <w:rsid w:val="76D77E4F"/>
    <w:rsid w:val="76DB2AE9"/>
    <w:rsid w:val="76DD7DB8"/>
    <w:rsid w:val="76E557A9"/>
    <w:rsid w:val="76F25019"/>
    <w:rsid w:val="76F61E67"/>
    <w:rsid w:val="770C424E"/>
    <w:rsid w:val="77126B74"/>
    <w:rsid w:val="771640A9"/>
    <w:rsid w:val="7725685B"/>
    <w:rsid w:val="773C12D8"/>
    <w:rsid w:val="773C6C5F"/>
    <w:rsid w:val="775800BF"/>
    <w:rsid w:val="776C177B"/>
    <w:rsid w:val="776E6A9A"/>
    <w:rsid w:val="778D20D6"/>
    <w:rsid w:val="778E3A9E"/>
    <w:rsid w:val="77AC6673"/>
    <w:rsid w:val="77B855CD"/>
    <w:rsid w:val="77CE2903"/>
    <w:rsid w:val="77D965E5"/>
    <w:rsid w:val="77EF68E0"/>
    <w:rsid w:val="77F731AE"/>
    <w:rsid w:val="78054972"/>
    <w:rsid w:val="780B56E4"/>
    <w:rsid w:val="782F656E"/>
    <w:rsid w:val="783B5D91"/>
    <w:rsid w:val="78585681"/>
    <w:rsid w:val="78644DA6"/>
    <w:rsid w:val="786A27A3"/>
    <w:rsid w:val="789B22F3"/>
    <w:rsid w:val="78A23643"/>
    <w:rsid w:val="78AA2216"/>
    <w:rsid w:val="78C60822"/>
    <w:rsid w:val="78D80233"/>
    <w:rsid w:val="78ED129B"/>
    <w:rsid w:val="78F15791"/>
    <w:rsid w:val="79101392"/>
    <w:rsid w:val="791148B8"/>
    <w:rsid w:val="791D76B0"/>
    <w:rsid w:val="793E4A1F"/>
    <w:rsid w:val="797F5C44"/>
    <w:rsid w:val="79901B6A"/>
    <w:rsid w:val="79910CB7"/>
    <w:rsid w:val="799F2950"/>
    <w:rsid w:val="79A34D90"/>
    <w:rsid w:val="79B958B9"/>
    <w:rsid w:val="79DC6B06"/>
    <w:rsid w:val="79E166FC"/>
    <w:rsid w:val="79E848FB"/>
    <w:rsid w:val="79F44681"/>
    <w:rsid w:val="7A027042"/>
    <w:rsid w:val="7A256076"/>
    <w:rsid w:val="7A3E0432"/>
    <w:rsid w:val="7A58524B"/>
    <w:rsid w:val="7A5F4C1E"/>
    <w:rsid w:val="7A865C06"/>
    <w:rsid w:val="7A9129F6"/>
    <w:rsid w:val="7A9B68AB"/>
    <w:rsid w:val="7A9F3862"/>
    <w:rsid w:val="7AAB0E6A"/>
    <w:rsid w:val="7AB64468"/>
    <w:rsid w:val="7AC7009C"/>
    <w:rsid w:val="7AC878BC"/>
    <w:rsid w:val="7AD1051F"/>
    <w:rsid w:val="7AEC6113"/>
    <w:rsid w:val="7AED2E7F"/>
    <w:rsid w:val="7AF342F9"/>
    <w:rsid w:val="7AFB2056"/>
    <w:rsid w:val="7B165E3E"/>
    <w:rsid w:val="7B2A672C"/>
    <w:rsid w:val="7B3A58DD"/>
    <w:rsid w:val="7B4C3BEF"/>
    <w:rsid w:val="7B895D16"/>
    <w:rsid w:val="7B8E2333"/>
    <w:rsid w:val="7B9778A6"/>
    <w:rsid w:val="7BA07EF1"/>
    <w:rsid w:val="7BA45190"/>
    <w:rsid w:val="7BC7265C"/>
    <w:rsid w:val="7BD72143"/>
    <w:rsid w:val="7BDA4B81"/>
    <w:rsid w:val="7C056FEC"/>
    <w:rsid w:val="7C137A39"/>
    <w:rsid w:val="7C290372"/>
    <w:rsid w:val="7C3818ED"/>
    <w:rsid w:val="7C3C40BE"/>
    <w:rsid w:val="7C496D54"/>
    <w:rsid w:val="7C721E41"/>
    <w:rsid w:val="7C7750F6"/>
    <w:rsid w:val="7C82355A"/>
    <w:rsid w:val="7C926B72"/>
    <w:rsid w:val="7CA12467"/>
    <w:rsid w:val="7CA171C5"/>
    <w:rsid w:val="7CA642AB"/>
    <w:rsid w:val="7CD35A2F"/>
    <w:rsid w:val="7CE12963"/>
    <w:rsid w:val="7D1F171B"/>
    <w:rsid w:val="7D2232B3"/>
    <w:rsid w:val="7D23702C"/>
    <w:rsid w:val="7D2E7688"/>
    <w:rsid w:val="7D345250"/>
    <w:rsid w:val="7D3B7D6D"/>
    <w:rsid w:val="7D626751"/>
    <w:rsid w:val="7D9B2903"/>
    <w:rsid w:val="7D9E6686"/>
    <w:rsid w:val="7DBC7369"/>
    <w:rsid w:val="7DD10836"/>
    <w:rsid w:val="7DD26033"/>
    <w:rsid w:val="7E2E0CE4"/>
    <w:rsid w:val="7E307E72"/>
    <w:rsid w:val="7E366CD8"/>
    <w:rsid w:val="7E370FE0"/>
    <w:rsid w:val="7E582DB0"/>
    <w:rsid w:val="7E66131A"/>
    <w:rsid w:val="7E691EC9"/>
    <w:rsid w:val="7E6F4EF8"/>
    <w:rsid w:val="7E837D82"/>
    <w:rsid w:val="7E866131"/>
    <w:rsid w:val="7E8C0813"/>
    <w:rsid w:val="7E91613C"/>
    <w:rsid w:val="7EA05A4B"/>
    <w:rsid w:val="7EA26A11"/>
    <w:rsid w:val="7EA36C35"/>
    <w:rsid w:val="7EC052F1"/>
    <w:rsid w:val="7ED37E7F"/>
    <w:rsid w:val="7EDE76AE"/>
    <w:rsid w:val="7EE51B8E"/>
    <w:rsid w:val="7EEB74A6"/>
    <w:rsid w:val="7F003EBF"/>
    <w:rsid w:val="7F063B8C"/>
    <w:rsid w:val="7F1520E8"/>
    <w:rsid w:val="7F273714"/>
    <w:rsid w:val="7F397700"/>
    <w:rsid w:val="7F4A08A0"/>
    <w:rsid w:val="7F5F31C9"/>
    <w:rsid w:val="7F5F6EE9"/>
    <w:rsid w:val="7F67107F"/>
    <w:rsid w:val="7F6F0649"/>
    <w:rsid w:val="7F751442"/>
    <w:rsid w:val="7F79042E"/>
    <w:rsid w:val="7F9D305D"/>
    <w:rsid w:val="7FE91F4B"/>
    <w:rsid w:val="7FF505E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FF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99"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99"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qFormat="1" w:unhideWhenUsed="0" w:uiPriority="0" w:semiHidden="0" w:name="Body Text 2"/>
    <w:lsdException w:uiPriority="99" w:name="Body Text 3"/>
    <w:lsdException w:qFormat="1" w:uiPriority="99"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qFormat="1" w:unhideWhenUsed="0" w:uiPriority="0" w:semiHidden="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1"/>
    <w:link w:val="57"/>
    <w:autoRedefine/>
    <w:qFormat/>
    <w:uiPriority w:val="0"/>
    <w:pPr>
      <w:keepNext/>
      <w:keepLines/>
      <w:spacing w:before="340" w:after="330" w:line="578" w:lineRule="auto"/>
      <w:outlineLvl w:val="0"/>
    </w:pPr>
    <w:rPr>
      <w:b/>
      <w:bCs/>
      <w:kern w:val="44"/>
      <w:sz w:val="44"/>
      <w:szCs w:val="44"/>
    </w:rPr>
  </w:style>
  <w:style w:type="paragraph" w:styleId="4">
    <w:name w:val="heading 2"/>
    <w:basedOn w:val="1"/>
    <w:next w:val="5"/>
    <w:link w:val="53"/>
    <w:autoRedefine/>
    <w:qFormat/>
    <w:uiPriority w:val="0"/>
    <w:pPr>
      <w:keepNext/>
      <w:keepLines/>
      <w:adjustRightInd w:val="0"/>
      <w:snapToGrid w:val="0"/>
      <w:spacing w:before="100" w:beforeAutospacing="1" w:afterAutospacing="1" w:line="360" w:lineRule="auto"/>
      <w:outlineLvl w:val="1"/>
    </w:pPr>
    <w:rPr>
      <w:bCs/>
      <w:sz w:val="28"/>
      <w:szCs w:val="24"/>
    </w:rPr>
  </w:style>
  <w:style w:type="paragraph" w:styleId="6">
    <w:name w:val="heading 3"/>
    <w:basedOn w:val="1"/>
    <w:next w:val="1"/>
    <w:link w:val="50"/>
    <w:autoRedefine/>
    <w:qFormat/>
    <w:uiPriority w:val="0"/>
    <w:pPr>
      <w:keepNext/>
      <w:keepLines/>
      <w:spacing w:before="260" w:after="260" w:line="416" w:lineRule="auto"/>
      <w:outlineLvl w:val="2"/>
    </w:pPr>
    <w:rPr>
      <w:b/>
      <w:bCs/>
      <w:sz w:val="32"/>
      <w:szCs w:val="32"/>
    </w:rPr>
  </w:style>
  <w:style w:type="paragraph" w:styleId="7">
    <w:name w:val="heading 4"/>
    <w:basedOn w:val="1"/>
    <w:next w:val="1"/>
    <w:autoRedefine/>
    <w:qFormat/>
    <w:uiPriority w:val="0"/>
    <w:pPr>
      <w:keepNext/>
      <w:keepLines/>
      <w:tabs>
        <w:tab w:val="left" w:pos="1680"/>
      </w:tabs>
      <w:spacing w:line="480" w:lineRule="atLeast"/>
      <w:ind w:left="1680" w:hanging="420"/>
      <w:outlineLvl w:val="3"/>
    </w:pPr>
    <w:rPr>
      <w:rFonts w:eastAsia="仿宋_GB2312"/>
      <w:bCs/>
      <w:sz w:val="28"/>
      <w:szCs w:val="28"/>
    </w:rPr>
  </w:style>
  <w:style w:type="character" w:default="1" w:styleId="39">
    <w:name w:val="Default Paragraph Font"/>
    <w:autoRedefine/>
    <w:semiHidden/>
    <w:unhideWhenUsed/>
    <w:qFormat/>
    <w:uiPriority w:val="1"/>
  </w:style>
  <w:style w:type="table" w:default="1" w:styleId="35">
    <w:name w:val="Normal Table"/>
    <w:autoRedefine/>
    <w:semiHidden/>
    <w:unhideWhenUsed/>
    <w:qFormat/>
    <w:uiPriority w:val="99"/>
    <w:tblPr>
      <w:tblCellMar>
        <w:top w:w="0" w:type="dxa"/>
        <w:left w:w="108" w:type="dxa"/>
        <w:bottom w:w="0" w:type="dxa"/>
        <w:right w:w="108" w:type="dxa"/>
      </w:tblCellMar>
    </w:tblPr>
  </w:style>
  <w:style w:type="paragraph" w:customStyle="1" w:styleId="2">
    <w:name w:val="标号正文"/>
    <w:basedOn w:val="1"/>
    <w:next w:val="1"/>
    <w:autoRedefine/>
    <w:qFormat/>
    <w:uiPriority w:val="99"/>
    <w:pPr>
      <w:tabs>
        <w:tab w:val="left" w:pos="1540"/>
      </w:tabs>
      <w:overflowPunct w:val="0"/>
      <w:snapToGrid w:val="0"/>
      <w:spacing w:line="360" w:lineRule="auto"/>
      <w:ind w:firstLine="1040"/>
      <w:jc w:val="left"/>
    </w:pPr>
    <w:rPr>
      <w:rFonts w:ascii="Arial" w:hAnsi="Arial"/>
      <w:sz w:val="24"/>
      <w:szCs w:val="20"/>
    </w:rPr>
  </w:style>
  <w:style w:type="paragraph" w:styleId="5">
    <w:name w:val="Normal Indent"/>
    <w:basedOn w:val="1"/>
    <w:autoRedefine/>
    <w:unhideWhenUsed/>
    <w:qFormat/>
    <w:uiPriority w:val="99"/>
    <w:pPr>
      <w:ind w:firstLine="420" w:firstLineChars="200"/>
    </w:pPr>
  </w:style>
  <w:style w:type="paragraph" w:styleId="8">
    <w:name w:val="toc 7"/>
    <w:basedOn w:val="1"/>
    <w:next w:val="1"/>
    <w:autoRedefine/>
    <w:unhideWhenUsed/>
    <w:qFormat/>
    <w:uiPriority w:val="39"/>
    <w:pPr>
      <w:ind w:left="2520" w:leftChars="1200"/>
    </w:pPr>
    <w:rPr>
      <w:rFonts w:asciiTheme="minorHAnsi" w:hAnsiTheme="minorHAnsi" w:eastAsiaTheme="minorEastAsia" w:cstheme="minorBidi"/>
      <w:szCs w:val="22"/>
    </w:rPr>
  </w:style>
  <w:style w:type="paragraph" w:styleId="9">
    <w:name w:val="caption"/>
    <w:basedOn w:val="1"/>
    <w:next w:val="1"/>
    <w:autoRedefine/>
    <w:qFormat/>
    <w:uiPriority w:val="35"/>
    <w:rPr>
      <w:rFonts w:ascii="Cambria" w:hAnsi="Cambria" w:eastAsia="黑体" w:cs="黑体"/>
      <w:sz w:val="20"/>
    </w:rPr>
  </w:style>
  <w:style w:type="paragraph" w:styleId="10">
    <w:name w:val="Document Map"/>
    <w:basedOn w:val="1"/>
    <w:link w:val="93"/>
    <w:autoRedefine/>
    <w:semiHidden/>
    <w:unhideWhenUsed/>
    <w:qFormat/>
    <w:uiPriority w:val="99"/>
    <w:rPr>
      <w:rFonts w:ascii="宋体"/>
      <w:sz w:val="18"/>
      <w:szCs w:val="18"/>
    </w:rPr>
  </w:style>
  <w:style w:type="paragraph" w:styleId="11">
    <w:name w:val="annotation text"/>
    <w:basedOn w:val="1"/>
    <w:link w:val="60"/>
    <w:autoRedefine/>
    <w:unhideWhenUsed/>
    <w:qFormat/>
    <w:uiPriority w:val="99"/>
    <w:pPr>
      <w:jc w:val="left"/>
    </w:pPr>
  </w:style>
  <w:style w:type="paragraph" w:styleId="12">
    <w:name w:val="Body Text"/>
    <w:basedOn w:val="1"/>
    <w:next w:val="1"/>
    <w:link w:val="56"/>
    <w:autoRedefine/>
    <w:qFormat/>
    <w:uiPriority w:val="0"/>
    <w:rPr>
      <w:sz w:val="24"/>
    </w:rPr>
  </w:style>
  <w:style w:type="paragraph" w:styleId="13">
    <w:name w:val="Body Text Indent"/>
    <w:basedOn w:val="1"/>
    <w:next w:val="14"/>
    <w:link w:val="86"/>
    <w:autoRedefine/>
    <w:unhideWhenUsed/>
    <w:qFormat/>
    <w:uiPriority w:val="99"/>
    <w:pPr>
      <w:spacing w:after="120" w:line="360" w:lineRule="auto"/>
      <w:ind w:left="420" w:leftChars="200"/>
    </w:pPr>
    <w:rPr>
      <w:lang w:val="zh-CN"/>
    </w:rPr>
  </w:style>
  <w:style w:type="paragraph" w:styleId="14">
    <w:name w:val="header"/>
    <w:basedOn w:val="1"/>
    <w:next w:val="15"/>
    <w:link w:val="51"/>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customStyle="1" w:styleId="15">
    <w:name w:val="样式5"/>
    <w:basedOn w:val="16"/>
    <w:autoRedefine/>
    <w:qFormat/>
    <w:uiPriority w:val="0"/>
    <w:pPr>
      <w:spacing w:line="360" w:lineRule="auto"/>
      <w:ind w:firstLine="1040" w:firstLineChars="200"/>
      <w:jc w:val="both"/>
    </w:pPr>
    <w:rPr>
      <w:rFonts w:ascii="宋体" w:hAnsi="宋体"/>
    </w:rPr>
  </w:style>
  <w:style w:type="paragraph" w:customStyle="1" w:styleId="16">
    <w:name w:val="Default"/>
    <w:next w:val="17"/>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7">
    <w:name w:val="样式35"/>
    <w:basedOn w:val="1"/>
    <w:autoRedefine/>
    <w:qFormat/>
    <w:uiPriority w:val="0"/>
    <w:pPr>
      <w:adjustRightInd w:val="0"/>
      <w:spacing w:line="312" w:lineRule="auto"/>
      <w:ind w:firstLine="567"/>
    </w:pPr>
    <w:rPr>
      <w:rFonts w:ascii="宋体"/>
      <w:kern w:val="0"/>
      <w:sz w:val="28"/>
      <w:szCs w:val="20"/>
    </w:rPr>
  </w:style>
  <w:style w:type="paragraph" w:styleId="18">
    <w:name w:val="toc 5"/>
    <w:basedOn w:val="1"/>
    <w:next w:val="1"/>
    <w:autoRedefine/>
    <w:unhideWhenUsed/>
    <w:qFormat/>
    <w:uiPriority w:val="39"/>
    <w:pPr>
      <w:ind w:left="1680" w:leftChars="800"/>
    </w:pPr>
    <w:rPr>
      <w:rFonts w:asciiTheme="minorHAnsi" w:hAnsiTheme="minorHAnsi" w:eastAsiaTheme="minorEastAsia" w:cstheme="minorBidi"/>
      <w:szCs w:val="22"/>
    </w:rPr>
  </w:style>
  <w:style w:type="paragraph" w:styleId="19">
    <w:name w:val="toc 3"/>
    <w:basedOn w:val="1"/>
    <w:next w:val="1"/>
    <w:autoRedefine/>
    <w:unhideWhenUsed/>
    <w:qFormat/>
    <w:uiPriority w:val="39"/>
    <w:pPr>
      <w:ind w:left="840" w:leftChars="400"/>
    </w:pPr>
    <w:rPr>
      <w:rFonts w:asciiTheme="minorHAnsi" w:hAnsiTheme="minorHAnsi" w:eastAsiaTheme="minorEastAsia" w:cstheme="minorBidi"/>
      <w:szCs w:val="22"/>
    </w:rPr>
  </w:style>
  <w:style w:type="paragraph" w:styleId="20">
    <w:name w:val="Plain Text"/>
    <w:basedOn w:val="1"/>
    <w:link w:val="68"/>
    <w:autoRedefine/>
    <w:qFormat/>
    <w:uiPriority w:val="0"/>
    <w:rPr>
      <w:rFonts w:ascii="宋体" w:hAnsi="Courier New"/>
    </w:rPr>
  </w:style>
  <w:style w:type="paragraph" w:styleId="21">
    <w:name w:val="toc 8"/>
    <w:basedOn w:val="1"/>
    <w:next w:val="1"/>
    <w:autoRedefine/>
    <w:unhideWhenUsed/>
    <w:qFormat/>
    <w:uiPriority w:val="39"/>
    <w:pPr>
      <w:ind w:left="2940" w:leftChars="1400"/>
    </w:pPr>
    <w:rPr>
      <w:rFonts w:asciiTheme="minorHAnsi" w:hAnsiTheme="minorHAnsi" w:eastAsiaTheme="minorEastAsia" w:cstheme="minorBidi"/>
      <w:szCs w:val="22"/>
    </w:rPr>
  </w:style>
  <w:style w:type="paragraph" w:styleId="22">
    <w:name w:val="Body Text Indent 2"/>
    <w:basedOn w:val="1"/>
    <w:next w:val="23"/>
    <w:link w:val="59"/>
    <w:autoRedefine/>
    <w:unhideWhenUsed/>
    <w:qFormat/>
    <w:uiPriority w:val="99"/>
    <w:pPr>
      <w:spacing w:after="120" w:line="480" w:lineRule="auto"/>
      <w:ind w:left="420" w:leftChars="200"/>
    </w:pPr>
  </w:style>
  <w:style w:type="paragraph" w:styleId="23">
    <w:name w:val="Body Text First Indent 2"/>
    <w:basedOn w:val="13"/>
    <w:next w:val="1"/>
    <w:autoRedefine/>
    <w:qFormat/>
    <w:uiPriority w:val="0"/>
    <w:pPr>
      <w:ind w:firstLine="420" w:firstLineChars="200"/>
    </w:pPr>
  </w:style>
  <w:style w:type="paragraph" w:styleId="24">
    <w:name w:val="Balloon Text"/>
    <w:basedOn w:val="1"/>
    <w:link w:val="70"/>
    <w:autoRedefine/>
    <w:unhideWhenUsed/>
    <w:qFormat/>
    <w:uiPriority w:val="99"/>
    <w:rPr>
      <w:sz w:val="18"/>
      <w:szCs w:val="18"/>
    </w:rPr>
  </w:style>
  <w:style w:type="paragraph" w:styleId="25">
    <w:name w:val="footer"/>
    <w:basedOn w:val="1"/>
    <w:link w:val="63"/>
    <w:autoRedefine/>
    <w:unhideWhenUsed/>
    <w:qFormat/>
    <w:uiPriority w:val="99"/>
    <w:pPr>
      <w:tabs>
        <w:tab w:val="center" w:pos="4153"/>
        <w:tab w:val="right" w:pos="8306"/>
      </w:tabs>
      <w:snapToGrid w:val="0"/>
      <w:jc w:val="left"/>
    </w:pPr>
    <w:rPr>
      <w:sz w:val="18"/>
      <w:szCs w:val="18"/>
    </w:rPr>
  </w:style>
  <w:style w:type="paragraph" w:styleId="26">
    <w:name w:val="toc 1"/>
    <w:basedOn w:val="1"/>
    <w:next w:val="1"/>
    <w:autoRedefine/>
    <w:unhideWhenUsed/>
    <w:qFormat/>
    <w:uiPriority w:val="39"/>
  </w:style>
  <w:style w:type="paragraph" w:styleId="27">
    <w:name w:val="toc 4"/>
    <w:basedOn w:val="1"/>
    <w:next w:val="1"/>
    <w:autoRedefine/>
    <w:unhideWhenUsed/>
    <w:qFormat/>
    <w:uiPriority w:val="39"/>
    <w:pPr>
      <w:ind w:left="1260" w:leftChars="600"/>
    </w:pPr>
    <w:rPr>
      <w:rFonts w:asciiTheme="minorHAnsi" w:hAnsiTheme="minorHAnsi" w:eastAsiaTheme="minorEastAsia" w:cstheme="minorBidi"/>
      <w:szCs w:val="22"/>
    </w:rPr>
  </w:style>
  <w:style w:type="paragraph" w:styleId="28">
    <w:name w:val="List"/>
    <w:basedOn w:val="1"/>
    <w:autoRedefine/>
    <w:qFormat/>
    <w:uiPriority w:val="99"/>
    <w:pPr>
      <w:widowControl/>
      <w:tabs>
        <w:tab w:val="center" w:pos="426"/>
      </w:tabs>
      <w:autoSpaceDE w:val="0"/>
      <w:autoSpaceDN w:val="0"/>
      <w:adjustRightInd w:val="0"/>
      <w:snapToGrid w:val="0"/>
      <w:jc w:val="center"/>
    </w:pPr>
    <w:rPr>
      <w:bCs/>
      <w:kern w:val="0"/>
      <w:sz w:val="28"/>
      <w:szCs w:val="20"/>
    </w:rPr>
  </w:style>
  <w:style w:type="paragraph" w:styleId="29">
    <w:name w:val="toc 6"/>
    <w:basedOn w:val="1"/>
    <w:next w:val="1"/>
    <w:autoRedefine/>
    <w:unhideWhenUsed/>
    <w:qFormat/>
    <w:uiPriority w:val="39"/>
    <w:pPr>
      <w:ind w:left="2100" w:leftChars="1000"/>
    </w:pPr>
    <w:rPr>
      <w:rFonts w:asciiTheme="minorHAnsi" w:hAnsiTheme="minorHAnsi" w:eastAsiaTheme="minorEastAsia" w:cstheme="minorBidi"/>
      <w:szCs w:val="22"/>
    </w:rPr>
  </w:style>
  <w:style w:type="paragraph" w:styleId="30">
    <w:name w:val="toc 2"/>
    <w:basedOn w:val="1"/>
    <w:next w:val="1"/>
    <w:autoRedefine/>
    <w:unhideWhenUsed/>
    <w:qFormat/>
    <w:uiPriority w:val="39"/>
    <w:pPr>
      <w:ind w:left="420" w:leftChars="200"/>
    </w:pPr>
  </w:style>
  <w:style w:type="paragraph" w:styleId="31">
    <w:name w:val="toc 9"/>
    <w:basedOn w:val="1"/>
    <w:next w:val="1"/>
    <w:autoRedefine/>
    <w:unhideWhenUsed/>
    <w:qFormat/>
    <w:uiPriority w:val="39"/>
    <w:pPr>
      <w:ind w:left="3360" w:leftChars="1600"/>
    </w:pPr>
    <w:rPr>
      <w:rFonts w:asciiTheme="minorHAnsi" w:hAnsiTheme="minorHAnsi" w:eastAsiaTheme="minorEastAsia" w:cstheme="minorBidi"/>
      <w:szCs w:val="22"/>
    </w:rPr>
  </w:style>
  <w:style w:type="paragraph" w:styleId="32">
    <w:name w:val="Body Text 2"/>
    <w:basedOn w:val="1"/>
    <w:next w:val="1"/>
    <w:autoRedefine/>
    <w:qFormat/>
    <w:uiPriority w:val="0"/>
    <w:pPr>
      <w:spacing w:line="480" w:lineRule="exact"/>
    </w:pPr>
    <w:rPr>
      <w:bCs/>
      <w:sz w:val="28"/>
    </w:rPr>
  </w:style>
  <w:style w:type="paragraph" w:styleId="33">
    <w:name w:val="Normal (Web)"/>
    <w:basedOn w:val="1"/>
    <w:autoRedefine/>
    <w:unhideWhenUsed/>
    <w:qFormat/>
    <w:uiPriority w:val="99"/>
    <w:pPr>
      <w:widowControl/>
      <w:spacing w:before="100" w:beforeAutospacing="1" w:after="100" w:afterAutospacing="1"/>
      <w:jc w:val="left"/>
    </w:pPr>
    <w:rPr>
      <w:rFonts w:ascii="宋体" w:hAnsi="宋体" w:cs="宋体"/>
      <w:kern w:val="0"/>
      <w:sz w:val="24"/>
      <w:szCs w:val="24"/>
    </w:rPr>
  </w:style>
  <w:style w:type="paragraph" w:styleId="34">
    <w:name w:val="annotation subject"/>
    <w:basedOn w:val="11"/>
    <w:next w:val="11"/>
    <w:link w:val="64"/>
    <w:autoRedefine/>
    <w:unhideWhenUsed/>
    <w:qFormat/>
    <w:uiPriority w:val="99"/>
    <w:rPr>
      <w:b/>
      <w:bCs/>
    </w:rPr>
  </w:style>
  <w:style w:type="table" w:styleId="36">
    <w:name w:val="Table Grid"/>
    <w:basedOn w:val="35"/>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7">
    <w:name w:val="Table Theme"/>
    <w:basedOn w:val="35"/>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8">
    <w:name w:val="Table Grid 5"/>
    <w:basedOn w:val="35"/>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40">
    <w:name w:val="Strong"/>
    <w:autoRedefine/>
    <w:qFormat/>
    <w:uiPriority w:val="22"/>
    <w:rPr>
      <w:b/>
      <w:bCs/>
    </w:rPr>
  </w:style>
  <w:style w:type="character" w:styleId="41">
    <w:name w:val="page number"/>
    <w:basedOn w:val="39"/>
    <w:autoRedefine/>
    <w:unhideWhenUsed/>
    <w:qFormat/>
    <w:uiPriority w:val="99"/>
  </w:style>
  <w:style w:type="character" w:styleId="42">
    <w:name w:val="Emphasis"/>
    <w:autoRedefine/>
    <w:qFormat/>
    <w:uiPriority w:val="20"/>
    <w:rPr>
      <w:color w:val="C60A00"/>
    </w:rPr>
  </w:style>
  <w:style w:type="character" w:styleId="43">
    <w:name w:val="Hyperlink"/>
    <w:autoRedefine/>
    <w:unhideWhenUsed/>
    <w:qFormat/>
    <w:uiPriority w:val="99"/>
    <w:rPr>
      <w:color w:val="0000CC"/>
      <w:u w:val="single"/>
    </w:rPr>
  </w:style>
  <w:style w:type="character" w:styleId="44">
    <w:name w:val="annotation reference"/>
    <w:autoRedefine/>
    <w:unhideWhenUsed/>
    <w:qFormat/>
    <w:uiPriority w:val="99"/>
    <w:rPr>
      <w:sz w:val="21"/>
      <w:szCs w:val="21"/>
    </w:rPr>
  </w:style>
  <w:style w:type="character" w:customStyle="1" w:styleId="45">
    <w:name w:val="de4r0bckuhzduz0w2axat3912u8ve1"/>
    <w:autoRedefine/>
    <w:qFormat/>
    <w:uiPriority w:val="0"/>
    <w:rPr>
      <w:vanish/>
    </w:rPr>
  </w:style>
  <w:style w:type="character" w:customStyle="1" w:styleId="46">
    <w:name w:val="第二级别 Char"/>
    <w:link w:val="47"/>
    <w:autoRedefine/>
    <w:qFormat/>
    <w:uiPriority w:val="0"/>
    <w:rPr>
      <w:rFonts w:ascii="仿宋_GB2312" w:eastAsia="仿宋_GB2312"/>
      <w:b/>
      <w:kern w:val="2"/>
      <w:sz w:val="32"/>
      <w:szCs w:val="32"/>
    </w:rPr>
  </w:style>
  <w:style w:type="paragraph" w:customStyle="1" w:styleId="47">
    <w:name w:val="第二级别"/>
    <w:basedOn w:val="1"/>
    <w:link w:val="46"/>
    <w:autoRedefine/>
    <w:qFormat/>
    <w:uiPriority w:val="0"/>
    <w:pPr>
      <w:numPr>
        <w:ilvl w:val="1"/>
        <w:numId w:val="1"/>
      </w:numPr>
      <w:spacing w:beforeLines="100" w:afterLines="100" w:line="480" w:lineRule="auto"/>
      <w:outlineLvl w:val="1"/>
    </w:pPr>
    <w:rPr>
      <w:rFonts w:ascii="仿宋_GB2312" w:eastAsia="仿宋_GB2312"/>
      <w:b/>
      <w:sz w:val="32"/>
      <w:szCs w:val="32"/>
    </w:rPr>
  </w:style>
  <w:style w:type="character" w:customStyle="1" w:styleId="48">
    <w:name w:val="apple-converted-space"/>
    <w:autoRedefine/>
    <w:qFormat/>
    <w:uiPriority w:val="0"/>
  </w:style>
  <w:style w:type="character" w:customStyle="1" w:styleId="49">
    <w:name w:val="fontstyle31"/>
    <w:autoRedefine/>
    <w:qFormat/>
    <w:uiPriority w:val="0"/>
    <w:rPr>
      <w:rFonts w:ascii="CIDFont + F3" w:hAnsi="CIDFont + F3" w:eastAsia="CIDFont + F3" w:cs="CIDFont + F3"/>
      <w:color w:val="000000"/>
      <w:sz w:val="24"/>
      <w:szCs w:val="24"/>
    </w:rPr>
  </w:style>
  <w:style w:type="character" w:customStyle="1" w:styleId="50">
    <w:name w:val="标题 3 字符"/>
    <w:link w:val="6"/>
    <w:autoRedefine/>
    <w:semiHidden/>
    <w:qFormat/>
    <w:uiPriority w:val="0"/>
    <w:rPr>
      <w:b/>
      <w:bCs/>
      <w:kern w:val="2"/>
      <w:sz w:val="32"/>
      <w:szCs w:val="32"/>
    </w:rPr>
  </w:style>
  <w:style w:type="character" w:customStyle="1" w:styleId="51">
    <w:name w:val="页眉 字符"/>
    <w:link w:val="14"/>
    <w:autoRedefine/>
    <w:qFormat/>
    <w:uiPriority w:val="99"/>
    <w:rPr>
      <w:kern w:val="2"/>
      <w:sz w:val="18"/>
      <w:szCs w:val="18"/>
    </w:rPr>
  </w:style>
  <w:style w:type="character" w:styleId="52">
    <w:name w:val="Placeholder Text"/>
    <w:autoRedefine/>
    <w:semiHidden/>
    <w:qFormat/>
    <w:uiPriority w:val="99"/>
    <w:rPr>
      <w:color w:val="808080"/>
    </w:rPr>
  </w:style>
  <w:style w:type="character" w:customStyle="1" w:styleId="53">
    <w:name w:val="标题 2 字符"/>
    <w:link w:val="4"/>
    <w:autoRedefine/>
    <w:qFormat/>
    <w:uiPriority w:val="0"/>
    <w:rPr>
      <w:bCs/>
      <w:kern w:val="2"/>
      <w:sz w:val="28"/>
      <w:szCs w:val="24"/>
    </w:rPr>
  </w:style>
  <w:style w:type="character" w:customStyle="1" w:styleId="54">
    <w:name w:val="fontstyle11"/>
    <w:autoRedefine/>
    <w:qFormat/>
    <w:uiPriority w:val="0"/>
    <w:rPr>
      <w:rFonts w:ascii="CIDFont + F3" w:hAnsi="CIDFont + F3" w:eastAsia="CIDFont + F3" w:cs="CIDFont + F3"/>
      <w:color w:val="000000"/>
      <w:sz w:val="24"/>
      <w:szCs w:val="24"/>
    </w:rPr>
  </w:style>
  <w:style w:type="character" w:customStyle="1" w:styleId="55">
    <w:name w:val="fontstyle21"/>
    <w:autoRedefine/>
    <w:qFormat/>
    <w:uiPriority w:val="0"/>
    <w:rPr>
      <w:rFonts w:ascii="TimesNewRomanPSMT" w:hAnsi="TimesNewRomanPSMT" w:eastAsia="TimesNewRomanPSMT" w:cs="TimesNewRomanPSMT"/>
      <w:color w:val="000000"/>
      <w:sz w:val="24"/>
      <w:szCs w:val="24"/>
    </w:rPr>
  </w:style>
  <w:style w:type="character" w:customStyle="1" w:styleId="56">
    <w:name w:val="正文文本 字符"/>
    <w:link w:val="12"/>
    <w:autoRedefine/>
    <w:qFormat/>
    <w:uiPriority w:val="0"/>
    <w:rPr>
      <w:kern w:val="2"/>
      <w:sz w:val="24"/>
    </w:rPr>
  </w:style>
  <w:style w:type="character" w:customStyle="1" w:styleId="57">
    <w:name w:val="标题 1 字符"/>
    <w:link w:val="3"/>
    <w:autoRedefine/>
    <w:qFormat/>
    <w:uiPriority w:val="0"/>
    <w:rPr>
      <w:b/>
      <w:bCs/>
      <w:kern w:val="44"/>
      <w:sz w:val="44"/>
      <w:szCs w:val="44"/>
    </w:rPr>
  </w:style>
  <w:style w:type="character" w:customStyle="1" w:styleId="58">
    <w:name w:val="de4r0bckuhzduz0wb0llrsewxqj1u1"/>
    <w:autoRedefine/>
    <w:qFormat/>
    <w:uiPriority w:val="0"/>
  </w:style>
  <w:style w:type="character" w:customStyle="1" w:styleId="59">
    <w:name w:val="正文文本缩进 2 字符"/>
    <w:link w:val="22"/>
    <w:autoRedefine/>
    <w:semiHidden/>
    <w:qFormat/>
    <w:uiPriority w:val="99"/>
    <w:rPr>
      <w:kern w:val="2"/>
      <w:sz w:val="21"/>
    </w:rPr>
  </w:style>
  <w:style w:type="character" w:customStyle="1" w:styleId="60">
    <w:name w:val="批注文字 字符"/>
    <w:link w:val="11"/>
    <w:autoRedefine/>
    <w:semiHidden/>
    <w:qFormat/>
    <w:uiPriority w:val="99"/>
    <w:rPr>
      <w:kern w:val="2"/>
      <w:sz w:val="21"/>
    </w:rPr>
  </w:style>
  <w:style w:type="character" w:customStyle="1" w:styleId="61">
    <w:name w:val="标题1"/>
    <w:basedOn w:val="39"/>
    <w:autoRedefine/>
    <w:qFormat/>
    <w:uiPriority w:val="0"/>
  </w:style>
  <w:style w:type="character" w:customStyle="1" w:styleId="62">
    <w:name w:val="页脚 字符"/>
    <w:autoRedefine/>
    <w:qFormat/>
    <w:uiPriority w:val="99"/>
  </w:style>
  <w:style w:type="character" w:customStyle="1" w:styleId="63">
    <w:name w:val="页脚 字符1"/>
    <w:link w:val="25"/>
    <w:autoRedefine/>
    <w:qFormat/>
    <w:uiPriority w:val="99"/>
    <w:rPr>
      <w:kern w:val="2"/>
      <w:sz w:val="18"/>
      <w:szCs w:val="18"/>
    </w:rPr>
  </w:style>
  <w:style w:type="character" w:customStyle="1" w:styleId="64">
    <w:name w:val="批注主题 字符"/>
    <w:link w:val="34"/>
    <w:autoRedefine/>
    <w:semiHidden/>
    <w:qFormat/>
    <w:uiPriority w:val="99"/>
    <w:rPr>
      <w:b/>
      <w:bCs/>
      <w:kern w:val="2"/>
      <w:sz w:val="21"/>
    </w:rPr>
  </w:style>
  <w:style w:type="character" w:customStyle="1" w:styleId="65">
    <w:name w:val="H-TextFormat Char"/>
    <w:link w:val="66"/>
    <w:autoRedefine/>
    <w:qFormat/>
    <w:uiPriority w:val="0"/>
    <w:rPr>
      <w:rFonts w:ascii="Arial" w:hAnsi="Arial" w:cs="Arial"/>
      <w:sz w:val="22"/>
      <w:szCs w:val="22"/>
      <w:lang w:val="en-US" w:eastAsia="en-US" w:bidi="ar-SA"/>
    </w:rPr>
  </w:style>
  <w:style w:type="paragraph" w:customStyle="1" w:styleId="66">
    <w:name w:val="H-TextFormat"/>
    <w:link w:val="65"/>
    <w:autoRedefine/>
    <w:qFormat/>
    <w:uiPriority w:val="0"/>
    <w:pPr>
      <w:autoSpaceDE w:val="0"/>
      <w:autoSpaceDN w:val="0"/>
      <w:adjustRightInd w:val="0"/>
    </w:pPr>
    <w:rPr>
      <w:rFonts w:ascii="Arial" w:hAnsi="Arial" w:eastAsia="宋体" w:cs="Arial"/>
      <w:sz w:val="22"/>
      <w:szCs w:val="22"/>
      <w:lang w:val="en-US" w:eastAsia="en-US" w:bidi="ar-SA"/>
    </w:rPr>
  </w:style>
  <w:style w:type="character" w:customStyle="1" w:styleId="67">
    <w:name w:val="标题2"/>
    <w:basedOn w:val="39"/>
    <w:autoRedefine/>
    <w:qFormat/>
    <w:uiPriority w:val="0"/>
  </w:style>
  <w:style w:type="character" w:customStyle="1" w:styleId="68">
    <w:name w:val="纯文本 字符"/>
    <w:link w:val="20"/>
    <w:autoRedefine/>
    <w:qFormat/>
    <w:uiPriority w:val="0"/>
    <w:rPr>
      <w:rFonts w:ascii="宋体" w:hAnsi="Courier New"/>
      <w:kern w:val="2"/>
      <w:sz w:val="21"/>
    </w:rPr>
  </w:style>
  <w:style w:type="character" w:customStyle="1" w:styleId="69">
    <w:name w:val="de4r0bckuhzdux2n-q5ggsuekbews1"/>
    <w:autoRedefine/>
    <w:qFormat/>
    <w:uiPriority w:val="0"/>
    <w:rPr>
      <w:vanish/>
    </w:rPr>
  </w:style>
  <w:style w:type="character" w:customStyle="1" w:styleId="70">
    <w:name w:val="批注框文本 字符"/>
    <w:link w:val="24"/>
    <w:autoRedefine/>
    <w:semiHidden/>
    <w:qFormat/>
    <w:uiPriority w:val="99"/>
    <w:rPr>
      <w:kern w:val="2"/>
      <w:sz w:val="18"/>
      <w:szCs w:val="18"/>
    </w:rPr>
  </w:style>
  <w:style w:type="character" w:customStyle="1" w:styleId="71">
    <w:name w:val="fontstyle01"/>
    <w:autoRedefine/>
    <w:qFormat/>
    <w:uiPriority w:val="0"/>
    <w:rPr>
      <w:rFonts w:ascii="宋体" w:hAnsi="宋体" w:eastAsia="宋体" w:cs="宋体"/>
      <w:color w:val="000000"/>
      <w:sz w:val="24"/>
      <w:szCs w:val="24"/>
    </w:rPr>
  </w:style>
  <w:style w:type="paragraph" w:customStyle="1" w:styleId="72">
    <w:name w:val="列表段落1"/>
    <w:basedOn w:val="1"/>
    <w:autoRedefine/>
    <w:qFormat/>
    <w:uiPriority w:val="34"/>
    <w:pPr>
      <w:ind w:firstLine="420" w:firstLineChars="200"/>
    </w:pPr>
  </w:style>
  <w:style w:type="paragraph" w:customStyle="1" w:styleId="73">
    <w:name w:val="正文缩进1"/>
    <w:basedOn w:val="1"/>
    <w:autoRedefine/>
    <w:qFormat/>
    <w:uiPriority w:val="0"/>
    <w:pPr>
      <w:ind w:firstLine="420" w:firstLineChars="200"/>
    </w:pPr>
  </w:style>
  <w:style w:type="paragraph" w:customStyle="1" w:styleId="74">
    <w:name w:val="Char Char Char1 Char Char Char Char Char Char Char Char Char Char1"/>
    <w:basedOn w:val="1"/>
    <w:autoRedefine/>
    <w:qFormat/>
    <w:uiPriority w:val="0"/>
    <w:rPr>
      <w:szCs w:val="24"/>
    </w:rPr>
  </w:style>
  <w:style w:type="paragraph" w:customStyle="1" w:styleId="75">
    <w:name w:val="纯文本1"/>
    <w:basedOn w:val="1"/>
    <w:autoRedefine/>
    <w:qFormat/>
    <w:uiPriority w:val="0"/>
    <w:pPr>
      <w:adjustRightInd w:val="0"/>
      <w:jc w:val="left"/>
      <w:textAlignment w:val="baseline"/>
    </w:pPr>
    <w:rPr>
      <w:rFonts w:ascii="宋体" w:hAnsi="Courier New"/>
    </w:rPr>
  </w:style>
  <w:style w:type="paragraph" w:customStyle="1" w:styleId="76">
    <w:name w:val="第一级别"/>
    <w:basedOn w:val="12"/>
    <w:next w:val="20"/>
    <w:autoRedefine/>
    <w:qFormat/>
    <w:uiPriority w:val="0"/>
    <w:pPr>
      <w:numPr>
        <w:ilvl w:val="0"/>
        <w:numId w:val="1"/>
      </w:numPr>
      <w:tabs>
        <w:tab w:val="left" w:pos="567"/>
      </w:tabs>
      <w:spacing w:beforeLines="50" w:afterLines="50" w:line="400" w:lineRule="exact"/>
      <w:outlineLvl w:val="0"/>
    </w:pPr>
    <w:rPr>
      <w:rFonts w:ascii="仿宋_GB2312" w:eastAsia="仿宋_GB2312"/>
      <w:b/>
      <w:color w:val="000000"/>
      <w:sz w:val="36"/>
      <w:szCs w:val="36"/>
    </w:rPr>
  </w:style>
  <w:style w:type="paragraph" w:customStyle="1" w:styleId="77">
    <w:name w:val="Table Paragraph"/>
    <w:basedOn w:val="1"/>
    <w:autoRedefine/>
    <w:qFormat/>
    <w:uiPriority w:val="1"/>
    <w:pPr>
      <w:autoSpaceDE w:val="0"/>
      <w:autoSpaceDN w:val="0"/>
      <w:adjustRightInd w:val="0"/>
      <w:jc w:val="left"/>
    </w:pPr>
    <w:rPr>
      <w:kern w:val="0"/>
      <w:sz w:val="24"/>
      <w:szCs w:val="24"/>
    </w:rPr>
  </w:style>
  <w:style w:type="paragraph" w:customStyle="1" w:styleId="78">
    <w:name w:val="第三级别"/>
    <w:basedOn w:val="1"/>
    <w:autoRedefine/>
    <w:qFormat/>
    <w:uiPriority w:val="0"/>
    <w:pPr>
      <w:numPr>
        <w:ilvl w:val="2"/>
        <w:numId w:val="1"/>
      </w:numPr>
      <w:tabs>
        <w:tab w:val="left" w:pos="567"/>
        <w:tab w:val="clear" w:pos="1069"/>
      </w:tabs>
      <w:spacing w:line="480" w:lineRule="auto"/>
      <w:ind w:left="709"/>
      <w:outlineLvl w:val="2"/>
    </w:pPr>
    <w:rPr>
      <w:rFonts w:ascii="宋体" w:hAnsi="宋体"/>
      <w:b/>
      <w:sz w:val="24"/>
      <w:szCs w:val="24"/>
    </w:rPr>
  </w:style>
  <w:style w:type="paragraph" w:customStyle="1" w:styleId="79">
    <w:name w:val="样式1"/>
    <w:basedOn w:val="1"/>
    <w:autoRedefine/>
    <w:qFormat/>
    <w:uiPriority w:val="0"/>
  </w:style>
  <w:style w:type="paragraph" w:customStyle="1" w:styleId="80">
    <w:name w:val="_Style 2"/>
    <w:basedOn w:val="1"/>
    <w:autoRedefine/>
    <w:qFormat/>
    <w:uiPriority w:val="34"/>
    <w:pPr>
      <w:ind w:firstLine="420" w:firstLineChars="200"/>
    </w:pPr>
  </w:style>
  <w:style w:type="paragraph" w:customStyle="1" w:styleId="81">
    <w:name w:val="列出段落1"/>
    <w:basedOn w:val="1"/>
    <w:autoRedefine/>
    <w:qFormat/>
    <w:uiPriority w:val="34"/>
    <w:pPr>
      <w:ind w:firstLine="420" w:firstLineChars="200"/>
    </w:pPr>
  </w:style>
  <w:style w:type="paragraph" w:customStyle="1" w:styleId="82">
    <w:name w:val="默认段落字体 Para Char Char Char Char"/>
    <w:basedOn w:val="1"/>
    <w:autoRedefine/>
    <w:qFormat/>
    <w:uiPriority w:val="0"/>
    <w:rPr>
      <w:szCs w:val="24"/>
    </w:rPr>
  </w:style>
  <w:style w:type="paragraph" w:customStyle="1" w:styleId="83">
    <w:name w:val="列出段落11"/>
    <w:basedOn w:val="1"/>
    <w:autoRedefine/>
    <w:qFormat/>
    <w:uiPriority w:val="34"/>
    <w:pPr>
      <w:ind w:firstLine="420" w:firstLineChars="200"/>
    </w:pPr>
  </w:style>
  <w:style w:type="paragraph" w:customStyle="1" w:styleId="84">
    <w:name w:val="正文11"/>
    <w:basedOn w:val="1"/>
    <w:autoRedefine/>
    <w:qFormat/>
    <w:uiPriority w:val="0"/>
    <w:pPr>
      <w:ind w:firstLine="480" w:firstLineChars="200"/>
    </w:pPr>
    <w:rPr>
      <w:szCs w:val="24"/>
    </w:rPr>
  </w:style>
  <w:style w:type="character" w:customStyle="1" w:styleId="85">
    <w:name w:val="disabled"/>
    <w:autoRedefine/>
    <w:qFormat/>
    <w:uiPriority w:val="0"/>
    <w:rPr>
      <w:color w:val="DDDDDD"/>
      <w:bdr w:val="single" w:color="EEEEEE" w:sz="6" w:space="0"/>
    </w:rPr>
  </w:style>
  <w:style w:type="character" w:customStyle="1" w:styleId="86">
    <w:name w:val="正文文本缩进 字符"/>
    <w:link w:val="13"/>
    <w:autoRedefine/>
    <w:qFormat/>
    <w:uiPriority w:val="99"/>
    <w:rPr>
      <w:kern w:val="2"/>
      <w:sz w:val="21"/>
      <w:lang w:val="zh-CN"/>
    </w:rPr>
  </w:style>
  <w:style w:type="paragraph" w:customStyle="1" w:styleId="87">
    <w:name w:val="_Style 3"/>
    <w:basedOn w:val="1"/>
    <w:autoRedefine/>
    <w:qFormat/>
    <w:uiPriority w:val="34"/>
    <w:pPr>
      <w:ind w:firstLine="420" w:firstLineChars="200"/>
    </w:pPr>
  </w:style>
  <w:style w:type="character" w:customStyle="1" w:styleId="88">
    <w:name w:val="页眉 Char"/>
    <w:autoRedefine/>
    <w:qFormat/>
    <w:uiPriority w:val="99"/>
  </w:style>
  <w:style w:type="paragraph" w:customStyle="1" w:styleId="89">
    <w:name w:val="TOC 标题1"/>
    <w:basedOn w:val="3"/>
    <w:next w:val="1"/>
    <w:autoRedefine/>
    <w:unhideWhenUsed/>
    <w:qFormat/>
    <w:uiPriority w:val="39"/>
    <w:pPr>
      <w:widowControl/>
      <w:spacing w:before="240" w:after="0" w:line="259" w:lineRule="auto"/>
      <w:jc w:val="left"/>
      <w:outlineLvl w:val="9"/>
    </w:pPr>
    <w:rPr>
      <w:rFonts w:ascii="Calibri Light" w:hAnsi="Calibri Light"/>
      <w:b w:val="0"/>
      <w:bCs w:val="0"/>
      <w:color w:val="2E74B5"/>
      <w:kern w:val="0"/>
      <w:sz w:val="32"/>
      <w:szCs w:val="32"/>
    </w:rPr>
  </w:style>
  <w:style w:type="paragraph" w:styleId="90">
    <w:name w:val="List Paragraph"/>
    <w:basedOn w:val="1"/>
    <w:autoRedefine/>
    <w:qFormat/>
    <w:uiPriority w:val="99"/>
    <w:pPr>
      <w:ind w:firstLine="420" w:firstLineChars="200"/>
    </w:pPr>
  </w:style>
  <w:style w:type="character" w:customStyle="1" w:styleId="91">
    <w:name w:val="Char Char1"/>
    <w:autoRedefine/>
    <w:qFormat/>
    <w:uiPriority w:val="0"/>
    <w:rPr>
      <w:rFonts w:hint="eastAsia" w:ascii="宋体" w:hAnsi="宋体" w:eastAsia="仿宋_GB2312"/>
      <w:b/>
      <w:bCs/>
      <w:kern w:val="44"/>
      <w:sz w:val="44"/>
      <w:szCs w:val="44"/>
    </w:rPr>
  </w:style>
  <w:style w:type="table" w:customStyle="1" w:styleId="92">
    <w:name w:val="Table Normal"/>
    <w:autoRedefine/>
    <w:semiHidden/>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character" w:customStyle="1" w:styleId="93">
    <w:name w:val="文档结构图 字符"/>
    <w:basedOn w:val="39"/>
    <w:link w:val="10"/>
    <w:autoRedefine/>
    <w:semiHidden/>
    <w:qFormat/>
    <w:uiPriority w:val="99"/>
    <w:rPr>
      <w:rFonts w:ascii="宋体"/>
      <w:kern w:val="2"/>
      <w:sz w:val="18"/>
      <w:szCs w:val="18"/>
    </w:rPr>
  </w:style>
  <w:style w:type="paragraph" w:customStyle="1" w:styleId="94">
    <w:name w:val="Char1 Char Char Char1"/>
    <w:basedOn w:val="10"/>
    <w:autoRedefine/>
    <w:qFormat/>
    <w:uiPriority w:val="0"/>
    <w:pPr>
      <w:shd w:val="clear" w:color="auto" w:fill="000080"/>
      <w:adjustRightInd w:val="0"/>
      <w:spacing w:line="436" w:lineRule="exact"/>
      <w:ind w:left="357"/>
      <w:jc w:val="left"/>
      <w:outlineLvl w:val="3"/>
    </w:pPr>
    <w:rPr>
      <w:rFonts w:ascii="Tahoma" w:hAnsi="Tahoma"/>
      <w:b/>
      <w:sz w:val="24"/>
      <w:szCs w:val="20"/>
    </w:rPr>
  </w:style>
  <w:style w:type="paragraph" w:customStyle="1" w:styleId="95">
    <w:name w:val="表格"/>
    <w:basedOn w:val="28"/>
    <w:next w:val="1"/>
    <w:link w:val="98"/>
    <w:autoRedefine/>
    <w:qFormat/>
    <w:uiPriority w:val="0"/>
    <w:rPr>
      <w:rFonts w:eastAsia="仿宋"/>
      <w:color w:val="000000" w:themeColor="text1"/>
      <w:szCs w:val="21"/>
      <w14:textFill>
        <w14:solidFill>
          <w14:schemeClr w14:val="tx1"/>
        </w14:solidFill>
      </w14:textFill>
    </w:rPr>
  </w:style>
  <w:style w:type="paragraph" w:customStyle="1" w:styleId="96">
    <w:name w:val="表头"/>
    <w:basedOn w:val="97"/>
    <w:autoRedefine/>
    <w:qFormat/>
    <w:uiPriority w:val="0"/>
    <w:pPr>
      <w:widowControl/>
      <w:jc w:val="center"/>
    </w:pPr>
    <w:rPr>
      <w:rFonts w:eastAsia="黑体"/>
      <w:kern w:val="0"/>
    </w:rPr>
  </w:style>
  <w:style w:type="paragraph" w:customStyle="1" w:styleId="97">
    <w:name w:val="正文111"/>
    <w:basedOn w:val="1"/>
    <w:autoRedefine/>
    <w:qFormat/>
    <w:uiPriority w:val="0"/>
    <w:pPr>
      <w:spacing w:line="360" w:lineRule="auto"/>
      <w:ind w:firstLine="480" w:firstLineChars="200"/>
    </w:pPr>
    <w:rPr>
      <w:rFonts w:cs="宋体"/>
      <w:bCs/>
      <w:color w:val="00B050"/>
      <w:sz w:val="24"/>
    </w:rPr>
  </w:style>
  <w:style w:type="character" w:customStyle="1" w:styleId="98">
    <w:name w:val="表格 字符"/>
    <w:basedOn w:val="39"/>
    <w:link w:val="95"/>
    <w:autoRedefine/>
    <w:qFormat/>
    <w:uiPriority w:val="0"/>
    <w:rPr>
      <w:rFonts w:eastAsia="仿宋"/>
      <w:color w:val="000000" w:themeColor="text1"/>
      <w:kern w:val="2"/>
      <w:sz w:val="21"/>
      <w:szCs w:val="21"/>
      <w14:textFill>
        <w14:solidFill>
          <w14:schemeClr w14:val="tx1"/>
        </w14:solidFill>
      </w14:textFill>
    </w:rPr>
  </w:style>
  <w:style w:type="paragraph" w:customStyle="1" w:styleId="99">
    <w:name w:val="1 Char"/>
    <w:basedOn w:val="1"/>
    <w:autoRedefine/>
    <w:qFormat/>
    <w:uiPriority w:val="0"/>
    <w:rPr>
      <w:sz w:val="24"/>
    </w:rPr>
  </w:style>
  <w:style w:type="paragraph" w:customStyle="1" w:styleId="100">
    <w:name w:val="正文文本 (2)"/>
    <w:basedOn w:val="1"/>
    <w:autoRedefine/>
    <w:qFormat/>
    <w:uiPriority w:val="0"/>
    <w:pPr>
      <w:shd w:val="clear" w:color="auto" w:fill="FFFFFF"/>
      <w:spacing w:after="300" w:line="0" w:lineRule="atLeast"/>
      <w:jc w:val="center"/>
    </w:pPr>
    <w:rPr>
      <w:rFonts w:ascii="宋体" w:hAnsi="宋体" w:cs="宋体"/>
      <w:kern w:val="0"/>
      <w:sz w:val="22"/>
      <w:szCs w:val="22"/>
      <w:lang w:eastAsia="en-US" w:bidi="en-US"/>
    </w:rPr>
  </w:style>
  <w:style w:type="table" w:customStyle="1" w:styleId="101">
    <w:name w:val="网格型1"/>
    <w:basedOn w:val="35"/>
    <w:autoRedefine/>
    <w:qFormat/>
    <w:uiPriority w:val="0"/>
    <w:rPr>
      <w:rFonts w:asciiTheme="minorHAnsi" w:hAnsiTheme="minorHAnsi" w:eastAsiaTheme="minorEastAsia" w:cstheme="minorBid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2">
    <w:name w:val="p0"/>
    <w:basedOn w:val="1"/>
    <w:autoRedefine/>
    <w:qFormat/>
    <w:uiPriority w:val="0"/>
    <w:pPr>
      <w:widowControl/>
    </w:pPr>
    <w:rPr>
      <w:kern w:val="0"/>
      <w:szCs w:val="21"/>
    </w:rPr>
  </w:style>
  <w:style w:type="paragraph" w:customStyle="1" w:styleId="103">
    <w:name w:val="表格内容"/>
    <w:autoRedefine/>
    <w:qFormat/>
    <w:uiPriority w:val="0"/>
    <w:pPr>
      <w:widowControl w:val="0"/>
      <w:autoSpaceDE w:val="0"/>
      <w:autoSpaceDN w:val="0"/>
      <w:jc w:val="center"/>
    </w:pPr>
    <w:rPr>
      <w:rFonts w:ascii="Times New Roman" w:hAnsi="Times New Roman" w:eastAsia="宋体" w:cstheme="minorBidi"/>
      <w:snapToGrid w:val="0"/>
      <w:kern w:val="2"/>
      <w:sz w:val="21"/>
      <w:szCs w:val="22"/>
      <w:lang w:val="en-US" w:eastAsia="zh-CN" w:bidi="ar-SA"/>
    </w:rPr>
  </w:style>
  <w:style w:type="paragraph" w:customStyle="1" w:styleId="104">
    <w:name w:val="表格 32"/>
    <w:basedOn w:val="96"/>
    <w:autoRedefine/>
    <w:qFormat/>
    <w:uiPriority w:val="0"/>
  </w:style>
  <w:style w:type="paragraph" w:customStyle="1" w:styleId="105">
    <w:name w:val="标题3"/>
    <w:basedOn w:val="1"/>
    <w:autoRedefine/>
    <w:qFormat/>
    <w:uiPriority w:val="0"/>
    <w:pPr>
      <w:outlineLvl w:val="2"/>
    </w:pPr>
    <w:rPr>
      <w:b/>
    </w:rPr>
  </w:style>
  <w:style w:type="character" w:customStyle="1" w:styleId="106">
    <w:name w:val="font11"/>
    <w:basedOn w:val="39"/>
    <w:autoRedefine/>
    <w:qFormat/>
    <w:uiPriority w:val="0"/>
    <w:rPr>
      <w:rFonts w:hint="eastAsia" w:ascii="宋体" w:hAnsi="宋体" w:eastAsia="宋体" w:cs="宋体"/>
      <w:color w:val="000000"/>
      <w:sz w:val="21"/>
      <w:szCs w:val="21"/>
      <w:u w:val="none"/>
    </w:rPr>
  </w:style>
  <w:style w:type="paragraph" w:customStyle="1" w:styleId="107">
    <w:name w:val="表格标题"/>
    <w:basedOn w:val="1"/>
    <w:autoRedefine/>
    <w:qFormat/>
    <w:uiPriority w:val="0"/>
    <w:pPr>
      <w:spacing w:before="50" w:beforeLines="50"/>
      <w:jc w:val="center"/>
    </w:pPr>
    <w:rPr>
      <w:b/>
      <w:szCs w:val="21"/>
    </w:rPr>
  </w:style>
  <w:style w:type="paragraph" w:customStyle="1" w:styleId="108">
    <w:name w:val="报告书表格新"/>
    <w:basedOn w:val="1"/>
    <w:autoRedefine/>
    <w:qFormat/>
    <w:uiPriority w:val="0"/>
    <w:pPr>
      <w:jc w:val="center"/>
    </w:pPr>
    <w:rPr>
      <w:sz w:val="18"/>
      <w:szCs w:val="18"/>
    </w:rPr>
  </w:style>
  <w:style w:type="paragraph" w:customStyle="1" w:styleId="109">
    <w:name w:val="1正文段落"/>
    <w:basedOn w:val="1"/>
    <w:autoRedefine/>
    <w:qFormat/>
    <w:uiPriority w:val="0"/>
    <w:pPr>
      <w:spacing w:line="360" w:lineRule="auto"/>
      <w:ind w:firstLine="200" w:firstLineChars="200"/>
    </w:pPr>
    <w:rPr>
      <w:snapToGrid w:val="0"/>
      <w:kern w:val="0"/>
      <w:sz w:val="24"/>
      <w:szCs w:val="21"/>
    </w:rPr>
  </w:style>
  <w:style w:type="paragraph" w:customStyle="1" w:styleId="110">
    <w:name w:val="正文1"/>
    <w:basedOn w:val="1"/>
    <w:autoRedefine/>
    <w:qFormat/>
    <w:uiPriority w:val="0"/>
    <w:pPr>
      <w:spacing w:line="360" w:lineRule="auto"/>
      <w:ind w:firstLine="579" w:firstLineChars="200"/>
    </w:pPr>
    <w:rPr>
      <w:sz w:val="24"/>
      <w:szCs w:val="28"/>
    </w:rPr>
  </w:style>
  <w:style w:type="paragraph" w:customStyle="1" w:styleId="111">
    <w:name w:val="表内文字"/>
    <w:basedOn w:val="96"/>
    <w:autoRedefine/>
    <w:qFormat/>
    <w:uiPriority w:val="0"/>
    <w:pPr>
      <w:spacing w:line="240" w:lineRule="auto"/>
    </w:pPr>
    <w:rPr>
      <w:rFonts w:eastAsia="宋体" w:asciiTheme="minorHAnsi" w:hAnsiTheme="minorHAnsi"/>
      <w:sz w:val="21"/>
    </w:rPr>
  </w:style>
  <w:style w:type="character" w:customStyle="1" w:styleId="112">
    <w:name w:val="font21"/>
    <w:basedOn w:val="39"/>
    <w:autoRedefine/>
    <w:qFormat/>
    <w:uiPriority w:val="0"/>
    <w:rPr>
      <w:rFonts w:hint="eastAsia" w:ascii="宋体" w:hAnsi="宋体" w:eastAsia="宋体" w:cs="宋体"/>
      <w:color w:val="000000"/>
      <w:sz w:val="21"/>
      <w:szCs w:val="21"/>
      <w:u w:val="none"/>
    </w:rPr>
  </w:style>
  <w:style w:type="paragraph" w:customStyle="1" w:styleId="113">
    <w:name w:val="备注"/>
    <w:basedOn w:val="114"/>
    <w:autoRedefine/>
    <w:qFormat/>
    <w:uiPriority w:val="0"/>
    <w:rPr>
      <w:rFonts w:hAnsi="宋体"/>
      <w:color w:val="00B050"/>
      <w:sz w:val="18"/>
      <w:szCs w:val="18"/>
    </w:rPr>
  </w:style>
  <w:style w:type="paragraph" w:customStyle="1" w:styleId="114">
    <w:name w:val="纯文本11"/>
    <w:basedOn w:val="1"/>
    <w:autoRedefine/>
    <w:qFormat/>
    <w:uiPriority w:val="0"/>
    <w:pPr>
      <w:adjustRightInd w:val="0"/>
      <w:jc w:val="left"/>
      <w:textAlignment w:val="baseline"/>
    </w:pPr>
    <w:rPr>
      <w:rFonts w:ascii="宋体" w:hAnsi="Courier New"/>
      <w:sz w:val="24"/>
    </w:rPr>
  </w:style>
  <w:style w:type="paragraph" w:customStyle="1" w:styleId="115">
    <w:name w:val="FS正文"/>
    <w:basedOn w:val="1"/>
    <w:link w:val="116"/>
    <w:autoRedefine/>
    <w:qFormat/>
    <w:uiPriority w:val="0"/>
    <w:pPr>
      <w:spacing w:line="360" w:lineRule="auto"/>
      <w:ind w:firstLine="200" w:firstLineChars="200"/>
    </w:pPr>
    <w:rPr>
      <w:sz w:val="24"/>
      <w:szCs w:val="24"/>
    </w:rPr>
  </w:style>
  <w:style w:type="character" w:customStyle="1" w:styleId="116">
    <w:name w:val="FS正文 字符"/>
    <w:basedOn w:val="39"/>
    <w:link w:val="115"/>
    <w:autoRedefine/>
    <w:qFormat/>
    <w:uiPriority w:val="0"/>
    <w:rPr>
      <w:kern w:val="2"/>
      <w:sz w:val="24"/>
      <w:szCs w:val="24"/>
    </w:rPr>
  </w:style>
  <w:style w:type="paragraph" w:customStyle="1" w:styleId="117">
    <w:name w:val="11正文-书"/>
    <w:autoRedefine/>
    <w:qFormat/>
    <w:uiPriority w:val="0"/>
    <w:pPr>
      <w:spacing w:line="360" w:lineRule="auto"/>
      <w:ind w:firstLine="480" w:firstLineChars="200"/>
      <w:jc w:val="both"/>
    </w:pPr>
    <w:rPr>
      <w:rFonts w:ascii="Times New Roman" w:hAnsi="Times New Roman" w:eastAsia="宋体" w:cs="Times New Roman"/>
      <w:sz w:val="24"/>
      <w:szCs w:val="24"/>
      <w:lang w:val="en-US" w:eastAsia="zh-CN" w:bidi="ar-SA"/>
    </w:rPr>
  </w:style>
  <w:style w:type="paragraph" w:customStyle="1" w:styleId="118">
    <w:name w:val="正文2"/>
    <w:autoRedefine/>
    <w:qFormat/>
    <w:uiPriority w:val="0"/>
    <w:pPr>
      <w:widowControl w:val="0"/>
      <w:spacing w:line="360" w:lineRule="auto"/>
      <w:ind w:firstLine="200" w:firstLineChars="200"/>
      <w:jc w:val="both"/>
    </w:pPr>
    <w:rPr>
      <w:rFonts w:ascii="Times New Roman" w:hAnsi="Times New Roman" w:cs="Times New Roman" w:eastAsiaTheme="minorEastAsia"/>
      <w:sz w:val="24"/>
      <w:szCs w:val="24"/>
      <w:lang w:val="en-US" w:eastAsia="zh-CN" w:bidi="ar-SA"/>
    </w:rPr>
  </w:style>
  <w:style w:type="paragraph" w:customStyle="1" w:styleId="119">
    <w:name w:val="表格标题（新）"/>
    <w:basedOn w:val="1"/>
    <w:autoRedefine/>
    <w:qFormat/>
    <w:uiPriority w:val="0"/>
    <w:pPr>
      <w:widowControl/>
      <w:spacing w:line="360" w:lineRule="auto"/>
      <w:jc w:val="center"/>
    </w:pPr>
    <w:rPr>
      <w:b/>
      <w:bCs/>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74.png"/><Relationship Id="rId98" Type="http://schemas.openxmlformats.org/officeDocument/2006/relationships/image" Target="media/image73.png"/><Relationship Id="rId97" Type="http://schemas.openxmlformats.org/officeDocument/2006/relationships/image" Target="media/image72.png"/><Relationship Id="rId96" Type="http://schemas.openxmlformats.org/officeDocument/2006/relationships/image" Target="media/image71.png"/><Relationship Id="rId95" Type="http://schemas.openxmlformats.org/officeDocument/2006/relationships/image" Target="media/image70.png"/><Relationship Id="rId94" Type="http://schemas.openxmlformats.org/officeDocument/2006/relationships/image" Target="media/image69.png"/><Relationship Id="rId93" Type="http://schemas.openxmlformats.org/officeDocument/2006/relationships/image" Target="media/image68.png"/><Relationship Id="rId92" Type="http://schemas.openxmlformats.org/officeDocument/2006/relationships/image" Target="media/image67.png"/><Relationship Id="rId91" Type="http://schemas.openxmlformats.org/officeDocument/2006/relationships/image" Target="media/image66.png"/><Relationship Id="rId90" Type="http://schemas.openxmlformats.org/officeDocument/2006/relationships/image" Target="media/image65.png"/><Relationship Id="rId9" Type="http://schemas.openxmlformats.org/officeDocument/2006/relationships/footer" Target="footer3.xml"/><Relationship Id="rId89" Type="http://schemas.openxmlformats.org/officeDocument/2006/relationships/image" Target="media/image64.png"/><Relationship Id="rId88" Type="http://schemas.openxmlformats.org/officeDocument/2006/relationships/image" Target="media/image63.png"/><Relationship Id="rId87" Type="http://schemas.openxmlformats.org/officeDocument/2006/relationships/image" Target="media/image62.png"/><Relationship Id="rId86" Type="http://schemas.openxmlformats.org/officeDocument/2006/relationships/image" Target="media/image61.png"/><Relationship Id="rId85" Type="http://schemas.openxmlformats.org/officeDocument/2006/relationships/image" Target="media/image60.png"/><Relationship Id="rId84" Type="http://schemas.openxmlformats.org/officeDocument/2006/relationships/image" Target="media/image59.png"/><Relationship Id="rId83" Type="http://schemas.openxmlformats.org/officeDocument/2006/relationships/image" Target="media/image58.png"/><Relationship Id="rId82" Type="http://schemas.openxmlformats.org/officeDocument/2006/relationships/image" Target="media/image57.png"/><Relationship Id="rId81" Type="http://schemas.openxmlformats.org/officeDocument/2006/relationships/image" Target="media/image56.png"/><Relationship Id="rId80" Type="http://schemas.openxmlformats.org/officeDocument/2006/relationships/image" Target="media/image55.png"/><Relationship Id="rId8" Type="http://schemas.openxmlformats.org/officeDocument/2006/relationships/header" Target="header4.xml"/><Relationship Id="rId79" Type="http://schemas.openxmlformats.org/officeDocument/2006/relationships/image" Target="media/image54.png"/><Relationship Id="rId78" Type="http://schemas.openxmlformats.org/officeDocument/2006/relationships/image" Target="media/image53.png"/><Relationship Id="rId77" Type="http://schemas.openxmlformats.org/officeDocument/2006/relationships/image" Target="media/image52.png"/><Relationship Id="rId76" Type="http://schemas.openxmlformats.org/officeDocument/2006/relationships/image" Target="media/image51.png"/><Relationship Id="rId75" Type="http://schemas.openxmlformats.org/officeDocument/2006/relationships/image" Target="media/image50.jpeg"/><Relationship Id="rId74" Type="http://schemas.openxmlformats.org/officeDocument/2006/relationships/image" Target="media/image49.png"/><Relationship Id="rId73" Type="http://schemas.openxmlformats.org/officeDocument/2006/relationships/image" Target="media/image48.png"/><Relationship Id="rId72" Type="http://schemas.openxmlformats.org/officeDocument/2006/relationships/image" Target="media/image47.wmf"/><Relationship Id="rId71" Type="http://schemas.openxmlformats.org/officeDocument/2006/relationships/oleObject" Target="embeddings/oleObject10.bin"/><Relationship Id="rId70" Type="http://schemas.openxmlformats.org/officeDocument/2006/relationships/oleObject" Target="embeddings/oleObject9.bin"/><Relationship Id="rId7" Type="http://schemas.openxmlformats.org/officeDocument/2006/relationships/header" Target="header3.xml"/><Relationship Id="rId69" Type="http://schemas.openxmlformats.org/officeDocument/2006/relationships/image" Target="media/image46.png"/><Relationship Id="rId68" Type="http://schemas.openxmlformats.org/officeDocument/2006/relationships/image" Target="media/image45.wmf"/><Relationship Id="rId67" Type="http://schemas.openxmlformats.org/officeDocument/2006/relationships/oleObject" Target="embeddings/oleObject8.bin"/><Relationship Id="rId66" Type="http://schemas.openxmlformats.org/officeDocument/2006/relationships/image" Target="media/image44.wmf"/><Relationship Id="rId65" Type="http://schemas.openxmlformats.org/officeDocument/2006/relationships/oleObject" Target="embeddings/oleObject7.bin"/><Relationship Id="rId64" Type="http://schemas.openxmlformats.org/officeDocument/2006/relationships/oleObject" Target="embeddings/oleObject6.bin"/><Relationship Id="rId63" Type="http://schemas.openxmlformats.org/officeDocument/2006/relationships/image" Target="media/image43.wmf"/><Relationship Id="rId62" Type="http://schemas.openxmlformats.org/officeDocument/2006/relationships/oleObject" Target="embeddings/oleObject5.bin"/><Relationship Id="rId61" Type="http://schemas.openxmlformats.org/officeDocument/2006/relationships/image" Target="media/image42.wmf"/><Relationship Id="rId60" Type="http://schemas.openxmlformats.org/officeDocument/2006/relationships/oleObject" Target="embeddings/oleObject4.bin"/><Relationship Id="rId6" Type="http://schemas.openxmlformats.org/officeDocument/2006/relationships/footer" Target="footer2.xml"/><Relationship Id="rId59" Type="http://schemas.openxmlformats.org/officeDocument/2006/relationships/image" Target="media/image41.png"/><Relationship Id="rId58" Type="http://schemas.openxmlformats.org/officeDocument/2006/relationships/image" Target="media/image40.wmf"/><Relationship Id="rId57" Type="http://schemas.openxmlformats.org/officeDocument/2006/relationships/oleObject" Target="embeddings/oleObject3.bin"/><Relationship Id="rId56" Type="http://schemas.openxmlformats.org/officeDocument/2006/relationships/image" Target="media/image39.wmf"/><Relationship Id="rId55" Type="http://schemas.openxmlformats.org/officeDocument/2006/relationships/oleObject" Target="embeddings/oleObject2.bin"/><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2.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emf"/><Relationship Id="rId40" Type="http://schemas.openxmlformats.org/officeDocument/2006/relationships/oleObject" Target="embeddings/oleObject1.bin"/><Relationship Id="rId4" Type="http://schemas.openxmlformats.org/officeDocument/2006/relationships/footer" Target="footer1.xml"/><Relationship Id="rId39" Type="http://schemas.openxmlformats.org/officeDocument/2006/relationships/image" Target="media/image24.png"/><Relationship Id="rId38" Type="http://schemas.openxmlformats.org/officeDocument/2006/relationships/image" Target="media/image23.jpe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jpe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header" Target="header1.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1" Type="http://schemas.openxmlformats.org/officeDocument/2006/relationships/fontTable" Target="fontTable.xml"/><Relationship Id="rId150" Type="http://schemas.openxmlformats.org/officeDocument/2006/relationships/customXml" Target="../customXml/item2.xml"/><Relationship Id="rId15" Type="http://schemas.openxmlformats.org/officeDocument/2006/relationships/theme" Target="theme/theme1.xml"/><Relationship Id="rId149" Type="http://schemas.openxmlformats.org/officeDocument/2006/relationships/numbering" Target="numbering.xml"/><Relationship Id="rId148" Type="http://schemas.openxmlformats.org/officeDocument/2006/relationships/customXml" Target="../customXml/item1.xml"/><Relationship Id="rId147" Type="http://schemas.openxmlformats.org/officeDocument/2006/relationships/image" Target="media/image122.png"/><Relationship Id="rId146" Type="http://schemas.openxmlformats.org/officeDocument/2006/relationships/image" Target="media/image121.png"/><Relationship Id="rId145" Type="http://schemas.openxmlformats.org/officeDocument/2006/relationships/image" Target="media/image120.png"/><Relationship Id="rId144" Type="http://schemas.openxmlformats.org/officeDocument/2006/relationships/image" Target="media/image119.png"/><Relationship Id="rId143" Type="http://schemas.openxmlformats.org/officeDocument/2006/relationships/image" Target="media/image118.png"/><Relationship Id="rId142" Type="http://schemas.openxmlformats.org/officeDocument/2006/relationships/image" Target="media/image117.png"/><Relationship Id="rId141" Type="http://schemas.openxmlformats.org/officeDocument/2006/relationships/image" Target="media/image116.png"/><Relationship Id="rId140" Type="http://schemas.openxmlformats.org/officeDocument/2006/relationships/image" Target="media/image115.png"/><Relationship Id="rId14" Type="http://schemas.openxmlformats.org/officeDocument/2006/relationships/footer" Target="footer6.xml"/><Relationship Id="rId139" Type="http://schemas.openxmlformats.org/officeDocument/2006/relationships/image" Target="media/image114.png"/><Relationship Id="rId138" Type="http://schemas.openxmlformats.org/officeDocument/2006/relationships/image" Target="media/image113.png"/><Relationship Id="rId137" Type="http://schemas.openxmlformats.org/officeDocument/2006/relationships/image" Target="media/image112.png"/><Relationship Id="rId136" Type="http://schemas.openxmlformats.org/officeDocument/2006/relationships/image" Target="media/image111.png"/><Relationship Id="rId135" Type="http://schemas.openxmlformats.org/officeDocument/2006/relationships/image" Target="media/image110.png"/><Relationship Id="rId134" Type="http://schemas.openxmlformats.org/officeDocument/2006/relationships/image" Target="media/image109.png"/><Relationship Id="rId133" Type="http://schemas.openxmlformats.org/officeDocument/2006/relationships/image" Target="media/image108.png"/><Relationship Id="rId132" Type="http://schemas.openxmlformats.org/officeDocument/2006/relationships/image" Target="media/image107.png"/><Relationship Id="rId131" Type="http://schemas.openxmlformats.org/officeDocument/2006/relationships/image" Target="media/image106.png"/><Relationship Id="rId130" Type="http://schemas.openxmlformats.org/officeDocument/2006/relationships/image" Target="media/image105.png"/><Relationship Id="rId13" Type="http://schemas.openxmlformats.org/officeDocument/2006/relationships/footer" Target="footer5.xml"/><Relationship Id="rId129" Type="http://schemas.openxmlformats.org/officeDocument/2006/relationships/image" Target="media/image104.png"/><Relationship Id="rId128" Type="http://schemas.openxmlformats.org/officeDocument/2006/relationships/image" Target="media/image103.png"/><Relationship Id="rId127" Type="http://schemas.openxmlformats.org/officeDocument/2006/relationships/image" Target="media/image102.png"/><Relationship Id="rId126" Type="http://schemas.openxmlformats.org/officeDocument/2006/relationships/image" Target="media/image101.png"/><Relationship Id="rId125" Type="http://schemas.openxmlformats.org/officeDocument/2006/relationships/image" Target="media/image100.png"/><Relationship Id="rId124" Type="http://schemas.openxmlformats.org/officeDocument/2006/relationships/image" Target="media/image99.png"/><Relationship Id="rId123" Type="http://schemas.openxmlformats.org/officeDocument/2006/relationships/image" Target="media/image98.png"/><Relationship Id="rId122" Type="http://schemas.openxmlformats.org/officeDocument/2006/relationships/image" Target="media/image97.png"/><Relationship Id="rId121" Type="http://schemas.openxmlformats.org/officeDocument/2006/relationships/image" Target="media/image96.png"/><Relationship Id="rId120" Type="http://schemas.openxmlformats.org/officeDocument/2006/relationships/image" Target="media/image95.png"/><Relationship Id="rId12" Type="http://schemas.openxmlformats.org/officeDocument/2006/relationships/header" Target="header6.xml"/><Relationship Id="rId119" Type="http://schemas.openxmlformats.org/officeDocument/2006/relationships/image" Target="media/image94.png"/><Relationship Id="rId118" Type="http://schemas.openxmlformats.org/officeDocument/2006/relationships/image" Target="media/image93.png"/><Relationship Id="rId117" Type="http://schemas.openxmlformats.org/officeDocument/2006/relationships/image" Target="media/image92.png"/><Relationship Id="rId116" Type="http://schemas.openxmlformats.org/officeDocument/2006/relationships/image" Target="media/image91.png"/><Relationship Id="rId115" Type="http://schemas.openxmlformats.org/officeDocument/2006/relationships/image" Target="media/image90.png"/><Relationship Id="rId114" Type="http://schemas.openxmlformats.org/officeDocument/2006/relationships/image" Target="media/image89.png"/><Relationship Id="rId113" Type="http://schemas.openxmlformats.org/officeDocument/2006/relationships/image" Target="media/image88.png"/><Relationship Id="rId112" Type="http://schemas.openxmlformats.org/officeDocument/2006/relationships/image" Target="media/image87.png"/><Relationship Id="rId111" Type="http://schemas.openxmlformats.org/officeDocument/2006/relationships/image" Target="media/image86.png"/><Relationship Id="rId110" Type="http://schemas.openxmlformats.org/officeDocument/2006/relationships/image" Target="media/image85.png"/><Relationship Id="rId11" Type="http://schemas.openxmlformats.org/officeDocument/2006/relationships/footer" Target="footer4.xml"/><Relationship Id="rId109" Type="http://schemas.openxmlformats.org/officeDocument/2006/relationships/image" Target="media/image84.png"/><Relationship Id="rId108" Type="http://schemas.openxmlformats.org/officeDocument/2006/relationships/image" Target="media/image83.png"/><Relationship Id="rId107" Type="http://schemas.openxmlformats.org/officeDocument/2006/relationships/image" Target="media/image82.png"/><Relationship Id="rId106" Type="http://schemas.openxmlformats.org/officeDocument/2006/relationships/image" Target="media/image81.png"/><Relationship Id="rId105" Type="http://schemas.openxmlformats.org/officeDocument/2006/relationships/image" Target="media/image80.png"/><Relationship Id="rId104" Type="http://schemas.openxmlformats.org/officeDocument/2006/relationships/image" Target="media/image79.png"/><Relationship Id="rId103" Type="http://schemas.openxmlformats.org/officeDocument/2006/relationships/image" Target="media/image78.png"/><Relationship Id="rId102" Type="http://schemas.openxmlformats.org/officeDocument/2006/relationships/image" Target="media/image77.png"/><Relationship Id="rId101" Type="http://schemas.openxmlformats.org/officeDocument/2006/relationships/image" Target="media/image76.png"/><Relationship Id="rId100" Type="http://schemas.openxmlformats.org/officeDocument/2006/relationships/image" Target="media/image75.png"/><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F6BB6B7-E669-47E5-AAB6-201655002D30}">
  <ds:schemaRefs/>
</ds:datastoreItem>
</file>

<file path=docProps/app.xml><?xml version="1.0" encoding="utf-8"?>
<Properties xmlns="http://schemas.openxmlformats.org/officeDocument/2006/extended-properties" xmlns:vt="http://schemas.openxmlformats.org/officeDocument/2006/docPropsVTypes">
  <Template>Normal.dotm</Template>
  <Company>2345safe.com</Company>
  <Pages>165</Pages>
  <Words>44206</Words>
  <Characters>49585</Characters>
  <Lines>463</Lines>
  <Paragraphs>130</Paragraphs>
  <TotalTime>2</TotalTime>
  <ScaleCrop>false</ScaleCrop>
  <LinksUpToDate>false</LinksUpToDate>
  <CharactersWithSpaces>50094</CharactersWithSpaces>
  <Application>WPS Office_12.1.0.17133_F1E327BC-269C-435d-A152-05C5408002CA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2020-01-08T10:45:00Z</dcterms:created>
  <dc:creator>yppop</dc:creator>
  <cp:lastModifiedBy>杨   青</cp:lastModifiedBy>
  <cp:lastPrinted>2023-09-15T03:26:00Z</cp:lastPrinted>
  <dcterms:modified xsi:type="dcterms:W3CDTF">2024-07-05T03:42:18Z</dcterms:modified>
  <dc:title>编号：2014-HP-116</dc:title>
  <cp:revision>2336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2052-12.1.0.17133</vt:lpwstr>
  </property>
  <property fmtid="{D5CDD505-2E9C-101B-9397-08002B2CF9AE}" pid="3" name="ICV">
    <vt:lpwstr>D29F1707009D4655855A4CF471BC3DB9_13</vt:lpwstr>
  </property>
</Properties>
</file>